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240" w:before="240" w:lineRule="auto"/>
        <w:rPr>
          <w:b w:val="1"/>
          <w:bCs w:val="1"/>
          <w:sz w:val="42"/>
          <w:szCs w:val="42"/>
        </w:rPr>
      </w:pPr>
      <w:bookmarkStart w:colFirst="0" w:colLast="0" w:name="_83h286f4oyt2" w:id="0"/>
      <w:bookmarkEnd w:id="0"/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Spotify – Data Governance Policy Document</w:t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80" w:lineRule="auto"/>
        <w:rPr/>
      </w:pPr>
      <w:bookmarkStart w:colFirst="0" w:colLast="0" w:name="_z2l6247h6th9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after="40" w:before="240" w:lineRule="auto"/>
        <w:rPr/>
      </w:pPr>
      <w:bookmarkStart w:colFirst="0" w:colLast="0" w:name="_8sbh0esfm1op" w:id="2"/>
      <w:bookmarkEnd w:id="2"/>
      <w:r w:rsidDel="00000000" w:rsidR="00000000" w:rsidRPr="00000000">
        <w:rPr>
          <w:rtl w:val="0"/>
        </w:rPr>
        <w:t xml:space="preserve">1. Objectif et portée</w:t>
      </w:r>
    </w:p>
    <w:p w:rsidR="00000000" w:rsidDel="00000000" w:rsidP="00000000" w:rsidRDefault="00000000" w:rsidRPr="00000000" w14:paraId="00000005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Cette politique définit les principes, rôles et mécanismes permettant à Spotify d’assurer une gouvernance des données efficace, éthique et conforme aux réglementations internationales (RGPD, CCPA, PCI-DSS).</w:t>
      </w:r>
    </w:p>
    <w:p w:rsidR="00000000" w:rsidDel="00000000" w:rsidP="00000000" w:rsidRDefault="00000000" w:rsidRPr="00000000" w14:paraId="00000006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Elle s’applique à l’ensemble des entités et départements de Spotify, couvrant la collecte, le stockage, le traitement et la diffusion des données.</w:t>
      </w:r>
    </w:p>
    <w:p w:rsidR="00000000" w:rsidDel="00000000" w:rsidP="00000000" w:rsidRDefault="00000000" w:rsidRPr="00000000" w14:paraId="00000007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L’objectif est de garantir la qualité, la sécurité et la conformité des données tout en favorisant la culture data-driven et la confiance des utilisateurs.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after="40" w:before="240" w:lineRule="auto"/>
        <w:rPr/>
      </w:pPr>
      <w:bookmarkStart w:colFirst="0" w:colLast="0" w:name="_9bamenhtz2dy" w:id="3"/>
      <w:bookmarkEnd w:id="3"/>
      <w:r w:rsidDel="00000000" w:rsidR="00000000" w:rsidRPr="00000000">
        <w:rPr>
          <w:rtl w:val="0"/>
        </w:rPr>
        <w:t xml:space="preserve">2. Cadre réglementaire et conformité</w:t>
      </w:r>
    </w:p>
    <w:p w:rsidR="00000000" w:rsidDel="00000000" w:rsidP="00000000" w:rsidRDefault="00000000" w:rsidRPr="00000000" w14:paraId="00000009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Spotify s’aligne sur les exigences du </w:t>
      </w:r>
      <w:r w:rsidDel="00000000" w:rsidR="00000000" w:rsidRPr="00000000">
        <w:rPr>
          <w:b w:val="1"/>
          <w:bCs w:val="1"/>
          <w:color w:val="0e0e0e"/>
          <w:rtl w:val="0"/>
        </w:rPr>
        <w:t xml:space="preserve">Règlement Général sur la Protection des Données (RGPD)</w:t>
      </w:r>
      <w:r w:rsidDel="00000000" w:rsidR="00000000" w:rsidRPr="00000000">
        <w:rPr>
          <w:color w:val="0e0e0e"/>
          <w:rtl w:val="0"/>
        </w:rPr>
        <w:t xml:space="preserve">, du </w:t>
      </w:r>
      <w:r w:rsidDel="00000000" w:rsidR="00000000" w:rsidRPr="00000000">
        <w:rPr>
          <w:b w:val="1"/>
          <w:bCs w:val="1"/>
          <w:color w:val="0e0e0e"/>
          <w:rtl w:val="0"/>
        </w:rPr>
        <w:t xml:space="preserve">California Consumer Privacy Act (CCPA)</w:t>
      </w:r>
      <w:r w:rsidDel="00000000" w:rsidR="00000000" w:rsidRPr="00000000">
        <w:rPr>
          <w:color w:val="0e0e0e"/>
          <w:rtl w:val="0"/>
        </w:rPr>
        <w:t xml:space="preserve"> et des normes </w:t>
      </w:r>
      <w:r w:rsidDel="00000000" w:rsidR="00000000" w:rsidRPr="00000000">
        <w:rPr>
          <w:b w:val="1"/>
          <w:bCs w:val="1"/>
          <w:color w:val="0e0e0e"/>
          <w:rtl w:val="0"/>
        </w:rPr>
        <w:t xml:space="preserve">PCI-DSS</w:t>
      </w:r>
      <w:r w:rsidDel="00000000" w:rsidR="00000000" w:rsidRPr="00000000">
        <w:rPr>
          <w:color w:val="0e0e0e"/>
          <w:rtl w:val="0"/>
        </w:rPr>
        <w:t xml:space="preserve"> pour les paiements.</w:t>
      </w:r>
    </w:p>
    <w:p w:rsidR="00000000" w:rsidDel="00000000" w:rsidP="00000000" w:rsidRDefault="00000000" w:rsidRPr="00000000" w14:paraId="0000000A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Un audit de conformité interne confirme le respect des principes clés : transparence, consentement, droit à l’oubli, sécurité et notification des incidents sous 72h.</w:t>
      </w:r>
    </w:p>
    <w:p w:rsidR="00000000" w:rsidDel="00000000" w:rsidP="00000000" w:rsidRDefault="00000000" w:rsidRPr="00000000" w14:paraId="0000000B">
      <w:pPr>
        <w:ind w:left="220" w:firstLine="0"/>
        <w:rPr>
          <w:color w:val="0e0e0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color w:val="0e0e0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color w:val="0e0e0e"/>
          <w:sz w:val="20"/>
          <w:szCs w:val="20"/>
        </w:rPr>
      </w:pPr>
      <w:r w:rsidDel="00000000" w:rsidR="00000000" w:rsidRPr="00000000">
        <w:rPr>
          <w:b w:val="1"/>
          <w:bCs w:val="1"/>
          <w:color w:val="0e0e0e"/>
          <w:sz w:val="20"/>
          <w:szCs w:val="20"/>
          <w:rtl w:val="0"/>
        </w:rPr>
        <w:t xml:space="preserve">Tableau de conformité — GDPR et CCPA </w:t>
      </w:r>
    </w:p>
    <w:p w:rsidR="00000000" w:rsidDel="00000000" w:rsidP="00000000" w:rsidRDefault="00000000" w:rsidRPr="00000000" w14:paraId="0000000E">
      <w:pPr>
        <w:rPr>
          <w:b w:val="1"/>
          <w:bCs w:val="1"/>
          <w:color w:val="0e0e0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220" w:firstLine="0"/>
        <w:rPr>
          <w:color w:val="0e0e0e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370.0" w:type="dxa"/>
        <w:jc w:val="left"/>
        <w:tblInd w:w="-12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60"/>
        <w:gridCol w:w="4005"/>
        <w:gridCol w:w="3705"/>
        <w:tblGridChange w:id="0">
          <w:tblGrid>
            <w:gridCol w:w="3660"/>
            <w:gridCol w:w="4005"/>
            <w:gridCol w:w="37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Compliance Area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Compliance Requirement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shd w:fill="00ff00" w:val="clear"/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Compliance Status (Yes/No)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GDPR - Data Processing Principles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Ensure data is processed lawfully, fairly, and transparently.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GDPR - User Rights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Users must be able to access, modify, or delete their data upon request.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GDPR - Consent Management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Obtain explicit, informed consent before processing personal data.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GDPR - Data Breach Notification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Notify supervisory authority of data breaches within 72 hours.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GDPR - Data Protection Officer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Appoint a Data Protection Officer for monitoring compliance.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CCPA - Data Sale Opt-out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Provide a clear opt-out mechanism for the sale of personal data.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🔄 No (partiellement)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CCPA - User Access and Deletion Requests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Allow users to request access to or deletion of their data.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CCPA - Non-discrimination for Exercising Rights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Ensure no discrimination against users for exercising their CCPA rights.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Secure Network and Systems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Ensure a secure network infrastructure and firewall protection.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Protect Cardholder Data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Protect stored cardholder data using encryption and secure storage.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Maintain Vulnerability Management Program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Maintain systems for protection against malware and vulnerabilities.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🔄 No (en cours)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Implement Strong Access Control Measures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Limit access to cardholder data to authorized personnel only.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Regularly Monitor and Test Networks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Implement systems to regularly test security measures and procedures.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🔄 No (en cours)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>
                <w:b w:val="1"/>
                <w:bCs w:val="1"/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color w:val="0e0e0e"/>
                <w:sz w:val="14"/>
                <w:szCs w:val="14"/>
                <w:rtl w:val="0"/>
              </w:rPr>
              <w:t xml:space="preserve">PCI-DSS - Information Security Policy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color w:val="0e0e0e"/>
                <w:sz w:val="14"/>
                <w:szCs w:val="14"/>
                <w:rtl w:val="0"/>
              </w:rPr>
              <w:t xml:space="preserve">Maintain an updated information security policy for all personnel.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rPr>
                <w:color w:val="0e0e0e"/>
                <w:sz w:val="14"/>
                <w:szCs w:val="1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e0e0e"/>
                <w:sz w:val="14"/>
                <w:szCs w:val="14"/>
                <w:rtl w:val="0"/>
              </w:rPr>
              <w:t xml:space="preserve">✅ Yes</w:t>
            </w:r>
          </w:p>
        </w:tc>
      </w:tr>
    </w:tbl>
    <w:p w:rsidR="00000000" w:rsidDel="00000000" w:rsidP="00000000" w:rsidRDefault="00000000" w:rsidRPr="00000000" w14:paraId="0000003D">
      <w:pPr>
        <w:ind w:left="220" w:firstLine="0"/>
        <w:rPr>
          <w:color w:val="0e0e0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after="40" w:before="240" w:lineRule="auto"/>
        <w:rPr/>
      </w:pPr>
      <w:bookmarkStart w:colFirst="0" w:colLast="0" w:name="_d4qpcnlerum9" w:id="4"/>
      <w:bookmarkEnd w:id="4"/>
      <w:r w:rsidDel="00000000" w:rsidR="00000000" w:rsidRPr="00000000">
        <w:rPr>
          <w:rtl w:val="0"/>
        </w:rPr>
        <w:t xml:space="preserve">3. Principes directeurs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Basés sur le </w:t>
      </w:r>
      <w:r w:rsidDel="00000000" w:rsidR="00000000" w:rsidRPr="00000000">
        <w:rPr>
          <w:i w:val="1"/>
          <w:iCs w:val="1"/>
          <w:rtl w:val="0"/>
        </w:rPr>
        <w:t xml:space="preserve">Governance Principles Guide</w:t>
      </w:r>
      <w:r w:rsidDel="00000000" w:rsidR="00000000" w:rsidRPr="00000000">
        <w:rPr>
          <w:rtl w:val="0"/>
        </w:rPr>
        <w:t xml:space="preserve">, les 10 principes de la politique sont les suivants :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Responsabilité (Accountability)</w:t>
      </w:r>
      <w:r w:rsidDel="00000000" w:rsidR="00000000" w:rsidRPr="00000000">
        <w:rPr>
          <w:rtl w:val="0"/>
        </w:rPr>
        <w:t xml:space="preserve"> – Chaque acteur (CDO, DPO, Data Steward) a un rôle clairement défini.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Transparence</w:t>
      </w:r>
      <w:r w:rsidDel="00000000" w:rsidR="00000000" w:rsidRPr="00000000">
        <w:rPr>
          <w:rtl w:val="0"/>
        </w:rPr>
        <w:t xml:space="preserve"> – Les traitements de données sont documentés et communiqués aux utilisateurs.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Sécurité</w:t>
      </w:r>
      <w:r w:rsidDel="00000000" w:rsidR="00000000" w:rsidRPr="00000000">
        <w:rPr>
          <w:rtl w:val="0"/>
        </w:rPr>
        <w:t xml:space="preserve"> – Les données sensibles sont chiffrées et surveillées par le SOC (</w:t>
      </w:r>
      <w:r w:rsidDel="00000000" w:rsidR="00000000" w:rsidRPr="00000000">
        <w:rPr>
          <w:rtl w:val="0"/>
        </w:rPr>
        <w:t xml:space="preserve">Security Operations Center</w:t>
      </w:r>
      <w:r w:rsidDel="00000000" w:rsidR="00000000" w:rsidRPr="00000000">
        <w:rPr>
          <w:rtl w:val="0"/>
        </w:rPr>
        <w:t xml:space="preserve">) interne.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Qualité</w:t>
      </w:r>
      <w:r w:rsidDel="00000000" w:rsidR="00000000" w:rsidRPr="00000000">
        <w:rPr>
          <w:rtl w:val="0"/>
        </w:rPr>
        <w:t xml:space="preserve"> – Des audits réguliers garantissent l’exactitude et la cohérence.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Conformité</w:t>
      </w:r>
      <w:r w:rsidDel="00000000" w:rsidR="00000000" w:rsidRPr="00000000">
        <w:rPr>
          <w:rtl w:val="0"/>
        </w:rPr>
        <w:t xml:space="preserve"> – Respect du RGPD, du CCPA et des standards internationaux.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Minimisation</w:t>
      </w:r>
      <w:r w:rsidDel="00000000" w:rsidR="00000000" w:rsidRPr="00000000">
        <w:rPr>
          <w:rtl w:val="0"/>
        </w:rPr>
        <w:t xml:space="preserve"> – Collecte des seules données nécessaires.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Droits des utilisateurs</w:t>
      </w:r>
      <w:r w:rsidDel="00000000" w:rsidR="00000000" w:rsidRPr="00000000">
        <w:rPr>
          <w:rtl w:val="0"/>
        </w:rPr>
        <w:t xml:space="preserve"> – Accès, rectification et suppression facilités.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Amélioration continue</w:t>
      </w:r>
      <w:r w:rsidDel="00000000" w:rsidR="00000000" w:rsidRPr="00000000">
        <w:rPr>
          <w:rtl w:val="0"/>
        </w:rPr>
        <w:t xml:space="preserve"> – Revue annuelle des politiques.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Usage éthique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0"/>
        </w:rPr>
        <w:t xml:space="preserve">L’utilisation de l’IA et des données respecte la vie privée et évite toute discrimination algorithmique.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(+) Culture data</w:t>
      </w:r>
      <w:r w:rsidDel="00000000" w:rsidR="00000000" w:rsidRPr="00000000">
        <w:rPr>
          <w:rtl w:val="0"/>
        </w:rPr>
        <w:t xml:space="preserve"> – Formation continue et responsabilisation des équipes.</w:t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after="40" w:before="240" w:lineRule="auto"/>
        <w:rPr/>
      </w:pPr>
      <w:bookmarkStart w:colFirst="0" w:colLast="0" w:name="_r87q56sievlr" w:id="5"/>
      <w:bookmarkEnd w:id="5"/>
      <w:r w:rsidDel="00000000" w:rsidR="00000000" w:rsidRPr="00000000">
        <w:rPr>
          <w:rtl w:val="0"/>
        </w:rPr>
        <w:t xml:space="preserve">4. Structure de gouvernance</w:t>
      </w:r>
    </w:p>
    <w:p w:rsidR="00000000" w:rsidDel="00000000" w:rsidP="00000000" w:rsidRDefault="00000000" w:rsidRPr="00000000" w14:paraId="0000004B">
      <w:pPr>
        <w:ind w:left="22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La gouvernance s’appuie sur le modèle “</w:t>
      </w:r>
      <w:r w:rsidDel="00000000" w:rsidR="00000000" w:rsidRPr="00000000">
        <w:rPr>
          <w:b w:val="1"/>
          <w:bCs w:val="1"/>
          <w:color w:val="0e0e0e"/>
          <w:rtl w:val="0"/>
        </w:rPr>
        <w:t xml:space="preserve">Center of Excellence (CoE)”</w:t>
      </w:r>
      <w:r w:rsidDel="00000000" w:rsidR="00000000" w:rsidRPr="00000000">
        <w:rPr>
          <w:color w:val="0e0e0e"/>
          <w:rtl w:val="0"/>
        </w:rPr>
        <w:t xml:space="preserve"> combinant centralisation stratégique et autonomie locale.</w:t>
      </w:r>
    </w:p>
    <w:p w:rsidR="00000000" w:rsidDel="00000000" w:rsidP="00000000" w:rsidRDefault="00000000" w:rsidRPr="00000000" w14:paraId="0000004C">
      <w:pPr>
        <w:ind w:left="220" w:firstLine="0"/>
        <w:rPr>
          <w:color w:val="0e0e0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left"/>
        <w:tblInd w:w="-9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000"/>
        <w:gridCol w:w="3000"/>
        <w:tblGridChange w:id="0">
          <w:tblGrid>
            <w:gridCol w:w="390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Rôle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Responsabilités principales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Tâches clés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Chief Data Officer (CDO)</w:t>
            </w:r>
          </w:p>
          <w:p w:rsidR="00000000" w:rsidDel="00000000" w:rsidP="00000000" w:rsidRDefault="00000000" w:rsidRPr="00000000" w14:paraId="00000051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24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Définit la stratégie data et </w:t>
            </w:r>
            <w:r w:rsidDel="00000000" w:rsidR="00000000" w:rsidRPr="00000000">
              <w:rPr>
                <w:rtl w:val="0"/>
              </w:rPr>
              <w:t xml:space="preserve">Supervise la stratégie globale de gouvernance et d’exploitation des données.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24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Alignement stratégique, supervision des politiques.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Protection Officer (DPO)</w:t>
            </w:r>
          </w:p>
          <w:p w:rsidR="00000000" w:rsidDel="00000000" w:rsidP="00000000" w:rsidRDefault="00000000" w:rsidRPr="00000000" w14:paraId="00000055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24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Garantit la conformité RGPD/CCPA.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24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Audits, DPIA, notifications de violation.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Steward (DS)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Maintient la qualité et la conformité des données.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Contrôle qualité, gestion des accès.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Governance Committee (DGC)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Instance transversale.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Validation des politiques, suivi des audits.</w:t>
            </w:r>
          </w:p>
        </w:tc>
      </w:tr>
    </w:tbl>
    <w:p w:rsidR="00000000" w:rsidDel="00000000" w:rsidP="00000000" w:rsidRDefault="00000000" w:rsidRPr="00000000" w14:paraId="0000005E">
      <w:pPr>
        <w:ind w:left="220" w:firstLine="0"/>
        <w:rPr>
          <w:b w:val="1"/>
          <w:bCs w:val="1"/>
          <w:color w:val="0e0e0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>
          <w:b w:val="1"/>
          <w:bCs w:val="1"/>
          <w:color w:val="0e0e0e"/>
          <w:sz w:val="21"/>
          <w:szCs w:val="21"/>
        </w:rPr>
      </w:pPr>
      <w:r w:rsidDel="00000000" w:rsidR="00000000" w:rsidRPr="00000000">
        <w:rPr>
          <w:b w:val="1"/>
          <w:bCs w:val="1"/>
          <w:color w:val="0e0e0e"/>
          <w:sz w:val="21"/>
          <w:szCs w:val="21"/>
          <w:rtl w:val="0"/>
        </w:rPr>
        <w:t xml:space="preserve">Center of Excellence (CoE) Spotify : </w:t>
      </w:r>
    </w:p>
    <w:p w:rsidR="00000000" w:rsidDel="00000000" w:rsidP="00000000" w:rsidRDefault="00000000" w:rsidRPr="00000000" w14:paraId="00000060">
      <w:pPr>
        <w:ind w:left="0" w:firstLine="0"/>
        <w:rPr>
          <w:b w:val="1"/>
          <w:bCs w:val="1"/>
          <w:color w:val="0e0e0e"/>
          <w:sz w:val="21"/>
          <w:szCs w:val="21"/>
        </w:rPr>
      </w:pPr>
      <w:r w:rsidDel="00000000" w:rsidR="00000000" w:rsidRPr="00000000">
        <w:rPr>
          <w:b w:val="1"/>
          <w:bCs w:val="1"/>
          <w:color w:val="0e0e0e"/>
          <w:sz w:val="21"/>
          <w:szCs w:val="21"/>
        </w:rPr>
        <w:drawing>
          <wp:inline distB="114300" distT="114300" distL="114300" distR="114300">
            <wp:extent cx="5629275" cy="564844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56484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220" w:firstLine="0"/>
        <w:rPr>
          <w:i w:val="1"/>
          <w:iCs w:val="1"/>
          <w:color w:val="0e0e0e"/>
          <w:sz w:val="21"/>
          <w:szCs w:val="21"/>
        </w:rPr>
      </w:pP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Grâce au modèle </w:t>
      </w:r>
      <w:r w:rsidDel="00000000" w:rsidR="00000000" w:rsidRPr="00000000">
        <w:rPr>
          <w:b w:val="1"/>
          <w:bCs w:val="1"/>
          <w:i w:val="1"/>
          <w:iCs w:val="1"/>
          <w:color w:val="0e0e0e"/>
          <w:sz w:val="21"/>
          <w:szCs w:val="21"/>
          <w:rtl w:val="0"/>
        </w:rPr>
        <w:t xml:space="preserve">CoE</w:t>
      </w: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, les départements comme le marketing appliquent les politiques et standards de gouvernance définis par l’équipe centrale.</w:t>
      </w:r>
    </w:p>
    <w:p w:rsidR="00000000" w:rsidDel="00000000" w:rsidP="00000000" w:rsidRDefault="00000000" w:rsidRPr="00000000" w14:paraId="00000063">
      <w:pPr>
        <w:ind w:left="220" w:firstLine="0"/>
        <w:rPr>
          <w:i w:val="1"/>
          <w:iCs w:val="1"/>
          <w:color w:val="0e0e0e"/>
          <w:sz w:val="21"/>
          <w:szCs w:val="21"/>
        </w:rPr>
      </w:pP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Le CoE fournit un cadre méthodologique, des outils communs et un accompagnement, garantissant que chaque entité reste autonome tout en respectant des règles unifiées.</w:t>
      </w:r>
    </w:p>
    <w:p w:rsidR="00000000" w:rsidDel="00000000" w:rsidP="00000000" w:rsidRDefault="00000000" w:rsidRPr="00000000" w14:paraId="00000064">
      <w:pPr>
        <w:ind w:left="220" w:firstLine="0"/>
        <w:rPr>
          <w:i w:val="1"/>
          <w:iCs w:val="1"/>
          <w:color w:val="0e0e0e"/>
          <w:sz w:val="21"/>
          <w:szCs w:val="21"/>
        </w:rPr>
      </w:pP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Cette approche prévient la création de </w:t>
      </w:r>
      <w:r w:rsidDel="00000000" w:rsidR="00000000" w:rsidRPr="00000000">
        <w:rPr>
          <w:b w:val="1"/>
          <w:bCs w:val="1"/>
          <w:i w:val="1"/>
          <w:iCs w:val="1"/>
          <w:color w:val="0e0e0e"/>
          <w:sz w:val="21"/>
          <w:szCs w:val="21"/>
          <w:rtl w:val="0"/>
        </w:rPr>
        <w:t xml:space="preserve">silos de données</w:t>
      </w: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 et favorise une </w:t>
      </w:r>
      <w:r w:rsidDel="00000000" w:rsidR="00000000" w:rsidRPr="00000000">
        <w:rPr>
          <w:b w:val="1"/>
          <w:bCs w:val="1"/>
          <w:i w:val="1"/>
          <w:iCs w:val="1"/>
          <w:color w:val="0e0e0e"/>
          <w:sz w:val="21"/>
          <w:szCs w:val="21"/>
          <w:rtl w:val="0"/>
        </w:rPr>
        <w:t xml:space="preserve">interopérabilité complète</w:t>
      </w:r>
      <w:r w:rsidDel="00000000" w:rsidR="00000000" w:rsidRPr="00000000">
        <w:rPr>
          <w:i w:val="1"/>
          <w:iCs w:val="1"/>
          <w:color w:val="0e0e0e"/>
          <w:sz w:val="21"/>
          <w:szCs w:val="21"/>
          <w:rtl w:val="0"/>
        </w:rPr>
        <w:t xml:space="preserve"> entre les domaines métiers.</w:t>
      </w:r>
    </w:p>
    <w:p w:rsidR="00000000" w:rsidDel="00000000" w:rsidP="00000000" w:rsidRDefault="00000000" w:rsidRPr="00000000" w14:paraId="0000006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 Chief Data Officer (CDO) et le Data Protection Officer (DPO) collaborent étroitement avec le Data Governance Committee sans en faire partie, garantissant respectivement la stratégie data et la conformité légale.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after="40" w:before="240" w:lineRule="auto"/>
        <w:rPr/>
      </w:pPr>
      <w:bookmarkStart w:colFirst="0" w:colLast="0" w:name="_weg1i6mwxa9o" w:id="6"/>
      <w:bookmarkEnd w:id="6"/>
      <w:r w:rsidDel="00000000" w:rsidR="00000000" w:rsidRPr="00000000">
        <w:rPr>
          <w:rtl w:val="0"/>
        </w:rPr>
        <w:t xml:space="preserve">5. Outils et déploiement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140.0" w:type="dxa"/>
        <w:jc w:val="left"/>
        <w:tblInd w:w="-11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40"/>
        <w:gridCol w:w="3000"/>
        <w:gridCol w:w="3000"/>
        <w:tblGridChange w:id="0">
          <w:tblGrid>
            <w:gridCol w:w="414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Catégorie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Outils recommandés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240" w:before="2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Objectif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Catalogue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Collibra, Alation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Traçabilité et documentation.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Qualité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Ataccama, Qilk Talend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Nettoyage et déduplication.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Conformité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OneTrust, TrustArc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 des consentements.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Sécurité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Splunk, Vormetric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Supervision et chiffrement.</w:t>
            </w:r>
          </w:p>
        </w:tc>
      </w:tr>
    </w:tbl>
    <w:p w:rsidR="00000000" w:rsidDel="00000000" w:rsidP="00000000" w:rsidRDefault="00000000" w:rsidRPr="00000000" w14:paraId="0000007B">
      <w:pPr>
        <w:keepLines w:val="1"/>
        <w:spacing w:after="0" w:before="20" w:line="240" w:lineRule="auto"/>
        <w:ind w:left="0" w:firstLine="0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Lines w:val="1"/>
        <w:spacing w:after="0" w:before="20" w:line="240" w:lineRule="auto"/>
        <w:ind w:left="0" w:firstLine="0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Lines w:val="1"/>
        <w:spacing w:after="0" w:before="20" w:line="240" w:lineRule="auto"/>
        <w:ind w:left="0" w:firstLine="0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Collibra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 → Plateforme complète de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Data Governance</w:t>
      </w:r>
      <w:r w:rsidDel="00000000" w:rsidR="00000000" w:rsidRPr="00000000">
        <w:rPr>
          <w:sz w:val="16"/>
          <w:szCs w:val="16"/>
          <w:rtl w:val="0"/>
        </w:rPr>
        <w:t xml:space="preserve"> et de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Data Catalog</w:t>
      </w:r>
      <w:r w:rsidDel="00000000" w:rsidR="00000000" w:rsidRPr="00000000">
        <w:rPr>
          <w:sz w:val="16"/>
          <w:szCs w:val="16"/>
          <w:rtl w:val="0"/>
        </w:rPr>
        <w:t xml:space="preserve"> permettant de centraliser les métadonnées, les rôles et la conformité (RGPD, CCPA).</w:t>
        <w:br w:type="textWrapping"/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Alation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 → Outil de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Data Catalog</w:t>
      </w:r>
      <w:r w:rsidDel="00000000" w:rsidR="00000000" w:rsidRPr="00000000">
        <w:rPr>
          <w:sz w:val="16"/>
          <w:szCs w:val="16"/>
          <w:rtl w:val="0"/>
        </w:rPr>
        <w:t xml:space="preserve"> collaboratif axé sur la découverte, la documentation et l’usage partagé des données à travers l’entreprise.</w:t>
      </w:r>
    </w:p>
    <w:p w:rsidR="00000000" w:rsidDel="00000000" w:rsidP="00000000" w:rsidRDefault="00000000" w:rsidRPr="00000000" w14:paraId="0000007E">
      <w:pPr>
        <w:keepLines w:val="1"/>
        <w:spacing w:after="0" w:before="20" w:line="240" w:lineRule="auto"/>
        <w:ind w:left="0" w:firstLine="0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Ataccama ONE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Plateforme unifiée de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Data Quality</w:t>
      </w:r>
      <w:r w:rsidDel="00000000" w:rsidR="00000000" w:rsidRPr="00000000">
        <w:rPr>
          <w:sz w:val="16"/>
          <w:szCs w:val="16"/>
          <w:rtl w:val="0"/>
        </w:rPr>
        <w:t xml:space="preserve">,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Master Data Management</w:t>
      </w:r>
      <w:r w:rsidDel="00000000" w:rsidR="00000000" w:rsidRPr="00000000">
        <w:rPr>
          <w:sz w:val="16"/>
          <w:szCs w:val="16"/>
          <w:rtl w:val="0"/>
        </w:rPr>
        <w:t xml:space="preserve"> et </w:t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Data Catalog</w:t>
      </w:r>
      <w:r w:rsidDel="00000000" w:rsidR="00000000" w:rsidRPr="00000000">
        <w:rPr>
          <w:sz w:val="16"/>
          <w:szCs w:val="16"/>
          <w:rtl w:val="0"/>
        </w:rPr>
        <w:t xml:space="preserve"> avec IA intégrée pour la détection automatique d’anomalies et la standardisation des données.</w:t>
      </w:r>
    </w:p>
    <w:p w:rsidR="00000000" w:rsidDel="00000000" w:rsidP="00000000" w:rsidRDefault="00000000" w:rsidRPr="00000000" w14:paraId="0000007F">
      <w:pPr>
        <w:keepLines w:val="1"/>
        <w:spacing w:after="0" w:before="2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Qlik Talend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Suite combinant les forces de Qlik (BI &amp; analytics) et Talend (ingestion, transformation et qualité des données) pour créer une chaîne complète d’intégration et de gouvernance des données.</w:t>
      </w:r>
    </w:p>
    <w:p w:rsidR="00000000" w:rsidDel="00000000" w:rsidP="00000000" w:rsidRDefault="00000000" w:rsidRPr="00000000" w14:paraId="00000080">
      <w:pPr>
        <w:keepLines w:val="1"/>
        <w:spacing w:after="0" w:before="2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OneTrust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Plateforme de gestion de la confidentialité et des consentements, centralisant les politiques RGPD, CCPA et les audits de conformité.</w:t>
      </w:r>
    </w:p>
    <w:p w:rsidR="00000000" w:rsidDel="00000000" w:rsidP="00000000" w:rsidRDefault="00000000" w:rsidRPr="00000000" w14:paraId="00000081">
      <w:pPr>
        <w:keepLines w:val="1"/>
        <w:spacing w:after="0" w:before="2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TrustArc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Solution de gouvernance de la vie privée permettant la cartographie, le suivi et l’évaluation des risques liés aux données personnelles.</w:t>
      </w:r>
    </w:p>
    <w:p w:rsidR="00000000" w:rsidDel="00000000" w:rsidP="00000000" w:rsidRDefault="00000000" w:rsidRPr="00000000" w14:paraId="00000082">
      <w:pPr>
        <w:keepLines w:val="1"/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Splunk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Plateforme de supervision et d’analyse des logs en temps réel, utilisée pour le SOC, la détection d’incidents et la conformité PCI-DSS.</w:t>
      </w:r>
    </w:p>
    <w:p w:rsidR="00000000" w:rsidDel="00000000" w:rsidP="00000000" w:rsidRDefault="00000000" w:rsidRPr="00000000" w14:paraId="00000083">
      <w:pPr>
        <w:keepLines w:val="1"/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Vormetric (Thales CipherTrust) </w:t>
      </w: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→ Solution de chiffrement et de gestion des clés pour protéger les données sensibles à la source et contrôler les accès aux environnements critiques.</w:t>
      </w:r>
    </w:p>
    <w:p w:rsidR="00000000" w:rsidDel="00000000" w:rsidP="00000000" w:rsidRDefault="00000000" w:rsidRPr="00000000" w14:paraId="00000084">
      <w:pPr>
        <w:pStyle w:val="Heading1"/>
        <w:keepNext w:val="0"/>
        <w:spacing w:after="0" w:before="0" w:lineRule="auto"/>
        <w:rPr>
          <w:sz w:val="20"/>
          <w:szCs w:val="20"/>
        </w:rPr>
      </w:pPr>
      <w:bookmarkStart w:colFirst="0" w:colLast="0" w:name="_r90yzfj2utn3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 xml:space="preserve">Un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 pilote</w:t>
      </w:r>
      <w:r w:rsidDel="00000000" w:rsidR="00000000" w:rsidRPr="00000000">
        <w:rPr>
          <w:sz w:val="22"/>
          <w:szCs w:val="22"/>
          <w:rtl w:val="0"/>
        </w:rPr>
        <w:t xml:space="preserve"> sera lancé sur le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département Marketing</w:t>
      </w:r>
      <w:r w:rsidDel="00000000" w:rsidR="00000000" w:rsidRPr="00000000">
        <w:rPr>
          <w:sz w:val="22"/>
          <w:szCs w:val="22"/>
          <w:rtl w:val="0"/>
        </w:rPr>
        <w:t xml:space="preserve"> pour tester :</w:t>
      </w:r>
    </w:p>
    <w:p w:rsidR="00000000" w:rsidDel="00000000" w:rsidP="00000000" w:rsidRDefault="00000000" w:rsidRPr="00000000" w14:paraId="00000086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la mise en œuvre du catalogue Collibra,</w:t>
      </w:r>
    </w:p>
    <w:p w:rsidR="00000000" w:rsidDel="00000000" w:rsidP="00000000" w:rsidRDefault="00000000" w:rsidRPr="00000000" w14:paraId="00000087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l’intégration d’audits RGPD/CCPA automatisés,</w:t>
      </w:r>
    </w:p>
    <w:p w:rsidR="00000000" w:rsidDel="00000000" w:rsidP="00000000" w:rsidRDefault="00000000" w:rsidRPr="00000000" w14:paraId="00000088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la mesure de KPIs clés :</w:t>
      </w:r>
    </w:p>
    <w:p w:rsidR="00000000" w:rsidDel="00000000" w:rsidP="00000000" w:rsidRDefault="00000000" w:rsidRPr="00000000" w14:paraId="00000089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+10 % de qualité de données,</w:t>
      </w:r>
    </w:p>
    <w:p w:rsidR="00000000" w:rsidDel="00000000" w:rsidP="00000000" w:rsidRDefault="00000000" w:rsidRPr="00000000" w14:paraId="0000008A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100 % conformité consentement,</w:t>
      </w:r>
    </w:p>
    <w:p w:rsidR="00000000" w:rsidDel="00000000" w:rsidP="00000000" w:rsidRDefault="00000000" w:rsidRPr="00000000" w14:paraId="0000008B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ui313y3xpaxv" w:id="8"/>
      <w:bookmarkEnd w:id="8"/>
      <w:r w:rsidDel="00000000" w:rsidR="00000000" w:rsidRPr="00000000">
        <w:rPr>
          <w:sz w:val="22"/>
          <w:szCs w:val="22"/>
          <w:rtl w:val="0"/>
        </w:rPr>
        <w:tab/>
        <w:t xml:space="preserve">•</w:t>
        <w:tab/>
        <w:t xml:space="preserve">Réduction de 20 % du temps moyen nécessaire pour accéder à une donnée utile.</w:t>
      </w:r>
    </w:p>
    <w:p w:rsidR="00000000" w:rsidDel="00000000" w:rsidP="00000000" w:rsidRDefault="00000000" w:rsidRPr="00000000" w14:paraId="0000008C">
      <w:pPr>
        <w:pStyle w:val="Heading1"/>
        <w:keepNext w:val="0"/>
        <w:spacing w:after="0" w:before="0" w:lineRule="auto"/>
        <w:rPr>
          <w:sz w:val="22"/>
          <w:szCs w:val="22"/>
        </w:rPr>
      </w:pPr>
      <w:bookmarkStart w:colFirst="0" w:colLast="0" w:name="_q0iujv3ufkdu" w:id="9"/>
      <w:bookmarkEnd w:id="9"/>
      <w:r w:rsidDel="00000000" w:rsidR="00000000" w:rsidRPr="00000000">
        <w:rPr>
          <w:sz w:val="22"/>
          <w:szCs w:val="22"/>
          <w:rtl w:val="0"/>
        </w:rPr>
        <w:t xml:space="preserve">Le déploiement global sera progressif sur quelques mois.</w:t>
      </w:r>
    </w:p>
    <w:p w:rsidR="00000000" w:rsidDel="00000000" w:rsidP="00000000" w:rsidRDefault="00000000" w:rsidRPr="00000000" w14:paraId="0000008D">
      <w:pPr>
        <w:pStyle w:val="Heading1"/>
        <w:keepNext w:val="0"/>
        <w:spacing w:after="40" w:before="240" w:line="240" w:lineRule="auto"/>
        <w:rPr/>
      </w:pPr>
      <w:bookmarkStart w:colFirst="0" w:colLast="0" w:name="_ui313y3xpaxv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spacing w:after="40" w:before="240" w:line="240" w:lineRule="auto"/>
        <w:rPr/>
      </w:pPr>
      <w:bookmarkStart w:colFirst="0" w:colLast="0" w:name="_bso94ar1wfjl" w:id="10"/>
      <w:bookmarkEnd w:id="10"/>
      <w:r w:rsidDel="00000000" w:rsidR="00000000" w:rsidRPr="00000000">
        <w:rPr>
          <w:rtl w:val="0"/>
        </w:rPr>
        <w:t xml:space="preserve">6. Indicateurs clés (KPIs)</w:t>
      </w:r>
    </w:p>
    <w:p w:rsidR="00000000" w:rsidDel="00000000" w:rsidP="00000000" w:rsidRDefault="00000000" w:rsidRPr="00000000" w14:paraId="0000008F">
      <w:pPr>
        <w:keepLines w:val="1"/>
        <w:numPr>
          <w:ilvl w:val="0"/>
          <w:numId w:val="2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📈 +10 % de qualité de données.</w:t>
        <w:br w:type="textWrapping"/>
      </w:r>
    </w:p>
    <w:p w:rsidR="00000000" w:rsidDel="00000000" w:rsidP="00000000" w:rsidRDefault="00000000" w:rsidRPr="00000000" w14:paraId="00000090">
      <w:pPr>
        <w:keepLines w:val="1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🛡️ 100 % de conformité consentement RGPD/CCPA.</w:t>
        <w:br w:type="textWrapping"/>
      </w:r>
    </w:p>
    <w:p w:rsidR="00000000" w:rsidDel="00000000" w:rsidP="00000000" w:rsidRDefault="00000000" w:rsidRPr="00000000" w14:paraId="00000091">
      <w:pPr>
        <w:keepLines w:val="1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⏱️ -20 % de temps d’accès moyen à la donnée.</w:t>
        <w:br w:type="textWrapping"/>
      </w:r>
    </w:p>
    <w:p w:rsidR="00000000" w:rsidDel="00000000" w:rsidP="00000000" w:rsidRDefault="00000000" w:rsidRPr="00000000" w14:paraId="00000092">
      <w:pPr>
        <w:keepLines w:val="1"/>
        <w:numPr>
          <w:ilvl w:val="0"/>
          <w:numId w:val="2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👥 +80 % d’équipes formées à la gouvernance data.</w:t>
        <w:br w:type="textWrapping"/>
      </w:r>
    </w:p>
    <w:p w:rsidR="00000000" w:rsidDel="00000000" w:rsidP="00000000" w:rsidRDefault="00000000" w:rsidRPr="00000000" w14:paraId="00000093">
      <w:pPr>
        <w:keepLines w:val="1"/>
        <w:spacing w:after="240" w:before="24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Lines w:val="1"/>
        <w:spacing w:after="0" w:before="2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spacing w:after="40" w:before="240" w:line="240" w:lineRule="auto"/>
        <w:rPr/>
      </w:pPr>
      <w:bookmarkStart w:colFirst="0" w:colLast="0" w:name="_3jsmpl4m648a" w:id="11"/>
      <w:bookmarkEnd w:id="11"/>
      <w:r w:rsidDel="00000000" w:rsidR="00000000" w:rsidRPr="00000000">
        <w:rPr>
          <w:rtl w:val="0"/>
        </w:rPr>
        <w:t xml:space="preserve">7. Suivi et amélioration continue</w:t>
      </w:r>
    </w:p>
    <w:p w:rsidR="00000000" w:rsidDel="00000000" w:rsidP="00000000" w:rsidRDefault="00000000" w:rsidRPr="00000000" w14:paraId="00000096">
      <w:pPr>
        <w:keepLines w:val="1"/>
        <w:spacing w:after="240" w:before="24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Lines w:val="1"/>
        <w:ind w:left="0" w:firstLine="0"/>
        <w:rPr>
          <w:color w:val="0e0e0e"/>
        </w:rPr>
      </w:pPr>
      <w:r w:rsidDel="00000000" w:rsidR="00000000" w:rsidRPr="00000000">
        <w:rPr>
          <w:color w:val="0e0e0e"/>
          <w:rtl w:val="0"/>
        </w:rPr>
        <w:t xml:space="preserve">Le Data Governance Committee assure la revue trimestrielle des KPIs et adapte les politiques selon les évolutions légales, technologiques ou organisationnelles.</w:t>
      </w:r>
    </w:p>
    <w:p w:rsidR="00000000" w:rsidDel="00000000" w:rsidP="00000000" w:rsidRDefault="00000000" w:rsidRPr="00000000" w14:paraId="00000098">
      <w:pPr>
        <w:keepLines w:val="1"/>
        <w:ind w:left="0" w:firstLine="0"/>
        <w:rPr>
          <w:color w:val="0e0e0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Lines w:val="1"/>
        <w:ind w:left="0" w:firstLine="0"/>
        <w:rPr>
          <w:color w:val="0e0e0e"/>
          <w:sz w:val="21"/>
          <w:szCs w:val="21"/>
        </w:rPr>
      </w:pPr>
      <w:r w:rsidDel="00000000" w:rsidR="00000000" w:rsidRPr="00000000">
        <w:rPr>
          <w:color w:val="0e0e0e"/>
          <w:sz w:val="21"/>
          <w:szCs w:val="21"/>
          <w:rtl w:val="0"/>
        </w:rPr>
        <w:t xml:space="preserve">Les écarts identifiés concernant le mécanisme d’opt-out CCPA et les exigences PCI-DSS feront l’objet d’un suivi prioritaire par le Data Governance Committee jusqu’à atteinte complète de la conformité.</w:t>
      </w:r>
    </w:p>
    <w:p w:rsidR="00000000" w:rsidDel="00000000" w:rsidP="00000000" w:rsidRDefault="00000000" w:rsidRPr="00000000" w14:paraId="0000009A">
      <w:pPr>
        <w:keepLines w:val="1"/>
        <w:ind w:left="0" w:firstLine="0"/>
        <w:rPr>
          <w:color w:val="0e0e0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Lines w:val="1"/>
        <w:spacing w:after="240" w:before="24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Références 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governance-principles-guide.pdf</w:t>
      </w:r>
    </w:p>
    <w:p w:rsidR="00000000" w:rsidDel="00000000" w:rsidP="00000000" w:rsidRDefault="00000000" w:rsidRPr="00000000" w14:paraId="0000009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Spotify_step2.pdf </w:t>
      </w:r>
    </w:p>
    <w:p w:rsidR="00000000" w:rsidDel="00000000" w:rsidP="00000000" w:rsidRDefault="00000000" w:rsidRPr="00000000" w14:paraId="0000009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spotify_CoE_drawio.png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