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0"/>
          <w:szCs w:val="30"/>
        </w:rPr>
      </w:pPr>
      <w:bookmarkStart w:colFirst="0" w:colLast="0" w:name="_1x4tw52iyzvh" w:id="0"/>
      <w:bookmarkEnd w:id="0"/>
      <w:r w:rsidDel="00000000" w:rsidR="00000000" w:rsidRPr="00000000">
        <w:rPr>
          <w:sz w:val="28"/>
          <w:szCs w:val="28"/>
          <w:rtl w:val="0"/>
        </w:rPr>
        <w:t xml:space="preserve">Comprehensive Data Architecture Diagram – Vue d’ensemble</w:t>
      </w:r>
      <w:r w:rsidDel="00000000" w:rsidR="00000000" w:rsidRPr="00000000">
        <w:rPr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Livrable : 1_comprehensive_data_architecture_diagram.drawio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0a6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 schéma d’architecture globale illustre l’intégration complète des systèmes de données de Stripe —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OLTP, OLAP et NoSQL</w:t>
      </w:r>
      <w:r w:rsidDel="00000000" w:rsidR="00000000" w:rsidRPr="00000000">
        <w:rPr>
          <w:sz w:val="20"/>
          <w:szCs w:val="20"/>
          <w:rtl w:val="0"/>
        </w:rPr>
        <w:t xml:space="preserve"> — ainsi que les principaux outils d’ingestion, de transformation, d’orchestration et d’analyse.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L’architecture repose sur une approche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ELT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Les données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transactionnelles (OLTP)</w:t>
      </w:r>
      <w:r w:rsidDel="00000000" w:rsidR="00000000" w:rsidRPr="00000000">
        <w:rPr>
          <w:sz w:val="20"/>
          <w:szCs w:val="20"/>
          <w:rtl w:val="0"/>
        </w:rPr>
        <w:t xml:space="preserve"> issues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PostgreSQL</w:t>
      </w:r>
      <w:r w:rsidDel="00000000" w:rsidR="00000000" w:rsidRPr="00000000">
        <w:rPr>
          <w:sz w:val="20"/>
          <w:szCs w:val="20"/>
          <w:rtl w:val="0"/>
        </w:rPr>
        <w:t xml:space="preserve"> sont extraites par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Airbyte</w:t>
      </w:r>
      <w:r w:rsidDel="00000000" w:rsidR="00000000" w:rsidRPr="00000000">
        <w:rPr>
          <w:sz w:val="20"/>
          <w:szCs w:val="20"/>
          <w:rtl w:val="0"/>
        </w:rPr>
        <w:t xml:space="preserve"> (mode batch / CDC), complétée par Apache Kafka (canal de streaming pour les cas d’usage temps réel) et chargées dans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Snowflake</w:t>
      </w:r>
      <w:r w:rsidDel="00000000" w:rsidR="00000000" w:rsidRPr="00000000">
        <w:rPr>
          <w:sz w:val="20"/>
          <w:szCs w:val="20"/>
          <w:rtl w:val="0"/>
        </w:rPr>
        <w:t xml:space="preserve"> (schéma RAW).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Les données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non structurées et semi-structurées (NoSQL)</w:t>
      </w:r>
      <w:r w:rsidDel="00000000" w:rsidR="00000000" w:rsidRPr="00000000">
        <w:rPr>
          <w:sz w:val="20"/>
          <w:szCs w:val="20"/>
          <w:rtl w:val="0"/>
        </w:rPr>
        <w:t xml:space="preserve"> stockées dans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MongoDB</w:t>
      </w:r>
      <w:r w:rsidDel="00000000" w:rsidR="00000000" w:rsidRPr="00000000">
        <w:rPr>
          <w:sz w:val="20"/>
          <w:szCs w:val="20"/>
          <w:rtl w:val="0"/>
        </w:rPr>
        <w:t xml:space="preserve"> (user_sessions, api_logs, feedback, ml_features) sont également intégrées via Airbyte, permettant d’unifier les sources comportementales et transactionnelles.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Les transformations et modélisations analytiques sont assurées par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dbt</w:t>
      </w:r>
      <w:r w:rsidDel="00000000" w:rsidR="00000000" w:rsidRPr="00000000">
        <w:rPr>
          <w:sz w:val="20"/>
          <w:szCs w:val="20"/>
          <w:rtl w:val="0"/>
        </w:rPr>
        <w:t xml:space="preserve">, qui alimente les schémas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STAGING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CORE</w:t>
      </w:r>
      <w:r w:rsidDel="00000000" w:rsidR="00000000" w:rsidRPr="00000000">
        <w:rPr>
          <w:sz w:val="20"/>
          <w:szCs w:val="20"/>
          <w:rtl w:val="0"/>
        </w:rPr>
        <w:t xml:space="preserve"> et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MART</w:t>
      </w:r>
      <w:r w:rsidDel="00000000" w:rsidR="00000000" w:rsidRPr="00000000">
        <w:rPr>
          <w:sz w:val="20"/>
          <w:szCs w:val="20"/>
          <w:rtl w:val="0"/>
        </w:rPr>
        <w:t xml:space="preserve"> de Snowflake (tables de faits et de dimensions).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L’orchestration et la supervision des pipelines sont pilotées par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Airflow</w:t>
      </w:r>
      <w:r w:rsidDel="00000000" w:rsidR="00000000" w:rsidRPr="00000000">
        <w:rPr>
          <w:sz w:val="20"/>
          <w:szCs w:val="20"/>
          <w:rtl w:val="0"/>
        </w:rPr>
        <w:t xml:space="preserve">, garantissant la qualité et la cohérence des flux.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Enfin, les données enrichies alimentent à la fois 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 (Tableau)</w:t>
      </w:r>
      <w:r w:rsidDel="00000000" w:rsidR="00000000" w:rsidRPr="00000000">
        <w:rPr>
          <w:sz w:val="20"/>
          <w:szCs w:val="20"/>
          <w:rtl w:val="0"/>
        </w:rPr>
        <w:t xml:space="preserve"> pour la visualisation, et les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pipelines de Machine Learning</w:t>
      </w:r>
      <w:r w:rsidDel="00000000" w:rsidR="00000000" w:rsidRPr="00000000">
        <w:rPr>
          <w:sz w:val="20"/>
          <w:szCs w:val="20"/>
          <w:rtl w:val="0"/>
        </w:rPr>
        <w:t xml:space="preserve"> (via EKS/Ray, MLflow, FastAPI) pour la détection de fraude et la personnalisation.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Cette architecture modulaire et scalable assure 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cohérence, la traçabilité et la conformité</w:t>
      </w:r>
      <w:r w:rsidDel="00000000" w:rsidR="00000000" w:rsidRPr="00000000">
        <w:rPr>
          <w:sz w:val="20"/>
          <w:szCs w:val="20"/>
          <w:rtl w:val="0"/>
        </w:rPr>
        <w:t xml:space="preserve"> des données sur l’ensemble du cycle de vie — de la collecte transactionnelle jusqu’à l’analyse avancée et l’IA.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L’architecture Stripe est conçue pour être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conforme aux principales réglementations internationales</w:t>
      </w:r>
      <w:r w:rsidDel="00000000" w:rsidR="00000000" w:rsidRPr="00000000">
        <w:rPr>
          <w:sz w:val="20"/>
          <w:szCs w:val="20"/>
          <w:rtl w:val="0"/>
        </w:rPr>
        <w:t xml:space="preserve"> :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RGPD (EU)</w:t>
      </w:r>
      <w:r w:rsidDel="00000000" w:rsidR="00000000" w:rsidRPr="00000000">
        <w:rPr>
          <w:sz w:val="20"/>
          <w:szCs w:val="20"/>
          <w:rtl w:val="0"/>
        </w:rPr>
        <w:t xml:space="preserve"> et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CCPA (US)</w:t>
      </w:r>
      <w:r w:rsidDel="00000000" w:rsidR="00000000" w:rsidRPr="00000000">
        <w:rPr>
          <w:sz w:val="20"/>
          <w:szCs w:val="20"/>
          <w:rtl w:val="0"/>
        </w:rPr>
        <w:t xml:space="preserve"> garantissent la protection des données personnelles, la pseudonymisation, la portabilité et le droit à l’oubli.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PCI-DSS</w:t>
      </w:r>
      <w:r w:rsidDel="00000000" w:rsidR="00000000" w:rsidRPr="00000000">
        <w:rPr>
          <w:sz w:val="20"/>
          <w:szCs w:val="20"/>
          <w:rtl w:val="0"/>
        </w:rPr>
        <w:t xml:space="preserve"> encadre le traitement et le stockage des données de cartes bancaires, avec chiffrement AES-256, segmentation réseau et surveillance des accès.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Les données sensibles sont stockées uniquement dans des environnements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sécurisés (VPC privé AWS)</w:t>
      </w:r>
      <w:r w:rsidDel="00000000" w:rsidR="00000000" w:rsidRPr="00000000">
        <w:rPr>
          <w:sz w:val="20"/>
          <w:szCs w:val="20"/>
          <w:rtl w:val="0"/>
        </w:rPr>
        <w:t xml:space="preserve">, chiffrées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at rest</w:t>
      </w:r>
      <w:r w:rsidDel="00000000" w:rsidR="00000000" w:rsidRPr="00000000">
        <w:rPr>
          <w:sz w:val="20"/>
          <w:szCs w:val="20"/>
          <w:rtl w:val="0"/>
        </w:rPr>
        <w:t xml:space="preserve"> et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 transit</w:t>
      </w:r>
      <w:r w:rsidDel="00000000" w:rsidR="00000000" w:rsidRPr="00000000">
        <w:rPr>
          <w:sz w:val="20"/>
          <w:szCs w:val="20"/>
          <w:rtl w:val="0"/>
        </w:rPr>
        <w:t xml:space="preserve">. Les accès sont contrôlés par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RBAC</w:t>
      </w:r>
      <w:r w:rsidDel="00000000" w:rsidR="00000000" w:rsidRPr="00000000">
        <w:rPr>
          <w:sz w:val="20"/>
          <w:szCs w:val="20"/>
          <w:rtl w:val="0"/>
        </w:rPr>
        <w:t xml:space="preserve"> (rôles métiers) et les journaux d’audit sont centralisés pour répondre aux obligations de traçabilité et de conformité.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noter l'architecture sera hébergée de la manière suivante : 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Hébergés sur AWS ou VPC AWS privé (Virtual Private Cloud)</w:t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4.2022378781603"/>
        <w:gridCol w:w="1870.4185661002905"/>
        <w:gridCol w:w="4690.891007045173"/>
        <w:tblGridChange w:id="0">
          <w:tblGrid>
            <w:gridCol w:w="2464.2022378781603"/>
            <w:gridCol w:w="1870.4185661002905"/>
            <w:gridCol w:w="4690.891007045173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Composant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Hébergement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Détails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PostgreSQL (RDS)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AWS (PaaS)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relationnelle managée par AWS (Amazon RDS for PostgreSQL). Hébergée dans un VPC privé.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Airbyte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AWS (EC2 ou ECS)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Déployé dans un environnement EC2 ou ECS. Non managé.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dbt Core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AWS (EC2 ou ECS)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dbt Core exécuté dans l'infra (via Airflow ou EC2).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Airflow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AWS (EC2)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Déployé dans un VPC (EC2 / Docker)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Amazon EKS (Elastic Kubernetes Service)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AWS (PaaS)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 managé Kubernetes pour le déploiement de Ray.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AWS (sur EKS)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Jobs distribués Ray sur cluster EKS.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MLflow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SaaS (ou self-hosted AWS)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EC2 / S3 / RDS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FastAPI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AWS (EC2 / EKS)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Hébergé dans un VPC privé, exposé via un load balancer (API Gateway).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Streamlit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AWS (EC2 / EKS / ECS)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Hébergé sur l'infra pour la visualisation interne ou externe.</w:t>
            </w:r>
          </w:p>
        </w:tc>
      </w:tr>
    </w:tbl>
    <w:p w:rsidR="00000000" w:rsidDel="00000000" w:rsidP="00000000" w:rsidRDefault="00000000" w:rsidRPr="00000000" w14:paraId="0000003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 SaaS (Software as a Service)</w:t>
      </w:r>
    </w:p>
    <w:p w:rsidR="00000000" w:rsidDel="00000000" w:rsidP="00000000" w:rsidRDefault="00000000" w:rsidRPr="00000000" w14:paraId="0000003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.3916286779943"/>
        <w:gridCol w:w="2434.513054289267"/>
        <w:gridCol w:w="5195.607128056362"/>
        <w:tblGridChange w:id="0">
          <w:tblGrid>
            <w:gridCol w:w="1395.3916286779943"/>
            <w:gridCol w:w="2434.513054289267"/>
            <w:gridCol w:w="5195.60712805636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Composant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Hébergement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Détails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Snowflake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(multi-cloud : AWS, GCP, Azure)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Entrepôt de données managé, souvent déployé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sur AWS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mais entièrement géré par Snowflake (pas d’accès au serveur).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MongoDB Atlas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SaaS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Version managée de MongoDB (AWS comme cloud sous-jacent, mais c’est MongoDB Inc. qui gère).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Evidently AI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SaaS / open-source (self-host possible)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 défaut SaaS, mais possible de l’héberger dans un VPC (Docker).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Airbyte Cloud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SaaS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Open-source sur AWS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mais il existe une version SaaS si besoin.</w:t>
            </w:r>
          </w:p>
        </w:tc>
      </w:tr>
    </w:tbl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Les composants critiques (PostgreSQL, Airbyte, dbt, Airflow, FastAPI, Streamlit, MLflow, Ray) sont déployés dans 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VPC privé AWS</w:t>
      </w:r>
      <w:r w:rsidDel="00000000" w:rsidR="00000000" w:rsidRPr="00000000">
        <w:rPr>
          <w:sz w:val="20"/>
          <w:szCs w:val="20"/>
          <w:rtl w:val="0"/>
        </w:rPr>
        <w:t xml:space="preserve"> via des services managés (RDS, EKS) ou des instances EC2.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Les services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SaaS</w:t>
      </w:r>
      <w:r w:rsidDel="00000000" w:rsidR="00000000" w:rsidRPr="00000000">
        <w:rPr>
          <w:sz w:val="20"/>
          <w:szCs w:val="20"/>
          <w:rtl w:val="0"/>
        </w:rPr>
        <w:t xml:space="preserve"> (Snowflake, MongoDB Atlas, Evidently) sont intégrés via des connexions sécurisées (PrivateLink, IP allowlist).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Cette hybridation AWS + SaaS garantit à la fois 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scalabilité</w:t>
      </w:r>
      <w:r w:rsidDel="00000000" w:rsidR="00000000" w:rsidRPr="00000000">
        <w:rPr>
          <w:sz w:val="20"/>
          <w:szCs w:val="20"/>
          <w:rtl w:val="0"/>
        </w:rPr>
        <w:t xml:space="preserve">, 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sécurité réseau</w:t>
      </w:r>
      <w:r w:rsidDel="00000000" w:rsidR="00000000" w:rsidRPr="00000000">
        <w:rPr>
          <w:sz w:val="20"/>
          <w:szCs w:val="20"/>
          <w:rtl w:val="0"/>
        </w:rPr>
        <w:t xml:space="preserve"> et 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simplicité d’exploitation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