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</w:rPr>
      </w:pPr>
      <w:bookmarkStart w:colFirst="0" w:colLast="0" w:name="_tbjcdobokr22" w:id="0"/>
      <w:bookmarkEnd w:id="0"/>
      <w:r w:rsidDel="00000000" w:rsidR="00000000" w:rsidRPr="00000000">
        <w:rPr>
          <w:sz w:val="28"/>
          <w:szCs w:val="28"/>
          <w:rtl w:val="0"/>
        </w:rPr>
        <w:t xml:space="preserve">Security and Compliance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L’objectif 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1.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Protéger les données</w:t>
      </w:r>
      <w:r w:rsidDel="00000000" w:rsidR="00000000" w:rsidRPr="00000000">
        <w:rPr>
          <w:sz w:val="20"/>
          <w:szCs w:val="20"/>
          <w:rtl w:val="0"/>
        </w:rPr>
        <w:t xml:space="preserve"> des clients, marchands et transactions.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2.    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Gestion des accès,</w:t>
      </w:r>
      <w:r w:rsidDel="00000000" w:rsidR="00000000" w:rsidRPr="00000000">
        <w:rPr>
          <w:sz w:val="20"/>
          <w:szCs w:val="20"/>
          <w:rtl w:val="0"/>
        </w:rPr>
        <w:t xml:space="preserve"> mise en place de rôles et cloisonnement.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3.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Respecter les réglementations</w:t>
      </w:r>
      <w:r w:rsidDel="00000000" w:rsidR="00000000" w:rsidRPr="00000000">
        <w:rPr>
          <w:sz w:val="20"/>
          <w:szCs w:val="20"/>
          <w:rtl w:val="0"/>
        </w:rPr>
        <w:t xml:space="preserve"> internationales (GDPR, PCI-DSS, CCPA).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4.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Assurer la traçabilité</w:t>
      </w:r>
      <w:r w:rsidDel="00000000" w:rsidR="00000000" w:rsidRPr="00000000">
        <w:rPr>
          <w:sz w:val="20"/>
          <w:szCs w:val="20"/>
          <w:rtl w:val="0"/>
        </w:rPr>
        <w:t xml:space="preserve"> et la détection proactive d’activités suspectes.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Sécurité des données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a) Chiffrement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 rest (au repos)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Toutes les données stockées dans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Snowflake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sz w:val="20"/>
          <w:szCs w:val="20"/>
          <w:rtl w:val="0"/>
        </w:rPr>
        <w:t xml:space="preserve"> et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PostgreSQL</w:t>
      </w:r>
      <w:r w:rsidDel="00000000" w:rsidR="00000000" w:rsidRPr="00000000">
        <w:rPr>
          <w:sz w:val="20"/>
          <w:szCs w:val="20"/>
          <w:rtl w:val="0"/>
        </w:rPr>
        <w:t xml:space="preserve"> sont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chiffrées via AES-256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AES-256</w:t>
      </w:r>
      <w:r w:rsidDel="00000000" w:rsidR="00000000" w:rsidRPr="00000000">
        <w:rPr>
          <w:sz w:val="20"/>
          <w:szCs w:val="20"/>
          <w:rtl w:val="0"/>
        </w:rPr>
        <w:t xml:space="preserve"> 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Advanced Encryption Standard</w:t>
      </w:r>
      <w:r w:rsidDel="00000000" w:rsidR="00000000" w:rsidRPr="00000000">
        <w:rPr>
          <w:sz w:val="20"/>
          <w:szCs w:val="20"/>
          <w:rtl w:val="0"/>
        </w:rPr>
        <w:t xml:space="preserve"> avec une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clé de 256 bits</w:t>
      </w:r>
      <w:r w:rsidDel="00000000" w:rsidR="00000000" w:rsidRPr="00000000">
        <w:rPr>
          <w:sz w:val="20"/>
          <w:szCs w:val="20"/>
          <w:rtl w:val="0"/>
        </w:rPr>
        <w:t xml:space="preserve">.)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Snowflake gère le chiffrement automatique des fichiers dans ses micro-partitions.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buckets S3 utilisés pour les backups ou artefacts ML sont configurés en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SSE-S3 (Server-Side Encryption)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chiffrement automatique</w:t>
      </w:r>
      <w:r w:rsidDel="00000000" w:rsidR="00000000" w:rsidRPr="00000000">
        <w:rPr>
          <w:sz w:val="20"/>
          <w:szCs w:val="20"/>
          <w:rtl w:val="0"/>
        </w:rPr>
        <w:t xml:space="preserve"> des fichiers (objets) stockés dans un bucket Amazon S3, géré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entièrement par AWS</w:t>
      </w:r>
      <w:r w:rsidDel="00000000" w:rsidR="00000000" w:rsidRPr="00000000">
        <w:rPr>
          <w:sz w:val="20"/>
          <w:szCs w:val="20"/>
          <w:rtl w:val="0"/>
        </w:rPr>
        <w:t xml:space="preserve">.)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 transit (en transit)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Tous les flux (Airbyte, dbt, Airflow, BI) utilisent des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connexions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TLS 1.2+</w:t>
      </w:r>
      <w:r w:rsidDel="00000000" w:rsidR="00000000" w:rsidRPr="00000000">
        <w:rPr>
          <w:sz w:val="20"/>
          <w:szCs w:val="20"/>
          <w:rtl w:val="0"/>
        </w:rPr>
        <w:t xml:space="preserve">.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(Transport Layer Security)</w:t>
      </w:r>
      <w:r w:rsidDel="00000000" w:rsidR="00000000" w:rsidRPr="00000000">
        <w:rPr>
          <w:sz w:val="20"/>
          <w:szCs w:val="20"/>
          <w:rtl w:val="0"/>
        </w:rPr>
        <w:t xml:space="preserve"> est 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protocole de chiffrement</w:t>
      </w:r>
      <w:r w:rsidDel="00000000" w:rsidR="00000000" w:rsidRPr="00000000">
        <w:rPr>
          <w:sz w:val="20"/>
          <w:szCs w:val="20"/>
          <w:rtl w:val="0"/>
        </w:rPr>
        <w:t xml:space="preserve"> utilisé pour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sécuriser les communications réseau</w:t>
      </w:r>
      <w:r w:rsidDel="00000000" w:rsidR="00000000" w:rsidRPr="00000000">
        <w:rPr>
          <w:sz w:val="20"/>
          <w:szCs w:val="20"/>
          <w:rtl w:val="0"/>
        </w:rPr>
        <w:t xml:space="preserve"> entre deux systèmes)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credentials sont stockés sous forme chiffrée dans Airflow (Variables / Connections).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b) Gestion des secrets</w:t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Vault / KMS :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mots de passe et clés API (Stripe API, MongoDB, Snowflake) sont stockés dans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 Management Service (AWS KMS)</w:t>
      </w:r>
      <w:r w:rsidDel="00000000" w:rsidR="00000000" w:rsidRPr="00000000">
        <w:rPr>
          <w:sz w:val="20"/>
          <w:szCs w:val="20"/>
          <w:rtl w:val="0"/>
        </w:rPr>
        <w:t xml:space="preserve"> ou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Vault</w:t>
      </w:r>
      <w:r w:rsidDel="00000000" w:rsidR="00000000" w:rsidRPr="00000000">
        <w:rPr>
          <w:sz w:val="20"/>
          <w:szCs w:val="20"/>
          <w:rtl w:val="0"/>
        </w:rPr>
        <w:t xml:space="preserve"> centralisé.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Aucun secret n’est versionné dans GitHub.</w:t>
      </w:r>
    </w:p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Rotation automatique :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clés et tokens ont une durée de vie limitée.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rôles de service sont régénérés automatiquement tous les X jours.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c) Segmentation réseau</w:t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L’architecture Stripe repose sur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VPC privé AWS</w:t>
      </w:r>
      <w:r w:rsidDel="00000000" w:rsidR="00000000" w:rsidRPr="00000000">
        <w:rPr>
          <w:sz w:val="20"/>
          <w:szCs w:val="20"/>
          <w:rtl w:val="0"/>
        </w:rPr>
        <w:t xml:space="preserve"> qui héberge les composants internes (Airbyte, Airflow, dbt Core, RDS PostgreSQL) dans des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sous-réseaux isolés</w:t>
      </w:r>
      <w:r w:rsidDel="00000000" w:rsidR="00000000" w:rsidRPr="00000000">
        <w:rPr>
          <w:sz w:val="20"/>
          <w:szCs w:val="20"/>
          <w:rtl w:val="0"/>
        </w:rPr>
        <w:t xml:space="preserve"> selon leur rôle (ingestion, transformation, services partagés).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services externes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Snowflake</w:t>
      </w:r>
      <w:r w:rsidDel="00000000" w:rsidR="00000000" w:rsidRPr="00000000">
        <w:rPr>
          <w:sz w:val="20"/>
          <w:szCs w:val="20"/>
          <w:rtl w:val="0"/>
        </w:rPr>
        <w:t xml:space="preserve"> (OLAP) et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MongoDB Atlas</w:t>
      </w:r>
      <w:r w:rsidDel="00000000" w:rsidR="00000000" w:rsidRPr="00000000">
        <w:rPr>
          <w:sz w:val="20"/>
          <w:szCs w:val="20"/>
          <w:rtl w:val="0"/>
        </w:rPr>
        <w:t xml:space="preserve"> (NoSQL) sont accessibles uniquement via des connexions sécurisées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TLS 1.2+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 whitelist</w:t>
      </w:r>
      <w:r w:rsidDel="00000000" w:rsidR="00000000" w:rsidRPr="00000000">
        <w:rPr>
          <w:sz w:val="20"/>
          <w:szCs w:val="20"/>
          <w:rtl w:val="0"/>
        </w:rPr>
        <w:t xml:space="preserve"> ou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PrivateLink / VPC Peering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Aucune ressource critique n’est exposée à Internet, et les flux entre zones sont strictement contrôlés 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Security Groups</w:t>
      </w:r>
      <w:r w:rsidDel="00000000" w:rsidR="00000000" w:rsidRPr="00000000">
        <w:rPr>
          <w:sz w:val="20"/>
          <w:szCs w:val="20"/>
          <w:rtl w:val="0"/>
        </w:rPr>
        <w:t xml:space="preserve"> et politiques réseau AWS.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 Gestion des accès (RBAC – Role Based Access Control)</w:t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a) Rôles principaux</w:t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.7292191924287"/>
        <w:gridCol w:w="3705.0541096156085"/>
        <w:gridCol w:w="3319.7284822155852"/>
        <w:tblGridChange w:id="0">
          <w:tblGrid>
            <w:gridCol w:w="2000.7292191924287"/>
            <w:gridCol w:w="3705.0541096156085"/>
            <w:gridCol w:w="3319.728482215585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Rôle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Accès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Exemple d’usage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Analyst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 sur OLAP (CORE, MARTS)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Tableaux de bord Tableau / Power BI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Scientist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 + export sur CORE + ml_features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Entraînement de modèles ML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Engineer / Dev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Écriture sur STAGING et CORE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Maintenance dbt / Airflow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Ops / Admin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Écriture sur RAW et monitoring global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 des pipelines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Compliance Officer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 sur logs et audits uniquement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Vérification conformité, alertes</w:t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b) Masquage &amp; cloisonnement</w:t>
      </w:r>
    </w:p>
    <w:p w:rsidR="00000000" w:rsidDel="00000000" w:rsidP="00000000" w:rsidRDefault="00000000" w:rsidRPr="00000000" w14:paraId="000000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Snowflake Dynamic Data Masking</w:t>
      </w:r>
      <w:r w:rsidDel="00000000" w:rsidR="00000000" w:rsidRPr="00000000">
        <w:rPr>
          <w:sz w:val="20"/>
          <w:szCs w:val="20"/>
          <w:rtl w:val="0"/>
        </w:rPr>
        <w:t xml:space="preserve"> pour masquer les champs sensibles (email, card_number, ip_address).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Row Access Policies</w:t>
      </w:r>
      <w:r w:rsidDel="00000000" w:rsidR="00000000" w:rsidRPr="00000000">
        <w:rPr>
          <w:sz w:val="20"/>
          <w:szCs w:val="20"/>
          <w:rtl w:val="0"/>
        </w:rPr>
        <w:t xml:space="preserve"> pour restreindre les données selon le rôle (ex : un analyste EU ne voit que les données européennes).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 Conformité réglementaire</w:t>
      </w:r>
    </w:p>
    <w:p w:rsidR="00000000" w:rsidDel="00000000" w:rsidP="00000000" w:rsidRDefault="00000000" w:rsidRPr="00000000" w14:paraId="000000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a) GDPR (Europe)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Pseudonymisation / anonymisation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identifiants clients (customer_id) sont pseudonymisés.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données personnelles directes (nom, email) sont hachées ou supprimées des zones CORE / MARTS.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Droit à l’oubli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Un processus Airflow dédié supprime ou anonymise toutes les données liées à un customer_id sur demande.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Rétention des données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logs et backups sont purgés au-delà de 180 jours.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b) PCI-DSS (paiements)</w:t>
      </w:r>
    </w:p>
    <w:p w:rsidR="00000000" w:rsidDel="00000000" w:rsidP="00000000" w:rsidRDefault="00000000" w:rsidRPr="00000000" w14:paraId="000000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numéros de carte ou tokens de paiement ne transitent jamais dans le pipeline analytique.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Seuls les métadonnées de transaction (montant, devise, statut, timestamp) sont exploitées.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Snowflake stocke ces données dans des schémas isolés (pci_compliant).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c) CCPA (Californie)</w:t>
      </w:r>
    </w:p>
    <w:p w:rsidR="00000000" w:rsidDel="00000000" w:rsidP="00000000" w:rsidRDefault="00000000" w:rsidRPr="00000000" w14:paraId="000000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Processus d’opt-out pour les clients US : exclusion de certains enregistrements de fact_payments.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Journalisation automatique de la provenance des données (source_system, ingestion_date).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 Audit &amp; Monitoring sécurité</w:t>
      </w:r>
    </w:p>
    <w:p w:rsidR="00000000" w:rsidDel="00000000" w:rsidP="00000000" w:rsidRDefault="00000000" w:rsidRPr="00000000" w14:paraId="0000006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a) Audit logs</w:t>
      </w:r>
    </w:p>
    <w:p w:rsidR="00000000" w:rsidDel="00000000" w:rsidP="00000000" w:rsidRDefault="00000000" w:rsidRPr="00000000" w14:paraId="000000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Snowflake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ACCESS_HISTORY et LOGIN_HISTORY activés pour suivre les connexions et requêtes.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QUERY_HISTORY exporté dans une table d’audit quotidienne.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Airflow / Airbyte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logs de jobs stockés sur S3 (ou CloudWatch) pour rétention et traçabilité.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journaux d’accès activés, avec timestamps et adresses IP.</w:t>
      </w:r>
    </w:p>
    <w:p w:rsidR="00000000" w:rsidDel="00000000" w:rsidP="00000000" w:rsidRDefault="00000000" w:rsidRPr="00000000" w14:paraId="0000006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b) Alertes de sécurité</w:t>
      </w:r>
    </w:p>
    <w:p w:rsidR="00000000" w:rsidDel="00000000" w:rsidP="00000000" w:rsidRDefault="00000000" w:rsidRPr="00000000" w14:paraId="0000006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Airflow envoie des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alertes Slack / Email</w:t>
      </w:r>
      <w:r w:rsidDel="00000000" w:rsidR="00000000" w:rsidRPr="00000000">
        <w:rPr>
          <w:sz w:val="20"/>
          <w:szCs w:val="20"/>
          <w:rtl w:val="0"/>
        </w:rPr>
        <w:t xml:space="preserve"> en cas :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d’échec de pipeline,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de dépassement de SLA,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ou de tests dbt échoués (data quality, duplication, incohérences).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Intégration possible avec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GuardDuty</w:t>
      </w:r>
      <w:r w:rsidDel="00000000" w:rsidR="00000000" w:rsidRPr="00000000">
        <w:rPr>
          <w:sz w:val="20"/>
          <w:szCs w:val="20"/>
          <w:rtl w:val="0"/>
        </w:rPr>
        <w:t xml:space="preserve"> ou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Datadog Security Monitoring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c) Dashboard Compliance</w:t>
      </w:r>
    </w:p>
    <w:p w:rsidR="00000000" w:rsidDel="00000000" w:rsidP="00000000" w:rsidRDefault="00000000" w:rsidRPr="00000000" w14:paraId="0000007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Tableau de bord Snowflake / BI</w:t>
      </w:r>
      <w:r w:rsidDel="00000000" w:rsidR="00000000" w:rsidRPr="00000000">
        <w:rPr>
          <w:sz w:val="20"/>
          <w:szCs w:val="20"/>
          <w:rtl w:val="0"/>
        </w:rPr>
        <w:t xml:space="preserve"> consolide :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les événements d’accès,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le nombre de requêtes par rôle,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les tests dbt échoués,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les incidents de pipeline.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Ce dashboard est accessible uniquement à l’équipe Data Governance / Compliance.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