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Ava Hernandez, CPA, CMA</w:t>
      </w:r>
    </w:p>
    <w:p>
      <w:pPr>
        <w:jc w:val="center"/>
      </w:pPr>
      <w:r>
        <w:t>ava@emergeconvert.com | (312) 555-8214 | Chicago, IL 60611 | linkedin.com/in/avahernandez</w:t>
      </w:r>
    </w:p>
    <w:p>
      <w:pPr>
        <w:pStyle w:val="Heading1"/>
      </w:pPr>
      <w:r>
        <w:rPr>
          <w:color w:val="1A1A2E"/>
        </w:rPr>
        <w:t>Summary</w:t>
      </w:r>
    </w:p>
    <w:p>
      <w:r>
        <w:t>Finance professional with 14 years of progressive experience in financial planning &amp; analysis, property accounting, retail operations finance, and public accounting. Track record of building forecasting models that improved budget accuracy by 18%, managing property portfolios valued at $1.1B, and leading cross-functional teams through complex ERP migrations. CPA and CMA licensed with deep expertise in GAAP compliance, lease accounting (ASC 842), multi-entity consolidations, and SOX controls. Proven ability to translate financial data into strategic recommendations for C-suite stakeholders.</w:t>
      </w:r>
    </w:p>
    <w:p>
      <w:pPr>
        <w:pStyle w:val="Heading1"/>
      </w:pPr>
      <w:r>
        <w:rPr>
          <w:color w:val="1A1A2E"/>
        </w:rPr>
        <w:t>Experience</w:t>
      </w:r>
    </w:p>
    <w:p>
      <w:pPr>
        <w:pStyle w:val="Heading2"/>
      </w:pPr>
      <w:r>
        <w:rPr>
          <w:color w:val="1A1A2E"/>
        </w:rPr>
        <w:t>Senior FP&amp;A Manager — Baxter International, Deerfield, IL</w:t>
      </w:r>
    </w:p>
    <w:p>
      <w:r>
        <w:t>March 2021 – Present</w:t>
      </w:r>
    </w:p>
    <w:p>
      <w:pPr>
        <w:pStyle w:val="ListBullet"/>
      </w:pPr>
      <w:r>
        <w:t>Own the annual operating plan ($4.2B revenue) and rolling 18-month forecast for the Medical Products &amp; Therapies segment, presenting variance analysis to the CFO and segment president quarterly.</w:t>
      </w:r>
    </w:p>
    <w:p>
      <w:pPr>
        <w:pStyle w:val="ListBullet"/>
      </w:pPr>
      <w:r>
        <w:t>Built a driver-based revenue model in Adaptive Insights that reduced forecast error from 9.4% to 3.1% within two planning cycles, directly improving inventory procurement timing and saving $2.8M in carrying costs.</w:t>
      </w:r>
    </w:p>
    <w:p>
      <w:pPr>
        <w:pStyle w:val="ListBullet"/>
      </w:pPr>
      <w:r>
        <w:t>Lead a team of four FP&amp;A analysts; introduced standardized KPI dashboards in Power BI that cut monthly close reporting time from 12 days to 7 and eliminated 35 hours of manual data compilation per cycle.</w:t>
      </w:r>
    </w:p>
    <w:p>
      <w:pPr>
        <w:pStyle w:val="ListBullet"/>
      </w:pPr>
      <w:r>
        <w:t>Partnered with supply chain leadership to identify $6.8M in freight and warehousing cost savings through SKU rationalization and vendor consolidation across 14 distribution centers.</w:t>
      </w:r>
    </w:p>
    <w:p>
      <w:pPr>
        <w:pStyle w:val="ListBullet"/>
      </w:pPr>
      <w:r>
        <w:t>Managed the financial due diligence workstream for two bolt-on acquisitions totaling $320M, including synergy modeling, working capital analysis, and purchase price allocation support.</w:t>
      </w:r>
    </w:p>
    <w:p>
      <w:pPr>
        <w:pStyle w:val="ListBullet"/>
      </w:pPr>
      <w:r>
        <w:t>Automated the quarterly board reporting package using Power Automate and SharePoint, reducing preparation time from 5 days to 1.5 days and improving data accuracy.</w:t>
      </w:r>
    </w:p>
    <w:p>
      <w:pPr>
        <w:pStyle w:val="ListBullet"/>
      </w:pPr>
      <w:r>
        <w:t>Solved a persistent challenge with inconsistent segment-level margin reporting by redesigning the cost allocation methodology across 6 business units, enabling the executive team to make informed portfolio decisions for the first time.</w:t>
      </w:r>
    </w:p>
    <w:p>
      <w:pPr>
        <w:pStyle w:val="ListBullet"/>
      </w:pPr>
      <w:r>
        <w:t>Developed a scenario analysis framework for tariff impact modeling during the 2022 supply chain disruptions, enabling leadership to proactively adjust pricing across 3,200 SKUs before margin erosion occurred.</w:t>
      </w:r>
    </w:p>
    <w:p>
      <w:pPr>
        <w:pStyle w:val="Heading2"/>
      </w:pPr>
      <w:r>
        <w:rPr>
          <w:color w:val="1A1A2E"/>
        </w:rPr>
        <w:t>Property Accountant — CBRE Group, Chicago, IL</w:t>
      </w:r>
    </w:p>
    <w:p>
      <w:r>
        <w:t>June 2017 – February 2021</w:t>
      </w:r>
    </w:p>
    <w:p>
      <w:pPr>
        <w:pStyle w:val="ListBullet"/>
      </w:pPr>
      <w:r>
        <w:t>Performed full-cycle accounting for a portfolio of 14 commercial office and mixed-use properties valued at $1.1B across the greater Chicagoland market, including monthly journal entries, bank reconciliations, and accruals.</w:t>
      </w:r>
    </w:p>
    <w:p>
      <w:pPr>
        <w:pStyle w:val="ListBullet"/>
      </w:pPr>
      <w:r>
        <w:t>Prepared monthly financial statements, CAM reconciliations, and variance reports for property owners and institutional investors including Blackstone, Heitman, and LaSalle Investment Management.</w:t>
      </w:r>
    </w:p>
    <w:p>
      <w:pPr>
        <w:pStyle w:val="ListBullet"/>
      </w:pPr>
      <w:r>
        <w:t>Led the ASC 842 lease accounting transition across the entire portfolio, reclassifying 380+ operating and finance leases in Yardi Voyager; completed 3 months ahead of the compliance deadline with zero restatements required.</w:t>
      </w:r>
    </w:p>
    <w:p>
      <w:pPr>
        <w:pStyle w:val="ListBullet"/>
      </w:pPr>
      <w:r>
        <w:t>Managed tenant billing, accounts receivable aging, and collections for 200+ tenants, maintaining a delinquency rate below 2.5% even during the COVID-19 pandemic period when industry averages exceeded 8%.</w:t>
      </w:r>
    </w:p>
    <w:p>
      <w:pPr>
        <w:pStyle w:val="ListBullet"/>
      </w:pPr>
      <w:r>
        <w:t>Coordinated annual audits with Ernst &amp; Young; achieved zero material findings across four consecutive audit cycles.</w:t>
      </w:r>
    </w:p>
    <w:p>
      <w:pPr>
        <w:pStyle w:val="ListBullet"/>
      </w:pPr>
      <w:r>
        <w:t>Fixed a $1.4M revenue recognition discrepancy caused by inconsistent lease escalation schedules; built an automated escalation tracker in Excel that prevented future errors.</w:t>
      </w:r>
    </w:p>
    <w:p>
      <w:pPr>
        <w:pStyle w:val="ListBullet"/>
      </w:pPr>
      <w:r>
        <w:t>Reduced month-end close cycle from 18 business days to 11 by streamlining the intercompany elimination process and implementing automated journal entry templates.</w:t>
      </w:r>
    </w:p>
    <w:p>
      <w:pPr>
        <w:pStyle w:val="ListBullet"/>
      </w:pPr>
      <w:r>
        <w:t>Processed annual operating budgets of $42M across the portfolio, collaborating with property managers on capital expenditure planning, tenant improvement allowances, and debt service scheduling.</w:t>
      </w:r>
    </w:p>
    <w:p>
      <w:pPr>
        <w:pStyle w:val="Heading2"/>
      </w:pPr>
      <w:r>
        <w:rPr>
          <w:color w:val="1A1A2E"/>
        </w:rPr>
        <w:t>Financial Analyst, Retail Operations — Target Corporation, Minneapolis, MN</w:t>
      </w:r>
    </w:p>
    <w:p>
      <w:r>
        <w:t>August 2014 – May 2017</w:t>
      </w:r>
    </w:p>
    <w:p>
      <w:pPr>
        <w:pStyle w:val="ListBullet"/>
      </w:pPr>
      <w:r>
        <w:t>Supported P&amp;L management for 47 stores in the Great Lakes district ($1.8B combined revenue), analyzing sales trends, labor productivity, shrinkage metrics, and promotional effectiveness on a weekly and monthly basis.</w:t>
      </w:r>
    </w:p>
    <w:p>
      <w:pPr>
        <w:pStyle w:val="ListBullet"/>
      </w:pPr>
      <w:r>
        <w:t>Created weekly flash reports and rolling forecasts that enabled district managers to reallocate payroll hours, improving labor cost as a percentage of sales by 1.3 percentage points and saving $4.2M annually.</w:t>
      </w:r>
    </w:p>
    <w:p>
      <w:pPr>
        <w:pStyle w:val="ListBullet"/>
      </w:pPr>
      <w:r>
        <w:t>Developed an inventory markdown optimization model in Excel/VBA that recovered an estimated $2.1M in margin annually by timing markdowns to coincide with traffic patterns and competitive pricing data.</w:t>
      </w:r>
    </w:p>
    <w:p>
      <w:pPr>
        <w:pStyle w:val="ListBullet"/>
      </w:pPr>
      <w:r>
        <w:t>Participated in Target's Finance Leadership Development Program (FLDP) rotation, completing 6-month assignments in corporate FP&amp;A, treasury, and store operations.</w:t>
      </w:r>
    </w:p>
    <w:p>
      <w:pPr>
        <w:pStyle w:val="ListBullet"/>
      </w:pPr>
      <w:r>
        <w:t>Optimized the shrinkage reduction program by building a predictive model that identified high-risk stores based on 22 variables; piloted stores saw a 19% reduction in inventory loss within one quarter.</w:t>
      </w:r>
    </w:p>
    <w:p>
      <w:pPr>
        <w:pStyle w:val="ListBullet"/>
      </w:pPr>
      <w:r>
        <w:t>Automated the district-level weekly sales reporting process using SQL queries against the enterprise data warehouse and VBA macros, eliminating 8 hours of manual data entry per week.</w:t>
      </w:r>
    </w:p>
    <w:p>
      <w:pPr>
        <w:pStyle w:val="ListBullet"/>
      </w:pPr>
      <w:r>
        <w:t>Presented quarterly business reviews to the VP of Stores covering $1.8B in revenue performance, margin analysis, and forward-looking guidance.</w:t>
      </w:r>
    </w:p>
    <w:p>
      <w:pPr>
        <w:pStyle w:val="Heading2"/>
      </w:pPr>
      <w:r>
        <w:rPr>
          <w:color w:val="1A1A2E"/>
        </w:rPr>
        <w:t>Staff Accountant — RSM US LLP, Chicago, IL</w:t>
      </w:r>
    </w:p>
    <w:p>
      <w:r>
        <w:t>September 2012 – July 2014</w:t>
      </w:r>
    </w:p>
    <w:p>
      <w:pPr>
        <w:pStyle w:val="ListBullet"/>
      </w:pPr>
      <w:r>
        <w:t>Prepared consolidated financial statements and federal/state tax returns for 18 middle-market clients in manufacturing, professional services, and real estate with revenues ranging from $15M to $400M.</w:t>
      </w:r>
    </w:p>
    <w:p>
      <w:pPr>
        <w:pStyle w:val="ListBullet"/>
      </w:pPr>
      <w:r>
        <w:t>Assisted in annual audits including substantive testing of revenue, accounts payable, fixed assets, and inventory; completed 12 audits with zero significant deficiencies.</w:t>
      </w:r>
    </w:p>
    <w:p>
      <w:pPr>
        <w:pStyle w:val="ListBullet"/>
      </w:pPr>
      <w:r>
        <w:t>Gained exposure to cost accounting, transfer pricing, multi-state tax compliance, and sales tax nexus analysis across 14 jurisdictions.</w:t>
      </w:r>
    </w:p>
    <w:p>
      <w:pPr>
        <w:pStyle w:val="ListBullet"/>
      </w:pPr>
      <w:r>
        <w:t>Supported the firm's transition from CCH ProSystem to Thomson Reuters ONESOURCE, serving as the test-and-learn lead for the Chicago office and training 8 staff members on the new platform.</w:t>
      </w:r>
    </w:p>
    <w:p>
      <w:pPr>
        <w:pStyle w:val="ListBullet"/>
      </w:pPr>
      <w:r>
        <w:t>Drafted technical memos on complex accounting issues including revenue recognition under ASC 606, business combination accounting, and impairment testing under ASC 350/360.</w:t>
      </w:r>
    </w:p>
    <w:p>
      <w:pPr>
        <w:pStyle w:val="Heading1"/>
      </w:pPr>
      <w:r>
        <w:rPr>
          <w:color w:val="1A1A2E"/>
        </w:rPr>
        <w:t>Education</w:t>
      </w:r>
    </w:p>
    <w:p>
      <w:r>
        <w:rPr>
          <w:b/>
        </w:rPr>
        <w:t>Master of Accountancy (MAcc)</w:t>
      </w:r>
      <w:r>
        <w:t xml:space="preserve"> — University of Illinois at Urbana-Champaign, May 2012</w:t>
      </w:r>
    </w:p>
    <w:p>
      <w:r>
        <w:t>GPA: 3.82/4.00 | Beta Alpha Psi Honor Society | Graduate Assistantship in Tax Research</w:t>
      </w:r>
    </w:p>
    <w:p>
      <w:r>
        <w:rPr>
          <w:b/>
        </w:rPr>
        <w:t>Bachelor of Science in Finance</w:t>
      </w:r>
      <w:r>
        <w:t xml:space="preserve"> — DePaul University, Chicago, IL, June 2010</w:t>
      </w:r>
    </w:p>
    <w:p>
      <w:r>
        <w:t>Dean's List (6 semesters) | Minor in Economics | Finance Society Vice President</w:t>
      </w:r>
    </w:p>
    <w:p>
      <w:pPr>
        <w:pStyle w:val="Heading1"/>
      </w:pPr>
      <w:r>
        <w:rPr>
          <w:color w:val="1A1A2E"/>
        </w:rPr>
        <w:t>Certifications &amp; Licenses</w:t>
      </w:r>
    </w:p>
    <w:p>
      <w:pPr>
        <w:pStyle w:val="ListBullet"/>
      </w:pPr>
      <w:r>
        <w:t>Certified Public Accountant (CPA), Illinois, 2013</w:t>
      </w:r>
    </w:p>
    <w:p>
      <w:pPr>
        <w:pStyle w:val="ListBullet"/>
      </w:pPr>
      <w:r>
        <w:t>Certified Management Accountant (CMA), Institute of Management Accountants, 2019</w:t>
      </w:r>
    </w:p>
    <w:p>
      <w:pPr>
        <w:pStyle w:val="ListBullet"/>
      </w:pPr>
      <w:r>
        <w:t>Advanced Microsoft Excel Certification, 2020</w:t>
      </w:r>
    </w:p>
    <w:p>
      <w:pPr>
        <w:pStyle w:val="ListBullet"/>
      </w:pPr>
      <w:r>
        <w:t>Tableau Desktop Specialist Certification, 2021</w:t>
      </w:r>
    </w:p>
    <w:p>
      <w:pPr>
        <w:pStyle w:val="Heading1"/>
      </w:pPr>
      <w:r>
        <w:rPr>
          <w:color w:val="1A1A2E"/>
        </w:rPr>
        <w:t>Technical Skills</w:t>
      </w:r>
    </w:p>
    <w:p>
      <w:pPr>
        <w:pStyle w:val="ListBullet"/>
      </w:pPr>
      <w:r>
        <w:t>Financial Modeling &amp; Forecasting (DCF, LBO, three-statement, scenario/sensitivity analysis)</w:t>
      </w:r>
    </w:p>
    <w:p>
      <w:pPr>
        <w:pStyle w:val="ListBullet"/>
      </w:pPr>
      <w:r>
        <w:t>ERP Systems: SAP S/4HANA, Oracle NetSuite, Yardi Voyager 7S, Microsoft Dynamics 365</w:t>
      </w:r>
    </w:p>
    <w:p>
      <w:pPr>
        <w:pStyle w:val="ListBullet"/>
      </w:pPr>
      <w:r>
        <w:t>Planning &amp; Budgeting: Adaptive Insights, Anaplan, Hyperion</w:t>
      </w:r>
    </w:p>
    <w:p>
      <w:pPr>
        <w:pStyle w:val="ListBullet"/>
      </w:pPr>
      <w:r>
        <w:t>Data Visualization: Power BI, Tableau Desktop, Google Data Studio</w:t>
      </w:r>
    </w:p>
    <w:p>
      <w:pPr>
        <w:pStyle w:val="ListBullet"/>
      </w:pPr>
      <w:r>
        <w:t>Advanced Excel (VBA macros, Power Query, Power Pivot, dynamic arrays, XLOOKUP)</w:t>
      </w:r>
    </w:p>
    <w:p>
      <w:pPr>
        <w:pStyle w:val="ListBullet"/>
      </w:pPr>
      <w:r>
        <w:t>SQL (PostgreSQL, SQL Server) for data extraction and ad hoc analysis</w:t>
      </w:r>
    </w:p>
    <w:p>
      <w:pPr>
        <w:pStyle w:val="ListBullet"/>
      </w:pPr>
      <w:r>
        <w:t>GAAP, ASC 842 Lease Accounting, ASC 606 Revenue Recognition, SOX Compliance</w:t>
      </w:r>
    </w:p>
    <w:p>
      <w:pPr>
        <w:pStyle w:val="ListBullet"/>
      </w:pPr>
      <w:r>
        <w:t>Multi-Entity Consolidation, Intercompany Eliminations, Transfer Pricing</w:t>
      </w:r>
    </w:p>
    <w:p>
      <w:pPr>
        <w:pStyle w:val="ListBullet"/>
      </w:pPr>
      <w:r>
        <w:t>Budgeting, Variance Analysis, KPI Dashboard Design, Rolling Forecasts</w:t>
      </w:r>
    </w:p>
    <w:p>
      <w:pPr>
        <w:pStyle w:val="ListBullet"/>
      </w:pPr>
      <w:r>
        <w:t>Financial Due Diligence, Purchase Price Allocation, Synergy Modeling</w:t>
      </w:r>
    </w:p>
    <w:p>
      <w:pPr>
        <w:pStyle w:val="ListBullet"/>
      </w:pPr>
      <w:r>
        <w:t>Cash Flow Management, Working Capital Optimization, Debt Covenant Compliance</w:t>
      </w:r>
    </w:p>
    <w:p>
      <w:pPr>
        <w:pStyle w:val="ListBullet"/>
      </w:pPr>
      <w:r>
        <w:t>Cross-Functional Stakeholder Communication and Executive Presentations</w:t>
      </w:r>
    </w:p>
    <w:p>
      <w:pPr>
        <w:pStyle w:val="ListBullet"/>
      </w:pPr>
      <w:r>
        <w:t>Power Automate, SharePoint, Microsoft 365 Suite</w:t>
      </w:r>
    </w:p>
    <w:p>
      <w:pPr>
        <w:pStyle w:val="ListBullet"/>
      </w:pPr>
      <w:r>
        <w:t>Bloomberg Terminal, S&amp;P Capital IQ</w:t>
      </w:r>
    </w:p>
    <w:p>
      <w:pPr>
        <w:pStyle w:val="Heading1"/>
      </w:pPr>
      <w:r>
        <w:rPr>
          <w:color w:val="1A1A2E"/>
        </w:rPr>
        <w:t>Business Challenges Solved</w:t>
      </w:r>
    </w:p>
    <w:p>
      <w:pPr>
        <w:pStyle w:val="ListBullet"/>
      </w:pPr>
      <w:r>
        <w:t>Turnaround of a broken segment margin reporting process affecting 6 business units at Baxter International; redesigned cost allocation from scratch, enabling executive portfolio decisions that had been stalled for 2 years.</w:t>
      </w:r>
    </w:p>
    <w:p>
      <w:pPr>
        <w:pStyle w:val="ListBullet"/>
      </w:pPr>
      <w:r>
        <w:t>Fixed a $1.4M revenue recognition error at CBRE caused by 380+ leases with inconsistent escalation schedules; automated tracking to prevent recurrence.</w:t>
      </w:r>
    </w:p>
    <w:p>
      <w:pPr>
        <w:pStyle w:val="ListBullet"/>
      </w:pPr>
      <w:r>
        <w:t>Reduced forecast error from 9.4% to 3.1% by replacing static spreadsheet models with driver-based planning in Adaptive Insights.</w:t>
      </w:r>
    </w:p>
    <w:p>
      <w:pPr>
        <w:pStyle w:val="ListBullet"/>
      </w:pPr>
      <w:r>
        <w:t>Scaled the monthly close process from 18 days to 11 days across a $1.1B property portfolio through automation and process redesign.</w:t>
      </w:r>
    </w:p>
    <w:p>
      <w:pPr>
        <w:pStyle w:val="ListBullet"/>
      </w:pPr>
      <w:r>
        <w:t>Solved a persistent shrinkage problem at Target by building a 22-variable predictive model; reduced inventory loss 19% in pilot stores.</w:t>
      </w:r>
    </w:p>
    <w:p>
      <w:pPr>
        <w:pStyle w:val="Heading1"/>
      </w:pPr>
      <w:r>
        <w:rPr>
          <w:color w:val="1A1A2E"/>
        </w:rPr>
        <w:t>Key Accomplishments</w:t>
      </w:r>
    </w:p>
    <w:p>
      <w:pPr>
        <w:pStyle w:val="ListBullet"/>
      </w:pPr>
      <w:r>
        <w:t>Identified $6.8M in supply chain cost savings through SKU rationalization at Baxter International.</w:t>
      </w:r>
    </w:p>
    <w:p>
      <w:pPr>
        <w:pStyle w:val="ListBullet"/>
      </w:pPr>
      <w:r>
        <w:t>Managed financial due diligence for $320M in acquisitions, including synergy modeling and working capital analysis.</w:t>
      </w:r>
    </w:p>
    <w:p>
      <w:pPr>
        <w:pStyle w:val="ListBullet"/>
      </w:pPr>
      <w:r>
        <w:t>Maintained zero material audit findings across 4 consecutive audit cycles on a $1.1B real estate portfolio.</w:t>
      </w:r>
    </w:p>
    <w:p>
      <w:pPr>
        <w:pStyle w:val="ListBullet"/>
      </w:pPr>
      <w:r>
        <w:t>Recovered $2.1M in annual margin through an inventory markdown optimization model at Target Corporation.</w:t>
      </w:r>
    </w:p>
    <w:p>
      <w:pPr>
        <w:pStyle w:val="ListBullet"/>
      </w:pPr>
      <w:r>
        <w:t>Promoted from Staff Accountant to Senior within 18 months at RSM, the fastest promotion in the Chicago office that year.</w:t>
      </w:r>
    </w:p>
    <w:p>
      <w:pPr>
        <w:pStyle w:val="Heading1"/>
      </w:pPr>
      <w:r>
        <w:rPr>
          <w:color w:val="1A1A2E"/>
        </w:rPr>
        <w:t>Professional Affiliations</w:t>
      </w:r>
    </w:p>
    <w:p>
      <w:pPr>
        <w:pStyle w:val="ListBullet"/>
      </w:pPr>
      <w:r>
        <w:t>Illinois CPA Society, Member since 2013</w:t>
      </w:r>
    </w:p>
    <w:p>
      <w:pPr>
        <w:pStyle w:val="ListBullet"/>
      </w:pPr>
      <w:r>
        <w:t>Institute of Management Accountants (IMA), Member since 2018</w:t>
      </w:r>
    </w:p>
    <w:p>
      <w:pPr>
        <w:pStyle w:val="ListBullet"/>
      </w:pPr>
      <w:r>
        <w:t>Financial Planning &amp; Analysis Professionals (FP&amp;A Council)</w:t>
      </w:r>
    </w:p>
    <w:p>
      <w:pPr>
        <w:pStyle w:val="ListBullet"/>
      </w:pPr>
      <w:r>
        <w:t>Association of International Certified Professional Accountants (AICPA)</w:t>
      </w:r>
    </w:p>
    <w:p>
      <w:pPr>
        <w:pStyle w:val="Heading1"/>
      </w:pPr>
      <w:r>
        <w:rPr>
          <w:color w:val="1A1A2E"/>
        </w:rPr>
        <w:t>Languages</w:t>
      </w:r>
    </w:p>
    <w:p>
      <w:r>
        <w:t>English (Native) | Spanish (Conversational)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