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688BC">
      <w:pPr>
        <w:pStyle w:val="2"/>
        <w:spacing w:before="322" w:beforeAutospacing="0" w:after="322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48"/>
          <w:szCs w:val="48"/>
          <w:lang w:val="en-US"/>
        </w:rPr>
        <w:t>Quantum Finance Employment Contract</w:t>
      </w:r>
    </w:p>
    <w:p w14:paraId="5F49F3B8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This Employment Agreement ("Agreement") is entered into as of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January 5, 2023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, by and between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Quantum Finance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, a financial consulting firm registered under the laws of the United Kingdom, and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Daniel Vega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>, hereinafter referred to as "Employee."</w:t>
      </w:r>
    </w:p>
    <w:p w14:paraId="02165A08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36"/>
          <w:szCs w:val="36"/>
          <w:lang w:val="en-US"/>
        </w:rPr>
        <w:t>1. Position and Duties</w:t>
      </w:r>
    </w:p>
    <w:p w14:paraId="416FBC18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The Employee shall be employed in the position of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Senior Financial Analyst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 and shall report directly to the Chief Financial Officer (CFO). The Employee's duties shall include, but are not limited to:</w:t>
      </w:r>
    </w:p>
    <w:p w14:paraId="035940E5">
      <w:pPr>
        <w:pStyle w:val="32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Conducting financial analysis and risk assessment on company investments.</w:t>
      </w:r>
    </w:p>
    <w:p w14:paraId="5EFE5FE7">
      <w:pPr>
        <w:pStyle w:val="32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Handling large transactions, offshore investment planning, and high-profile client portfolios.</w:t>
      </w:r>
    </w:p>
    <w:p w14:paraId="71BE944B">
      <w:pPr>
        <w:pStyle w:val="32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Ensuring compliance with financial regulations and company policies.</w:t>
      </w:r>
    </w:p>
    <w:p w14:paraId="244CAF87">
      <w:pPr>
        <w:pStyle w:val="32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Preparing quarterly and annual financial reports for executive review.</w:t>
      </w:r>
    </w:p>
    <w:p w14:paraId="242480AE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36"/>
          <w:szCs w:val="36"/>
          <w:lang w:val="en-US"/>
        </w:rPr>
        <w:t>2. Compensation and Benefits</w:t>
      </w:r>
    </w:p>
    <w:p w14:paraId="6DAC2B25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The Employee shall receive an annual salary of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£120,000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>, payable in monthly installments. The Employee shall also be entitled to:</w:t>
      </w:r>
    </w:p>
    <w:p w14:paraId="6F4794B7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Performance-based bonus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 (Up to 20% of annual salary)</w:t>
      </w:r>
    </w:p>
    <w:p w14:paraId="24B6C1E9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Stock options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 under the company’s financial incentive plan</w:t>
      </w:r>
    </w:p>
    <w:p w14:paraId="1FAE0C6C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Health insurance and pension contributions</w:t>
      </w:r>
    </w:p>
    <w:p w14:paraId="0BD7C24D">
      <w:pPr>
        <w:pStyle w:val="32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Reimbursement for business travel expenses</w:t>
      </w:r>
    </w:p>
    <w:p w14:paraId="42A9D2D0">
      <w:pPr>
        <w:pStyle w:val="32"/>
        <w:numPr>
          <w:numId w:val="0"/>
        </w:numPr>
        <w:spacing w:before="240" w:beforeAutospacing="0" w:after="240" w:afterAutospacing="0" w:line="279" w:lineRule="auto"/>
        <w:contextualSpacing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</w:p>
    <w:p w14:paraId="12DF59FA">
      <w:pPr>
        <w:pStyle w:val="32"/>
        <w:numPr>
          <w:numId w:val="0"/>
        </w:numPr>
        <w:spacing w:before="240" w:beforeAutospacing="0" w:after="240" w:afterAutospacing="0" w:line="279" w:lineRule="auto"/>
        <w:contextualSpacing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</w:p>
    <w:p w14:paraId="069AB910">
      <w:pPr>
        <w:pStyle w:val="32"/>
        <w:numPr>
          <w:numId w:val="0"/>
        </w:numPr>
        <w:spacing w:before="240" w:beforeAutospacing="0" w:after="240" w:afterAutospacing="0" w:line="279" w:lineRule="auto"/>
        <w:contextualSpacing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</w:p>
    <w:p w14:paraId="43B01E3E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36"/>
          <w:szCs w:val="36"/>
          <w:lang w:val="en-US"/>
        </w:rPr>
        <w:t>3. Confidentiality and Data Protection</w:t>
      </w:r>
    </w:p>
    <w:p w14:paraId="3C6C08F2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The Employee acknowledges that during the course of employment, he will have access to sensitive financial information, trade secrets, and confidential client data. The Employee agrees to:</w:t>
      </w:r>
    </w:p>
    <w:p w14:paraId="16742D08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Maintain strict confidentiality regarding company strategies and investment plans.</w:t>
      </w:r>
    </w:p>
    <w:p w14:paraId="42BDDF71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Not disclose, distribute, or misuse confidential information without prior written consent from the company.</w:t>
      </w:r>
    </w:p>
    <w:p w14:paraId="40348502">
      <w:pPr>
        <w:pStyle w:val="32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Comply with all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General Data Protection Regulation (GDPR)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 requirements regarding client data protection.</w:t>
      </w:r>
    </w:p>
    <w:p w14:paraId="5AC4E685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36"/>
          <w:szCs w:val="36"/>
          <w:lang w:val="en-US"/>
        </w:rPr>
        <w:t>4. Termination and Severance</w:t>
      </w:r>
    </w:p>
    <w:p w14:paraId="0F727206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This Agreement may be terminated by either party with a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60-day written notice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>. In the event of termination:</w:t>
      </w:r>
    </w:p>
    <w:p w14:paraId="337B2B1C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The Employee will be entitled to receive severance pay equivalent to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three months' salary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>.</w:t>
      </w:r>
    </w:p>
    <w:p w14:paraId="0015A825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The Employee shall return all company-owned assets, including laptops, mobile devices, and access credentials.</w:t>
      </w:r>
    </w:p>
    <w:p w14:paraId="57F46CAE">
      <w:pPr>
        <w:pStyle w:val="32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Any violation of the confidentiality clause will result in </w:t>
      </w: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legal action and forfeiture of severance benefits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>.</w:t>
      </w:r>
    </w:p>
    <w:p w14:paraId="45274BE4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24E84893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01F63C1A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515A8BC0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43DD9308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70070ECE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</w:p>
    <w:p w14:paraId="4226C168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36"/>
          <w:szCs w:val="36"/>
          <w:lang w:val="en-US"/>
        </w:rPr>
        <w:t>5. Acknowledgment and Agreement</w:t>
      </w:r>
    </w:p>
    <w:p w14:paraId="54CC5E41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sz w:val="24"/>
          <w:szCs w:val="24"/>
          <w:lang w:val="en-US"/>
        </w:rPr>
        <w:t>By signing this Agreement, the Employee acknowledges and agrees to abide by all terms and conditions stated herein.</w:t>
      </w:r>
    </w:p>
    <w:p w14:paraId="3F16D230">
      <w:p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Signatures:</w:t>
      </w:r>
    </w:p>
    <w:p w14:paraId="55A1EFB2">
      <w:p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bookmarkStart w:id="0" w:name="_GoBack"/>
      <w:bookmarkEnd w:id="0"/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2311400" cy="563880"/>
            <wp:effectExtent l="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EF29">
      <w:pPr>
        <w:spacing w:before="240" w:beforeAutospacing="0" w:after="240" w:afterAutospacing="0"/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</w:pPr>
    </w:p>
    <w:p w14:paraId="6109B39C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Quantum Finance HR Department</w:t>
      </w:r>
    </w:p>
    <w:p w14:paraId="1841F513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b/>
          <w:bCs/>
          <w:sz w:val="24"/>
          <w:szCs w:val="24"/>
          <w:lang w:val="en-US"/>
        </w:rPr>
        <w:t>Date:</w:t>
      </w:r>
      <w:r>
        <w:rPr>
          <w:rFonts w:hint="default" w:ascii="Calibri" w:hAnsi="Calibri" w:eastAsia="Aptos" w:cs="Calibri"/>
          <w:sz w:val="24"/>
          <w:szCs w:val="24"/>
          <w:lang w:val="en-US"/>
        </w:rPr>
        <w:t xml:space="preserve"> January 5, 2023</w:t>
      </w:r>
    </w:p>
    <w:p w14:paraId="6409884E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93BA3"/>
    <w:multiLevelType w:val="multilevel"/>
    <w:tmpl w:val="09A93B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ACE814C"/>
    <w:multiLevelType w:val="multilevel"/>
    <w:tmpl w:val="2ACE81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537D1AC"/>
    <w:multiLevelType w:val="multilevel"/>
    <w:tmpl w:val="3537D1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85F6154"/>
    <w:multiLevelType w:val="multilevel"/>
    <w:tmpl w:val="685F61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EBFD40"/>
    <w:rsid w:val="14FBE526"/>
    <w:rsid w:val="43A66DE0"/>
    <w:rsid w:val="5E27835D"/>
    <w:rsid w:val="63B4491F"/>
    <w:rsid w:val="67EBFD40"/>
    <w:rsid w:val="689F4587"/>
    <w:rsid w:val="77EA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2</TotalTime>
  <ScaleCrop>false</ScaleCrop>
  <LinksUpToDate>false</LinksUpToDate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2025-03-10T14:29:00Z</dcterms:created>
  <dc:creator>Khubab Ahmed</dc:creator>
  <cp:lastModifiedBy>Khubab Ahmed</cp:lastModifiedBy>
  <dcterms:modified xsi:type="dcterms:W3CDTF">2025-03-10T14:39:58Z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06482B646DE14D778187E442CFF33356_12</vt:lpwstr>
  </property>
</Properties>
</file>