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4"/>
        <w:ind w:left="7437" w:right="1085"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-76937</wp:posOffset>
            </wp:positionV>
            <wp:extent cx="2390775" cy="113347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90775" cy="1133475"/>
                    </a:xfrm>
                    <a:prstGeom prst="rect">
                      <a:avLst/>
                    </a:prstGeom>
                  </pic:spPr>
                </pic:pic>
              </a:graphicData>
            </a:graphic>
          </wp:anchor>
        </w:drawing>
      </w:r>
      <w:r>
        <w:rPr>
          <w:b/>
          <w:sz w:val="18"/>
        </w:rPr>
        <w:t>Press Office </w:t>
      </w:r>
      <w:r>
        <w:rPr>
          <w:sz w:val="18"/>
        </w:rPr>
        <w:t>Threadneedle Street London EC2R 8AH </w:t>
      </w:r>
      <w:r>
        <w:rPr>
          <w:b/>
          <w:sz w:val="18"/>
        </w:rPr>
        <w:t>T </w:t>
      </w:r>
      <w:r>
        <w:rPr>
          <w:sz w:val="18"/>
        </w:rPr>
        <w:t>020 7601</w:t>
      </w:r>
      <w:r>
        <w:rPr>
          <w:spacing w:val="-3"/>
          <w:sz w:val="18"/>
        </w:rPr>
        <w:t> </w:t>
      </w:r>
      <w:r>
        <w:rPr>
          <w:sz w:val="18"/>
        </w:rPr>
        <w:t>4411</w:t>
      </w:r>
    </w:p>
    <w:p>
      <w:pPr>
        <w:spacing w:before="1"/>
        <w:ind w:left="7437" w:right="0" w:firstLine="0"/>
        <w:jc w:val="left"/>
        <w:rPr>
          <w:sz w:val="18"/>
        </w:rPr>
      </w:pPr>
      <w:r>
        <w:rPr>
          <w:b/>
          <w:sz w:val="18"/>
        </w:rPr>
        <w:t>F </w:t>
      </w:r>
      <w:r>
        <w:rPr>
          <w:sz w:val="18"/>
        </w:rPr>
        <w:t>020 7601</w:t>
      </w:r>
      <w:r>
        <w:rPr>
          <w:spacing w:val="-7"/>
          <w:sz w:val="18"/>
        </w:rPr>
        <w:t> </w:t>
      </w:r>
      <w:r>
        <w:rPr>
          <w:sz w:val="18"/>
        </w:rPr>
        <w:t>5460</w:t>
      </w:r>
    </w:p>
    <w:p>
      <w:pPr>
        <w:spacing w:line="276" w:lineRule="auto" w:before="35"/>
        <w:ind w:left="7437" w:right="428"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5"/>
        <w:rPr>
          <w:sz w:val="17"/>
        </w:rPr>
      </w:pPr>
      <w:r>
        <w:rPr/>
        <w:pict>
          <v:group style="position:absolute;margin-left:50.52pt;margin-top:12.03748pt;width:488.4pt;height:1.45pt;mso-position-horizontal-relative:page;mso-position-vertical-relative:paragraph;z-index:-251658240;mso-wrap-distance-left:0;mso-wrap-distance-right:0" coordorigin="1010,241" coordsize="9768,29">
            <v:line style="position:absolute" from="1010,255" to="8229,255" stroked="true" strokeweight="1.44pt" strokecolor="#000000">
              <v:stroke dashstyle="solid"/>
            </v:line>
            <v:rect style="position:absolute;left:8214;top:240;width:29;height:29" filled="true" fillcolor="#000000" stroked="false">
              <v:fill type="solid"/>
            </v:rect>
            <v:line style="position:absolute" from="8244,255" to="10778,255" stroked="true" strokeweight="1.44pt" strokecolor="#000000">
              <v:stroke dashstyle="solid"/>
            </v:line>
            <w10:wrap type="topAndBottom"/>
          </v:group>
        </w:pict>
      </w:r>
    </w:p>
    <w:p>
      <w:pPr>
        <w:pStyle w:val="BodyText"/>
      </w:pPr>
    </w:p>
    <w:p>
      <w:pPr>
        <w:pStyle w:val="BodyText"/>
        <w:spacing w:before="9"/>
        <w:rPr>
          <w:sz w:val="16"/>
        </w:rPr>
      </w:pPr>
    </w:p>
    <w:p>
      <w:pPr>
        <w:spacing w:before="92"/>
        <w:ind w:left="233" w:right="0" w:firstLine="0"/>
        <w:jc w:val="left"/>
        <w:rPr>
          <w:sz w:val="24"/>
        </w:rPr>
      </w:pPr>
      <w:r>
        <w:rPr>
          <w:color w:val="6A709F"/>
          <w:sz w:val="24"/>
        </w:rPr>
        <w:t>5 July 2012</w:t>
      </w:r>
    </w:p>
    <w:p>
      <w:pPr>
        <w:pStyle w:val="BodyText"/>
        <w:spacing w:before="9"/>
        <w:rPr>
          <w:sz w:val="36"/>
        </w:rPr>
      </w:pPr>
    </w:p>
    <w:p>
      <w:pPr>
        <w:spacing w:line="295" w:lineRule="auto" w:before="0"/>
        <w:ind w:left="233" w:right="353" w:firstLine="0"/>
        <w:jc w:val="left"/>
        <w:rPr>
          <w:b/>
          <w:sz w:val="24"/>
        </w:rPr>
      </w:pPr>
      <w:r>
        <w:rPr>
          <w:b/>
          <w:sz w:val="24"/>
        </w:rPr>
        <w:t>Bank of England maintains Bank Rate at 0.5% and increases size of Asset Purchase Programme by £50 billion to £375 billion</w:t>
      </w:r>
    </w:p>
    <w:p>
      <w:pPr>
        <w:pStyle w:val="BodyText"/>
        <w:spacing w:before="5"/>
        <w:rPr>
          <w:b/>
          <w:sz w:val="30"/>
        </w:rPr>
      </w:pPr>
    </w:p>
    <w:p>
      <w:pPr>
        <w:pStyle w:val="BodyText"/>
        <w:spacing w:line="360" w:lineRule="auto"/>
        <w:ind w:left="233" w:right="623"/>
      </w:pPr>
      <w:r>
        <w:rPr/>
        <w:t>The Bank of England’s Monetary Policy Committee today voted to maintain the official Bank Rate paid on commercial bank reserves at 0.5%. The Committee also voted to increase the size of its asset purchase programme, financed by the issuance of central bank reserves, by £50 billion to a total of £375 billion.</w:t>
      </w:r>
    </w:p>
    <w:p>
      <w:pPr>
        <w:pStyle w:val="BodyText"/>
        <w:rPr>
          <w:sz w:val="30"/>
        </w:rPr>
      </w:pPr>
    </w:p>
    <w:p>
      <w:pPr>
        <w:pStyle w:val="BodyText"/>
        <w:spacing w:line="360" w:lineRule="auto"/>
        <w:ind w:left="233" w:right="108"/>
      </w:pPr>
      <w:r>
        <w:rPr/>
        <w:t>UK output has barely grown for a year and a half and is estimated to have fallen in both of the past two quarters. The pace of expansion in most of the United Kingdom’s main export markets also appears to have slowed. Business indicators point to a continuation of that weakness in the near term, both at home and abroad. In spite of the progress made at the latest European Council, concerns remain about the indebtedness and competitiveness of several euro-area economies, and that is weighing on confidence here. The correspondingly weaker outlook for UK output growth means that the margin of economic slack is likely to be greater and more</w:t>
      </w:r>
      <w:r>
        <w:rPr>
          <w:spacing w:val="-1"/>
        </w:rPr>
        <w:t> </w:t>
      </w:r>
      <w:r>
        <w:rPr/>
        <w:t>persistent.</w:t>
      </w:r>
    </w:p>
    <w:p>
      <w:pPr>
        <w:pStyle w:val="BodyText"/>
        <w:spacing w:before="1"/>
        <w:rPr>
          <w:sz w:val="30"/>
        </w:rPr>
      </w:pPr>
    </w:p>
    <w:p>
      <w:pPr>
        <w:pStyle w:val="BodyText"/>
        <w:spacing w:line="360" w:lineRule="auto"/>
        <w:ind w:left="233" w:right="108"/>
      </w:pPr>
      <w:r>
        <w:rPr/>
        <w:t>CPI inflation fell to 2.8% in May and is likely to edge down further in the near term. Commodity prices have fallen, which should help to moderate external price pressures. And pay growth remains subdued. Given the continuing drag from economic slack, that should ensure inflation continues to ease into the medium term.</w:t>
      </w:r>
    </w:p>
    <w:p>
      <w:pPr>
        <w:pStyle w:val="BodyText"/>
        <w:rPr>
          <w:sz w:val="30"/>
        </w:rPr>
      </w:pPr>
    </w:p>
    <w:p>
      <w:pPr>
        <w:pStyle w:val="BodyText"/>
        <w:spacing w:line="360" w:lineRule="auto"/>
        <w:ind w:left="233" w:right="174"/>
      </w:pPr>
      <w:r>
        <w:rPr/>
        <w:t>At its meeting today, the Committee agreed that the Funding for Lending Scheme, which would be launched shortly, was a welcome initiative. It also noted recent and prospective actions to ease liquidity constraints within the banking system. Taken together with reduced pressure on household real incomes, on the back of lower commodity prices, and the continued stimulus from past monetary policy actions, that should sustain a gradual strengthening of output growth.</w:t>
      </w:r>
    </w:p>
    <w:p>
      <w:pPr>
        <w:pStyle w:val="BodyText"/>
        <w:spacing w:before="2"/>
        <w:rPr>
          <w:sz w:val="30"/>
        </w:rPr>
      </w:pPr>
    </w:p>
    <w:p>
      <w:pPr>
        <w:pStyle w:val="BodyText"/>
        <w:spacing w:line="360" w:lineRule="auto"/>
        <w:ind w:left="233" w:right="353"/>
      </w:pPr>
      <w:r>
        <w:rPr/>
        <w:t>But against the background of continuing tight credit conditions and fiscal consolidation, the increased drag from the heightened tensions within the euro area meant that, without additional monetary stimulus, it was more likely than not that inflation would undershoot the target in the medium term. The Committee therefore voted to increase the size of its programme of asset purchases, financed by the issuance of central bank reserves, by £50 billion to a total of £375 billion. The Committee also voted to maintain Bank Rate at 0.5%.</w:t>
      </w:r>
    </w:p>
    <w:p>
      <w:pPr>
        <w:pStyle w:val="BodyText"/>
      </w:pPr>
    </w:p>
    <w:p>
      <w:pPr>
        <w:pStyle w:val="BodyText"/>
        <w:spacing w:before="6"/>
        <w:rPr>
          <w:sz w:val="25"/>
        </w:rPr>
      </w:pPr>
      <w:r>
        <w:rPr/>
        <w:pict>
          <v:group style="position:absolute;margin-left:56.664001pt;margin-top:16.657513pt;width:482.05pt;height:.25pt;mso-position-horizontal-relative:page;mso-position-vertical-relative:paragraph;z-index:-251657216;mso-wrap-distance-left:0;mso-wrap-distance-right:0" coordorigin="1133,333" coordsize="9641,5">
            <v:line style="position:absolute" from="1133,336" to="10207,336" stroked="true" strokeweight=".24005pt" strokecolor="#000000">
              <v:stroke dashstyle="solid"/>
            </v:line>
            <v:rect style="position:absolute;left:10207;top:333;width:5;height:5" filled="true" fillcolor="#000000" stroked="false">
              <v:fill type="solid"/>
            </v:rect>
            <v:line style="position:absolute" from="10212,336" to="10774,336" stroked="true" strokeweight=".24005pt" strokecolor="#000000">
              <v:stroke dashstyle="solid"/>
            </v:line>
            <w10:wrap type="topAndBottom"/>
          </v:group>
        </w:pict>
      </w:r>
    </w:p>
    <w:p>
      <w:pPr>
        <w:spacing w:after="0"/>
        <w:rPr>
          <w:sz w:val="25"/>
        </w:rPr>
        <w:sectPr>
          <w:footerReference w:type="default" r:id="rId5"/>
          <w:type w:val="continuous"/>
          <w:pgSz w:w="11910" w:h="16840"/>
          <w:pgMar w:footer="962" w:top="1100" w:bottom="1160" w:left="900" w:right="840"/>
        </w:sectPr>
      </w:pPr>
    </w:p>
    <w:p>
      <w:pPr>
        <w:pStyle w:val="BodyText"/>
        <w:spacing w:line="360" w:lineRule="auto" w:before="63"/>
        <w:ind w:left="233" w:right="428"/>
      </w:pPr>
      <w:r>
        <w:rPr/>
        <w:t>The Committee expects the announced programme of asset purchases to take four months to complete. The scale of the programme will be kept under review.</w:t>
      </w:r>
    </w:p>
    <w:p>
      <w:pPr>
        <w:pStyle w:val="BodyText"/>
        <w:rPr>
          <w:sz w:val="30"/>
        </w:rPr>
      </w:pPr>
    </w:p>
    <w:p>
      <w:pPr>
        <w:pStyle w:val="BodyText"/>
        <w:spacing w:line="722" w:lineRule="auto"/>
        <w:ind w:left="233" w:right="2890"/>
      </w:pPr>
      <w:r>
        <w:rPr/>
        <w:t>The minutes of the meeting will be published at 9.30am on Wednesday 18 July. ENDS</w:t>
      </w:r>
    </w:p>
    <w:p>
      <w:pPr>
        <w:pStyle w:val="BodyText"/>
        <w:rPr>
          <w:sz w:val="22"/>
        </w:rPr>
      </w:pPr>
    </w:p>
    <w:p>
      <w:pPr>
        <w:pStyle w:val="BodyText"/>
        <w:rPr>
          <w:sz w:val="22"/>
        </w:rPr>
      </w:pPr>
    </w:p>
    <w:p>
      <w:pPr>
        <w:spacing w:before="164"/>
        <w:ind w:left="233" w:right="0" w:firstLine="0"/>
        <w:jc w:val="left"/>
        <w:rPr>
          <w:b/>
          <w:sz w:val="20"/>
        </w:rPr>
      </w:pPr>
      <w:r>
        <w:rPr>
          <w:b/>
          <w:sz w:val="20"/>
          <w:u w:val="thick"/>
        </w:rPr>
        <w:t>Notes to Editors</w:t>
      </w:r>
    </w:p>
    <w:p>
      <w:pPr>
        <w:pStyle w:val="BodyText"/>
        <w:rPr>
          <w:b/>
          <w:sz w:val="12"/>
        </w:rPr>
      </w:pPr>
    </w:p>
    <w:p>
      <w:pPr>
        <w:pStyle w:val="BodyText"/>
        <w:spacing w:before="93"/>
        <w:ind w:left="233" w:right="428"/>
      </w:pPr>
      <w:r>
        <w:rPr/>
        <w:t>The previous change in Bank Rate was a reduction of 0.5 percentage points to 0.5% on 5 March 2009. A programme of asset purchases financed by the issuance of central bank reserves was initiated on 5 March 2009. The previous change in the size of that programme was an increase of £50 billion to a total of</w:t>
      </w:r>
    </w:p>
    <w:p>
      <w:pPr>
        <w:pStyle w:val="BodyText"/>
        <w:spacing w:before="2"/>
        <w:ind w:left="233"/>
      </w:pPr>
      <w:r>
        <w:rPr/>
        <w:t>£325 billion on 9 February 2012.</w:t>
      </w:r>
    </w:p>
    <w:p>
      <w:pPr>
        <w:pStyle w:val="BodyText"/>
        <w:spacing w:before="10"/>
        <w:rPr>
          <w:sz w:val="19"/>
        </w:rPr>
      </w:pPr>
    </w:p>
    <w:p>
      <w:pPr>
        <w:pStyle w:val="BodyText"/>
        <w:ind w:left="233"/>
      </w:pPr>
      <w:r>
        <w:rPr/>
        <w:t>Information on the Asset Purchase Facility can be found on the Bank of England website at </w:t>
      </w:r>
      <w:hyperlink r:id="rId10">
        <w:r>
          <w:rPr>
            <w:color w:val="0000FF"/>
            <w:u w:val="single" w:color="0000FF"/>
          </w:rPr>
          <w:t>http://www.bankofengland.co.uk/monetarypolicy/Pages/qe/default.aspx</w:t>
        </w:r>
        <w:r>
          <w:rPr>
            <w:color w:val="DE7900"/>
          </w:rPr>
          <w:t>.</w:t>
        </w:r>
      </w:hyperlink>
    </w:p>
    <w:p>
      <w:pPr>
        <w:pStyle w:val="BodyText"/>
        <w:rPr>
          <w:sz w:val="12"/>
        </w:rPr>
      </w:pPr>
    </w:p>
    <w:p>
      <w:pPr>
        <w:pStyle w:val="BodyText"/>
        <w:spacing w:before="93"/>
        <w:ind w:left="233" w:right="428"/>
      </w:pPr>
      <w:r>
        <w:rPr/>
        <w:t>Following today’s meeting of the MPC, the Governor and the Chancellor exchanged letters about the expansion of the Asset Purchase Facility. Those letters can be accessed using the links below.</w:t>
      </w:r>
    </w:p>
    <w:p>
      <w:pPr>
        <w:pStyle w:val="BodyText"/>
        <w:spacing w:before="10"/>
        <w:rPr>
          <w:sz w:val="19"/>
        </w:rPr>
      </w:pPr>
    </w:p>
    <w:p>
      <w:pPr>
        <w:pStyle w:val="BodyText"/>
        <w:ind w:left="233"/>
      </w:pPr>
      <w:hyperlink r:id="rId11">
        <w:r>
          <w:rPr>
            <w:color w:val="0000FF"/>
            <w:u w:val="single" w:color="0000FF"/>
          </w:rPr>
          <w:t>http:///www.bankofengland.co.uk/monetarypolicy/pdf/govletter120705.pdf</w:t>
        </w:r>
      </w:hyperlink>
    </w:p>
    <w:p>
      <w:pPr>
        <w:pStyle w:val="BodyText"/>
        <w:rPr>
          <w:sz w:val="12"/>
        </w:rPr>
      </w:pPr>
    </w:p>
    <w:p>
      <w:pPr>
        <w:pStyle w:val="BodyText"/>
        <w:spacing w:before="93"/>
        <w:ind w:left="233"/>
      </w:pPr>
      <w:hyperlink r:id="rId12">
        <w:r>
          <w:rPr>
            <w:color w:val="0000FF"/>
            <w:u w:val="single" w:color="0000FF"/>
          </w:rPr>
          <w:t>http://www.hm-treasury.gov.uk/d/chx_letter_050712.pdf</w:t>
        </w:r>
      </w:hyperlink>
    </w:p>
    <w:p>
      <w:pPr>
        <w:pStyle w:val="BodyText"/>
        <w:rPr>
          <w:sz w:val="12"/>
        </w:rPr>
      </w:pPr>
    </w:p>
    <w:p>
      <w:pPr>
        <w:pStyle w:val="BodyText"/>
        <w:spacing w:before="93"/>
        <w:ind w:left="233"/>
      </w:pPr>
      <w:hyperlink r:id="rId13">
        <w:r>
          <w:rPr>
            <w:color w:val="0000FF"/>
            <w:u w:val="single" w:color="0000FF"/>
          </w:rPr>
          <w:t>http://www.bankofengland.co.uk/markets/Documents/marketnotice120705.pdf</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9"/>
        </w:rPr>
      </w:pPr>
      <w:r>
        <w:rPr/>
        <w:pict>
          <v:shape style="position:absolute;margin-left:51.240002pt;margin-top:19.171663pt;width:492.85pt;height:.1pt;mso-position-horizontal-relative:page;mso-position-vertical-relative:paragraph;z-index:-251655168;mso-wrap-distance-left:0;mso-wrap-distance-right:0" coordorigin="1025,383" coordsize="9857,0" path="m1025,383l10882,383e" filled="false" stroked="true" strokeweight=".48004pt" strokecolor="#000000">
            <v:path arrowok="t"/>
            <v:stroke dashstyle="solid"/>
            <w10:wrap type="topAndBottom"/>
          </v:shape>
        </w:pict>
      </w:r>
    </w:p>
    <w:sectPr>
      <w:footerReference w:type="default" r:id="rId9"/>
      <w:pgSz w:w="11910" w:h="16840"/>
      <w:pgMar w:footer="962" w:header="0" w:top="1300" w:bottom="1160" w:left="9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1.063999pt;margin-top:782.799438pt;width:442.55pt;height:13.15pt;mso-position-horizontal-relative:page;mso-position-vertical-relative:page;z-index:-251793408" type="#_x0000_t202" filled="false" stroked="false">
          <v:textbox inset="0,0,0,0">
            <w:txbxContent>
              <w:p>
                <w:pPr>
                  <w:pStyle w:val="BodyText"/>
                  <w:spacing w:before="12"/>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5.664001pt;margin-top:782.799438pt;width:354.6pt;height:13.15pt;mso-position-horizontal-relative:page;mso-position-vertical-relative:page;z-index:-251792384" type="#_x0000_t202" filled="false" stroked="false">
          <v:textbox inset="0,0,0,0">
            <w:txbxContent>
              <w:p>
                <w:pPr>
                  <w:pStyle w:val="BodyText"/>
                  <w:spacing w:before="12"/>
                  <w:ind w:left="20"/>
                </w:pPr>
                <w:r>
                  <w:rPr/>
                  <w:t>All releases are available online at </w:t>
                </w:r>
                <w:hyperlink r:id="rId1">
                  <w:r>
                    <w:rPr/>
                    <w:t>www.bankofengland.co.uk/publications/news</w:t>
                  </w:r>
                </w:hyperlink>
              </w:p>
            </w:txbxContent>
          </v:textbox>
          <w10:wrap type="none"/>
        </v:shape>
      </w:pict>
    </w:r>
    <w:r>
      <w:rPr/>
      <w:pict>
        <v:shape style="position:absolute;margin-left:532.159973pt;margin-top:782.799438pt;width:7.55pt;height:13.15pt;mso-position-horizontal-relative:page;mso-position-vertical-relative:page;z-index:-251791360" type="#_x0000_t202" filled="false" stroked="false">
          <v:textbox inset="0,0,0,0">
            <w:txbxContent>
              <w:p>
                <w:pPr>
                  <w:pStyle w:val="BodyText"/>
                  <w:spacing w:before="12"/>
                  <w:ind w:left="20"/>
                </w:pPr>
                <w:r>
                  <w:rPr>
                    <w:w w:val="99"/>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 Id="rId10" Type="http://schemas.openxmlformats.org/officeDocument/2006/relationships/hyperlink" Target="http://www.bankofengland.co.uk/monetarypolicy/Pages/qe/default.aspx" TargetMode="External"/><Relationship Id="rId11" Type="http://schemas.openxmlformats.org/officeDocument/2006/relationships/hyperlink" Target="http://www.bankofengland.co.uk/monetarypolicy/pdf/govletter120705.pdf" TargetMode="External"/><Relationship Id="rId12" Type="http://schemas.openxmlformats.org/officeDocument/2006/relationships/hyperlink" Target="http://www.hm-treasury.gov.uk/d/chx_letter_050712.pdf" TargetMode="External"/><Relationship Id="rId13" Type="http://schemas.openxmlformats.org/officeDocument/2006/relationships/hyperlink" Target="http://www.bankofengland.co.uk/markets/Documents/marketnotice120705.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News Release</dc:subject>
  <dc:title>Bank of England maintains Bank Rate at 0.5% and increases size of Asset Purchase Programme by £50 billion to £375 billion</dc:title>
  <dcterms:created xsi:type="dcterms:W3CDTF">2020-06-02T21:53:03Z</dcterms:created>
  <dcterms:modified xsi:type="dcterms:W3CDTF">2020-06-02T21:53:03Z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2015-07-24T00:00:00Z</vt:filetime>
  </property>
  <property fmtid="{D5CDD505-2E9C-101B-9397-08002B2CF9AE}" pid="3" name="LastSaved">
    <vt:filetime>2020-06-02T00:00:00Z</vt:filetime>
  </property>
</Properties>
</file>