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4 September 2014</w:t>
      </w:r>
    </w:p>
    <w:p>
      <w:pPr>
        <w:pStyle w:val="BodyText"/>
        <w:spacing w:before="1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60" w:lineRule="auto"/>
        <w:ind w:left="232" w:right="421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billion, and so to reinvest the £14.4 billion of cash flows associated with the redemption of the September 2014 gilt held in the Asset Purchase Facility.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720" w:lineRule="auto"/>
        <w:ind w:left="232" w:right="1922"/>
      </w:pPr>
      <w:r>
        <w:rPr/>
        <w:t>The minutes of the meeting will be published at 9.30 a.m. on Wednesday 17 September. ENDS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before="92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line="229" w:lineRule="exact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16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232" w:right="933"/>
      </w:pPr>
      <w:r>
        <w:rPr/>
        <w:t>A market notice describing the reinvestment of the cash flows associated with the redemption of the September 2014 gilt held in the Asset Purchase Facility can be found at </w:t>
      </w:r>
      <w:hyperlink r:id="rId9">
        <w:r>
          <w:rPr>
            <w:color w:val="0000FF"/>
            <w:u w:val="single" w:color="0000FF"/>
          </w:rPr>
          <w:t>http://www.bankofengland.co.uk/markets/Documents/marketnotice140904.pdf</w:t>
        </w:r>
        <w:r>
          <w:rPr/>
          <w:t>.</w:t>
        </w:r>
      </w:hyperlink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  <w:r>
        <w:rPr/>
        <w:pict>
          <v:shape style="position:absolute;margin-left:56.639999pt;margin-top:16.268208pt;width:481.95pt;height:.1pt;mso-position-horizontal-relative:page;mso-position-vertical-relative:paragraph;z-index:-251657216;mso-wrap-distance-left:0;mso-wrap-distance-right:0" coordorigin="1133,325" coordsize="9639,0" path="m1133,325l10771,32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10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markets/Documents/marketnotice140904.pdf" TargetMode="External"/><Relationship Id="rId10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2020-06-02T21:53:26Z</dcterms:created>
  <dcterms:modified xsi:type="dcterms:W3CDTF">2020-06-02T21:53:26Z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