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1"/>
        </w:rPr>
      </w:pPr>
    </w:p>
    <w:p>
      <w:pPr>
        <w:spacing w:line="276" w:lineRule="auto" w:before="94"/>
        <w:ind w:left="7435" w:right="904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670560</wp:posOffset>
            </wp:positionH>
            <wp:positionV relativeFrom="paragraph">
              <wp:posOffset>-76950</wp:posOffset>
            </wp:positionV>
            <wp:extent cx="2390774" cy="1133473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4" cy="1133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Press Office </w:t>
      </w:r>
      <w:r>
        <w:rPr>
          <w:sz w:val="18"/>
        </w:rPr>
        <w:t>Threadneedle Street London EC2R 8AH </w:t>
      </w:r>
      <w:r>
        <w:rPr>
          <w:b/>
          <w:sz w:val="18"/>
        </w:rPr>
        <w:t>T </w:t>
      </w:r>
      <w:r>
        <w:rPr>
          <w:sz w:val="18"/>
        </w:rPr>
        <w:t>020 7601</w:t>
      </w:r>
      <w:r>
        <w:rPr>
          <w:spacing w:val="-4"/>
          <w:sz w:val="18"/>
        </w:rPr>
        <w:t> </w:t>
      </w:r>
      <w:r>
        <w:rPr>
          <w:sz w:val="18"/>
        </w:rPr>
        <w:t>4411</w:t>
      </w:r>
    </w:p>
    <w:p>
      <w:pPr>
        <w:spacing w:before="1"/>
        <w:ind w:left="7435" w:right="0" w:firstLine="0"/>
        <w:jc w:val="left"/>
        <w:rPr>
          <w:sz w:val="18"/>
        </w:rPr>
      </w:pPr>
      <w:r>
        <w:rPr>
          <w:b/>
          <w:sz w:val="18"/>
        </w:rPr>
        <w:t>F </w:t>
      </w:r>
      <w:r>
        <w:rPr>
          <w:sz w:val="18"/>
        </w:rPr>
        <w:t>020 7601</w:t>
      </w:r>
      <w:r>
        <w:rPr>
          <w:spacing w:val="-6"/>
          <w:sz w:val="18"/>
        </w:rPr>
        <w:t> </w:t>
      </w:r>
      <w:r>
        <w:rPr>
          <w:sz w:val="18"/>
        </w:rPr>
        <w:t>5460</w:t>
      </w:r>
    </w:p>
    <w:p>
      <w:pPr>
        <w:spacing w:line="276" w:lineRule="auto" w:before="35"/>
        <w:ind w:left="7435" w:right="250" w:firstLine="0"/>
        <w:jc w:val="left"/>
        <w:rPr>
          <w:sz w:val="18"/>
        </w:rPr>
      </w:pPr>
      <w:hyperlink r:id="rId6">
        <w:r>
          <w:rPr>
            <w:sz w:val="18"/>
          </w:rPr>
          <w:t>press@bankofengland.co.uk</w:t>
        </w:r>
      </w:hyperlink>
      <w:r>
        <w:rPr>
          <w:sz w:val="18"/>
        </w:rPr>
        <w:t> </w:t>
      </w:r>
      <w:hyperlink r:id="rId7">
        <w:r>
          <w:rPr>
            <w:sz w:val="18"/>
          </w:rPr>
          <w:t>www.bankofengland.co.uk</w:t>
        </w:r>
      </w:hyperlink>
    </w:p>
    <w:p>
      <w:pPr>
        <w:pStyle w:val="BodyText"/>
        <w:spacing w:before="5"/>
        <w:rPr>
          <w:sz w:val="17"/>
        </w:rPr>
      </w:pPr>
      <w:r>
        <w:rPr/>
        <w:pict>
          <v:group style="position:absolute;margin-left:50.52pt;margin-top:12.017481pt;width:488.3pt;height:1.45pt;mso-position-horizontal-relative:page;mso-position-vertical-relative:paragraph;z-index:-251658240;mso-wrap-distance-left:0;mso-wrap-distance-right:0" coordorigin="1010,240" coordsize="9766,29">
            <v:line style="position:absolute" from="1010,255" to="8227,255" stroked="true" strokeweight="1.44pt" strokecolor="#000000">
              <v:stroke dashstyle="solid"/>
            </v:line>
            <v:rect style="position:absolute;left:8212;top:240;width:29;height:29" filled="true" fillcolor="#000000" stroked="false">
              <v:fill type="solid"/>
            </v:rect>
            <v:line style="position:absolute" from="8242,255" to="10776,255" stroked="true" strokeweight="1.44pt" strokecolor="#000000">
              <v:stroke dashstyle="solid"/>
            </v:lin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9"/>
        <w:rPr>
          <w:sz w:val="16"/>
        </w:rPr>
      </w:pPr>
    </w:p>
    <w:p>
      <w:pPr>
        <w:spacing w:before="92"/>
        <w:ind w:left="232" w:right="0" w:firstLine="0"/>
        <w:jc w:val="left"/>
        <w:rPr>
          <w:sz w:val="24"/>
        </w:rPr>
      </w:pPr>
      <w:r>
        <w:rPr>
          <w:color w:val="6A719F"/>
          <w:sz w:val="24"/>
        </w:rPr>
        <w:t>5 June 2014</w:t>
      </w:r>
    </w:p>
    <w:p>
      <w:pPr>
        <w:pStyle w:val="BodyText"/>
        <w:spacing w:before="4"/>
        <w:rPr>
          <w:sz w:val="31"/>
        </w:rPr>
      </w:pPr>
    </w:p>
    <w:p>
      <w:pPr>
        <w:spacing w:line="360" w:lineRule="auto" w:before="0"/>
        <w:ind w:left="232" w:right="495" w:firstLine="0"/>
        <w:jc w:val="left"/>
        <w:rPr>
          <w:b/>
          <w:sz w:val="24"/>
        </w:rPr>
      </w:pPr>
      <w:r>
        <w:rPr>
          <w:b/>
          <w:sz w:val="24"/>
        </w:rPr>
        <w:t>Bank of England maintains Bank Rate at 0.5% and the size of the Asset Purchase Programme at £375 billion</w:t>
      </w: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spacing w:line="360" w:lineRule="auto"/>
        <w:ind w:left="232" w:right="250"/>
      </w:pPr>
      <w:r>
        <w:rPr/>
        <w:t>The Bank of England’s Monetary Policy Committee at its meeting today voted to maintain Bank Rate at 0.5%. The Committee also voted to maintain the stock of purchased assets financed by the issuance of central bank reserves at £375 billion.</w:t>
      </w:r>
    </w:p>
    <w:p>
      <w:pPr>
        <w:pStyle w:val="BodyText"/>
        <w:rPr>
          <w:sz w:val="30"/>
        </w:rPr>
      </w:pPr>
    </w:p>
    <w:p>
      <w:pPr>
        <w:pStyle w:val="BodyText"/>
        <w:ind w:left="232"/>
      </w:pPr>
      <w:r>
        <w:rPr/>
        <w:t>The minutes of the meeting will be published at 9.30 a.m. on Wednesday 18 June.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232"/>
      </w:pPr>
      <w:r>
        <w:rPr/>
        <w:t>ENDS</w:t>
      </w:r>
    </w:p>
    <w:p>
      <w:pPr>
        <w:pStyle w:val="BodyText"/>
        <w:rPr>
          <w:sz w:val="22"/>
        </w:rPr>
      </w:pPr>
    </w:p>
    <w:p>
      <w:pPr>
        <w:spacing w:before="127"/>
        <w:ind w:left="232" w:right="0" w:firstLine="0"/>
        <w:jc w:val="left"/>
        <w:rPr>
          <w:b/>
          <w:sz w:val="20"/>
        </w:rPr>
      </w:pPr>
      <w:r>
        <w:rPr>
          <w:b/>
          <w:sz w:val="20"/>
          <w:u w:val="thick"/>
        </w:rPr>
        <w:t>Notes to Editors</w:t>
      </w:r>
    </w:p>
    <w:p>
      <w:pPr>
        <w:pStyle w:val="BodyText"/>
        <w:spacing w:before="9"/>
        <w:rPr>
          <w:b/>
          <w:sz w:val="17"/>
        </w:rPr>
      </w:pPr>
    </w:p>
    <w:p>
      <w:pPr>
        <w:pStyle w:val="BodyText"/>
        <w:spacing w:before="93"/>
        <w:ind w:left="232"/>
      </w:pPr>
      <w:r>
        <w:rPr/>
        <w:t>The previous change in Bank Rate was a reduction of 0.5 percentage points to 0.5% on 5 March 2009. A programme of asset purchases financed by the issuance of central bank reserves was initiated on</w:t>
      </w:r>
    </w:p>
    <w:p>
      <w:pPr>
        <w:pStyle w:val="BodyText"/>
        <w:spacing w:line="229" w:lineRule="exact" w:before="1"/>
        <w:ind w:left="232"/>
      </w:pPr>
      <w:r>
        <w:rPr/>
        <w:t>5 March 2009. The previous change in the size of that programme was an increase of £50 billion to a total of</w:t>
      </w:r>
    </w:p>
    <w:p>
      <w:pPr>
        <w:pStyle w:val="BodyText"/>
        <w:spacing w:line="229" w:lineRule="exact"/>
        <w:ind w:left="232"/>
      </w:pPr>
      <w:r>
        <w:rPr/>
        <w:t>£375 billion on 5 July 2012.</w:t>
      </w:r>
    </w:p>
    <w:p>
      <w:pPr>
        <w:pStyle w:val="BodyText"/>
        <w:spacing w:before="1"/>
      </w:pPr>
    </w:p>
    <w:p>
      <w:pPr>
        <w:pStyle w:val="BodyText"/>
        <w:ind w:left="232" w:right="1688"/>
      </w:pPr>
      <w:r>
        <w:rPr/>
        <w:t>Information on the Asset Purchase Facility can be found on the Bank of England website at </w:t>
      </w:r>
      <w:hyperlink r:id="rId8">
        <w:r>
          <w:rPr>
            <w:color w:val="0000FF"/>
            <w:u w:val="single" w:color="0000FF"/>
          </w:rPr>
          <w:t>http://www.bankofengland.co.uk/monetarypolicy/Pages/qe/default.aspx</w:t>
        </w:r>
        <w:r>
          <w:rPr/>
          <w:t>.</w:t>
        </w:r>
      </w:hyperlink>
    </w:p>
    <w:p>
      <w:pPr>
        <w:pStyle w:val="BodyText"/>
        <w:rPr>
          <w:sz w:val="12"/>
        </w:rPr>
      </w:pPr>
    </w:p>
    <w:p>
      <w:pPr>
        <w:pStyle w:val="BodyText"/>
        <w:spacing w:before="93"/>
        <w:ind w:left="232" w:right="465"/>
      </w:pPr>
      <w:r>
        <w:rPr/>
        <w:t>The Bank will continue to offer to purchase high-quality private sector assets on behalf of the Treasury, financed by the issue of Treasury bills, in line with the arrangements announced on 29 January 2009 and 29 November 2011.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9"/>
        </w:rPr>
      </w:pPr>
      <w:r>
        <w:rPr/>
        <w:pict>
          <v:shape style="position:absolute;margin-left:56.639999pt;margin-top:19.167816pt;width:481.95pt;height:.1pt;mso-position-horizontal-relative:page;mso-position-vertical-relative:paragraph;z-index:-251657216;mso-wrap-distance-left:0;mso-wrap-distance-right:0" coordorigin="1133,383" coordsize="9639,0" path="m1133,383l10771,383e" filled="false" stroked="true" strokeweight=".2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9"/>
        </w:rPr>
      </w:pPr>
    </w:p>
    <w:p>
      <w:pPr>
        <w:pStyle w:val="BodyText"/>
        <w:spacing w:before="93"/>
        <w:ind w:left="340"/>
      </w:pPr>
      <w:r>
        <w:rPr/>
        <w:t>All releases are available online at </w:t>
      </w:r>
      <w:hyperlink r:id="rId9">
        <w:r>
          <w:rPr/>
          <w:t>www.bankofengland.co.uk/publications/Pages/news/default.aspx</w:t>
        </w:r>
      </w:hyperlink>
    </w:p>
    <w:sectPr>
      <w:type w:val="continuous"/>
      <w:pgSz w:w="11910" w:h="16840"/>
      <w:pgMar w:top="1100" w:bottom="280" w:left="9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gb" w:eastAsia="en-gb" w:bidi="en-gb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gb" w:eastAsia="en-gb" w:bidi="en-gb"/>
    </w:rPr>
  </w:style>
  <w:style w:styleId="ListParagraph" w:type="paragraph">
    <w:name w:val="List Paragraph"/>
    <w:basedOn w:val="Normal"/>
    <w:uiPriority w:val="1"/>
    <w:qFormat/>
    <w:pPr/>
    <w:rPr>
      <w:lang w:val="en-gb" w:eastAsia="en-gb" w:bidi="en-gb"/>
    </w:rPr>
  </w:style>
  <w:style w:styleId="TableParagraph" w:type="paragraph">
    <w:name w:val="Table Paragraph"/>
    <w:basedOn w:val="Normal"/>
    <w:uiPriority w:val="1"/>
    <w:qFormat/>
    <w:pPr/>
    <w:rPr>
      <w:lang w:val="en-gb" w:eastAsia="en-gb" w:bidi="en-gb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monetarypolicy/Pages/qe/default.aspx" TargetMode="External"/><Relationship Id="rId9" Type="http://schemas.openxmlformats.org/officeDocument/2006/relationships/hyperlink" Target="http://www.bankofengland.co.uk/publications/Pages/news/defaul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title>Bank of England maintains Bank Rate at 0.5% and the size of the Asset Purchase Programme at £375 billion</dc:title>
  <dcterms:created xsi:type="dcterms:W3CDTF">2020-06-02T21:53:33Z</dcterms:created>
  <dcterms:modified xsi:type="dcterms:W3CDTF">2020-06-02T21:53:33Z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2017-08-09T00:00:00Z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2020-06-02T00:00:00Z</vt:filetime>
  </property>
</Properties>
</file>