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5 May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 w:right="326"/>
      </w:pPr>
      <w:r>
        <w:rPr/>
        <w:t>The Committee's latest inflation and output projections will appear in the Inflation Report to be published at 10.30am on Wednesday 11 May.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18 May.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 w:before="1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9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56.664001pt;margin-top:12.925291pt;width:482.05pt;height:.1pt;mso-position-horizontal-relative:page;mso-position-vertical-relative:paragraph;z-index:-251657216;mso-wrap-distance-left:0;mso-wrap-distance-right:0" coordorigin="1133,259" coordsize="9641,0" path="m1133,259l10774,259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2020-06-02T21:54:17Z</dcterms:created>
  <dcterms:modified xsi:type="dcterms:W3CDTF">2020-06-02T21:54:17Z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LastSaved">
    <vt:filetime>2020-06-02T00:00:00Z</vt:filetime>
  </property>
</Properties>
</file>