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10 March 2011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3" w:right="481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3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233"/>
      </w:pPr>
      <w:r>
        <w:rPr/>
        <w:t>The minutes of the meeting will be published at 9.30am on Wednesday 23 March.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/>
        <w:ind w:left="233" w:right="153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4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/>
      </w:pPr>
      <w:r>
        <w:rPr/>
        <w:t>The Bank will continue to offer to purchase high-quality private sector assets on behalf of the</w:t>
      </w:r>
      <w:r>
        <w:rPr>
          <w:spacing w:val="-28"/>
        </w:rPr>
        <w:t> </w:t>
      </w:r>
      <w:r>
        <w:rPr/>
        <w:t>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64001pt;margin-top:18.64985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</dc:title>
  <dcterms:created xsi:type="dcterms:W3CDTF">2020-06-02T21:54:23Z</dcterms:created>
  <dcterms:modified xsi:type="dcterms:W3CDTF">2020-06-02T21:54:23Z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2014-08-19T00:00:00Z</vt:filetime>
  </property>
  <property fmtid="{D5CDD505-2E9C-101B-9397-08002B2CF9AE}" pid="3" name="LastSaved">
    <vt:filetime>2020-06-02T00:00:00Z</vt:filetime>
  </property>
</Properties>
</file>