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9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4 June 2009</w:t>
      </w:r>
    </w:p>
    <w:p>
      <w:pPr>
        <w:pStyle w:val="BodyText"/>
        <w:rPr>
          <w:sz w:val="26"/>
        </w:rPr>
      </w:pPr>
    </w:p>
    <w:p>
      <w:pPr>
        <w:spacing w:line="360" w:lineRule="auto" w:before="157"/>
        <w:ind w:left="233" w:right="16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continues with £125 Billion Asset Purchase Programme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60" w:lineRule="auto"/>
        <w:ind w:left="234" w:right="438"/>
      </w:pPr>
      <w:r>
        <w:rPr>
          <w:color w:val="404041"/>
        </w:rPr>
        <w:t>The Bank of England's Monetary Policy Committee today voted to maintain the official Bank Rate paid on commercial bank reserves at 0.5%. The Committee also voted to continue with its programme of asset purchases totalling £125 billion financed by the issuance of central bank reserves.</w:t>
      </w:r>
    </w:p>
    <w:p>
      <w:pPr>
        <w:pStyle w:val="BodyText"/>
        <w:spacing w:before="9"/>
      </w:pPr>
    </w:p>
    <w:p>
      <w:pPr>
        <w:pStyle w:val="BodyText"/>
        <w:spacing w:line="360" w:lineRule="auto" w:before="1"/>
        <w:ind w:left="234" w:right="121"/>
      </w:pPr>
      <w:r>
        <w:rPr>
          <w:color w:val="404041"/>
        </w:rPr>
        <w:t>The Committee expects that the announced programme will take another two months to complete. The scale of the programme will be kept under review.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17 June.</w:t>
      </w:r>
    </w:p>
    <w:p>
      <w:pPr>
        <w:pStyle w:val="BodyText"/>
        <w:rPr>
          <w:sz w:val="31"/>
        </w:rPr>
      </w:pPr>
    </w:p>
    <w:p>
      <w:pPr>
        <w:pStyle w:val="Heading1"/>
      </w:pPr>
      <w:r>
        <w:rPr>
          <w:color w:val="404041"/>
        </w:rPr>
        <w:t>Note to Editors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0.5 percentage points to 0.5% on 5 March 2009. A</w:t>
      </w:r>
    </w:p>
    <w:p>
      <w:pPr>
        <w:pStyle w:val="BodyText"/>
        <w:spacing w:line="360" w:lineRule="auto" w:before="116"/>
        <w:ind w:left="234" w:right="131"/>
      </w:pPr>
      <w:r>
        <w:rPr>
          <w:color w:val="404041"/>
        </w:rPr>
        <w:t>£75 billion programme of asset purchases financed by the issuance of central bank reserves was initiated on 5 March 2009. The programme was increased to a total of £125 billion on 7 May 2009.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Information on the Asset Purchase Facility can be found on the Bank of England website at</w:t>
      </w:r>
    </w:p>
    <w:p>
      <w:pPr>
        <w:spacing w:before="116"/>
        <w:ind w:left="234" w:right="0" w:firstLine="0"/>
        <w:jc w:val="left"/>
        <w:rPr>
          <w:b/>
          <w:sz w:val="20"/>
        </w:rPr>
      </w:pPr>
      <w:hyperlink r:id="rId8">
        <w:r>
          <w:rPr>
            <w:b/>
            <w:color w:val="DE7A00"/>
            <w:sz w:val="20"/>
          </w:rPr>
          <w:t>http://www.bankofengland.co.uk/monetarypolicy/assetpurchases.htm</w:t>
        </w:r>
      </w:hyperlink>
    </w:p>
    <w:p>
      <w:pPr>
        <w:pStyle w:val="BodyText"/>
        <w:spacing w:line="360" w:lineRule="auto" w:before="114"/>
        <w:ind w:left="234" w:right="965"/>
      </w:pPr>
      <w:r>
        <w:rPr>
          <w:color w:val="404041"/>
        </w:rPr>
        <w:t>Purchases of almost £80 billion have been made under this facility since its use for monetary policy purposes was first announced after the Committee's March meeting.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56.639999pt;margin-top:11.277759pt;width:482pt;height:.1pt;mso-position-horizontal-relative:page;mso-position-vertical-relative:paragraph;z-index:-251657216;mso-wrap-distance-left:0;mso-wrap-distance-right:0" coordorigin="1133,226" coordsize="9640,0" path="m1133,226l10772,226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234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continues with £125 Billion Asset Purchase Programme </dc:title>
  <dcterms:created xsi:type="dcterms:W3CDTF">2020-06-02T21:49:20Z</dcterms:created>
  <dcterms:modified xsi:type="dcterms:W3CDTF">2020-06-02T21:49:20Z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