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7 January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173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continues with £200 Billion Asset Purchase Programme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continue with its programme of asset purchases totalling £200 billion financed by the issuance of central bank reserves.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/>
        <w:ind w:left="234" w:right="542"/>
      </w:pPr>
      <w:r>
        <w:rPr/>
        <w:t>The Committee expects the announced programme to take another month to complete. The scale of the programme will be kept under review.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4"/>
      </w:pPr>
      <w:r>
        <w:rPr/>
        <w:t>The minutes of the meeting will be published at 9.30am on Wednesday 20 January.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sz w:val="20"/>
        </w:rPr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4" w:right="126"/>
      </w:pPr>
      <w:r>
        <w:rPr/>
        <w:t>Information on the Asset Purchase Facility can be found on the Bank of England website at </w:t>
      </w:r>
      <w:hyperlink r:id="rId8">
        <w:r>
          <w:rPr>
            <w:b/>
            <w:color w:val="E26C09"/>
          </w:rPr>
          <w:t>http://www.bankofengland.co.uk/markets/Pages/apf/default.aspx</w:t>
        </w:r>
        <w:r>
          <w:rPr/>
          <w:t>. </w:t>
        </w:r>
      </w:hyperlink>
      <w:r>
        <w:rPr/>
        <w:t>Purchases of £193 billion have been made under this facility since its use for monetary policy purposes was first announced after the Committee's March meeting.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39999pt;margin-top:18.644371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arkets/Pages/apf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continues with £200 Billion Asset Purchase Programme</dc:title>
  <dcterms:created xsi:type="dcterms:W3CDTF">2020-06-02T21:49:22Z</dcterms:created>
  <dcterms:modified xsi:type="dcterms:W3CDTF">2020-06-02T21:49:22Z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2013-12-20T00:00:00Z</vt:filetime>
  </property>
  <property fmtid="{D5CDD505-2E9C-101B-9397-08002B2CF9AE}" pid="3" name="LastSaved">
    <vt:filetime>2020-06-02T00:00:00Z</vt:filetime>
  </property>
</Properties>
</file>