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9"/>
        </w:rPr>
      </w:pPr>
    </w:p>
    <w:p>
      <w:pPr>
        <w:spacing w:line="273" w:lineRule="auto" w:before="94"/>
        <w:ind w:left="7004" w:right="866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961089</wp:posOffset>
            </wp:positionH>
            <wp:positionV relativeFrom="paragraph">
              <wp:posOffset>-71254</wp:posOffset>
            </wp:positionV>
            <wp:extent cx="2251294" cy="10711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294" cy="107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Press Office </w:t>
      </w:r>
      <w:r>
        <w:rPr>
          <w:sz w:val="17"/>
        </w:rPr>
        <w:t>Threadneedle</w:t>
      </w:r>
      <w:r>
        <w:rPr>
          <w:spacing w:val="-17"/>
          <w:sz w:val="17"/>
        </w:rPr>
        <w:t> </w:t>
      </w:r>
      <w:r>
        <w:rPr>
          <w:sz w:val="17"/>
        </w:rPr>
        <w:t>Street London EC2R 8AH </w:t>
      </w:r>
      <w:r>
        <w:rPr>
          <w:b/>
          <w:sz w:val="17"/>
        </w:rPr>
        <w:t>T </w:t>
      </w:r>
      <w:r>
        <w:rPr>
          <w:sz w:val="17"/>
        </w:rPr>
        <w:t>020 7601</w:t>
      </w:r>
      <w:r>
        <w:rPr>
          <w:spacing w:val="-7"/>
          <w:sz w:val="17"/>
        </w:rPr>
        <w:t> </w:t>
      </w:r>
      <w:r>
        <w:rPr>
          <w:sz w:val="17"/>
        </w:rPr>
        <w:t>4411</w:t>
      </w:r>
    </w:p>
    <w:p>
      <w:pPr>
        <w:spacing w:before="5"/>
        <w:ind w:left="7004" w:right="0" w:firstLine="0"/>
        <w:jc w:val="left"/>
        <w:rPr>
          <w:sz w:val="17"/>
        </w:rPr>
      </w:pPr>
      <w:r>
        <w:rPr>
          <w:b/>
          <w:sz w:val="17"/>
        </w:rPr>
        <w:t>F </w:t>
      </w:r>
      <w:r>
        <w:rPr>
          <w:sz w:val="17"/>
        </w:rPr>
        <w:t>020 7601</w:t>
      </w:r>
      <w:r>
        <w:rPr>
          <w:spacing w:val="-15"/>
          <w:sz w:val="17"/>
        </w:rPr>
        <w:t> </w:t>
      </w:r>
      <w:r>
        <w:rPr>
          <w:sz w:val="17"/>
        </w:rPr>
        <w:t>5460</w:t>
      </w:r>
    </w:p>
    <w:p>
      <w:pPr>
        <w:spacing w:line="273" w:lineRule="auto" w:before="27"/>
        <w:ind w:left="7004" w:right="0" w:firstLine="0"/>
        <w:jc w:val="left"/>
        <w:rPr>
          <w:sz w:val="17"/>
        </w:rPr>
      </w:pPr>
      <w:hyperlink r:id="rId6">
        <w:r>
          <w:rPr>
            <w:sz w:val="17"/>
          </w:rPr>
          <w:t>press@bankofengland.co.uk</w:t>
        </w:r>
      </w:hyperlink>
      <w:r>
        <w:rPr>
          <w:sz w:val="17"/>
        </w:rPr>
        <w:t> </w:t>
      </w:r>
      <w:hyperlink r:id="rId7">
        <w:r>
          <w:rPr>
            <w:sz w:val="17"/>
          </w:rPr>
          <w:t>www.bankofengland.co.uk</w:t>
        </w:r>
      </w:hyperlink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3.620003pt;margin-top:11.456047pt;width:459.45pt;height:1.4pt;mso-position-horizontal-relative:page;mso-position-vertical-relative:paragraph;z-index:-251658240;mso-wrap-distance-left:0;mso-wrap-distance-right:0" coordorigin="1472,229" coordsize="9189,28">
            <v:line style="position:absolute" from="1472,243" to="8262,243" stroked="true" strokeweight="1.37990pt" strokecolor="#000000">
              <v:stroke dashstyle="solid"/>
            </v:line>
            <v:line style="position:absolute" from="8249,243" to="10661,243" stroked="true" strokeweight="1.37990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color w:val="6A709F"/>
          <w:sz w:val="22"/>
        </w:rPr>
        <w:t>3 August 2006</w:t>
      </w:r>
    </w:p>
    <w:p>
      <w:pPr>
        <w:pStyle w:val="BodyText"/>
        <w:rPr>
          <w:sz w:val="30"/>
        </w:rPr>
      </w:pPr>
    </w:p>
    <w:p>
      <w:pPr>
        <w:spacing w:before="0"/>
        <w:ind w:left="227" w:right="0" w:firstLine="0"/>
        <w:jc w:val="left"/>
        <w:rPr>
          <w:b/>
          <w:sz w:val="22"/>
        </w:rPr>
      </w:pPr>
      <w:r>
        <w:rPr>
          <w:b/>
          <w:sz w:val="22"/>
        </w:rPr>
        <w:t>Bank of England Raises Bank Rate by 0.25 Percentage Points to</w:t>
      </w:r>
      <w:r>
        <w:rPr>
          <w:b/>
          <w:spacing w:val="54"/>
          <w:sz w:val="22"/>
        </w:rPr>
        <w:t> </w:t>
      </w:r>
      <w:r>
        <w:rPr>
          <w:b/>
          <w:sz w:val="22"/>
        </w:rPr>
        <w:t>4.75%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355" w:lineRule="auto" w:before="178"/>
        <w:ind w:left="227" w:right="729"/>
      </w:pPr>
      <w:r>
        <w:rPr/>
        <w:t>The Bank of England's Monetary Policy Committee today voted to raise the official Bank rate paid on commercial bank reserves by 0.25 percentage points to 4.75%.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55" w:lineRule="auto"/>
        <w:ind w:left="227" w:right="89"/>
      </w:pPr>
      <w:r>
        <w:rPr/>
        <w:t>The pace of economic activity has quickened in the past few months. Household spending appears to have recovered from its post-Christmas dip. Business investment growth and investment intentions have also picked up. In the United Kingdom 's main export markets growth has remained robust. As a result, over the past</w:t>
      </w:r>
      <w:r>
        <w:rPr>
          <w:spacing w:val="-8"/>
        </w:rPr>
        <w:t> </w:t>
      </w:r>
      <w:r>
        <w:rPr/>
        <w:t>few</w:t>
      </w:r>
      <w:r>
        <w:rPr>
          <w:spacing w:val="-10"/>
        </w:rPr>
        <w:t> </w:t>
      </w:r>
      <w:r>
        <w:rPr/>
        <w:t>quarters</w:t>
      </w:r>
      <w:r>
        <w:rPr>
          <w:spacing w:val="-8"/>
        </w:rPr>
        <w:t> </w:t>
      </w:r>
      <w:r>
        <w:rPr/>
        <w:t>GDP</w:t>
      </w:r>
      <w:r>
        <w:rPr>
          <w:spacing w:val="-8"/>
        </w:rPr>
        <w:t> </w:t>
      </w:r>
      <w:r>
        <w:rPr/>
        <w:t>growth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at,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little</w:t>
      </w:r>
      <w:r>
        <w:rPr>
          <w:spacing w:val="-9"/>
        </w:rPr>
        <w:t> </w:t>
      </w:r>
      <w:r>
        <w:rPr/>
        <w:t>above,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long-run</w:t>
      </w:r>
      <w:r>
        <w:rPr>
          <w:spacing w:val="-9"/>
        </w:rPr>
        <w:t> </w:t>
      </w:r>
      <w:r>
        <w:rPr/>
        <w:t>average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surveys</w:t>
      </w:r>
      <w:r>
        <w:rPr>
          <w:spacing w:val="-8"/>
        </w:rPr>
        <w:t> </w:t>
      </w:r>
      <w:r>
        <w:rPr/>
        <w:t>point to continued firm growth. The margin of spare capacity in the economy appears</w:t>
      </w:r>
      <w:r>
        <w:rPr>
          <w:spacing w:val="-37"/>
        </w:rPr>
        <w:t> </w:t>
      </w:r>
      <w:r>
        <w:rPr/>
        <w:t>small.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57" w:lineRule="auto"/>
        <w:ind w:left="227" w:right="173"/>
      </w:pPr>
      <w:r>
        <w:rPr/>
        <w:t>CPI inflation picked up to 2.5% in June, and is expected to remain above the 2.0% target for some while. Higher</w:t>
      </w:r>
      <w:r>
        <w:rPr>
          <w:spacing w:val="-9"/>
        </w:rPr>
        <w:t> </w:t>
      </w:r>
      <w:r>
        <w:rPr/>
        <w:t>energy</w:t>
      </w:r>
      <w:r>
        <w:rPr>
          <w:spacing w:val="-10"/>
        </w:rPr>
        <w:t> </w:t>
      </w:r>
      <w:r>
        <w:rPr/>
        <w:t>prices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led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greater</w:t>
      </w:r>
      <w:r>
        <w:rPr>
          <w:spacing w:val="-9"/>
        </w:rPr>
        <w:t> </w:t>
      </w:r>
      <w:r>
        <w:rPr/>
        <w:t>inflationary</w:t>
      </w:r>
      <w:r>
        <w:rPr>
          <w:spacing w:val="-8"/>
        </w:rPr>
        <w:t> </w:t>
      </w:r>
      <w:r>
        <w:rPr/>
        <w:t>pressures,</w:t>
      </w:r>
      <w:r>
        <w:rPr>
          <w:spacing w:val="-8"/>
        </w:rPr>
        <w:t> </w:t>
      </w:r>
      <w:r>
        <w:rPr/>
        <w:t>notwithstanding</w:t>
      </w:r>
      <w:r>
        <w:rPr>
          <w:spacing w:val="-10"/>
        </w:rPr>
        <w:t> </w:t>
      </w:r>
      <w:r>
        <w:rPr/>
        <w:t>muted</w:t>
      </w:r>
      <w:r>
        <w:rPr>
          <w:spacing w:val="-10"/>
        </w:rPr>
        <w:t> </w:t>
      </w:r>
      <w:r>
        <w:rPr/>
        <w:t>earnings</w:t>
      </w:r>
      <w:r>
        <w:rPr>
          <w:spacing w:val="-8"/>
        </w:rPr>
        <w:t> </w:t>
      </w:r>
      <w:r>
        <w:rPr/>
        <w:t>growth</w:t>
      </w:r>
      <w:r>
        <w:rPr>
          <w:spacing w:val="-10"/>
        </w:rPr>
        <w:t> </w:t>
      </w:r>
      <w:r>
        <w:rPr/>
        <w:t>and a</w:t>
      </w:r>
      <w:r>
        <w:rPr>
          <w:spacing w:val="-10"/>
        </w:rPr>
        <w:t> </w:t>
      </w:r>
      <w:r>
        <w:rPr/>
        <w:t>squeeze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profit</w:t>
      </w:r>
      <w:r>
        <w:rPr>
          <w:spacing w:val="-9"/>
        </w:rPr>
        <w:t> </w:t>
      </w:r>
      <w:r>
        <w:rPr/>
        <w:t>margins.</w:t>
      </w:r>
      <w:r>
        <w:rPr>
          <w:spacing w:val="-10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path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energy</w:t>
      </w:r>
      <w:r>
        <w:rPr>
          <w:spacing w:val="-8"/>
        </w:rPr>
        <w:t> </w:t>
      </w:r>
      <w:r>
        <w:rPr/>
        <w:t>prices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extremely</w:t>
      </w:r>
      <w:r>
        <w:rPr>
          <w:spacing w:val="-9"/>
        </w:rPr>
        <w:t> </w:t>
      </w:r>
      <w:r>
        <w:rPr/>
        <w:t>uncertain,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price</w:t>
      </w:r>
      <w:r>
        <w:rPr>
          <w:spacing w:val="-9"/>
        </w:rPr>
        <w:t> </w:t>
      </w:r>
      <w:r>
        <w:rPr/>
        <w:t>inflation is</w:t>
      </w:r>
      <w:r>
        <w:rPr>
          <w:spacing w:val="-6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moderate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medium</w:t>
      </w:r>
      <w:r>
        <w:rPr>
          <w:spacing w:val="-5"/>
        </w:rPr>
        <w:t> </w:t>
      </w:r>
      <w:r>
        <w:rPr/>
        <w:t>term.</w:t>
      </w:r>
      <w:r>
        <w:rPr>
          <w:spacing w:val="-5"/>
        </w:rPr>
        <w:t> </w:t>
      </w:r>
      <w:r>
        <w:rPr/>
        <w:t>But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recovery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profit</w:t>
      </w:r>
      <w:r>
        <w:rPr>
          <w:spacing w:val="-5"/>
        </w:rPr>
        <w:t> </w:t>
      </w:r>
      <w:r>
        <w:rPr/>
        <w:t>margins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pay</w:t>
      </w:r>
      <w:r>
        <w:rPr>
          <w:spacing w:val="-6"/>
        </w:rPr>
        <w:t> </w:t>
      </w:r>
      <w:r>
        <w:rPr/>
        <w:t>growth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likely</w:t>
      </w:r>
      <w:r>
        <w:rPr>
          <w:spacing w:val="-8"/>
        </w:rPr>
        <w:t> </w:t>
      </w:r>
      <w:r>
        <w:rPr/>
        <w:t>to mean that consumer price inflation will move only gradually back to the</w:t>
      </w:r>
      <w:r>
        <w:rPr>
          <w:spacing w:val="-21"/>
        </w:rPr>
        <w:t> </w:t>
      </w:r>
      <w:r>
        <w:rPr/>
        <w:t>target.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55" w:lineRule="auto"/>
        <w:ind w:left="227"/>
      </w:pPr>
      <w:r>
        <w:rPr/>
        <w:t>Against the background of firm growth, limited spare capacity, rapid growth of broad money and credit, and with</w:t>
      </w:r>
      <w:r>
        <w:rPr>
          <w:spacing w:val="-9"/>
        </w:rPr>
        <w:t> </w:t>
      </w:r>
      <w:r>
        <w:rPr/>
        <w:t>inflation</w:t>
      </w:r>
      <w:r>
        <w:rPr>
          <w:spacing w:val="-8"/>
        </w:rPr>
        <w:t> </w:t>
      </w:r>
      <w:r>
        <w:rPr/>
        <w:t>likely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remain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while,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Committee</w:t>
      </w:r>
      <w:r>
        <w:rPr>
          <w:spacing w:val="-8"/>
        </w:rPr>
        <w:t> </w:t>
      </w:r>
      <w:r>
        <w:rPr/>
        <w:t>judged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0.25 percentage</w:t>
      </w:r>
      <w:r>
        <w:rPr>
          <w:spacing w:val="-6"/>
        </w:rPr>
        <w:t> </w:t>
      </w:r>
      <w:r>
        <w:rPr/>
        <w:t>points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official</w:t>
      </w:r>
      <w:r>
        <w:rPr>
          <w:spacing w:val="-7"/>
        </w:rPr>
        <w:t> </w:t>
      </w:r>
      <w:r>
        <w:rPr/>
        <w:t>Bank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4.75%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bring</w:t>
      </w:r>
      <w:r>
        <w:rPr>
          <w:spacing w:val="-7"/>
        </w:rPr>
        <w:t> </w:t>
      </w:r>
      <w:r>
        <w:rPr/>
        <w:t>CPI</w:t>
      </w:r>
      <w:r>
        <w:rPr>
          <w:spacing w:val="-5"/>
        </w:rPr>
        <w:t> </w:t>
      </w:r>
      <w:r>
        <w:rPr/>
        <w:t>inflation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/>
        <w:t>in the medium</w:t>
      </w:r>
      <w:r>
        <w:rPr>
          <w:spacing w:val="-3"/>
        </w:rPr>
        <w:t> </w:t>
      </w:r>
      <w:r>
        <w:rPr/>
        <w:t>term.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57" w:lineRule="auto"/>
        <w:ind w:left="227"/>
      </w:pPr>
      <w:r>
        <w:rPr/>
        <w:t>The</w:t>
      </w:r>
      <w:r>
        <w:rPr>
          <w:spacing w:val="-9"/>
        </w:rPr>
        <w:t> </w:t>
      </w:r>
      <w:r>
        <w:rPr/>
        <w:t>Committee's</w:t>
      </w:r>
      <w:r>
        <w:rPr>
          <w:spacing w:val="-8"/>
        </w:rPr>
        <w:t> </w:t>
      </w:r>
      <w:r>
        <w:rPr/>
        <w:t>latest</w:t>
      </w:r>
      <w:r>
        <w:rPr>
          <w:spacing w:val="-10"/>
        </w:rPr>
        <w:t> </w:t>
      </w:r>
      <w:r>
        <w:rPr/>
        <w:t>inflation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projections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appear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Inflation</w:t>
      </w:r>
      <w:r>
        <w:rPr>
          <w:spacing w:val="-7"/>
        </w:rPr>
        <w:t> </w:t>
      </w:r>
      <w:r>
        <w:rPr/>
        <w:t>Report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on Wednesday 9</w:t>
      </w:r>
      <w:r>
        <w:rPr>
          <w:spacing w:val="-3"/>
        </w:rPr>
        <w:t> </w:t>
      </w:r>
      <w:r>
        <w:rPr/>
        <w:t>August.</w:t>
      </w:r>
    </w:p>
    <w:p>
      <w:pPr>
        <w:pStyle w:val="BodyText"/>
        <w:rPr>
          <w:sz w:val="28"/>
        </w:rPr>
      </w:pPr>
    </w:p>
    <w:p>
      <w:pPr>
        <w:pStyle w:val="BodyText"/>
        <w:ind w:left="227"/>
      </w:pPr>
      <w:r>
        <w:rPr/>
        <w:t>The minutes of the meeting will be published at 9.30am on Wednesday 16 August.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227" w:right="0" w:firstLine="0"/>
        <w:jc w:val="left"/>
        <w:rPr>
          <w:b/>
          <w:sz w:val="19"/>
        </w:rPr>
      </w:pPr>
      <w:r>
        <w:rPr>
          <w:b/>
          <w:sz w:val="19"/>
        </w:rPr>
        <w:t>Note to Editors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before="1"/>
        <w:ind w:left="227"/>
      </w:pPr>
      <w:r>
        <w:rPr/>
        <w:t>The previous change in interest rates was a reduction of 0.25 percentage points to 4.5% on 4 August 2005.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79.320pt;margin-top:8.519958pt;width:453.45pt;height:.1pt;mso-position-horizontal-relative:page;mso-position-vertical-relative:paragraph;z-index:-251657216;mso-wrap-distance-left:0;mso-wrap-distance-right:0" coordorigin="1586,170" coordsize="9069,0" path="m1586,170l10655,170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93"/>
        <w:ind w:left="328"/>
      </w:pP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2240" w:h="15840"/>
      <w:pgMar w:top="1060" w:bottom="280" w:left="13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Raises Bank Rate by 0.25 Percentage Points to 4.75%</dc:title>
  <dcterms:created xsi:type="dcterms:W3CDTF">2020-06-02T21:50:16Z</dcterms:created>
  <dcterms:modified xsi:type="dcterms:W3CDTF">2020-06-02T21:50:16Z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