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11 January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Raises Bank Rate by 0.25 Percentage Points to 5.25%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3"/>
        <w:ind w:left="234" w:right="760"/>
      </w:pPr>
      <w:r>
        <w:rPr>
          <w:color w:val="404041"/>
        </w:rPr>
        <w:t>The Bank of England's Monetary Policy Committee today voted to raise the official Bank Rate paid on commercial bank reserves by 0.25 percentage points to 5.25%.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234" w:right="476"/>
      </w:pPr>
      <w:r>
        <w:rPr>
          <w:color w:val="404041"/>
        </w:rPr>
        <w:t>In the United Kingdom, output continues to rise at a firm pace. Domestic demand has grown steadily and credit and broad money growth remain rapid. The international economy continues to grow strongly.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234"/>
      </w:pPr>
      <w:r>
        <w:rPr>
          <w:color w:val="404041"/>
        </w:rPr>
        <w:t>Sterling has risen and oil prices have fallen back. But the margin of spare capacity in the economy appears limited, adding to domestic pricing pressures. CPI inflation was 2.7% in November. It is likely that inflation will rise further above the target in the near term, but then fall back as energy and import price inflation abate.</w:t>
      </w:r>
    </w:p>
    <w:p>
      <w:pPr>
        <w:pStyle w:val="BodyText"/>
        <w:spacing w:line="229" w:lineRule="exact"/>
        <w:ind w:left="234"/>
      </w:pPr>
      <w:r>
        <w:rPr>
          <w:color w:val="404041"/>
        </w:rPr>
        <w:t>Relative to the November Inflation Report, the risks to inflation now appear more to the upside.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0" w:lineRule="auto"/>
        <w:ind w:left="234" w:right="286"/>
      </w:pPr>
      <w:r>
        <w:rPr>
          <w:color w:val="404041"/>
        </w:rPr>
        <w:t>Against that background, the Committee judged that an increase in Bank Rate of 0.25 percentage points to 5.25% was necessary to bring CPI inflation back to the target in the medium term.</w:t>
      </w:r>
    </w:p>
    <w:p>
      <w:pPr>
        <w:pStyle w:val="BodyText"/>
        <w:spacing w:before="10"/>
      </w:pPr>
    </w:p>
    <w:p>
      <w:pPr>
        <w:pStyle w:val="BodyText"/>
        <w:spacing w:before="1"/>
        <w:ind w:left="234"/>
      </w:pPr>
      <w:r>
        <w:rPr>
          <w:color w:val="404041"/>
        </w:rPr>
        <w:t>The minutes of the meeting will be published at 9.30am on Wednesday 24 January.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60" w:lineRule="auto"/>
        <w:ind w:left="234" w:right="687"/>
      </w:pPr>
      <w:r>
        <w:rPr>
          <w:color w:val="404041"/>
        </w:rPr>
        <w:t>The previous change in Bank Rate was an increase of 0.25 percentage points to 5.0% on 9 November 2006.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  <w:r>
        <w:rPr/>
        <w:pict>
          <v:shape style="position:absolute;margin-left:56.639999pt;margin-top:14.753754pt;width:482pt;height:.1pt;mso-position-horizontal-relative:page;mso-position-vertical-relative:paragraph;z-index:-251657216;mso-wrap-distance-left:0;mso-wrap-distance-right:0" coordorigin="1133,295" coordsize="9640,0" path="m1133,295l10772,295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Raises Bank Rate by 0.25 Percentage Points to 5.25% </dc:title>
  <dcterms:created xsi:type="dcterms:W3CDTF">2020-06-02T21:50:20Z</dcterms:created>
  <dcterms:modified xsi:type="dcterms:W3CDTF">2020-06-02T21:50:20Z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