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8 January 2009</w:t>
      </w:r>
    </w:p>
    <w:p>
      <w:pPr>
        <w:pStyle w:val="BodyText"/>
        <w:rPr>
          <w:sz w:val="26"/>
        </w:rPr>
      </w:pPr>
    </w:p>
    <w:p>
      <w:pPr>
        <w:spacing w:before="157"/>
        <w:ind w:left="234" w:right="0" w:firstLine="0"/>
        <w:jc w:val="left"/>
        <w:rPr>
          <w:b/>
          <w:sz w:val="24"/>
        </w:rPr>
      </w:pPr>
      <w:r>
        <w:rPr>
          <w:b/>
          <w:sz w:val="24"/>
        </w:rPr>
        <w:t>Bank of England Reduces Bank Rate by 0.5 Percentage Points to 1.5%</w:t>
      </w:r>
    </w:p>
    <w:p>
      <w:pPr>
        <w:pStyle w:val="BodyText"/>
        <w:rPr>
          <w:b/>
          <w:sz w:val="26"/>
        </w:rPr>
      </w:pPr>
    </w:p>
    <w:p>
      <w:pPr>
        <w:pStyle w:val="BodyText"/>
        <w:spacing w:line="360" w:lineRule="auto" w:before="183"/>
        <w:ind w:left="234" w:right="582"/>
      </w:pPr>
      <w:r>
        <w:rPr>
          <w:color w:val="404041"/>
        </w:rPr>
        <w:t>The Bank of England's Monetary Policy Committee today voted to reduce the official Bank Rate paid on commercial bank reserves by 0.5 percentage points to 1.5%.</w:t>
      </w:r>
    </w:p>
    <w:p>
      <w:pPr>
        <w:pStyle w:val="BodyText"/>
        <w:spacing w:before="10"/>
      </w:pPr>
    </w:p>
    <w:p>
      <w:pPr>
        <w:pStyle w:val="BodyText"/>
        <w:spacing w:line="360" w:lineRule="auto"/>
        <w:ind w:left="234"/>
      </w:pPr>
      <w:r>
        <w:rPr>
          <w:color w:val="404041"/>
        </w:rPr>
        <w:t>The world economy appears to be undergoing an unusually sharp and synchronised downturn. Measures of business and consumer confidence have fallen markedly. World trade growth this year is likely to be the weakest for some considerable time.</w:t>
      </w:r>
    </w:p>
    <w:p>
      <w:pPr>
        <w:pStyle w:val="BodyText"/>
        <w:spacing w:before="9"/>
      </w:pPr>
    </w:p>
    <w:p>
      <w:pPr>
        <w:pStyle w:val="BodyText"/>
        <w:spacing w:line="360" w:lineRule="auto"/>
        <w:ind w:left="234" w:right="131"/>
      </w:pPr>
      <w:r>
        <w:rPr>
          <w:color w:val="404041"/>
        </w:rPr>
        <w:t>In the United Kingdom, business surveys suggest that the pace of contraction in activity increased during the fourth quarter of 2008 and that output is likely to continue to fall sharply during the first part of this year.</w:t>
      </w:r>
    </w:p>
    <w:p>
      <w:pPr>
        <w:pStyle w:val="BodyText"/>
        <w:spacing w:line="360" w:lineRule="auto"/>
        <w:ind w:left="234" w:right="142"/>
      </w:pPr>
      <w:r>
        <w:rPr>
          <w:color w:val="404041"/>
        </w:rPr>
        <w:t>Surveys of retailers and reports from the Bank's regional Agents imply that consumer spending has weakened.</w:t>
      </w:r>
      <w:r>
        <w:rPr>
          <w:color w:val="404041"/>
          <w:spacing w:val="-4"/>
        </w:rPr>
        <w:t> </w:t>
      </w:r>
      <w:r>
        <w:rPr>
          <w:color w:val="404041"/>
        </w:rPr>
        <w:t>The</w:t>
      </w:r>
      <w:r>
        <w:rPr>
          <w:color w:val="404041"/>
          <w:spacing w:val="-3"/>
        </w:rPr>
        <w:t> </w:t>
      </w:r>
      <w:r>
        <w:rPr>
          <w:color w:val="404041"/>
        </w:rPr>
        <w:t>outlook</w:t>
      </w:r>
      <w:r>
        <w:rPr>
          <w:color w:val="404041"/>
          <w:spacing w:val="-3"/>
        </w:rPr>
        <w:t> </w:t>
      </w:r>
      <w:r>
        <w:rPr>
          <w:color w:val="404041"/>
        </w:rPr>
        <w:t>for</w:t>
      </w:r>
      <w:r>
        <w:rPr>
          <w:color w:val="404041"/>
          <w:spacing w:val="-3"/>
        </w:rPr>
        <w:t> </w:t>
      </w:r>
      <w:r>
        <w:rPr>
          <w:color w:val="404041"/>
        </w:rPr>
        <w:t>business</w:t>
      </w:r>
      <w:r>
        <w:rPr>
          <w:color w:val="404041"/>
          <w:spacing w:val="-3"/>
        </w:rPr>
        <w:t> </w:t>
      </w:r>
      <w:r>
        <w:rPr>
          <w:color w:val="404041"/>
        </w:rPr>
        <w:t>and</w:t>
      </w:r>
      <w:r>
        <w:rPr>
          <w:color w:val="404041"/>
          <w:spacing w:val="-4"/>
        </w:rPr>
        <w:t> </w:t>
      </w:r>
      <w:r>
        <w:rPr>
          <w:color w:val="404041"/>
        </w:rPr>
        <w:t>residential</w:t>
      </w:r>
      <w:r>
        <w:rPr>
          <w:color w:val="404041"/>
          <w:spacing w:val="-3"/>
        </w:rPr>
        <w:t> </w:t>
      </w:r>
      <w:r>
        <w:rPr>
          <w:color w:val="404041"/>
        </w:rPr>
        <w:t>investment</w:t>
      </w:r>
      <w:r>
        <w:rPr>
          <w:color w:val="404041"/>
          <w:spacing w:val="-3"/>
        </w:rPr>
        <w:t> </w:t>
      </w:r>
      <w:r>
        <w:rPr>
          <w:color w:val="404041"/>
        </w:rPr>
        <w:t>has</w:t>
      </w:r>
      <w:r>
        <w:rPr>
          <w:color w:val="404041"/>
          <w:spacing w:val="-4"/>
        </w:rPr>
        <w:t> </w:t>
      </w:r>
      <w:r>
        <w:rPr>
          <w:color w:val="404041"/>
        </w:rPr>
        <w:t>deteriorated.</w:t>
      </w:r>
      <w:r>
        <w:rPr>
          <w:color w:val="404041"/>
          <w:spacing w:val="-3"/>
        </w:rPr>
        <w:t> </w:t>
      </w:r>
      <w:r>
        <w:rPr>
          <w:color w:val="404041"/>
        </w:rPr>
        <w:t>And</w:t>
      </w:r>
      <w:r>
        <w:rPr>
          <w:color w:val="404041"/>
          <w:spacing w:val="-4"/>
        </w:rPr>
        <w:t> </w:t>
      </w:r>
      <w:r>
        <w:rPr>
          <w:color w:val="404041"/>
        </w:rPr>
        <w:t>the</w:t>
      </w:r>
      <w:r>
        <w:rPr>
          <w:color w:val="404041"/>
          <w:spacing w:val="-3"/>
        </w:rPr>
        <w:t> </w:t>
      </w:r>
      <w:r>
        <w:rPr>
          <w:color w:val="404041"/>
        </w:rPr>
        <w:t>availability</w:t>
      </w:r>
      <w:r>
        <w:rPr>
          <w:color w:val="404041"/>
          <w:spacing w:val="-3"/>
        </w:rPr>
        <w:t> </w:t>
      </w:r>
      <w:r>
        <w:rPr>
          <w:color w:val="404041"/>
        </w:rPr>
        <w:t>of</w:t>
      </w:r>
      <w:r>
        <w:rPr>
          <w:color w:val="404041"/>
          <w:spacing w:val="-4"/>
        </w:rPr>
        <w:t> </w:t>
      </w:r>
      <w:r>
        <w:rPr>
          <w:color w:val="404041"/>
        </w:rPr>
        <w:t>credit to both households and businesses has tightened further, pointing to the need for further measures to increase the flow of lending to the non-financial sector. But the substantial depreciation in sterling over recent months may help to moderate the impact on UK net exports of the slowdown in global</w:t>
      </w:r>
      <w:r>
        <w:rPr>
          <w:color w:val="404041"/>
          <w:spacing w:val="-31"/>
        </w:rPr>
        <w:t> </w:t>
      </w:r>
      <w:r>
        <w:rPr>
          <w:color w:val="404041"/>
        </w:rPr>
        <w:t>growth.</w:t>
      </w:r>
    </w:p>
    <w:p>
      <w:pPr>
        <w:pStyle w:val="BodyText"/>
        <w:spacing w:before="11"/>
      </w:pPr>
    </w:p>
    <w:p>
      <w:pPr>
        <w:pStyle w:val="BodyText"/>
        <w:spacing w:line="360" w:lineRule="auto"/>
        <w:ind w:left="234" w:right="109"/>
      </w:pPr>
      <w:r>
        <w:rPr>
          <w:color w:val="404041"/>
        </w:rPr>
        <w:t>CPI inflation fell to 4.1% in November. Inflation is expected to fall further, reflecting waning contributions from retail energy and food prices and the direct impact of the temporary reduction in Value Added Tax. Measures of inflation expectations have come down. And pay growth remains subdued. But the depreciation in sterling will boost the cost of imports.</w:t>
      </w:r>
    </w:p>
    <w:p>
      <w:pPr>
        <w:pStyle w:val="BodyText"/>
        <w:spacing w:before="10"/>
      </w:pPr>
    </w:p>
    <w:p>
      <w:pPr>
        <w:pStyle w:val="BodyText"/>
        <w:spacing w:line="360" w:lineRule="auto"/>
        <w:ind w:left="234" w:right="143"/>
      </w:pPr>
      <w:r>
        <w:rPr>
          <w:color w:val="404041"/>
        </w:rPr>
        <w:t>At its January meeting, the Committee noted that the recent easing in monetary and fiscal policy, the substantial fall in sterling and the prospective decline in inflation would together provide a considerable stimulus to activity as the year progressed. Nevertheless, the Committee judged that, looking through the volatility in inflation associated with the movements in Value Added Tax, there remained a significant risk of undershooting the 2% CPI inflation target in the medium term at the existing level of Bank Rate. Accordingly, the Committee concluded that a further reduction in Bank Rate of 0.5 percentage points to 1.5% was necessary to meet the target in the medium term.</w:t>
      </w:r>
    </w:p>
    <w:p>
      <w:pPr>
        <w:pStyle w:val="BodyText"/>
        <w:spacing w:before="10"/>
      </w:pPr>
    </w:p>
    <w:p>
      <w:pPr>
        <w:pStyle w:val="BodyText"/>
        <w:ind w:left="234"/>
      </w:pPr>
      <w:r>
        <w:rPr>
          <w:color w:val="404041"/>
        </w:rPr>
        <w:t>The minutes of the meeting will be published at 9.30am on Wednesday 21 January.</w:t>
      </w:r>
    </w:p>
    <w:p>
      <w:pPr>
        <w:spacing w:after="0"/>
        <w:sectPr>
          <w:footerReference w:type="default" r:id="rId5"/>
          <w:type w:val="continuous"/>
          <w:pgSz w:w="11900" w:h="16840"/>
          <w:pgMar w:footer="1126" w:top="1120" w:bottom="1320" w:left="900" w:right="1020"/>
        </w:sectPr>
      </w:pPr>
    </w:p>
    <w:p>
      <w:pPr>
        <w:spacing w:before="83"/>
        <w:ind w:left="234" w:right="0" w:firstLine="0"/>
        <w:jc w:val="left"/>
        <w:rPr>
          <w:b/>
          <w:sz w:val="20"/>
        </w:rPr>
      </w:pPr>
      <w:r>
        <w:rPr>
          <w:b/>
          <w:color w:val="404041"/>
          <w:sz w:val="20"/>
        </w:rPr>
        <w:t>Notes to Editors</w:t>
      </w:r>
    </w:p>
    <w:p>
      <w:pPr>
        <w:pStyle w:val="BodyText"/>
        <w:spacing w:before="9"/>
        <w:rPr>
          <w:b/>
          <w:sz w:val="30"/>
        </w:rPr>
      </w:pPr>
    </w:p>
    <w:p>
      <w:pPr>
        <w:pStyle w:val="BodyText"/>
        <w:ind w:left="234"/>
      </w:pPr>
      <w:r>
        <w:rPr>
          <w:color w:val="404041"/>
        </w:rPr>
        <w:t>The previous change in Bank Rate was a reduction of 1.0 percentage points to 2.0% on 4 December 2008.</w:t>
      </w:r>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0160"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39136"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38112"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37088"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36064"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0.5 Percentage Points to 1.5% </dc:title>
  <dcterms:created xsi:type="dcterms:W3CDTF">2020-06-02T21:50:34Z</dcterms:created>
  <dcterms:modified xsi:type="dcterms:W3CDTF">2020-06-02T21:50:34Z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2013-09-04T00:00:00Z</vt:filetime>
  </property>
  <property fmtid="{D5CDD505-2E9C-101B-9397-08002B2CF9AE}" pid="3" name="Creator">
    <vt:lpwstr>PScript5.dll Version 5.2.2</vt:lpwstr>
  </property>
  <property fmtid="{D5CDD505-2E9C-101B-9397-08002B2CF9AE}" pid="4" name="LastSaved">
    <vt:filetime>2020-06-02T00:00:00Z</vt:filetime>
  </property>
</Properties>
</file>