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74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8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10 November 2011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1187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size of Asset Purchase Programme at £275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 w:before="1"/>
        <w:ind w:left="233"/>
      </w:pPr>
      <w:r>
        <w:rPr/>
        <w:t>The Bank of England’s Monetary Policy Committee today voted to maintain the official Bank Rate paid on commercial bank reserves at 0.5%. The Committee also voted to continue with its programme of asset purchases totalling £275 billion financed by the issuance of central bank reserves.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3"/>
      </w:pPr>
      <w:r>
        <w:rPr/>
        <w:t>The Committee expects the announced programme to take another three months to complete. The scale of the programme will be kept under review.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/>
        <w:ind w:left="233"/>
      </w:pPr>
      <w:r>
        <w:rPr/>
        <w:t>The Committee’s latest inflation and output projections will appear in the Inflation Report to be published at 10.30am on Wednesday 16 November.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before="1"/>
        <w:ind w:left="233"/>
      </w:pPr>
      <w:r>
        <w:rPr/>
        <w:t>The minutes of the meeting will be published at 9.30am on Wednesday 23 November.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line="360" w:lineRule="auto" w:before="1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£75 billion to a total of £275 billion on 6 October 2011.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233"/>
      </w:pPr>
      <w:r>
        <w:rPr/>
        <w:t>Information on the Asset Purchase Facility can be found on the Bank of England website at</w:t>
      </w:r>
    </w:p>
    <w:p>
      <w:pPr>
        <w:spacing w:before="113"/>
        <w:ind w:left="233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233" w:right="494"/>
      </w:pPr>
      <w:r>
        <w:rPr/>
        <w:t>The Bank will continue to offer to purchase high-quality private sector assets on behalf of the Treasury, financed by the issue of Treasury bills, in line with the arrangements announced on 29 January</w:t>
      </w:r>
      <w:r>
        <w:rPr>
          <w:spacing w:val="-25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42pt" to="538.684001pt,-6.850142pt" stroked="true" strokeweight=".24005pt" strokecolor="#000000">
            <v:stroke dashstyle="solid"/>
            <w10:wrap type="none"/>
          </v:line>
        </w:pict>
      </w:r>
      <w:r>
        <w:rPr/>
        <w:t>All releases are available online at</w:t>
      </w:r>
      <w:r>
        <w:rPr>
          <w:spacing w:val="-26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size of Asset Purchase Programme at £275 billion</dc:title>
  <dcterms:created xsi:type="dcterms:W3CDTF">2020-06-02T21:49:26Z</dcterms:created>
  <dcterms:modified xsi:type="dcterms:W3CDTF">2020-06-02T21:49:26Z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LastSaved">
    <vt:filetime>2020-06-02T00:00:00Z</vt:filetime>
  </property>
</Properties>
</file>