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6F9F"/>
          <w:sz w:val="24"/>
        </w:rPr>
        <w:t>5 September 2013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360" w:lineRule="auto"/>
        <w:ind w:left="233" w:right="248"/>
      </w:pPr>
      <w:r>
        <w:rPr/>
        <w:t>The Bank of England’s Monetary Policy Committee at its meeting on 4 September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/>
        <w:ind w:left="233" w:right="554"/>
      </w:pPr>
      <w:r>
        <w:rPr/>
        <w:t>The Committee reached its decisions in the context of the monetary policy forward guidance announced alongside the publication of the August 2013 Inflation Report.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60" w:lineRule="auto"/>
        <w:ind w:left="233" w:right="248"/>
      </w:pPr>
      <w:r>
        <w:rPr/>
        <w:t>Also in the context of that guidance, the Committee agreed to reinvest the £1.9 billion of cash flows associated with the redemption of the September 2013 gilt held in the Asset Purchase Facility.</w:t>
      </w:r>
    </w:p>
    <w:p>
      <w:pPr>
        <w:pStyle w:val="BodyText"/>
        <w:rPr>
          <w:sz w:val="30"/>
        </w:rPr>
      </w:pPr>
    </w:p>
    <w:p>
      <w:pPr>
        <w:pStyle w:val="BodyText"/>
        <w:spacing w:line="720" w:lineRule="auto"/>
        <w:ind w:left="233" w:right="2088"/>
      </w:pPr>
      <w:r>
        <w:rPr/>
        <w:t>The minutes of the meeting will be published at 9.30am on Wednesday 18 September. ENDS</w:t>
      </w:r>
    </w:p>
    <w:p>
      <w:pPr>
        <w:spacing w:line="228" w:lineRule="exact" w:before="0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8" w:lineRule="exact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ind w:left="233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3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233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3"/>
        <w:ind w:left="233"/>
      </w:pPr>
      <w:r>
        <w:rPr/>
        <w:t>A market notice describing the reinvestment of the cash flows associated with the redemption of the September 2013 gilt held in the Asset Purchase facility can be found at </w:t>
      </w:r>
      <w:hyperlink r:id="rId10">
        <w:r>
          <w:rPr>
            <w:color w:val="0000FF"/>
            <w:u w:val="single" w:color="0000FF"/>
          </w:rPr>
          <w:t>http://www.bankofengland.co.uk/markets/Documents/marketnotice130905.pdf</w:t>
        </w:r>
        <w:r>
          <w:rPr/>
          <w:t>.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3"/>
        <w:ind w:left="233" w:right="282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6.664001pt;margin-top:14.528234pt;width:482.05pt;height:.1pt;mso-position-horizontal-relative:page;mso-position-vertical-relative:paragraph;z-index:-251657216;mso-wrap-distance-left:0;mso-wrap-distance-right:0" coordorigin="1133,291" coordsize="9641,0" path="m1133,291l10774,291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11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markets/Documents/marketnotice130905.pdf" TargetMode="External"/><Relationship Id="rId11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2020-06-02T21:49:36Z</dcterms:created>
  <dcterms:modified xsi:type="dcterms:W3CDTF">2020-06-02T21:49:36Z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