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 August 2013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ind w:left="233"/>
      </w:pPr>
      <w:r>
        <w:rPr/>
        <w:t>The Committee’s latest inflation and output projections will appear in the Inflation Report to be published at</w:t>
      </w:r>
    </w:p>
    <w:p>
      <w:pPr>
        <w:pStyle w:val="BodyText"/>
        <w:spacing w:line="360" w:lineRule="auto" w:before="116"/>
        <w:ind w:left="233" w:right="248"/>
      </w:pPr>
      <w:r>
        <w:rPr/>
        <w:t>10.30 on Wednesday 7 August. As previously announced, the Committee will also respond to the Chancellor’s request for its assessment of the use of thresholds and forward guidance at that time.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722" w:lineRule="auto"/>
        <w:ind w:left="233" w:right="2443"/>
      </w:pPr>
      <w:r>
        <w:rPr/>
        <w:t>The minutes of the meeting will be published at 9.30am on Wednesday 14 August. ENDS</w:t>
      </w:r>
    </w:p>
    <w:p>
      <w:pPr>
        <w:spacing w:before="109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Chancellor’s latest remit for the MPC, issued on 20 March 2013, can be found at </w:t>
      </w:r>
      <w:hyperlink r:id="rId8">
        <w:r>
          <w:rPr>
            <w:color w:val="0000FF"/>
            <w:w w:val="95"/>
            <w:u w:val="single" w:color="0000FF"/>
          </w:rPr>
          <w:t>https://www.gov.uk/government/uploads/system/uploads/attachment_data/file/185552/chx_letter_to_boe_mo</w:t>
        </w:r>
      </w:hyperlink>
      <w:r>
        <w:rPr>
          <w:color w:val="0000FF"/>
          <w:w w:val="95"/>
        </w:rPr>
        <w:t> </w:t>
      </w:r>
      <w:hyperlink r:id="rId8">
        <w:r>
          <w:rPr>
            <w:color w:val="0000FF"/>
            <w:u w:val="single" w:color="0000FF"/>
          </w:rPr>
          <w:t>netary_policy_framework_200313.pdf.pdf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3"/>
      </w:pPr>
      <w:r>
        <w:rPr/>
        <w:t>£375 billion on 5 July 2012.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3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33" w:right="120"/>
      </w:pPr>
      <w:r>
        <w:rPr/>
        <w:t>In order to accommodate the Governor’s attendance at the G20 Summit on 5-6 September in St. Petersburg, the MPC’s policy meeting scheduled for 4-5 September will take place on 3-4 September. The decision will still be announced at the originally scheduled time of 12.00 on 5 September.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6.664001pt;margin-top:16.795214pt;width:482.05pt;height:.1pt;mso-position-horizontal-relative:page;mso-position-vertical-relative:paragraph;z-index:-251657216;mso-wrap-distance-left:0;mso-wrap-distance-right:0" coordorigin="1133,336" coordsize="9641,0" path="m1133,336l10774,336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s://www.gov.uk/government/uploads/system/uploads/attachment_data/file/185552/chx_letter_to_boe_monetary_policy_framework_200313.pdf.pdf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2020-06-02T21:49:37Z</dcterms:created>
  <dcterms:modified xsi:type="dcterms:W3CDTF">2020-06-02T21:49:37Z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