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July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3 AND 4 JULY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July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http://www.bankofengland.co.uk/publications/minutes/Pages/mpc/pdf/2013/mpc1307.aspx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31 July and 1 August will be published on 14 August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3 AND 4 JULY 2013</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95" w:firstLine="0"/>
        <w:jc w:val="left"/>
        <w:rPr>
          <w:sz w:val="24"/>
        </w:rPr>
      </w:pPr>
      <w:r>
        <w:rPr>
          <w:sz w:val="24"/>
        </w:rPr>
        <w:t>Volatility had picked up sharply in financial markets, and there had been falls in the prices of many risky assets and marked rises in short and longer-term interest rates, as participants sought to interpret comments by policymakers about the future stance of US monetary policy and the prospects for an easing in the rate of asset purchases by the Federal Open Market Committee</w:t>
      </w:r>
      <w:r>
        <w:rPr>
          <w:spacing w:val="-9"/>
          <w:sz w:val="24"/>
        </w:rPr>
        <w:t> </w:t>
      </w:r>
      <w:r>
        <w:rPr>
          <w:sz w:val="24"/>
        </w:rPr>
        <w:t>(FOMC).</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The paths implied by market instruments for policy rates in many advanced economies had moved up sharply. Rates on overnight index swaps (OIS) three years forward had risen by around three quarters of a percentage point in the United Kingdom, and by a little more in the United States, compared with their levels at the time of the May </w:t>
      </w:r>
      <w:r>
        <w:rPr>
          <w:i/>
          <w:sz w:val="24"/>
        </w:rPr>
        <w:t>Inflation Report. </w:t>
      </w:r>
      <w:r>
        <w:rPr>
          <w:sz w:val="24"/>
        </w:rPr>
        <w:t>OIS rates were consistent with the first rise in policy rates in the United States and United Kingdom occurring in the middle of 2015, compared, in the case of the United Kingdom, with a date towards the end of 2016 derived from OIS rates as recently as April. Measures of implied interest rate volatility had picked up, albeit from historically low levels. The results of the Thomson Reuters survey of economists’ expectations of the UK monetary policy stance had been more stable than market-derived measures in recent months and the bulk of respondents were not expecting a change in the Committee’s asset purchase programme at this meeting. In contrast to moves in interest rates, the sterling effective exchange rate index had changed little on the</w:t>
      </w:r>
      <w:r>
        <w:rPr>
          <w:spacing w:val="-1"/>
          <w:sz w:val="24"/>
        </w:rPr>
        <w:t> </w:t>
      </w:r>
      <w:r>
        <w:rPr>
          <w:sz w:val="24"/>
        </w:rPr>
        <w:t>month.</w:t>
      </w:r>
    </w:p>
    <w:p>
      <w:pPr>
        <w:pStyle w:val="BodyText"/>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Longer-term government bond yields had also risen, to levels similar to those that had prevailed towards the end of 2011; these were nonetheless still very low in absolute terms. From their trough in early May, ten-year US Treasury yields had increased by over 90 basis points, although they had fallen back a little towards the end of June. UK government bond yields had risen by a similar</w:t>
      </w:r>
      <w:r>
        <w:rPr>
          <w:spacing w:val="-14"/>
          <w:sz w:val="24"/>
        </w:rPr>
        <w:t> </w:t>
      </w:r>
      <w:r>
        <w:rPr>
          <w:sz w:val="24"/>
        </w:rPr>
        <w:t>amount,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90"/>
      </w:pPr>
      <w:r>
        <w:rPr/>
        <w:t>while German government bond yields had risen by somewhat less. The spreads on Spanish and Italian government bond yields over equivalent German yields had widened modestly. Portuguese </w:t>
      </w:r>
      <w:r>
        <w:rPr>
          <w:spacing w:val="-4"/>
        </w:rPr>
        <w:t>and </w:t>
      </w:r>
      <w:r>
        <w:rPr/>
        <w:t>Greek bond spreads had widened more sharply, in part related to heightened political uncertainty in those countries.</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rise in UK longer-term rates could be understood if, for example, UK gilts</w:t>
      </w:r>
      <w:r>
        <w:rPr>
          <w:spacing w:val="-17"/>
          <w:sz w:val="24"/>
        </w:rPr>
        <w:t> </w:t>
      </w:r>
      <w:r>
        <w:rPr>
          <w:sz w:val="24"/>
        </w:rPr>
        <w:t>and</w:t>
      </w:r>
    </w:p>
    <w:p>
      <w:pPr>
        <w:pStyle w:val="BodyText"/>
        <w:spacing w:line="360" w:lineRule="auto" w:before="138"/>
        <w:ind w:left="113"/>
      </w:pPr>
      <w:r>
        <w:rPr/>
        <w:t>US Treasuries were viewed by market participants as good substitutes. But the rise in UK short-term interest rates, which were more reflective of expected policy rates, was surprising. UK developments, while broadly positive, had not been enough to warrant such an upward move in the near-term path of Bank Rate.</w:t>
      </w:r>
    </w:p>
    <w:p>
      <w:pPr>
        <w:pStyle w:val="BodyText"/>
      </w:pPr>
    </w:p>
    <w:p>
      <w:pPr>
        <w:pStyle w:val="ListParagraph"/>
        <w:numPr>
          <w:ilvl w:val="0"/>
          <w:numId w:val="1"/>
        </w:numPr>
        <w:tabs>
          <w:tab w:pos="681" w:val="left" w:leader="none"/>
          <w:tab w:pos="682" w:val="left" w:leader="none"/>
        </w:tabs>
        <w:spacing w:line="360" w:lineRule="auto" w:before="0" w:after="0"/>
        <w:ind w:left="113" w:right="158" w:firstLine="0"/>
        <w:jc w:val="left"/>
        <w:rPr>
          <w:sz w:val="24"/>
        </w:rPr>
      </w:pPr>
      <w:r>
        <w:rPr>
          <w:sz w:val="24"/>
        </w:rPr>
        <w:t>Prices of risky assets had generally fallen on the month and, according to market intelligence, particularly so in markets where leveraged investors had sought to liquidate long positions, such as emerging market debt and equity, and US mortgage-backed securities. Many emerging market economies had experienced sharp falls in their exchange rates and stock markets. Advanced-economy equity markets had performed somewhat better. US equity prices had risen slightly, although the FTSE All-Share index had fallen by 2.5% and the Euro Stoxx 300 index by just over 4%. Measures of bank funding costs had picked up somewhat. There had been a temporary spike during the month in Chinese interbank interest rates, apparently related in part to a temporary shortage of</w:t>
      </w:r>
      <w:r>
        <w:rPr>
          <w:spacing w:val="-18"/>
          <w:sz w:val="24"/>
        </w:rPr>
        <w:t> </w:t>
      </w:r>
      <w:r>
        <w:rPr>
          <w:sz w:val="24"/>
        </w:rPr>
        <w:t>liquidity.</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focus of financial markets had been on monetary policy prospects in the United States. The real-economy news there had been mixed, but predominantly to the downside. US GDP growth in Q1 had been revised down to 0.4% from 0.6%, with household spending growth looking to have been less resilient than previously thought to the increase in taxes at the beginning of the year. The weaker path for consumption growth had persisted into April and May, and it was likely that GDP growth in Q2 would be a little weaker than in Q1. The signal from the June PMIs was consistent with this, with a rise in the manufacturing index, and a fall in the non-manufacturing index. The activity and new orders sub-indices for the non-manufacturing sector had fallen sharply, partly offset by a material rise in the employment sub-index. Although FOMC participants had made small further downward revisions to their projections for US GDP growth this year, the broader underpinnings of the</w:t>
      </w:r>
      <w:r>
        <w:rPr>
          <w:spacing w:val="-30"/>
          <w:sz w:val="24"/>
        </w:rPr>
        <w:t> </w:t>
      </w:r>
      <w:r>
        <w:rPr>
          <w:sz w:val="24"/>
        </w:rPr>
        <w:t>recovery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839"/>
      </w:pPr>
      <w:r>
        <w:rPr/>
        <w:t>in activity were still in place, with measures of consumer confidence at a five-year high, further evidence of a recovery in the housing market, and a slowly improving job 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Data on the euro-area conjuncture released during the month had been mildly encouraging and it was likely that, following six successive quarters of contraction, activity would stabilise or even expand slightly in Q2. There had been increases in both the services and manufacturing PMIs, the latter to a 16 month high, with a notable pickup in indices for Spain, France and Italy. Indicators of consumer confidence had risen. Nonetheless, with further rises in unemployment in many economies, it would take considerable time before activity in the euro area returned to more normal</w:t>
      </w:r>
      <w:r>
        <w:rPr>
          <w:spacing w:val="-13"/>
          <w:sz w:val="24"/>
        </w:rPr>
        <w:t> </w:t>
      </w:r>
      <w:r>
        <w:rPr>
          <w:sz w:val="24"/>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The durability and extent of any return to growth in the euro area would depend on the successful implementation of measures to facilitate the orderly reduction of public and external debt in the periphery to more sustainable levels. Political developments in Portugal and Greece on the month, with changes in the composition of the governments of both, were indicative of the strain this process was placing on these countries. Set against that, there had been further progress on the banking sector aspects of rebalancing. The European Council had agreed a draft directive on banking resolution and recovery, and euro-area governments had finalised the conditions for any deployment of funds from the European Stability Mechanism to support individual euro-area banks. Over the summer, the European Commission would also make proposals regarding the operation of a Single Resolution Mechanism for banks in Member States participating in the banking</w:t>
      </w:r>
      <w:r>
        <w:rPr>
          <w:spacing w:val="-12"/>
          <w:sz w:val="24"/>
        </w:rPr>
        <w:t> </w:t>
      </w:r>
      <w:r>
        <w:rPr>
          <w:sz w:val="24"/>
        </w:rPr>
        <w:t>union.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Indicators of activity in the largest emerging economies had, on balance, been disappointing over the month. Data on Chinese industrial production had remained weak, and PMIs in a number of large Asian emerging markets had fallen back. It was particularly difficult to gauge the likely growth of supply capacity in these economies over the medium term and it was possible that the weakening conjuncture reflected in part a gradual re-evaluation by households and businesses of the success of structural reforms in raising future incomes and rebalancing demand. Partly as a consequence of this slowing, there had been falls in the prices of many industrial metals and agricultural commodities on the month. Oil prices had been more resilient, rising slightly, perhaps partly in response to increased political tensions in the Middle</w:t>
      </w:r>
      <w:r>
        <w:rPr>
          <w:spacing w:val="-5"/>
          <w:sz w:val="24"/>
        </w:rPr>
        <w:t> </w:t>
      </w:r>
      <w:r>
        <w:rPr>
          <w:sz w:val="24"/>
        </w:rPr>
        <w:t>East.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56" w:firstLine="0"/>
        <w:jc w:val="left"/>
        <w:rPr>
          <w:sz w:val="24"/>
        </w:rPr>
      </w:pPr>
      <w:r>
        <w:rPr>
          <w:sz w:val="24"/>
        </w:rPr>
        <w:t>The release of data consistent with the 2013 </w:t>
      </w:r>
      <w:r>
        <w:rPr>
          <w:i/>
          <w:sz w:val="24"/>
        </w:rPr>
        <w:t>Blue Book </w:t>
      </w:r>
      <w:r>
        <w:rPr>
          <w:sz w:val="24"/>
        </w:rPr>
        <w:t>had confirmed that GDP had grown by 0.3% in Q1. There was little news in the output breakdown, but the composition of expenditure had been revised since the previous estimate, with private consumption now thought to have grown by 0.5% in Q1, dwellings investment now estimated to have increased substantially, and the contribution from net trade now positive. Set against these upward revisions, the contribution from stockbuilding was now estimated to be negative, and business investment had fallen by</w:t>
      </w:r>
      <w:r>
        <w:rPr>
          <w:spacing w:val="-7"/>
          <w:sz w:val="24"/>
        </w:rPr>
        <w:t> </w:t>
      </w:r>
      <w:r>
        <w:rPr>
          <w:sz w:val="24"/>
        </w:rPr>
        <w:t>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Abstracting from the impact of re-referencing the weights used in the National Accounts to 2010, the level of GDP had been revised down by just over 1½% and the latest vintage of data suggested that activity was 4% below its pre-crisis peak, rather than the 2½% shortfall that the ONS had previously estimated.  The revisions had been largely the result of a new method of deflating investment spending; estimates of nominal GDP had changed little. On the new basis, the level of real business investment was 20% lower than previously estimated. The new series for the business investment deflator rose at a similar rate to the consumption deflator. That was puzzling, as business investment was more goods-intensive than consumption, and the price of manufactured goods typically rose more slowly than the price of services, reflecting different rates of technical progress in the two sectors. Business investment growth was also significantly more volatile and the weakness of investment during 2012 looked at odds with other indicators of investment</w:t>
      </w:r>
      <w:r>
        <w:rPr>
          <w:spacing w:val="-11"/>
          <w:sz w:val="24"/>
        </w:rPr>
        <w:t> </w:t>
      </w:r>
      <w:r>
        <w:rPr>
          <w:sz w:val="24"/>
        </w:rPr>
        <w:t>trends.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46" w:firstLine="0"/>
        <w:jc w:val="left"/>
        <w:rPr>
          <w:sz w:val="24"/>
        </w:rPr>
      </w:pPr>
      <w:r>
        <w:rPr>
          <w:sz w:val="24"/>
        </w:rPr>
        <w:t>The activity surveys had continued to improve, although at varying speeds. There had been increases in output indicators reported during the month in the Markit/CIPS surveys, in the </w:t>
      </w:r>
      <w:r>
        <w:rPr>
          <w:i/>
          <w:sz w:val="24"/>
        </w:rPr>
        <w:t>CBI </w:t>
      </w:r>
      <w:r>
        <w:rPr>
          <w:i/>
          <w:sz w:val="24"/>
        </w:rPr>
        <w:t>Monthly Trends Enquiry </w:t>
      </w:r>
      <w:r>
        <w:rPr>
          <w:sz w:val="24"/>
        </w:rPr>
        <w:t>and in the </w:t>
      </w:r>
      <w:r>
        <w:rPr>
          <w:i/>
          <w:sz w:val="24"/>
        </w:rPr>
        <w:t>BCC Quarterly Economic Survey</w:t>
      </w:r>
      <w:r>
        <w:rPr>
          <w:sz w:val="24"/>
        </w:rPr>
        <w:t>. Alongside data on service sector output in April, these had led Bank staff to revise up their central projection for the preliminary estimate of Q2 GDP growth by 0.1 percentage points to 0.6%, although the range of uncertainty was still wide. The message from the activity surveys was buttressed by other indicators. The volume of retail sales had increased by over 2% on a year earlier in May and the June REC </w:t>
      </w:r>
      <w:r>
        <w:rPr>
          <w:i/>
          <w:sz w:val="24"/>
        </w:rPr>
        <w:t>Report on Jobs</w:t>
      </w:r>
      <w:r>
        <w:rPr>
          <w:sz w:val="24"/>
        </w:rPr>
        <w:t>, which had been provided to the Committee ahead of the meeting, had reported material increases in demand for staff. But some of the surveys of business expectations had suggested relatively weak growth in the second half of the year.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42" w:firstLine="0"/>
        <w:jc w:val="left"/>
        <w:rPr>
          <w:sz w:val="24"/>
        </w:rPr>
      </w:pPr>
      <w:r>
        <w:rPr>
          <w:sz w:val="24"/>
        </w:rPr>
        <w:t>Growth in the second half of the year would depend in large part on the behaviour of the household sector. There were some signs that consumer sentiment was improving. The increase in consumption in Q1 looked to have been broadly based, with rises on a year earlier in spending on durables, non-durables and services. And the fall in the household saving rate, although probably exaggerated by some shifting in the timing of income flows to take advantage of the lowering of the top rate of income tax in April, might indicate some reduction in precautionary saving. Credit availability had continued gradually to improve, in part due to the impact of the Funding for Lending Scheme, and there had been further small falls in most household lending rates. This could provide some support to consumer spending as a rise in housing transactions stimulated associated purchases of durable goods. Indeed, indicators of both prices and activity in the housing market had continued </w:t>
      </w:r>
      <w:r>
        <w:rPr>
          <w:spacing w:val="-6"/>
          <w:sz w:val="24"/>
        </w:rPr>
        <w:t>to </w:t>
      </w:r>
      <w:r>
        <w:rPr>
          <w:sz w:val="24"/>
        </w:rPr>
        <w:t>improve: mortgage approvals had picked up sharply in May, albeit from low levels, and both the Nationwide and Halifax house price indices had risen in June. There had been a material increase in the RICS price balances in June, which had been provided to the Committee ahead of the</w:t>
      </w:r>
      <w:r>
        <w:rPr>
          <w:spacing w:val="-12"/>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Set against that, real income growth had remained weak, even abstracting from changes in the timing of income flows, and it was unlikely that consumption growth could continue at its current rate without some rise in real incomes. Although the level of household debt as a proportion of income had fallen back from its peak, it remained high by historical standards and it was probable that households had further to go in adjusting their balance sheets. Moreover the rise in bank funding costs over the month might, if it persisted, slow down the rate at which credit availability would</w:t>
      </w:r>
      <w:r>
        <w:rPr>
          <w:spacing w:val="-11"/>
          <w:sz w:val="24"/>
        </w:rPr>
        <w:t> </w:t>
      </w:r>
      <w:r>
        <w:rPr>
          <w:sz w:val="24"/>
        </w:rPr>
        <w:t>improve.</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87" w:firstLine="0"/>
        <w:jc w:val="left"/>
        <w:rPr>
          <w:sz w:val="24"/>
        </w:rPr>
      </w:pPr>
      <w:r>
        <w:rPr>
          <w:sz w:val="24"/>
        </w:rPr>
        <w:t>Annual CPI inflation had risen to 2.7% in May from 2.4% in April and the near-term outlook was similar to that at the time of the Committee’s previous meeting. As falls in energy and clothing and footwear prices a year earlier dropped out of the annual comparison, twelve-month CPI inflation was expected to pick up to around 3% in June and to remain close to that level throughout the</w:t>
      </w:r>
      <w:r>
        <w:rPr>
          <w:spacing w:val="-19"/>
          <w:sz w:val="24"/>
        </w:rPr>
        <w:t> </w:t>
      </w:r>
      <w:r>
        <w:rPr>
          <w:sz w:val="24"/>
        </w:rPr>
        <w:t>autumn.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Data this month had helped to resolve some of the puzzling recent weakness in average weekly earnings (AWE) relative to other indicators of pay growth. Annual AWE growth had rebounded sharply to 3.3% in April from -0.3% in March. A large proportion of the turnaround was likely to have reflected bonus payments being postponed to April to take advantage of the fall in the top rate of income tax. Annual regular pay growth, excluding bonuses, had also picked up, to 1.3% in April</w:t>
      </w:r>
      <w:r>
        <w:rPr>
          <w:spacing w:val="-12"/>
          <w:sz w:val="24"/>
        </w:rPr>
        <w:t> </w:t>
      </w:r>
      <w:r>
        <w:rPr>
          <w:sz w:val="24"/>
        </w:rPr>
        <w:t>from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9"/>
      </w:pPr>
      <w:r>
        <w:rPr/>
        <w:t>0.6% in March. It was likely that some regular payments had also been delayed to take advantage of the tax change, depressing pay in the first quarter and boosting it in April, though it was difficult to quantify this effect precisely.  The increase in the top rate of tax in 2010 appeared to have led to around 0.5% of regular pay being brought forward; it was conceivable that an opposite effect of a similar magnitude had been occurring in recent months. Annual growth in the VOCALINK take home pay index, a measure of salary payments of public and private sector organisations, had picked up further in May, perhaps suggesting that not all of the postponed earnings had been paid in</w:t>
      </w:r>
      <w:r>
        <w:rPr>
          <w:spacing w:val="-18"/>
        </w:rPr>
        <w:t> </w:t>
      </w:r>
      <w:r>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1" w:firstLine="0"/>
        <w:jc w:val="left"/>
        <w:rPr>
          <w:sz w:val="24"/>
        </w:rPr>
      </w:pPr>
      <w:r>
        <w:rPr>
          <w:sz w:val="24"/>
        </w:rPr>
        <w:t>Nonetheless, the picture remained one in which private sector earnings growth had slowed since the middle of 2012, having, even at that point, only been rising at rates close to 2% per year. The weakening in productivity growth in late 2011 and early 2012 had probably been one driver, and the sectors in which pay growth had fallen the most had seen the largest slowing in productivity growth. But other factors, including the continuing slack in the labour market and the more modest growth in the minimum wage in October 2012 than in previous years, might also have</w:t>
      </w:r>
      <w:r>
        <w:rPr>
          <w:spacing w:val="-7"/>
          <w:sz w:val="24"/>
        </w:rPr>
        <w:t> </w:t>
      </w:r>
      <w:r>
        <w:rPr>
          <w:sz w:val="24"/>
        </w:rPr>
        <w:t>contributed.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persistent weakness of productivity remained difficult to explain. One possibility was that it reflected impairment in the process of capital reallocation. Prior to the financial crisis around half of the growth in aggregate productivity had been accounted for by the reallocation of factors of production across businesses and sectors, rather than by increases in productivity within businesses. There was some evidence to suggest that this process of reallocation had slowed since the financial 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The extent to which the low rate of earnings growth would lead to lower inflation would also depend on the desire and ability of businesses to raise their profit margins. A special survey by the Bank’s Agents had found that profit margins had increased over the past year at the majority of responding firms. On balance, margins were still reported as being below normal, but the net balance of respondents reporting margins below normal had fallen significantly compared to a similar survey conducted in June 2012. Most of those businesses with margins below normal had expected to make good any shortfall within three years, although in practice this would be likely to depend on the prevailing demand conditions and perceptions of aggregate inflation pressures. Few firms expected to boost margins by raising</w:t>
      </w:r>
      <w:r>
        <w:rPr>
          <w:spacing w:val="-1"/>
          <w:sz w:val="24"/>
        </w:rPr>
        <w:t> </w:t>
      </w:r>
      <w:r>
        <w:rPr>
          <w:sz w:val="24"/>
        </w:rPr>
        <w:t>prices.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24" w:firstLine="0"/>
        <w:jc w:val="left"/>
        <w:rPr>
          <w:sz w:val="24"/>
        </w:rPr>
      </w:pPr>
      <w:r>
        <w:rPr>
          <w:sz w:val="24"/>
        </w:rPr>
        <w:t>The Committee set monetary policy to meet the 2% inflation target in the medium term, and to do so in a way that avoided undesirable volatility in output in the short term. There had been further signs during the month that a recovery was in train, but it remained weak by historical standards and a degree of slack was likely to persist for some time. Twelve-month CPI inflation had increased to 2.7% in May and was set to rise further in the near term. Thereafter, inflation was likely to fall back towards the 2% target as external price pressures faded and a revival in productivity growth curbed domestic cost pressures.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Developments in the domestic economy had generally been positive and broadly in line with the recovery laid out in the May </w:t>
      </w:r>
      <w:r>
        <w:rPr>
          <w:i/>
          <w:sz w:val="24"/>
        </w:rPr>
        <w:t>Inflation Report </w:t>
      </w:r>
      <w:r>
        <w:rPr>
          <w:sz w:val="24"/>
        </w:rPr>
        <w:t>projections. The composition of spending in Q1 looked to have been more favourable than in the previous data release, with larger contributions from consumption, dwellings investment and net trade. The activity surveys had continued to pick up, signalling stronger growth in Q2, and it might well be the case that this momentum would continue into the second half of the year. There were also greater signs that the gradual reduction in uncertainty and improvement in credit conditions over the past year were feeding into household spending, with increases in a wide range of spending categories, some rises in house prices and a pickup in housing transactions. But ONS estimates of business investment had been weak, and looked even more so on the latest vintage of the data. The latest outturns had helped to explain some of the unusual weakness in earnings growth, with some pay likely to have been postponed to Q2 to take advantage of the reduction in the top rate of income tax at the beginning of April. But pay pressures remained muted, and earnings continued to rise more slowly than during the first half of</w:t>
      </w:r>
      <w:r>
        <w:rPr>
          <w:spacing w:val="-10"/>
          <w:sz w:val="24"/>
        </w:rPr>
        <w:t> </w:t>
      </w:r>
      <w:r>
        <w:rPr>
          <w:sz w:val="24"/>
        </w:rPr>
        <w:t>2012.</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The news on foreign demand conditions was more mixed.  US activity indicators had been a little weaker on the month, but the outlook remained very similar to that at the time of the May </w:t>
      </w:r>
      <w:r>
        <w:rPr>
          <w:i/>
          <w:sz w:val="24"/>
        </w:rPr>
        <w:t>Report</w:t>
      </w:r>
      <w:r>
        <w:rPr>
          <w:sz w:val="24"/>
        </w:rPr>
        <w:t>. The slowing in activity growth in the major emerging economies was becoming more apparent and it was possible that this reflected in part a gradual re-evaluation by households and businesses of the success of structural reforms in raising future incomes and rebalancing demand. Activity indicators in the euro area had been a little more encouraging, and there had been further steps taken towards constructing a banking union. But the challenge of reducing debt levels in the periphery economies to more sustainable levels remained daunting, and political developments in Portugal and Greece</w:t>
      </w:r>
      <w:r>
        <w:rPr>
          <w:spacing w:val="-15"/>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indicated the fragility of the political consensus. The depressed level of activity in the euro area would weigh on the UK recovery for some time to come.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Market interest rates had risen sharply internationally and asset prices had been volatile and generally lower. The rise in interest rates in the United States had probably reflected a change in perceptions of the path for monetary policy there, rather than news on the month about the economic outlook. UK gilts were to a certain extent substitutes for US Treasuries. It was understandable, therefore, that movements in longer-term gilt yields might be correlated with those of Treasuries. But it was less clear why shorter-term interest rates had increased in the United Kingdom in tandem with those in the United States. That said, given the volatility in the market, it was not obvious that current forward curves were a fair reflection of market participants’</w:t>
      </w:r>
      <w:r>
        <w:rPr>
          <w:spacing w:val="-5"/>
          <w:sz w:val="24"/>
        </w:rPr>
        <w:t> </w:t>
      </w:r>
      <w:r>
        <w:rPr>
          <w:sz w:val="24"/>
        </w:rPr>
        <w:t>expectations.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7" w:firstLine="0"/>
        <w:jc w:val="left"/>
        <w:rPr>
          <w:sz w:val="24"/>
        </w:rPr>
      </w:pPr>
      <w:r>
        <w:rPr>
          <w:sz w:val="24"/>
        </w:rPr>
        <w:t>Taken in isolation, this increase in interest rates represented an unwelcome tightening in monetary conditions that, were it to persist, would risk hampering the emerging recovery. Given that, the Committee agreed that it was important to communicate that the implied rise in the expected future path of Bank Rate had not been warranted by the recent developments in the domestic</w:t>
      </w:r>
      <w:r>
        <w:rPr>
          <w:spacing w:val="-8"/>
          <w:sz w:val="24"/>
        </w:rPr>
        <w:t> </w:t>
      </w:r>
      <w:r>
        <w:rPr>
          <w:sz w:val="24"/>
        </w:rPr>
        <w:t>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latest remit letter to the MPC from the Chancellor had requested that the Committee provide an assessment, alongside its August </w:t>
      </w:r>
      <w:r>
        <w:rPr>
          <w:i/>
          <w:sz w:val="24"/>
        </w:rPr>
        <w:t>Inflation Report</w:t>
      </w:r>
      <w:r>
        <w:rPr>
          <w:sz w:val="24"/>
        </w:rPr>
        <w:t>, of the case for adopting some form of forward guidance, including the possible use of intermediate thresholds.  This analysis would have an important bearing on the Committee’s policy discussions in August, although there was no presumption that this would go hand in hand with a change in the policy stance. Against that backdrop, the Committee considered the case for additional monetary stimulus at this</w:t>
      </w:r>
      <w:r>
        <w:rPr>
          <w:spacing w:val="-14"/>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For most members, the current policy setting was appropriate and the onus on policy at this juncture was to reinforce the recovery by ensuring that stimulus was not withdrawn prematurely, subject to keeping inflation on track to hit the 2% CPI inflation target in the medium term. The recent rise in market interest rates, were it to be maintained, would represent such a premature withdrawal, but the proposed statement from the Committee should help to prevent that. Developments on the month had signalled that the recovery was becoming more firmly established, with further rises in business survey indicators of activity and employment, signs of a greater willingness to spend on the part of consumers, and a continuing recovery in the housing market. The current rate of growth was not yet sufficient to begin to close the economy’s margin of spare capacity, but there was reason</w:t>
      </w:r>
      <w:r>
        <w:rPr>
          <w:spacing w:val="-16"/>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9"/>
      </w:pPr>
      <w:r>
        <w:rPr/>
        <w:t>believe that the recovery might gain pace in the second half of the year as confidence improved. There had been little news about the near-term prospects for inflation, which would remain well above the target for some time to come, and the downside risks to pay growth had diminished. Productivity growth continued to be weak and, given the impairment of the financial system, it was by no means clear that productivity growth would match any recovery in demand.  For some of these members, asset purchases remained an effective tool with which to inject more stimulus, although an expansion in the purchase programme was not warranted at this meeting. But for others, the benefits of further asset purchases were likely to be small relative to their potential costs. In particular, further purchases could complicate the transition to a more normal monetary policy stance at some point in the</w:t>
      </w:r>
      <w:r>
        <w:rPr>
          <w:spacing w:val="-14"/>
        </w:rPr>
        <w:t> </w:t>
      </w:r>
      <w:r>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For the other members, further stimulus was warranted. Domestic activity was recovering as quickly as envisaged in the May </w:t>
      </w:r>
      <w:r>
        <w:rPr>
          <w:i/>
          <w:sz w:val="24"/>
        </w:rPr>
        <w:t>Inflation Report</w:t>
      </w:r>
      <w:r>
        <w:rPr>
          <w:sz w:val="24"/>
        </w:rPr>
        <w:t>, but the pace remained too slow to begin to close the economy’s margin of spare capacity. Moreover, there remained significant headwinds to growth in </w:t>
      </w:r>
      <w:r>
        <w:rPr>
          <w:spacing w:val="-4"/>
          <w:sz w:val="24"/>
        </w:rPr>
        <w:t>the </w:t>
      </w:r>
      <w:r>
        <w:rPr>
          <w:sz w:val="24"/>
        </w:rPr>
        <w:t>United Kingdom, including the effects of the fiscal consolidation, risks from the euro area and an impaired banking sector.  Although the impact of administered and regulated prices meant that inflation was above the target, upward pressures on pay and profit margins were weak, and an expansion in demand would probably initially be associated with a strengthening in productivity growth rather than higher costs. Indeed, if faster growth in demand boosted productivity sufficiently, cost pressures could even be lower. Commodity prices were lower and the downside risks to them had increased with the slowing in emerging economies. An expansion of the asset purchase programme remained one means of injecting stimulus, but the Committee would be investigating other options during the month, and it was therefore sensible not to initiate an expansion at this meeting. Given the already large size of the asset purchase programme, there was merit in pursuing a mixed strategy with regards to the different policy instruments at the Committee’s disposal. The Committee’s August response to the requirement in its remit to assess the merits of forward guidance and intermediate thresholds would shed light on both the quantum of additional stimulus required and the form it should take.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06" w:right="2794" w:hanging="993"/>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06" w:right="239"/>
      </w:pPr>
      <w:r>
        <w:rPr/>
        <w:t>The Bank of England should maintain the stock of asset purchases financed by the issuance of central bank reserves at £375 billion.</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ind w:left="114"/>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Mark Carney, Governor</w:t>
      </w:r>
    </w:p>
    <w:p>
      <w:pPr>
        <w:pStyle w:val="BodyText"/>
        <w:ind w:left="114" w:right="3817"/>
        <w:jc w:val="both"/>
      </w:pPr>
      <w:r>
        <w:rPr/>
        <w:t>Charles Bean, Deputy Governor responsible for monetary policy Paul Tucker, Deputy Governor responsible for financial stability Ben Broadbent</w:t>
      </w:r>
    </w:p>
    <w:p>
      <w:pPr>
        <w:pStyle w:val="BodyText"/>
        <w:ind w:left="114" w:right="8729"/>
      </w:pPr>
      <w:r>
        <w:rPr/>
        <w:t>Spencer Dale Paul Fisher</w:t>
      </w:r>
    </w:p>
    <w:p>
      <w:pPr>
        <w:pStyle w:val="BodyText"/>
        <w:ind w:left="114" w:right="8530"/>
      </w:pPr>
      <w:r>
        <w:rPr/>
        <w:t>Ian McCafferty David Miles Martin Weale</w:t>
      </w:r>
    </w:p>
    <w:p>
      <w:pPr>
        <w:pStyle w:val="BodyText"/>
        <w:spacing w:before="11"/>
        <w:rPr>
          <w:sz w:val="23"/>
        </w:rPr>
      </w:pPr>
    </w:p>
    <w:p>
      <w:pPr>
        <w:pStyle w:val="BodyText"/>
        <w:ind w:left="114"/>
      </w:pPr>
      <w:r>
        <w:rPr/>
        <w:t>Dave Ramsden was present as the Treasury representative.</w:t>
      </w:r>
    </w:p>
    <w:p>
      <w:pPr>
        <w:pStyle w:val="BodyText"/>
      </w:pPr>
    </w:p>
    <w:p>
      <w:pPr>
        <w:pStyle w:val="BodyText"/>
        <w:spacing w:line="360" w:lineRule="auto"/>
        <w:ind w:left="114" w:right="445"/>
      </w:pPr>
      <w:r>
        <w:rPr/>
        <w:t>As permitted under the Bank of England Act 1998, as amended by the Financial Services Act 2012, Roger Carr was also present as an observer in his role as a member of the Oversight Committee of Court.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On 7 August, alongside the release of the </w:t>
      </w:r>
      <w:r>
        <w:rPr>
          <w:i/>
          <w:sz w:val="24"/>
        </w:rPr>
        <w:t>Inflation Report </w:t>
      </w:r>
      <w:r>
        <w:rPr>
          <w:sz w:val="24"/>
        </w:rPr>
        <w:t>at 10.30, the Committee will respond to the Chancellor’s request for its assessment of the use of thresholds and forward guidance, as well as its view of the trade off between growth and inflation. Any announcement regarding the implementation of thresholds and forward guidance will be made then, rather than immediately after the Committee’s next policy meeting on 1</w:t>
      </w:r>
      <w:r>
        <w:rPr>
          <w:spacing w:val="-1"/>
          <w:sz w:val="24"/>
        </w:rPr>
        <w:t> </w:t>
      </w:r>
      <w:r>
        <w:rPr>
          <w:sz w:val="24"/>
        </w:rPr>
        <w:t>August.</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held on 3 and 4 July 2013</dc:subject>
  <dc:title>Minutes of the Monetary Policy Committee Meeting </dc:title>
  <dcterms:created xsi:type="dcterms:W3CDTF">2020-06-02T21:57:13Z</dcterms:created>
  <dcterms:modified xsi:type="dcterms:W3CDTF">2020-06-02T21:57:13Z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2013-07-17T00:00:00Z</vt:filetime>
  </property>
  <property fmtid="{D5CDD505-2E9C-101B-9397-08002B2CF9AE}" pid="3" name="Creator">
    <vt:lpwstr>PScript5.dll Version 5.2.2</vt:lpwstr>
  </property>
  <property fmtid="{D5CDD505-2E9C-101B-9397-08002B2CF9AE}" pid="4" name="LastSaved">
    <vt:filetime>2020-06-02T00:00:00Z</vt:filetime>
  </property>
</Properties>
</file>