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September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126" w:right="2007" w:firstLine="0"/>
        <w:jc w:val="center"/>
        <w:rPr>
          <w:rFonts w:ascii="Book Antiqua"/>
          <w:b/>
          <w:sz w:val="48"/>
        </w:rPr>
      </w:pPr>
      <w:r>
        <w:rPr>
          <w:rFonts w:ascii="Book Antiqua"/>
          <w:b/>
          <w:sz w:val="48"/>
        </w:rPr>
        <w:t>9 AND 10 SEPTEMBER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September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http://www.bankofengland.co.uk/publications/minutes/mpc/pdf/2009/mpc0909.pdf</w:t>
        </w:r>
      </w:hyperlink>
    </w:p>
    <w:p>
      <w:pPr>
        <w:pStyle w:val="BodyText"/>
        <w:spacing w:before="6"/>
        <w:rPr>
          <w:rFonts w:ascii="Book Antiqua"/>
          <w:sz w:val="22"/>
        </w:rPr>
      </w:pPr>
    </w:p>
    <w:p>
      <w:pPr>
        <w:spacing w:line="288" w:lineRule="auto" w:before="0"/>
        <w:ind w:left="119" w:right="449"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October will be published on 21 October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9 AND 10 SEPTEMBER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63" w:firstLine="0"/>
        <w:jc w:val="left"/>
        <w:rPr>
          <w:sz w:val="24"/>
        </w:rPr>
      </w:pPr>
      <w:r>
        <w:rPr>
          <w:sz w:val="24"/>
        </w:rPr>
        <w:t>Before turning to its immediate policy decision, the Committee discussed financial market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83" w:firstLine="0"/>
        <w:jc w:val="left"/>
        <w:rPr>
          <w:sz w:val="24"/>
        </w:rPr>
      </w:pPr>
      <w:r>
        <w:rPr>
          <w:sz w:val="24"/>
        </w:rPr>
        <w:t>Short-term interest rate expectations had fallen in most major economies during the month. Compared with a month earlier, official policy rates were expected to remain low for longer. These moves appeared to have been prompted by announcements and comments from the monetary authorities. In the United Kingdom, the decision to extend the asset purchase programme, the publication of the </w:t>
      </w:r>
      <w:r>
        <w:rPr>
          <w:i/>
          <w:sz w:val="24"/>
        </w:rPr>
        <w:t>Inflation Report </w:t>
      </w:r>
      <w:r>
        <w:rPr>
          <w:sz w:val="24"/>
        </w:rPr>
        <w:t>and the MPC Minutes had all led to a lower and flatter short-term yield</w:t>
      </w:r>
      <w:r>
        <w:rPr>
          <w:spacing w:val="-1"/>
          <w:sz w:val="24"/>
        </w:rPr>
        <w:t> </w:t>
      </w:r>
      <w:r>
        <w:rPr>
          <w:sz w:val="24"/>
        </w:rPr>
        <w:t>curve.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7" w:firstLine="0"/>
        <w:jc w:val="left"/>
        <w:rPr>
          <w:sz w:val="24"/>
        </w:rPr>
      </w:pPr>
      <w:r>
        <w:rPr>
          <w:sz w:val="24"/>
        </w:rPr>
        <w:t>The announcement to increase the asset purchase programme by £50 billion to £175 billion at the beginning of August had not been widely expected. That had led to a fall in the yields on gilts eligible for the asset purchase programme by some 10-20 basis points on the day. Yields had continued to fall during the month.  Government bond yields had also fallen in the United States during the month, and it was a more mixed picture across maturities in the euro</w:t>
      </w:r>
      <w:r>
        <w:rPr>
          <w:spacing w:val="-6"/>
          <w:sz w:val="24"/>
        </w:rPr>
        <w:t> </w:t>
      </w:r>
      <w:r>
        <w:rPr>
          <w:sz w:val="24"/>
        </w:rPr>
        <w:t>zone.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96" w:firstLine="0"/>
        <w:jc w:val="left"/>
        <w:rPr>
          <w:sz w:val="24"/>
        </w:rPr>
      </w:pPr>
      <w:r>
        <w:rPr>
          <w:sz w:val="24"/>
        </w:rPr>
        <w:t>The price of riskier financial assets had continued to rise, although trading volumes had been light during the holiday period. Equity prices in the United Kingdom and the euro area had risen. In the United Kingdom they had been boosted in part by the falls in gilt yields. Otherwise the movement in equity prices over the month appeared to be associated with: higher earnings forecasts; more positive macroeconomic outturns, particularly in the euro area; and a perception among market participants that the worst near-term downside risks to activity had decreased</w:t>
      </w:r>
      <w:r>
        <w:rPr>
          <w:spacing w:val="-13"/>
          <w:sz w:val="24"/>
        </w:rPr>
        <w:t> </w:t>
      </w:r>
      <w:r>
        <w:rPr>
          <w:sz w:val="24"/>
        </w:rPr>
        <w:t>further.</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824" w:firstLine="0"/>
        <w:jc w:val="left"/>
        <w:rPr>
          <w:sz w:val="24"/>
        </w:rPr>
      </w:pPr>
      <w:r>
        <w:rPr>
          <w:sz w:val="24"/>
        </w:rPr>
        <w:t>Corporate bond yields had fallen further in sterling, dollar and euro markets. Measures of liquidity in the sterling corporate bond market had continued to improve, and issuance so far in 2009 Q3 had remained</w:t>
      </w:r>
      <w:r>
        <w:rPr>
          <w:spacing w:val="-1"/>
          <w:sz w:val="24"/>
        </w:rPr>
        <w:t> </w:t>
      </w:r>
      <w:r>
        <w:rPr>
          <w:sz w:val="24"/>
        </w:rPr>
        <w:t>robust.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2" w:firstLine="0"/>
        <w:jc w:val="left"/>
        <w:rPr>
          <w:sz w:val="24"/>
        </w:rPr>
      </w:pPr>
      <w:r>
        <w:rPr>
          <w:sz w:val="24"/>
        </w:rPr>
        <w:t>Libor rates had declined further: three-month Libor was below 1% in sterling, dollar and euro markets. Sterling Libor-OIS spreads had narrowed more quickly over the past six months than their dollar and euro counterparts. At around 30 basis points, the sterling Libor-OIS spread was close to levels last seen in January 2008. Nevertheless, the volume of trading in the interbank market had remained low. Libor was important not just as a measure of banks’ funding costs, but because many loans to non-financial companies were priced off Libor, and these developments could reduce the cost of borrowing.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7" w:firstLine="0"/>
        <w:jc w:val="left"/>
        <w:rPr>
          <w:sz w:val="24"/>
        </w:rPr>
      </w:pPr>
      <w:r>
        <w:rPr>
          <w:sz w:val="24"/>
        </w:rPr>
        <w:t>Sterling had fallen by around 3% during the previous month. That downward move had been broadly based against the dollar, euro and yen. The relative fall in sterling interest rates could perhaps explain some of the</w:t>
      </w:r>
      <w:r>
        <w:rPr>
          <w:spacing w:val="-4"/>
          <w:sz w:val="24"/>
        </w:rPr>
        <w:t> </w:t>
      </w:r>
      <w:r>
        <w:rPr>
          <w:sz w:val="24"/>
        </w:rPr>
        <w:t>fall.</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The economic recovery had continued to gather pace in emerging markets, particularly in Asia. These economies would represent an increasingly important influence on the UK trade and growth outlook in future. China was in a strong position to sustain a rapid expansion. It had a low level of public debt, its banking sector had not been directly affected by the financial crisis, and supply capacity was likely to grow quickly. But if China continued to follow a development strategy based on export-led growth that would not help to solve the global economic imbalances and would reduce the probability of a sustained recovery in the world</w:t>
      </w:r>
      <w:r>
        <w:rPr>
          <w:spacing w:val="-9"/>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7" w:firstLine="0"/>
        <w:jc w:val="left"/>
        <w:rPr>
          <w:sz w:val="24"/>
        </w:rPr>
      </w:pPr>
      <w:r>
        <w:rPr>
          <w:sz w:val="24"/>
        </w:rPr>
        <w:t>Recent months had seen a steady improvement in business survey indicators across the globe more generally, and that trend had continued this month. The JPMorgan Global Purchasing Managers Indices (PMIs) had increased further in August and were above the levels that prevailed just before the collapse of Lehman Brothers. The global manufacturing PMI was consistent with expanding output in manufacturing, and for services it was close to the level that was consistent with no change in economic</w:t>
      </w:r>
      <w:r>
        <w:rPr>
          <w:spacing w:val="-1"/>
          <w:sz w:val="24"/>
        </w:rPr>
        <w:t> </w:t>
      </w:r>
      <w:r>
        <w:rPr>
          <w:sz w:val="24"/>
        </w:rPr>
        <w:t>activity.</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2" w:firstLine="0"/>
        <w:jc w:val="left"/>
        <w:rPr>
          <w:sz w:val="24"/>
        </w:rPr>
      </w:pPr>
      <w:r>
        <w:rPr>
          <w:sz w:val="24"/>
        </w:rPr>
        <w:t>Recent official data for 2009 Q2, although not as timely, indicated that a sharper recovery in some countries may be underway than the PMIs had suggested.  That was especially true for the United Kingdom’s main trading partner, the euro area. Euro-area GDP was estimated to have fallen by 0.1% in 2009 Q2, which was markedly stronger than the sizeable contraction that the PMIs suggested had occurred. Indeed, France and Germany had even expanded in the second quarter, according to these official data.  It was difficult to judge how much weight to place on the official data relative to the surveys for the euro area at this</w:t>
      </w:r>
      <w:r>
        <w:rPr>
          <w:spacing w:val="-1"/>
          <w:sz w:val="24"/>
        </w:rPr>
        <w:t> </w:t>
      </w:r>
      <w:r>
        <w:rPr>
          <w:sz w:val="24"/>
        </w:rPr>
        <w:t>stage.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5" w:firstLine="0"/>
        <w:jc w:val="left"/>
        <w:rPr>
          <w:sz w:val="24"/>
        </w:rPr>
      </w:pPr>
      <w:r>
        <w:rPr>
          <w:sz w:val="24"/>
        </w:rPr>
        <w:t>In the United States there were further signs that the economy was pulling out of recession. But, as in the euro area, consumption had been boosted by the introduction of a vehicle scrappage scheme. And to the extent that these schemes had caused households to bring forward car purchases, consumption was likely to fall back once they ended. There was, therefore, some concern about the sustainability of the recovery in a number of</w:t>
      </w:r>
      <w:r>
        <w:rPr>
          <w:spacing w:val="-1"/>
          <w:sz w:val="24"/>
        </w:rPr>
        <w:t> </w:t>
      </w:r>
      <w:r>
        <w:rPr>
          <w:sz w:val="24"/>
        </w:rPr>
        <w:t>countries.</w:t>
      </w:r>
    </w:p>
    <w:p>
      <w:pPr>
        <w:pStyle w:val="BodyText"/>
        <w:rPr>
          <w:sz w:val="36"/>
        </w:rPr>
      </w:pPr>
    </w:p>
    <w:p>
      <w:pPr>
        <w:pStyle w:val="ListParagraph"/>
        <w:numPr>
          <w:ilvl w:val="0"/>
          <w:numId w:val="1"/>
        </w:numPr>
        <w:tabs>
          <w:tab w:pos="801" w:val="left" w:leader="none"/>
          <w:tab w:pos="802" w:val="left" w:leader="none"/>
        </w:tabs>
        <w:spacing w:line="360" w:lineRule="auto" w:before="0" w:after="0"/>
        <w:ind w:left="114" w:right="125" w:firstLine="0"/>
        <w:jc w:val="left"/>
        <w:rPr>
          <w:sz w:val="24"/>
        </w:rPr>
      </w:pPr>
      <w:r>
        <w:rPr>
          <w:sz w:val="24"/>
        </w:rPr>
        <w:t>Most of the major advanced economies had reported a positive contribution from net trade in 2009 Q2. Emerging market and developing economies – especially in Asia – could be at least partially responsible. But according to the available partial data, the change in the trade balances of developing economies did not appear large enough to account for movements in the developed economies trade data. Future data releases should shed more light on this</w:t>
      </w:r>
      <w:r>
        <w:rPr>
          <w:spacing w:val="-1"/>
          <w:sz w:val="24"/>
        </w:rPr>
        <w:t> </w:t>
      </w:r>
      <w:r>
        <w:rPr>
          <w:sz w:val="24"/>
        </w:rPr>
        <w:t>issue.</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09" w:firstLine="0"/>
        <w:jc w:val="left"/>
        <w:rPr>
          <w:sz w:val="24"/>
        </w:rPr>
      </w:pPr>
      <w:r>
        <w:rPr>
          <w:sz w:val="24"/>
        </w:rPr>
        <w:t>M4 growth, excluding the money holdings of institutions that intermediate between banks, had been estimated to have picked up slightly to 5.3% on a three-month annualised basis in July </w:t>
      </w:r>
      <w:r>
        <w:rPr>
          <w:spacing w:val="-3"/>
          <w:sz w:val="24"/>
        </w:rPr>
        <w:t>compared </w:t>
      </w:r>
      <w:r>
        <w:rPr>
          <w:sz w:val="24"/>
        </w:rPr>
        <w:t>with 4% in June. The annual growth rate of non-financial corporate money holdings had become positive for the first time in over a year. That was encouraging, as one way the asset purchase programme had been expected to stimulate nominal spending was through boosting the money holdings of the non-financial private 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2" w:firstLine="0"/>
        <w:jc w:val="left"/>
        <w:rPr>
          <w:sz w:val="24"/>
        </w:rPr>
      </w:pPr>
      <w:r>
        <w:rPr>
          <w:sz w:val="24"/>
        </w:rPr>
        <w:t>In contrast, bank credit to the private non-financial economy had contracted in July. There had been a small net repayment of credit by households – the first since the current version of the data began in 1993. And there had been further striking falls in non-financial corporate bank credit.</w:t>
      </w:r>
      <w:r>
        <w:rPr>
          <w:spacing w:val="26"/>
          <w:sz w:val="24"/>
        </w:rPr>
        <w:t> </w:t>
      </w:r>
      <w:r>
        <w:rPr>
          <w:sz w:val="24"/>
        </w:rPr>
        <w:t>Weak</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credit demand was likely to have been a factor, but so too was restricted supply. The pressures on banks to shrink their balance sheets had continued to impose monetary restraint on the 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The contraction in GDP in Q2 had been revised to 0.7% from 0.8% in this month’s ONS release. Since that release, the combination of new construction and industrial production data for Q2 suggested that GDP may be revised further in the same</w:t>
      </w:r>
      <w:r>
        <w:rPr>
          <w:spacing w:val="-5"/>
          <w:sz w:val="24"/>
        </w:rPr>
        <w:t> </w:t>
      </w:r>
      <w:r>
        <w:rPr>
          <w:sz w:val="24"/>
        </w:rPr>
        <w:t>direction.</w:t>
      </w:r>
    </w:p>
    <w:p>
      <w:pPr>
        <w:pStyle w:val="BodyText"/>
        <w:rPr>
          <w:sz w:val="36"/>
        </w:rPr>
      </w:pPr>
    </w:p>
    <w:p>
      <w:pPr>
        <w:pStyle w:val="ListParagraph"/>
        <w:numPr>
          <w:ilvl w:val="0"/>
          <w:numId w:val="1"/>
        </w:numPr>
        <w:tabs>
          <w:tab w:pos="682" w:val="left" w:leader="none"/>
        </w:tabs>
        <w:spacing w:line="360" w:lineRule="auto" w:before="0" w:after="0"/>
        <w:ind w:left="113" w:right="208" w:firstLine="0"/>
        <w:jc w:val="both"/>
        <w:rPr>
          <w:sz w:val="24"/>
        </w:rPr>
      </w:pPr>
      <w:r>
        <w:rPr>
          <w:sz w:val="24"/>
        </w:rPr>
        <w:t>The latest data had provided an early guide to developments in Q3. The Index of Production </w:t>
      </w:r>
      <w:r>
        <w:rPr>
          <w:spacing w:val="-4"/>
          <w:sz w:val="24"/>
        </w:rPr>
        <w:t>for </w:t>
      </w:r>
      <w:r>
        <w:rPr>
          <w:sz w:val="24"/>
        </w:rPr>
        <w:t>July and the survey data for August were consistent with output having stabilised in the middle of this year and suggested that growth in the second half of this year was likely to be</w:t>
      </w:r>
      <w:r>
        <w:rPr>
          <w:spacing w:val="-25"/>
          <w:sz w:val="24"/>
        </w:rPr>
        <w:t> </w:t>
      </w:r>
      <w:r>
        <w:rPr>
          <w:sz w:val="24"/>
        </w:rPr>
        <w:t>positive.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2" w:firstLine="0"/>
        <w:jc w:val="left"/>
        <w:rPr>
          <w:sz w:val="24"/>
        </w:rPr>
      </w:pPr>
      <w:r>
        <w:rPr>
          <w:sz w:val="24"/>
        </w:rPr>
        <w:t>Although this was a promising sign, these data had to be set in context. Over the past year, output had contracted by over 5%. The prospects for final domestic demand would be an important determinant of the sustainability of the recovery. According to initial estimates, private final domestic demand had continued to fall sharply in Q2. Within that, business investment was estimated to have declined by over 10% in Q2, a larger fall than had been implied by surveys of intentions. First estimates of business investment were typically revised. Nevertheless, falls of that size were rare in the series’ history.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Consumption was estimated to have contracted by 0.9% in Q2, quite a bit weaker than the Committee had expected at the time of the August </w:t>
      </w:r>
      <w:r>
        <w:rPr>
          <w:i/>
          <w:sz w:val="24"/>
        </w:rPr>
        <w:t>Inflation Report </w:t>
      </w:r>
      <w:r>
        <w:rPr>
          <w:sz w:val="24"/>
        </w:rPr>
        <w:t>forecast. Indeed a theme of Committee discussions in recent months had been that household spending was holding up better than it might have done, given the economic backdrop.  That assessment had been based on the signals from both retail sales and from vehicle registrations. Retail sales were estimated to have grown by 1% in Q2 and the most recent indicators pointed to a similar rate of growth in Q3. Private new car registrations had also bounced back strongly in recent months, boosted as in other countries by a car scrappage</w:t>
      </w:r>
      <w:r>
        <w:rPr>
          <w:spacing w:val="-1"/>
          <w:sz w:val="24"/>
        </w:rPr>
        <w:t> </w:t>
      </w:r>
      <w:r>
        <w:rPr>
          <w:sz w:val="24"/>
        </w:rPr>
        <w:t>scheme.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2" w:firstLine="0"/>
        <w:jc w:val="left"/>
        <w:rPr>
          <w:sz w:val="24"/>
        </w:rPr>
      </w:pPr>
      <w:r>
        <w:rPr>
          <w:sz w:val="24"/>
        </w:rPr>
        <w:t>It was possible that the consumption data for Q2 would be revised. The ONS had less than half of its final source data available, when producing that first estimate. Moreover, some of the unexpected weakness had been concentrated in the consumption of non-profit institutions serving households, which could prove to be erratic. Nevertheless, the weak data did suggest that</w:t>
      </w:r>
      <w:r>
        <w:rPr>
          <w:spacing w:val="-22"/>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24"/>
      </w:pPr>
      <w:r>
        <w:rPr/>
        <w:t>Committee should perhaps be cautious in drawing inferences about consumption from strong retail sales and car registrations.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Dwellings investment had been broadly flat in 2009 Q2 after two years of substantial falls – the level of dwellings investment was estimated to be around 30% below its 2007 peak. The housing market had continued to show further signs of recovery during August. House prices were estimated to have increased again: an average of the Nationwide and Halifax indices suggested that house prices were up almost 5% from their April trough.  Mortgage approvals for house purchase had also increased further in</w:t>
      </w:r>
      <w:r>
        <w:rPr>
          <w:spacing w:val="-4"/>
          <w:sz w:val="24"/>
        </w:rPr>
        <w:t> </w:t>
      </w:r>
      <w:r>
        <w:rPr>
          <w:sz w:val="24"/>
        </w:rPr>
        <w:t>July.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1" w:firstLine="0"/>
        <w:jc w:val="left"/>
        <w:rPr>
          <w:sz w:val="24"/>
        </w:rPr>
      </w:pPr>
      <w:r>
        <w:rPr>
          <w:sz w:val="24"/>
        </w:rPr>
        <w:t>GDP growth had received positive support from stockbuilding, net trade and government spending in the second quarter. The contribution from stockbuilding had been slightly stronger than the Committee had expected. Nevertheless, the ONS data suggested that firms had still run down their stocks in Q2, only less aggressively than in the previous quarter. That meant there was still scope for inventories to continue to add to growth over the next few quarters, as the stock cycle ran its course. As in other developed economies, net trade had made a positive contribution to growth as imports fell sharply.</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9" w:firstLine="0"/>
        <w:jc w:val="left"/>
        <w:rPr>
          <w:sz w:val="24"/>
        </w:rPr>
      </w:pPr>
      <w:r>
        <w:rPr>
          <w:sz w:val="24"/>
        </w:rPr>
        <w:t>CPI inflation had been 1.8% in July. In line with the pre-release arrangements, an advance estimate for CPI inflation of 1.6% in August had been provided to the Governor ahead of publication. Inflation in these months had been higher than the August </w:t>
      </w:r>
      <w:r>
        <w:rPr>
          <w:i/>
          <w:sz w:val="24"/>
        </w:rPr>
        <w:t>Inflation Report </w:t>
      </w:r>
      <w:r>
        <w:rPr>
          <w:sz w:val="24"/>
        </w:rPr>
        <w:t>central projection had implied.  There was no breakdown yet available of the August numbers, but CPI inflation excluding the contributions of food and energy prices had remained stubbornly high over a number of months, despite the large degree of economic slack that the Committee believed had opened up in the economy. One possible explanation was that the past depreciation of sterling was continuing to have a more persistent impact than previously</w:t>
      </w:r>
      <w:r>
        <w:rPr>
          <w:spacing w:val="-4"/>
          <w:sz w:val="24"/>
        </w:rPr>
        <w:t> </w:t>
      </w:r>
      <w:r>
        <w:rPr>
          <w:sz w:val="24"/>
        </w:rPr>
        <w:t>thought.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45" w:firstLine="0"/>
        <w:jc w:val="left"/>
        <w:rPr>
          <w:sz w:val="24"/>
        </w:rPr>
      </w:pPr>
      <w:r>
        <w:rPr>
          <w:sz w:val="24"/>
        </w:rPr>
        <w:t>There were two further potential explanations as to why CPI inflation was not falling more rapidly. The Committee might have misjudged the amount of economic slack in the economy. The financial crisis could have had a more damaging effect on the supply-side of the economy than the Committee had assessed. But this would still leave a very large amount of slack, which would</w:t>
      </w:r>
      <w:r>
        <w:rPr>
          <w:spacing w:val="-20"/>
          <w:sz w:val="24"/>
        </w:rPr>
        <w:t> </w:t>
      </w:r>
      <w:r>
        <w:rPr>
          <w:sz w:val="24"/>
        </w:rPr>
        <w:t>put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29"/>
      </w:pPr>
      <w:r>
        <w:rPr/>
        <w:t>downward pressure on prices in the medium term. An alternative explanation was that the margin of spare capacity was in line with the Committee’s assessment, but that it was having less of a depressing effect on inflation than the Committee had expected. That might have reflected the fact that inflation expectations were reasonably well anchored to the 2% CPI inflation target, and that they were having a greater stabilising influence on actual inflation than the Committee had anticipated. It was impossible to distinguish between these two explanations with the current data, yet they had different implications for policy. A smaller amount of spare capacity than the Committee judged likely implied that monetary policy needed to be less stimulative, other things being equal. But the well anchored inflation expectations explanation implied little change to the policy outlook: policy still had to be sufficiently accommodative to close the output gap over a reasonable time frame, otherwise inflation would eventually fall well below the</w:t>
      </w:r>
      <w:r>
        <w:rPr>
          <w:spacing w:val="-7"/>
        </w:rPr>
        <w:t> </w:t>
      </w:r>
      <w:r>
        <w:rPr/>
        <w:t>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In the August </w:t>
      </w:r>
      <w:r>
        <w:rPr>
          <w:i/>
          <w:sz w:val="24"/>
        </w:rPr>
        <w:t>Inflation Report, </w:t>
      </w:r>
      <w:r>
        <w:rPr>
          <w:sz w:val="24"/>
        </w:rPr>
        <w:t>the Committee had judged that inflation would probably be unusually volatile in the coming months and that it had been more likely than not that inflation would temporarily fall below 1% in the autumn. But part of the sharp fall in inflation expected over the next few months had been based on the assumption that there would be further cuts in utility prices in the autumn. This now appeared unlikely.  Taken together with the outturns for July and August, this meant that the probability of inflation falling below 1% in the coming months had declined since the August </w:t>
      </w:r>
      <w:r>
        <w:rPr>
          <w:i/>
          <w:sz w:val="24"/>
        </w:rPr>
        <w:t>Inflation Report</w:t>
      </w:r>
      <w:r>
        <w:rPr>
          <w:sz w:val="24"/>
        </w:rPr>
        <w:t>. Nevertheless, it was still the case that, in the near term, CPI inflation was likely to be extremely volatile. It would probably fall again in September. But thereafter it could rise sharply, reflecting past changes in prices dropping out of the twelve-month comparison, the reversal of the reduction in VAT, and other tax changes. That sharp rise was likely to be temporary and so would have little implication for policy unless it was accompanied by some news about the medium-term outlook for 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6" w:firstLine="0"/>
        <w:jc w:val="left"/>
        <w:rPr>
          <w:sz w:val="24"/>
        </w:rPr>
      </w:pPr>
      <w:r>
        <w:rPr>
          <w:sz w:val="24"/>
        </w:rPr>
        <w:t>The prospects for earnings growth would have an important bearing on whether the inflation target would be met in the medium term. Whole economy average earnings growth had remained weak. In the three months to June, the average earnings index had been 2.5% higher than in the same period a year earlier. Average earnings growth excluding bonuses over the same period had been 2.5%. That weakness could partly have reflected a reaction to the sterling exchange rate depreciation. Employers facing rising import costs could have pushed down on wages. If sterling did not depreciate further then wage growth could pick up, once the adjustment to the higher level of import prices had been completed. Low wage growth could also have been a reaction to the economic slowdown. It</w:t>
      </w:r>
      <w:r>
        <w:rPr>
          <w:spacing w:val="-19"/>
          <w:sz w:val="24"/>
        </w:rPr>
        <w:t> </w:t>
      </w:r>
      <w:r>
        <w:rPr>
          <w:sz w:val="24"/>
        </w:rPr>
        <w:t>was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70"/>
        <w:jc w:val="both"/>
      </w:pPr>
      <w:r>
        <w:rPr/>
        <w:t>possible that as the economy recovered wage growth would rise. But it was also possible that a high and rising rate of unemployment would keep wage growth too low to be consistent with meeting the inflation target.</w:t>
      </w:r>
    </w:p>
    <w:p>
      <w:pPr>
        <w:pStyle w:val="BodyText"/>
        <w:spacing w:before="2"/>
        <w:rPr>
          <w:sz w:val="36"/>
        </w:rPr>
      </w:pPr>
    </w:p>
    <w:p>
      <w:pPr>
        <w:pStyle w:val="Heading1"/>
        <w:spacing w:before="1"/>
        <w:jc w:val="both"/>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3" w:right="809" w:firstLine="0"/>
        <w:jc w:val="left"/>
        <w:rPr>
          <w:sz w:val="24"/>
        </w:rPr>
      </w:pPr>
      <w:r>
        <w:rPr>
          <w:sz w:val="24"/>
        </w:rPr>
        <w:t>The outlook for the medium term described in the Bank’s August </w:t>
      </w:r>
      <w:r>
        <w:rPr>
          <w:i/>
          <w:sz w:val="24"/>
        </w:rPr>
        <w:t>Inflation Report </w:t>
      </w:r>
      <w:r>
        <w:rPr>
          <w:sz w:val="24"/>
        </w:rPr>
        <w:t>had not changed markedly.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8" w:firstLine="0"/>
        <w:jc w:val="left"/>
        <w:rPr>
          <w:sz w:val="24"/>
        </w:rPr>
      </w:pPr>
      <w:r>
        <w:rPr>
          <w:sz w:val="24"/>
        </w:rPr>
        <w:t>There had been a number of developments during the month with positive implications for the short term. The world economic data had generally been stronger than the Committee had expected at the time of the August </w:t>
      </w:r>
      <w:r>
        <w:rPr>
          <w:i/>
          <w:sz w:val="24"/>
        </w:rPr>
        <w:t>Report</w:t>
      </w:r>
      <w:r>
        <w:rPr>
          <w:sz w:val="24"/>
        </w:rPr>
        <w:t>. In the United Kingdom, the GDP data for 2009 Q2 had been revised upwards. The more recent data on construction and industrial production had suggested further upward revisions to the Q2 GDP data were likely, and manufacturing output had grown strongly in July. Business surveys had continued to improve. Broad money growth had picked</w:t>
      </w:r>
      <w:r>
        <w:rPr>
          <w:spacing w:val="-14"/>
          <w:sz w:val="24"/>
        </w:rPr>
        <w:t> </w:t>
      </w:r>
      <w:r>
        <w:rPr>
          <w:sz w:val="24"/>
        </w:rPr>
        <w:t>up.</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87" w:firstLine="0"/>
        <w:jc w:val="left"/>
        <w:rPr>
          <w:sz w:val="24"/>
        </w:rPr>
      </w:pPr>
      <w:r>
        <w:rPr>
          <w:sz w:val="24"/>
        </w:rPr>
        <w:t>Asset prices had continued to rise. The recovery in equity and house prices meant that collateral values had risen, which should, other things equal, increase the availability of credit and reduce the cost of borrowing. Market expectations of future Bank Rate had fallen; the exchange rate had depreciated; and gilt yields were down. Three-month Libor had fallen to its lowest rate since the mid 1980s, and that rate was an important benchmark for the cost of companies’ borrowing. All of these financial market developments were likely to boost nominal spending in due</w:t>
      </w:r>
      <w:r>
        <w:rPr>
          <w:spacing w:val="-3"/>
          <w:sz w:val="24"/>
        </w:rPr>
        <w:t> </w:t>
      </w:r>
      <w:r>
        <w:rPr>
          <w:sz w:val="24"/>
        </w:rPr>
        <w:t>course.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8" w:firstLine="0"/>
        <w:jc w:val="left"/>
        <w:rPr>
          <w:sz w:val="24"/>
        </w:rPr>
      </w:pPr>
      <w:r>
        <w:rPr>
          <w:sz w:val="24"/>
        </w:rPr>
        <w:t>The near-term downside risks to economic activity had lessened during the month. And there was a possibility that the recovery in asset prices and confidence could mark the start of a virtuous upward spiral for the economy. In addition to these positive developments in activity and asset markets, inflation would probably be higher in the short-term than the Committee had thought a month ago, though it was still likely to be extremely</w:t>
      </w:r>
      <w:r>
        <w:rPr>
          <w:spacing w:val="-11"/>
          <w:sz w:val="24"/>
        </w:rPr>
        <w:t> </w:t>
      </w:r>
      <w:r>
        <w:rPr>
          <w:sz w:val="24"/>
        </w:rPr>
        <w:t>volatile.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44" w:firstLine="0"/>
        <w:jc w:val="left"/>
        <w:rPr>
          <w:sz w:val="24"/>
        </w:rPr>
      </w:pPr>
      <w:r>
        <w:rPr>
          <w:sz w:val="24"/>
        </w:rPr>
        <w:t>But these short-term developments had limited implications for the medium-term inflation outlook. Although the data on output growth were more encouraging, the level of output had fallen significantly and there was likely still a large measure of spare capacity in the economy. Moreover, even if GDP growth had turned positive in Q3, it was unlikely to have reached the point where</w:t>
      </w:r>
      <w:r>
        <w:rPr>
          <w:spacing w:val="-12"/>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98"/>
      </w:pPr>
      <w:r>
        <w:rPr/>
        <w:t>level of spare capacity was shrinking. Unemployment continued to rise, and was likely to continue increasing for some time. Growth in private final domestic demand, which was essential for a sustained recovery, had been weaker in 2009 Q2 than the MPC had expected at the time of the August </w:t>
      </w:r>
      <w:r>
        <w:rPr>
          <w:i/>
        </w:rPr>
        <w:t>Inflation 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2" w:firstLine="0"/>
        <w:jc w:val="left"/>
        <w:rPr>
          <w:sz w:val="24"/>
        </w:rPr>
      </w:pPr>
      <w:r>
        <w:rPr>
          <w:sz w:val="24"/>
        </w:rPr>
        <w:t>There had been some promising indications from asset markets. But the lesson from previous financial crises was that they were not resolved quickly, and that there could be false dawns. The banking system still had to complete a process of balance sheet adjustment, including raising new capital, and bank lending remained weak. The drag on aggregate demand growth from the financial sector was likely to be long-lasting. High levels of public debt internationally and the persistence of global imbalances remained downside risks to the sustainability of the recovery. The implications of the financial crisis for potential growth and the degree of economic slack – and thus medium-term inflation – also remained</w:t>
      </w:r>
      <w:r>
        <w:rPr>
          <w:spacing w:val="-5"/>
          <w:sz w:val="24"/>
        </w:rPr>
        <w:t> </w:t>
      </w:r>
      <w:r>
        <w:rPr>
          <w:sz w:val="24"/>
        </w:rPr>
        <w:t>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8" w:firstLine="0"/>
        <w:jc w:val="left"/>
        <w:rPr>
          <w:sz w:val="24"/>
        </w:rPr>
      </w:pPr>
      <w:r>
        <w:rPr>
          <w:sz w:val="24"/>
        </w:rPr>
        <w:t>In August, the Committee had decided on and announced a programme of asset purchases for the three months up to the November MPC meeting.  The medium-term outlook had not changed markedly since then. For those members who had preferred a larger stimulus at the August meeting, a larger asset purchase programme could still be justified. But in the absence of significant news about the medium term the case for adjusting the programme now was outweighed by the benefits of following through with the programme of asset purchases announced in August. All members therefore agreed to continue with the announced programme of asset purchases this</w:t>
      </w:r>
      <w:r>
        <w:rPr>
          <w:spacing w:val="-6"/>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964" w:right="2886" w:hanging="851"/>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964"/>
      </w:pPr>
      <w:r>
        <w:rPr/>
        <w:t>The Bank of England should continue with the programme, as announced following its</w:t>
      </w:r>
    </w:p>
    <w:p>
      <w:pPr>
        <w:pStyle w:val="BodyText"/>
        <w:spacing w:line="360" w:lineRule="auto" w:before="138"/>
        <w:ind w:left="964" w:right="175"/>
      </w:pPr>
      <w:r>
        <w:rPr/>
        <w:t>6 August meeting, of asset purchases totalling £175 billion financed by the creation of central bank reserves.</w:t>
      </w:r>
    </w:p>
    <w:p>
      <w:pPr>
        <w:pStyle w:val="BodyText"/>
        <w:rPr>
          <w:sz w:val="36"/>
        </w:rPr>
      </w:pPr>
    </w:p>
    <w:p>
      <w:pPr>
        <w:pStyle w:val="BodyText"/>
        <w:ind w:left="114"/>
      </w:pPr>
      <w:r>
        <w:rPr/>
        <w:t>The Committee voted unanimously in favour of the proposition.</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99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6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9 and 10 September 2009</dc:title>
  <dcterms:created xsi:type="dcterms:W3CDTF">2020-06-02T22:03:59Z</dcterms:created>
  <dcterms:modified xsi:type="dcterms:W3CDTF">2020-06-02T22:03:59Z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2009-09-22T00:00:00Z</vt:filetime>
  </property>
  <property fmtid="{D5CDD505-2E9C-101B-9397-08002B2CF9AE}" pid="3" name="Creator">
    <vt:lpwstr>PScript5.dll Version 5.2</vt:lpwstr>
  </property>
  <property fmtid="{D5CDD505-2E9C-101B-9397-08002B2CF9AE}" pid="4" name="LastSaved">
    <vt:filetime>2020-06-02T00:00:00Z</vt:filetime>
  </property>
</Properties>
</file>