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Default Extension="png" ContentType="image/png"/>
  <Override PartName="/word/header5.xml" ContentType="application/vnd.openxmlformats-officedocument.wordprocessingml.header+xml"/>
  <Override PartName="/word/header6.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7.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16.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header25.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header30.xml" ContentType="application/vnd.openxmlformats-officedocument.wordprocessingml.header+xml"/>
  <Override PartName="/word/footer38.xml" ContentType="application/vnd.openxmlformats-officedocument.wordprocessingml.footer+xml"/>
  <Override PartName="/word/footer39.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footer42.xml" ContentType="application/vnd.openxmlformats-officedocument.wordprocessingml.footer+xml"/>
  <Override PartName="/word/footer43.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44.xml" ContentType="application/vnd.openxmlformats-officedocument.wordprocessingml.footer+xml"/>
  <Override PartName="/word/footer45.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footer46.xml" ContentType="application/vnd.openxmlformats-officedocument.wordprocessingml.footer+xml"/>
  <Override PartName="/word/footer47.xml" ContentType="application/vnd.openxmlformats-officedocument.wordprocessingml.footer+xml"/>
  <Override PartName="/word/header41.xml" ContentType="application/vnd.openxmlformats-officedocument.wordprocessingml.header+xml"/>
  <Override PartName="/word/footer48.xml" ContentType="application/vnd.openxmlformats-officedocument.wordprocessingml.footer+xml"/>
  <Override PartName="/word/header42.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footer51.xml" ContentType="application/vnd.openxmlformats-officedocument.wordprocessingml.footer+xml"/>
  <Override PartName="/word/footer52.xml" ContentType="application/vnd.openxmlformats-officedocument.wordprocessingml.footer+xml"/>
  <Override PartName="/word/header45.xml" ContentType="application/vnd.openxmlformats-officedocument.wordprocessingml.header+xml"/>
  <Override PartName="/word/footer5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bookmarkStart w:name="Introduction" w:id="1"/>
      <w:bookmarkEnd w:id="1"/>
      <w:r>
        <w:rPr>
          <w:b w:val="0"/>
        </w:rPr>
      </w:r>
      <w:r>
        <w:rPr>
          <w:color w:val="009483"/>
        </w:rPr>
        <w:t>Inflation Report</w:t>
      </w:r>
    </w:p>
    <w:p>
      <w:pPr>
        <w:spacing w:before="711"/>
        <w:ind w:left="3820" w:right="0" w:firstLine="0"/>
        <w:jc w:val="left"/>
        <w:rPr>
          <w:b/>
          <w:sz w:val="40"/>
        </w:rPr>
      </w:pPr>
      <w:r>
        <w:rPr>
          <w:b/>
          <w:color w:val="009483"/>
          <w:sz w:val="40"/>
        </w:rPr>
        <w:t>August 1998</w:t>
      </w:r>
    </w:p>
    <w:p>
      <w:pPr>
        <w:pStyle w:val="BodyText"/>
        <w:rPr>
          <w:b/>
          <w:sz w:val="44"/>
        </w:rPr>
      </w:pPr>
    </w:p>
    <w:p>
      <w:pPr>
        <w:pStyle w:val="Heading4"/>
        <w:spacing w:line="242" w:lineRule="auto" w:before="303"/>
        <w:ind w:left="3819" w:right="1355"/>
      </w:pPr>
      <w:r>
        <w:rPr>
          <w:color w:val="231F20"/>
        </w:rPr>
        <w:t>The </w:t>
      </w:r>
      <w:r>
        <w:rPr>
          <w:i/>
          <w:color w:val="231F20"/>
        </w:rPr>
        <w:t>Inflation Report </w:t>
      </w:r>
      <w:r>
        <w:rPr>
          <w:color w:val="231F20"/>
        </w:rPr>
        <w:t>is produced quarterly by Bank </w:t>
      </w:r>
      <w:r>
        <w:rPr>
          <w:color w:val="231F20"/>
          <w:spacing w:val="-6"/>
        </w:rPr>
        <w:t>staff </w:t>
      </w:r>
      <w:r>
        <w:rPr>
          <w:color w:val="231F20"/>
        </w:rPr>
        <w:t>under the guidance of the members of the Monetary Policy Committee. It serves a dual purpose.</w:t>
      </w:r>
      <w:r>
        <w:rPr>
          <w:color w:val="231F20"/>
          <w:spacing w:val="56"/>
        </w:rPr>
        <w:t> </w:t>
      </w:r>
      <w:r>
        <w:rPr>
          <w:color w:val="231F20"/>
        </w:rPr>
        <w:t>First,</w:t>
      </w:r>
    </w:p>
    <w:p>
      <w:pPr>
        <w:spacing w:before="4"/>
        <w:ind w:left="3819" w:right="0" w:firstLine="0"/>
        <w:jc w:val="left"/>
        <w:rPr>
          <w:sz w:val="24"/>
        </w:rPr>
      </w:pPr>
      <w:r>
        <w:rPr>
          <w:color w:val="231F20"/>
          <w:sz w:val="24"/>
        </w:rPr>
        <w:t>its preparation provides a comprehensive and</w:t>
      </w:r>
    </w:p>
    <w:p>
      <w:pPr>
        <w:spacing w:line="242" w:lineRule="auto" w:before="4"/>
        <w:ind w:left="3819" w:right="1355" w:firstLine="0"/>
        <w:jc w:val="left"/>
        <w:rPr>
          <w:sz w:val="24"/>
        </w:rPr>
      </w:pPr>
      <w:r>
        <w:rPr>
          <w:color w:val="231F20"/>
          <w:sz w:val="24"/>
        </w:rPr>
        <w:t>forward-looking framework for discussion among MPC members as an aide to our decision making. Second, its publication allows us to share our thinking and explain the reasons for our decisions to those whom they affect.</w:t>
      </w:r>
    </w:p>
    <w:p>
      <w:pPr>
        <w:spacing w:line="249" w:lineRule="auto" w:before="225"/>
        <w:ind w:left="3819" w:right="1355" w:firstLine="0"/>
        <w:jc w:val="left"/>
        <w:rPr>
          <w:sz w:val="24"/>
        </w:rPr>
      </w:pPr>
      <w:r>
        <w:rPr>
          <w:color w:val="231F20"/>
          <w:sz w:val="24"/>
        </w:rPr>
        <w:t>Although not every member will agree with every assumption, the fan charts represent the MPC’s best collective judgment about the likely path for inflation and output, and the uncertainties surrounding those central projections.</w:t>
      </w:r>
    </w:p>
    <w:p>
      <w:pPr>
        <w:pStyle w:val="BodyText"/>
        <w:spacing w:before="3"/>
        <w:rPr>
          <w:sz w:val="21"/>
        </w:rPr>
      </w:pPr>
    </w:p>
    <w:p>
      <w:pPr>
        <w:spacing w:line="249" w:lineRule="auto" w:before="1"/>
        <w:ind w:left="3819" w:right="1649" w:firstLine="0"/>
        <w:jc w:val="left"/>
        <w:rPr>
          <w:sz w:val="24"/>
        </w:rPr>
      </w:pPr>
      <w:r>
        <w:rPr>
          <w:color w:val="231F20"/>
          <w:sz w:val="24"/>
        </w:rPr>
        <w:t>This </w:t>
      </w:r>
      <w:r>
        <w:rPr>
          <w:i/>
          <w:color w:val="231F20"/>
          <w:sz w:val="24"/>
        </w:rPr>
        <w:t>Report </w:t>
      </w:r>
      <w:r>
        <w:rPr>
          <w:color w:val="231F20"/>
          <w:sz w:val="24"/>
        </w:rPr>
        <w:t>has been prepared and published by the Bank of England in accordance with section 18 of the Bank of England Act 1998.</w:t>
      </w:r>
    </w:p>
    <w:p>
      <w:pPr>
        <w:pStyle w:val="BodyText"/>
        <w:spacing w:before="3"/>
        <w:rPr>
          <w:sz w:val="25"/>
        </w:rPr>
      </w:pPr>
    </w:p>
    <w:p>
      <w:pPr>
        <w:spacing w:before="0"/>
        <w:ind w:left="3819" w:right="0" w:firstLine="0"/>
        <w:jc w:val="left"/>
        <w:rPr>
          <w:sz w:val="24"/>
        </w:rPr>
      </w:pPr>
      <w:r>
        <w:rPr>
          <w:b/>
          <w:color w:val="231F20"/>
          <w:sz w:val="24"/>
        </w:rPr>
        <w:t>The Monetary Policy Committee</w:t>
      </w:r>
      <w:r>
        <w:rPr>
          <w:color w:val="231F20"/>
          <w:sz w:val="24"/>
        </w:rPr>
        <w:t>:</w:t>
      </w:r>
    </w:p>
    <w:p>
      <w:pPr>
        <w:spacing w:before="12"/>
        <w:ind w:left="3820" w:right="0" w:firstLine="0"/>
        <w:jc w:val="left"/>
        <w:rPr>
          <w:sz w:val="24"/>
        </w:rPr>
      </w:pPr>
      <w:r>
        <w:rPr>
          <w:color w:val="231F20"/>
          <w:sz w:val="24"/>
        </w:rPr>
        <w:t>Eddie George, Governor</w:t>
      </w:r>
    </w:p>
    <w:p>
      <w:pPr>
        <w:spacing w:line="249" w:lineRule="auto" w:before="12"/>
        <w:ind w:left="3820" w:right="221" w:firstLine="0"/>
        <w:jc w:val="left"/>
        <w:rPr>
          <w:sz w:val="24"/>
        </w:rPr>
      </w:pPr>
      <w:r>
        <w:rPr>
          <w:color w:val="231F20"/>
          <w:sz w:val="24"/>
        </w:rPr>
        <w:t>Mervyn King, Deputy Governor responsible for monetary policy David Clementi, Deputy Governor responsible for financial stability Alan Budd</w:t>
      </w:r>
    </w:p>
    <w:p>
      <w:pPr>
        <w:spacing w:line="249" w:lineRule="auto" w:before="3"/>
        <w:ind w:left="3820" w:right="5100" w:firstLine="0"/>
        <w:jc w:val="left"/>
        <w:rPr>
          <w:sz w:val="24"/>
        </w:rPr>
      </w:pPr>
      <w:r>
        <w:rPr>
          <w:color w:val="231F20"/>
          <w:sz w:val="24"/>
        </w:rPr>
        <w:t>Willem Buiter Charles Goodhart DeAnne Julius Ian Plenderleith John Vickers</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spacing w:line="182" w:lineRule="exact" w:before="220"/>
        <w:ind w:left="3820" w:right="0" w:firstLine="0"/>
        <w:jc w:val="left"/>
        <w:rPr>
          <w:sz w:val="16"/>
        </w:rPr>
      </w:pPr>
      <w:r>
        <w:rPr>
          <w:color w:val="231F20"/>
          <w:sz w:val="16"/>
        </w:rPr>
        <w:t>Printed by Park Communications Ltd</w:t>
      </w:r>
    </w:p>
    <w:p>
      <w:pPr>
        <w:spacing w:line="235" w:lineRule="auto" w:before="1"/>
        <w:ind w:left="3820" w:right="5194" w:firstLine="0"/>
        <w:jc w:val="left"/>
        <w:rPr>
          <w:sz w:val="16"/>
        </w:rPr>
      </w:pPr>
      <w:r>
        <w:rPr>
          <w:color w:val="231F20"/>
          <w:sz w:val="16"/>
        </w:rPr>
        <w:t>© Bank of England 1998 ISBN 1 85730 166 8</w:t>
      </w:r>
    </w:p>
    <w:p>
      <w:pPr>
        <w:spacing w:line="180" w:lineRule="exact" w:before="0"/>
        <w:ind w:left="3820" w:right="0" w:firstLine="0"/>
        <w:jc w:val="left"/>
        <w:rPr>
          <w:sz w:val="16"/>
        </w:rPr>
      </w:pPr>
      <w:r>
        <w:rPr>
          <w:color w:val="231F20"/>
          <w:sz w:val="16"/>
        </w:rPr>
        <w:t>ISSN 1353–6737</w:t>
      </w:r>
    </w:p>
    <w:p>
      <w:pPr>
        <w:spacing w:after="0" w:line="180" w:lineRule="exact"/>
        <w:jc w:val="left"/>
        <w:rPr>
          <w:sz w:val="16"/>
        </w:rPr>
        <w:sectPr>
          <w:type w:val="continuous"/>
          <w:pgSz w:w="11900" w:h="16840"/>
          <w:pgMar w:top="1220" w:bottom="280" w:left="620" w:right="640"/>
        </w:sectPr>
      </w:pPr>
    </w:p>
    <w:p>
      <w:pPr>
        <w:pStyle w:val="BodyText"/>
        <w:spacing w:line="20" w:lineRule="exact"/>
        <w:ind w:left="158"/>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spacing w:before="1"/>
        <w:rPr>
          <w:sz w:val="28"/>
        </w:rPr>
      </w:pPr>
    </w:p>
    <w:p>
      <w:pPr>
        <w:spacing w:before="83"/>
        <w:ind w:left="5000" w:right="0" w:firstLine="0"/>
        <w:jc w:val="left"/>
        <w:rPr>
          <w:b/>
          <w:sz w:val="40"/>
        </w:rPr>
      </w:pPr>
      <w:bookmarkStart w:name="Overview" w:id="2"/>
      <w:bookmarkEnd w:id="2"/>
      <w:r>
        <w:rPr/>
      </w:r>
      <w:r>
        <w:rPr>
          <w:b/>
          <w:color w:val="009483"/>
          <w:sz w:val="40"/>
        </w:rPr>
        <w:t>Overview</w:t>
      </w:r>
    </w:p>
    <w:p>
      <w:pPr>
        <w:pStyle w:val="BodyText"/>
        <w:rPr>
          <w:b/>
          <w:sz w:val="44"/>
        </w:rPr>
      </w:pPr>
    </w:p>
    <w:p>
      <w:pPr>
        <w:pStyle w:val="Heading4"/>
        <w:spacing w:line="242" w:lineRule="auto" w:before="312"/>
        <w:ind w:left="5019" w:right="221"/>
      </w:pPr>
      <w:r>
        <w:rPr>
          <w:color w:val="231F20"/>
        </w:rPr>
        <w:t>This </w:t>
      </w:r>
      <w:r>
        <w:rPr>
          <w:i/>
          <w:color w:val="231F20"/>
        </w:rPr>
        <w:t>Inflation Report </w:t>
      </w:r>
      <w:r>
        <w:rPr>
          <w:color w:val="231F20"/>
        </w:rPr>
        <w:t>is the first since the Bank of England Act came into effect on 1 June. The Act states that in relation to monetary policy the objectives of the Bank of England shall be to maintain price stability, </w:t>
      </w:r>
      <w:r>
        <w:rPr>
          <w:color w:val="231F20"/>
          <w:spacing w:val="-6"/>
        </w:rPr>
        <w:t>and </w:t>
      </w:r>
      <w:r>
        <w:rPr>
          <w:color w:val="231F20"/>
        </w:rPr>
        <w:t>subject to that, to support the economic policy of Her Majesty’s Government, including its objectives for growth and employment. The Chancellor confirmed on 3 June that the operational target for monetary policy remains an underlying inflation rate (measured by the twelve-month change in RPIX) of 2</w:t>
      </w:r>
      <w:r>
        <w:rPr>
          <w:color w:val="231F20"/>
          <w:position w:val="8"/>
          <w:sz w:val="12"/>
        </w:rPr>
        <w:t>1</w:t>
      </w:r>
      <w:r>
        <w:rPr>
          <w:color w:val="231F20"/>
        </w:rPr>
        <w:t>/</w:t>
      </w:r>
      <w:r>
        <w:rPr>
          <w:color w:val="231F20"/>
          <w:sz w:val="12"/>
        </w:rPr>
        <w:t>2</w:t>
      </w:r>
      <w:r>
        <w:rPr>
          <w:color w:val="231F20"/>
        </w:rPr>
        <w:t>%. The remit for the MPC set by the Chancellor states that ‘The inflation target is 2</w:t>
      </w:r>
      <w:r>
        <w:rPr>
          <w:color w:val="231F20"/>
          <w:position w:val="8"/>
          <w:sz w:val="12"/>
        </w:rPr>
        <w:t>1</w:t>
      </w:r>
      <w:r>
        <w:rPr>
          <w:color w:val="231F20"/>
        </w:rPr>
        <w:t>/</w:t>
      </w:r>
      <w:r>
        <w:rPr>
          <w:color w:val="231F20"/>
          <w:sz w:val="12"/>
        </w:rPr>
        <w:t>2 </w:t>
      </w:r>
      <w:r>
        <w:rPr>
          <w:color w:val="231F20"/>
        </w:rPr>
        <w:t>per cent at all times: that is the rate which the MPC is required to achieve and for which it is accountable’. The remit also recognises that any economy can suffer from shocks and disturbances, which may cause the actual inflation rate on occasions to depart from its target and that </w:t>
      </w:r>
      <w:r>
        <w:rPr>
          <w:color w:val="231F20"/>
          <w:spacing w:val="-3"/>
        </w:rPr>
        <w:t>‘Attempts </w:t>
      </w:r>
      <w:r>
        <w:rPr>
          <w:color w:val="231F20"/>
        </w:rPr>
        <w:t>to keep inflation at the inflation target in these circumstances may cause undesirable volatility in output’.</w:t>
      </w:r>
    </w:p>
    <w:p>
      <w:pPr>
        <w:pStyle w:val="BodyText"/>
        <w:spacing w:before="4"/>
        <w:rPr>
          <w:sz w:val="26"/>
        </w:rPr>
      </w:pPr>
    </w:p>
    <w:p>
      <w:pPr>
        <w:spacing w:line="242" w:lineRule="auto" w:before="1"/>
        <w:ind w:left="5020" w:right="171" w:firstLine="0"/>
        <w:jc w:val="left"/>
        <w:rPr>
          <w:sz w:val="24"/>
        </w:rPr>
      </w:pPr>
      <w:r>
        <w:rPr>
          <w:color w:val="231F20"/>
          <w:sz w:val="24"/>
        </w:rPr>
        <w:t>The expected slowdown in economic activity is now evident. In the first half of the year, GDP growth fell to around trend.  That reflected not only a fall in net exports but also a decline in the growth of final </w:t>
      </w:r>
      <w:r>
        <w:rPr>
          <w:color w:val="231F20"/>
          <w:spacing w:val="-3"/>
          <w:sz w:val="24"/>
        </w:rPr>
        <w:t>domestic </w:t>
      </w:r>
      <w:r>
        <w:rPr>
          <w:color w:val="231F20"/>
          <w:sz w:val="24"/>
        </w:rPr>
        <w:t>demand. But after six years of above-trend growth, the pressure on capacity, especially in the labour market, appears to </w:t>
      </w:r>
      <w:r>
        <w:rPr>
          <w:color w:val="231F20"/>
          <w:spacing w:val="-3"/>
          <w:sz w:val="24"/>
        </w:rPr>
        <w:t>have </w:t>
      </w:r>
      <w:r>
        <w:rPr>
          <w:color w:val="231F20"/>
          <w:sz w:val="24"/>
        </w:rPr>
        <w:t>built up to a level which, if maintained, would jeopardise the achievement of the inflation target. Those labour market pressures </w:t>
      </w:r>
      <w:r>
        <w:rPr>
          <w:color w:val="231F20"/>
          <w:spacing w:val="-3"/>
          <w:sz w:val="24"/>
        </w:rPr>
        <w:t>have </w:t>
      </w:r>
      <w:r>
        <w:rPr>
          <w:color w:val="231F20"/>
          <w:sz w:val="24"/>
        </w:rPr>
        <w:t>resulted in a rise in the rate of earnings growth, and, if price pressures are not to build up further, demand must return to a more sustainable path.</w:t>
      </w:r>
    </w:p>
    <w:p>
      <w:pPr>
        <w:pStyle w:val="BodyText"/>
        <w:spacing w:before="7"/>
        <w:rPr>
          <w:sz w:val="25"/>
        </w:rPr>
      </w:pPr>
    </w:p>
    <w:p>
      <w:pPr>
        <w:spacing w:line="242" w:lineRule="auto" w:before="0"/>
        <w:ind w:left="5020" w:right="247" w:firstLine="0"/>
        <w:jc w:val="left"/>
        <w:rPr>
          <w:sz w:val="24"/>
        </w:rPr>
      </w:pPr>
      <w:r>
        <w:rPr>
          <w:color w:val="231F20"/>
          <w:sz w:val="24"/>
        </w:rPr>
        <w:t>The expected deterioration in net trade, reflecting the appreciation of sterling over the last two years and developments in the world economy following the start of the Asian crisis a year ago, is now apparent. In the first quarter of this year, export volumes fell by 2.4% and net trade reduced GDP growth by 0.7 percentage points. In the wake of the Asian crisis, it is likely that the growth of world trade will slow. The consequence for UK exports is likely to be partially offset by a decline in sterling from the levels reached earlier in the year.</w:t>
      </w:r>
    </w:p>
    <w:p>
      <w:pPr>
        <w:pStyle w:val="BodyText"/>
        <w:spacing w:before="7"/>
        <w:rPr>
          <w:sz w:val="25"/>
        </w:rPr>
      </w:pPr>
    </w:p>
    <w:p>
      <w:pPr>
        <w:spacing w:line="242" w:lineRule="auto" w:before="0"/>
        <w:ind w:left="5020" w:right="221" w:firstLine="0"/>
        <w:jc w:val="left"/>
        <w:rPr>
          <w:sz w:val="24"/>
        </w:rPr>
      </w:pPr>
      <w:r>
        <w:rPr>
          <w:color w:val="231F20"/>
          <w:sz w:val="24"/>
        </w:rPr>
        <w:t>Past monetary and fiscal tightening is now clearly having an impact on the growth of consumption and</w:t>
      </w:r>
    </w:p>
    <w:p>
      <w:pPr>
        <w:spacing w:after="0" w:line="242" w:lineRule="auto"/>
        <w:jc w:val="left"/>
        <w:rPr>
          <w:sz w:val="24"/>
        </w:rPr>
        <w:sectPr>
          <w:footerReference w:type="even" r:id="rId5"/>
          <w:pgSz w:w="11900" w:h="16840"/>
          <w:pgMar w:footer="597" w:header="0" w:top="760" w:bottom="780" w:left="620" w:right="640"/>
        </w:sectPr>
      </w:pPr>
    </w:p>
    <w:p>
      <w:pPr>
        <w:tabs>
          <w:tab w:pos="10484" w:val="left" w:leader="none"/>
        </w:tabs>
        <w:spacing w:before="82"/>
        <w:ind w:left="145" w:right="0" w:firstLine="0"/>
        <w:jc w:val="left"/>
        <w:rPr>
          <w:sz w:val="16"/>
        </w:rPr>
      </w:pPr>
      <w:r>
        <w:rPr>
          <w:color w:val="231F20"/>
          <w:spacing w:val="-20"/>
          <w:sz w:val="16"/>
          <w:u w:val="single" w:color="231F20"/>
        </w:rPr>
        <w:t> </w:t>
      </w:r>
      <w:r>
        <w:rPr>
          <w:color w:val="231F20"/>
          <w:sz w:val="16"/>
          <w:u w:val="single" w:color="231F20"/>
        </w:rPr>
        <w:t>Inflation Report:  August 1998</w:t>
        <w:tab/>
      </w:r>
    </w:p>
    <w:p>
      <w:pPr>
        <w:pStyle w:val="BodyText"/>
        <w:rPr>
          <w:sz w:val="20"/>
        </w:rPr>
      </w:pPr>
    </w:p>
    <w:p>
      <w:pPr>
        <w:spacing w:after="0"/>
        <w:rPr>
          <w:sz w:val="20"/>
        </w:rPr>
        <w:sectPr>
          <w:footerReference w:type="default" r:id="rId6"/>
          <w:pgSz w:w="11900" w:h="16840"/>
          <w:pgMar w:footer="0" w:header="0" w:top="500" w:bottom="280" w:left="620" w:right="640"/>
        </w:sectPr>
      </w:pPr>
    </w:p>
    <w:p>
      <w:pPr>
        <w:pStyle w:val="BodyText"/>
        <w:rPr>
          <w:sz w:val="22"/>
        </w:rPr>
      </w:pPr>
    </w:p>
    <w:p>
      <w:pPr>
        <w:pStyle w:val="BodyText"/>
        <w:rPr>
          <w:sz w:val="22"/>
        </w:rPr>
      </w:pPr>
    </w:p>
    <w:p>
      <w:pPr>
        <w:pStyle w:val="BodyText"/>
        <w:rPr>
          <w:sz w:val="22"/>
        </w:rPr>
      </w:pPr>
    </w:p>
    <w:p>
      <w:pPr>
        <w:pStyle w:val="BodyText"/>
        <w:spacing w:before="5"/>
        <w:rPr>
          <w:sz w:val="22"/>
        </w:rPr>
      </w:pPr>
    </w:p>
    <w:p>
      <w:pPr>
        <w:pStyle w:val="Heading8"/>
        <w:spacing w:before="0"/>
        <w:ind w:left="218"/>
      </w:pPr>
      <w:r>
        <w:rPr>
          <w:color w:val="0093C1"/>
        </w:rPr>
        <w:t>Chart 1</w:t>
      </w:r>
    </w:p>
    <w:p>
      <w:pPr>
        <w:spacing w:line="249" w:lineRule="auto" w:before="10"/>
        <w:ind w:left="218" w:right="517" w:firstLine="0"/>
        <w:jc w:val="left"/>
        <w:rPr>
          <w:b/>
          <w:sz w:val="20"/>
        </w:rPr>
      </w:pPr>
      <w:r>
        <w:rPr>
          <w:b/>
          <w:color w:val="0093C1"/>
          <w:sz w:val="20"/>
        </w:rPr>
        <w:t>Current GDP projection based on constant nominal interest rates</w:t>
      </w:r>
    </w:p>
    <w:p>
      <w:pPr>
        <w:spacing w:line="117" w:lineRule="exact" w:before="71"/>
        <w:ind w:left="1254" w:right="0" w:firstLine="0"/>
        <w:jc w:val="left"/>
        <w:rPr>
          <w:sz w:val="12"/>
        </w:rPr>
      </w:pPr>
      <w:r>
        <w:rPr>
          <w:sz w:val="12"/>
        </w:rPr>
        <w:t>Percentage increase in output on a year earlier</w:t>
      </w:r>
    </w:p>
    <w:p>
      <w:pPr>
        <w:spacing w:line="117" w:lineRule="exact" w:before="0"/>
        <w:ind w:left="3554" w:right="0" w:firstLine="0"/>
        <w:jc w:val="left"/>
        <w:rPr>
          <w:sz w:val="12"/>
        </w:rPr>
      </w:pPr>
      <w:r>
        <w:rPr/>
        <w:pict>
          <v:line style="position:absolute;mso-position-horizontal-relative:page;mso-position-vertical-relative:paragraph;z-index:15740416" from="46.202pt,2.923661pt" to="49.902pt,2.923661pt" stroked="true" strokeweight=".5pt" strokecolor="#231f20">
            <v:stroke dashstyle="solid"/>
            <w10:wrap type="none"/>
          </v:line>
        </w:pict>
      </w:r>
      <w:r>
        <w:rPr/>
        <w:pict>
          <v:line style="position:absolute;mso-position-horizontal-relative:page;mso-position-vertical-relative:paragraph;z-index:15741440" from="199.410004pt,2.673661pt" to="204.077004pt,2.673661pt" stroked="true" strokeweight=".5pt" strokecolor="#000000">
            <v:stroke dashstyle="solid"/>
            <w10:wrap type="none"/>
          </v:line>
        </w:pict>
      </w:r>
      <w:r>
        <w:rPr>
          <w:sz w:val="12"/>
        </w:rPr>
        <w:t>6</w:t>
      </w:r>
    </w:p>
    <w:p>
      <w:pPr>
        <w:pStyle w:val="BodyText"/>
        <w:rPr>
          <w:sz w:val="12"/>
        </w:rPr>
      </w:pPr>
    </w:p>
    <w:p>
      <w:pPr>
        <w:pStyle w:val="BodyText"/>
        <w:spacing w:before="1"/>
        <w:rPr>
          <w:sz w:val="12"/>
        </w:rPr>
      </w:pPr>
    </w:p>
    <w:p>
      <w:pPr>
        <w:spacing w:before="0"/>
        <w:ind w:left="3539" w:right="0" w:firstLine="0"/>
        <w:jc w:val="left"/>
        <w:rPr>
          <w:sz w:val="12"/>
        </w:rPr>
      </w:pPr>
      <w:r>
        <w:rPr/>
        <w:pict>
          <v:group style="position:absolute;margin-left:46.41pt;margin-top:4.770548pt;width:165.6pt;height:128.9pt;mso-position-horizontal-relative:page;mso-position-vertical-relative:paragraph;z-index:-21188608" coordorigin="928,95" coordsize="3312,2578">
            <v:shape style="position:absolute;left:2934;top:175;width:987;height:2300" coordorigin="2934,175" coordsize="987,2300" path="m3921,175l3811,381,3702,609,3592,745,3483,935,3373,1025,3263,1001,3154,985,3044,1003,2934,1112,3044,1753,3154,2069,3263,2281,3373,2444,3483,2461,3592,2455,3702,2475,3811,2381,3921,2294,3921,175xe" filled="true" fillcolor="#dbeae4" stroked="false">
              <v:path arrowok="t"/>
              <v:fill type="solid"/>
            </v:shape>
            <v:shape style="position:absolute;left:2934;top:397;width:987;height:1889" coordorigin="2934,398" coordsize="987,1889" path="m3921,398l3811,590,3702,804,3592,924,3483,1094,3373,1173,3263,1134,3144,1098,3034,1082,2934,1114,3034,1668,3154,1945,3263,2134,3373,2282,3483,2286,3592,2258,3702,2258,3811,2148,3921,2047,3921,398xe" filled="true" fillcolor="#bfdbcf" stroked="false">
              <v:path arrowok="t"/>
              <v:fill type="solid"/>
            </v:shape>
            <v:shape style="position:absolute;left:2934;top:545;width:987;height:1627" coordorigin="2934,545" coordsize="987,1627" path="m3921,545l3811,730,3702,936,3592,1045,3483,1203,3373,1275,3263,1227,3144,1177,3034,1138,2934,1118,3034,1611,3144,1862,3263,2035,3373,2171,3483,2167,3592,2124,3702,2113,3811,1992,3921,1881,3921,545xe" filled="true" fillcolor="#a4cdbd" stroked="false">
              <v:path arrowok="t"/>
              <v:fill type="solid"/>
            </v:shape>
            <v:shape style="position:absolute;left:2934;top:661;width:987;height:1418" coordorigin="2934,661" coordsize="987,1418" path="m3921,661l3811,840,3702,1037,3592,1138,3483,1285,3373,1352,3263,1295,3144,1235,3034,1177,2934,1116,3034,1561,3144,1791,3263,1951,3373,2079,3483,2068,3592,2014,3702,1994,3811,1865,3921,1748,3921,661xe" filled="true" fillcolor="#8abfab" stroked="false">
              <v:path arrowok="t"/>
              <v:fill type="solid"/>
            </v:shape>
            <v:shape style="position:absolute;left:2934;top:758;width:987;height:1246" coordorigin="2934,758" coordsize="987,1246" path="m3921,758l3811,932,3702,1125,3592,1220,3483,1361,3373,1422,3263,1359,3144,1288,3034,1214,2934,1115,3034,1521,3144,1733,3263,1883,3373,2003,3483,1987,3592,1922,3702,1891,3811,1754,3921,1629,3921,758xe" filled="true" fillcolor="#6fb39a" stroked="false">
              <v:path arrowok="t"/>
              <v:fill type="solid"/>
            </v:shape>
            <v:shape style="position:absolute;left:2934;top:850;width:987;height:1086" coordorigin="2934,851" coordsize="987,1086" path="m3921,851l3811,1019,3702,1205,3592,1292,3483,1424,3373,1481,3263,1412,3144,1333,3034,1245,2934,1115,3034,1486,3144,1682,3263,1823,3373,1936,3483,1915,3592,1840,3702,1802,3811,1658,3921,1527,3921,851xe" filled="true" fillcolor="#53a78b" stroked="false">
              <v:path arrowok="t"/>
              <v:fill type="solid"/>
            </v:shape>
            <v:shape style="position:absolute;left:2934;top:932;width:987;height:939" coordorigin="2934,933" coordsize="987,939" path="m3921,933l3811,1097,3702,1278,3592,1359,3483,1485,3373,1537,3263,1463,3144,1377,3034,1275,2934,1117,3034,1452,3144,1632,3263,1764,3373,1871,3483,1845,3592,1762,3702,1717,3811,1568,3921,1432,3921,933xe" filled="true" fillcolor="#309d7d" stroked="false">
              <v:path arrowok="t"/>
              <v:fill type="solid"/>
            </v:shape>
            <v:shape style="position:absolute;left:2934;top:1010;width:987;height:800" coordorigin="2934,1010" coordsize="987,800" path="m3921,1010l3811,1170,3702,1347,3592,1422,3483,1542,3373,1589,3263,1510,3144,1416,3034,1302,2934,1114,3034,1418,3144,1584,3263,1708,3373,1809,3483,1778,3592,1688,3702,1637,3811,1481,3921,1340,3921,1010xe" filled="true" fillcolor="#00936f" stroked="false">
              <v:path arrowok="t"/>
              <v:fill type="solid"/>
            </v:shape>
            <v:shape style="position:absolute;left:2934;top:1087;width:987;height:665" coordorigin="2934,1088" coordsize="987,665" path="m3921,1088l3811,1243,3702,1415,3592,1485,3483,1598,3373,1642,3263,1557,3144,1457,3034,1330,2934,1115,3034,1388,3144,1541,3263,1656,3373,1752,3483,1716,3592,1618,3702,1560,3811,1399,3921,1253,3921,1088xe" filled="true" fillcolor="#008256" stroked="false">
              <v:path arrowok="t"/>
              <v:fill type="solid"/>
            </v:shape>
            <v:shape style="position:absolute;left:928;top:507;width:2997;height:2126" coordorigin="928,508" coordsize="2997,2126" path="m1062,2625l3925,2625m1062,2622l1062,2517m1179,2629l1179,2555m1289,2629l1289,2555m1398,2629l1398,2555m1508,2629l1508,2517m1618,2629l1618,2555m1727,2629l1727,2555m1837,2629l1837,2555m1946,2621l1946,2517m2056,2629l2056,2555m2166,2629l2166,2555m2275,2629l2275,2555m2385,2624l2385,2517m2495,2629l2495,2555m2604,2629l2604,2555m2714,2629l2714,2555m2823,2626l2823,2517m2933,2629l2933,2555m3043,2629l3043,2555m3152,2629l3152,2555m3262,2627l3262,2517m3372,2629l3372,2555m3481,2629l3481,2555m3591,2633l3591,2559m3702,2623l3702,2517m928,2622l1002,2622m928,2199l1002,2199m928,1776l1002,1776m928,1353l1002,1353m928,931l1002,931m928,508l1002,508e" filled="false" stroked="true" strokeweight=".5pt" strokecolor="#231f20">
              <v:path arrowok="t"/>
              <v:stroke dashstyle="solid"/>
            </v:shape>
            <v:shape style="position:absolute;left:1070;top:105;width:220;height:589" coordorigin="1071,105" coordsize="220,589" path="m1180,292l1071,694m1290,105l1180,292e" filled="false" stroked="true" strokeweight="1pt" strokecolor="#008256">
              <v:path arrowok="t"/>
              <v:stroke dashstyle="solid"/>
            </v:shape>
            <v:line style="position:absolute" from="1280,107" to="1410,107" stroked="true" strokeweight="1.195pt" strokecolor="#008256">
              <v:stroke dashstyle="solid"/>
            </v:line>
            <v:shape style="position:absolute;left:1399;top:109;width:1316;height:1232" coordorigin="1400,109" coordsize="1316,1232" path="m1509,501l1400,109m1619,985l1509,501m1729,1301l1619,985m1838,1341l1729,1301m1948,1313l1838,1341m2058,1192l1948,1313m2167,1161l2058,1192m2277,986l2167,1161m2386,1036l2277,986m2496,871l2386,1036m2606,745l2496,871m2715,953l2606,745e" filled="false" stroked="true" strokeweight="1pt" strokecolor="#008256">
              <v:path arrowok="t"/>
              <v:stroke dashstyle="solid"/>
            </v:shape>
            <v:line style="position:absolute" from="2705,951" to="2835,951" stroked="true" strokeweight="1.291pt" strokecolor="#008256">
              <v:stroke dashstyle="solid"/>
            </v:line>
            <v:line style="position:absolute" from="2935,1117" to="2825,948" stroked="true" strokeweight="1pt" strokecolor="#008256">
              <v:stroke dashstyle="solid"/>
            </v:line>
            <v:shape style="position:absolute;left:1078;top:2192;width:3004;height:436" coordorigin="1079,2193" coordsize="3004,436" path="m3916,2628l3916,2555m1079,2195l3919,2195m4000,2193l4074,2193m3815,2624l3815,2544m4008,2624l4082,2624e" filled="false" stroked="true" strokeweight=".5pt" strokecolor="#000000">
              <v:path arrowok="t"/>
              <v:stroke dashstyle="solid"/>
            </v:shape>
            <v:shape style="position:absolute;left:4159;top:445;width:80;height:1388" type="#_x0000_t202" filled="false" stroked="false">
              <v:textbox inset="0,0,0,0">
                <w:txbxContent>
                  <w:p>
                    <w:pPr>
                      <w:spacing w:line="133" w:lineRule="exact" w:before="0"/>
                      <w:ind w:left="0" w:right="0" w:firstLine="0"/>
                      <w:jc w:val="left"/>
                      <w:rPr>
                        <w:sz w:val="12"/>
                      </w:rPr>
                    </w:pPr>
                    <w:r>
                      <w:rPr>
                        <w:sz w:val="12"/>
                      </w:rPr>
                      <w:t>4</w:t>
                    </w:r>
                  </w:p>
                  <w:p>
                    <w:pPr>
                      <w:spacing w:line="240" w:lineRule="auto" w:before="0"/>
                      <w:rPr>
                        <w:sz w:val="12"/>
                      </w:rPr>
                    </w:pPr>
                  </w:p>
                  <w:p>
                    <w:pPr>
                      <w:spacing w:line="240" w:lineRule="auto" w:before="1"/>
                      <w:rPr>
                        <w:sz w:val="12"/>
                      </w:rPr>
                    </w:pPr>
                  </w:p>
                  <w:p>
                    <w:pPr>
                      <w:spacing w:before="0"/>
                      <w:ind w:left="0" w:right="0" w:firstLine="0"/>
                      <w:jc w:val="left"/>
                      <w:rPr>
                        <w:sz w:val="12"/>
                      </w:rPr>
                    </w:pPr>
                    <w:r>
                      <w:rPr>
                        <w:sz w:val="12"/>
                      </w:rPr>
                      <w:t>3</w:t>
                    </w:r>
                  </w:p>
                  <w:p>
                    <w:pPr>
                      <w:spacing w:line="240" w:lineRule="auto" w:before="0"/>
                      <w:rPr>
                        <w:sz w:val="12"/>
                      </w:rPr>
                    </w:pPr>
                  </w:p>
                  <w:p>
                    <w:pPr>
                      <w:spacing w:line="240" w:lineRule="auto" w:before="11"/>
                      <w:rPr>
                        <w:sz w:val="12"/>
                      </w:rPr>
                    </w:pPr>
                  </w:p>
                  <w:p>
                    <w:pPr>
                      <w:spacing w:before="0"/>
                      <w:ind w:left="0" w:right="0" w:firstLine="0"/>
                      <w:jc w:val="left"/>
                      <w:rPr>
                        <w:sz w:val="12"/>
                      </w:rPr>
                    </w:pPr>
                    <w:r>
                      <w:rPr>
                        <w:sz w:val="12"/>
                      </w:rPr>
                      <w:t>2</w:t>
                    </w:r>
                  </w:p>
                  <w:p>
                    <w:pPr>
                      <w:spacing w:line="240" w:lineRule="auto" w:before="0"/>
                      <w:rPr>
                        <w:sz w:val="12"/>
                      </w:rPr>
                    </w:pPr>
                  </w:p>
                  <w:p>
                    <w:pPr>
                      <w:spacing w:line="240" w:lineRule="auto" w:before="1"/>
                      <w:rPr>
                        <w:sz w:val="12"/>
                      </w:rPr>
                    </w:pPr>
                  </w:p>
                  <w:p>
                    <w:pPr>
                      <w:spacing w:before="0"/>
                      <w:ind w:left="0" w:right="0" w:firstLine="0"/>
                      <w:jc w:val="left"/>
                      <w:rPr>
                        <w:sz w:val="12"/>
                      </w:rPr>
                    </w:pPr>
                    <w:r>
                      <w:rPr>
                        <w:sz w:val="12"/>
                      </w:rPr>
                      <w:t>1</w:t>
                    </w:r>
                  </w:p>
                </w:txbxContent>
              </v:textbox>
              <w10:wrap type="none"/>
            </v:shape>
            <v:shape style="position:absolute;left:4057;top:1859;width:111;height:178" type="#_x0000_t202" filled="false" stroked="false">
              <v:textbox inset="0,0,0,0">
                <w:txbxContent>
                  <w:p>
                    <w:pPr>
                      <w:spacing w:line="177" w:lineRule="exact" w:before="0"/>
                      <w:ind w:left="0" w:right="0" w:firstLine="0"/>
                      <w:jc w:val="left"/>
                      <w:rPr>
                        <w:sz w:val="16"/>
                      </w:rPr>
                    </w:pPr>
                    <w:r>
                      <w:rPr>
                        <w:sz w:val="16"/>
                      </w:rPr>
                      <w:t>+</w:t>
                    </w:r>
                  </w:p>
                </w:txbxContent>
              </v:textbox>
              <w10:wrap type="none"/>
            </v:shape>
            <v:shape style="position:absolute;left:4159;top:2130;width:80;height:133" type="#_x0000_t202" filled="false" stroked="false">
              <v:textbox inset="0,0,0,0">
                <w:txbxContent>
                  <w:p>
                    <w:pPr>
                      <w:spacing w:line="133" w:lineRule="exact" w:before="0"/>
                      <w:ind w:left="0" w:right="0" w:firstLine="0"/>
                      <w:jc w:val="left"/>
                      <w:rPr>
                        <w:sz w:val="12"/>
                      </w:rPr>
                    </w:pPr>
                    <w:r>
                      <w:rPr>
                        <w:sz w:val="12"/>
                      </w:rPr>
                      <w:t>0</w:t>
                    </w:r>
                  </w:p>
                </w:txbxContent>
              </v:textbox>
              <w10:wrap type="none"/>
            </v:shape>
            <v:shape style="position:absolute;left:4057;top:2239;width:100;height:178" type="#_x0000_t202" filled="false" stroked="false">
              <v:textbox inset="0,0,0,0">
                <w:txbxContent>
                  <w:p>
                    <w:pPr>
                      <w:spacing w:line="177" w:lineRule="exact" w:before="0"/>
                      <w:ind w:left="0" w:right="0" w:firstLine="0"/>
                      <w:jc w:val="left"/>
                      <w:rPr>
                        <w:sz w:val="16"/>
                      </w:rPr>
                    </w:pPr>
                    <w:r>
                      <w:rPr>
                        <w:sz w:val="16"/>
                      </w:rPr>
                      <w:t>_</w:t>
                    </w:r>
                  </w:p>
                </w:txbxContent>
              </v:textbox>
              <w10:wrap type="none"/>
            </v:shape>
            <v:shape style="position:absolute;left:4159;top:2540;width:80;height:133" type="#_x0000_t202" filled="false" stroked="false">
              <v:textbox inset="0,0,0,0">
                <w:txbxContent>
                  <w:p>
                    <w:pPr>
                      <w:spacing w:line="133" w:lineRule="exact" w:before="0"/>
                      <w:ind w:left="0" w:right="0" w:firstLine="0"/>
                      <w:jc w:val="left"/>
                      <w:rPr>
                        <w:sz w:val="12"/>
                      </w:rPr>
                    </w:pPr>
                    <w:r>
                      <w:rPr>
                        <w:sz w:val="12"/>
                      </w:rPr>
                      <w:t>1</w:t>
                    </w:r>
                  </w:p>
                </w:txbxContent>
              </v:textbox>
              <w10:wrap type="none"/>
            </v:shape>
            <w10:wrap type="none"/>
          </v:group>
        </w:pict>
      </w:r>
      <w:r>
        <w:rPr/>
        <w:pict>
          <v:line style="position:absolute;mso-position-horizontal-relative:page;mso-position-vertical-relative:paragraph;z-index:15739904" from="46.41pt,4.244548pt" to="50.11pt,4.244548pt" stroked="true" strokeweight=".5pt" strokecolor="#231f20">
            <v:stroke dashstyle="solid"/>
            <w10:wrap type="none"/>
          </v:line>
        </w:pict>
      </w:r>
      <w:r>
        <w:rPr/>
        <w:pict>
          <v:line style="position:absolute;mso-position-horizontal-relative:page;mso-position-vertical-relative:paragraph;z-index:15740928" from="200.167999pt,4.119548pt" to="203.867999pt,4.119548pt" stroked="true" strokeweight=".5pt" strokecolor="#000000">
            <v:stroke dashstyle="solid"/>
            <w10:wrap type="none"/>
          </v:line>
        </w:pict>
      </w:r>
      <w:r>
        <w:rPr>
          <w:sz w:val="12"/>
        </w:rPr>
        <w:t>5</w:t>
      </w:r>
    </w:p>
    <w:p>
      <w:pPr>
        <w:pStyle w:val="BodyText"/>
        <w:spacing w:before="1" w:after="39"/>
        <w:rPr>
          <w:sz w:val="28"/>
        </w:rPr>
      </w:pPr>
    </w:p>
    <w:p>
      <w:pPr>
        <w:pStyle w:val="BodyText"/>
        <w:spacing w:line="20" w:lineRule="exact"/>
        <w:ind w:left="3378"/>
        <w:rPr>
          <w:sz w:val="2"/>
        </w:rPr>
      </w:pPr>
      <w:r>
        <w:rPr>
          <w:sz w:val="2"/>
        </w:rPr>
        <w:pict>
          <v:group style="width:3.7pt;height:.5pt;mso-position-horizontal-relative:char;mso-position-vertical-relative:line" coordorigin="0,0" coordsize="74,10">
            <v:line style="position:absolute" from="0,5" to="74,5" stroked="true" strokeweight=".5pt" strokecolor="#000000">
              <v:stroke dashstyle="solid"/>
            </v:line>
          </v:group>
        </w:pict>
      </w:r>
      <w:r>
        <w:rPr>
          <w:sz w:val="2"/>
        </w:rPr>
      </w:r>
    </w:p>
    <w:p>
      <w:pPr>
        <w:pStyle w:val="BodyText"/>
        <w:rPr>
          <w:sz w:val="20"/>
        </w:rPr>
      </w:pPr>
    </w:p>
    <w:p>
      <w:pPr>
        <w:pStyle w:val="BodyText"/>
        <w:spacing w:before="7"/>
        <w:rPr>
          <w:sz w:val="11"/>
        </w:rPr>
      </w:pPr>
      <w:r>
        <w:rPr/>
        <w:pict>
          <v:shape style="position:absolute;margin-left:200.167999pt;margin-top:8.892977pt;width:3.7pt;height:.1pt;mso-position-horizontal-relative:page;mso-position-vertical-relative:paragraph;z-index:-15727616;mso-wrap-distance-left:0;mso-wrap-distance-right:0" coordorigin="4003,178" coordsize="74,0" path="m4003,178l4077,178e" filled="false" stroked="true" strokeweight=".5pt" strokecolor="#000000">
            <v:path arrowok="t"/>
            <v:stroke dashstyle="solid"/>
            <w10:wrap type="topAndBottom"/>
          </v:shape>
        </w:pict>
      </w:r>
      <w:r>
        <w:rPr/>
        <w:pict>
          <v:shape style="position:absolute;margin-left:200.167999pt;margin-top:30.035976pt;width:3.7pt;height:.1pt;mso-position-horizontal-relative:page;mso-position-vertical-relative:paragraph;z-index:-15727104;mso-wrap-distance-left:0;mso-wrap-distance-right:0" coordorigin="4003,601" coordsize="74,0" path="m4003,601l4077,601e" filled="false" stroked="true" strokeweight=".5pt" strokecolor="#000000">
            <v:path arrowok="t"/>
            <v:stroke dashstyle="solid"/>
            <w10:wrap type="topAndBottom"/>
          </v:shape>
        </w:pict>
      </w:r>
      <w:r>
        <w:rPr/>
        <w:pict>
          <v:shape style="position:absolute;margin-left:200.167999pt;margin-top:51.177975pt;width:3.7pt;height:.1pt;mso-position-horizontal-relative:page;mso-position-vertical-relative:paragraph;z-index:-15726592;mso-wrap-distance-left:0;mso-wrap-distance-right:0" coordorigin="4003,1024" coordsize="74,0" path="m4003,1024l4077,1024e" filled="false" stroked="true" strokeweight=".5pt" strokecolor="#000000">
            <v:path arrowok="t"/>
            <v:stroke dashstyle="solid"/>
            <w10:wrap type="topAndBottom"/>
          </v:shape>
        </w:pict>
      </w:r>
    </w:p>
    <w:p>
      <w:pPr>
        <w:pStyle w:val="BodyText"/>
        <w:spacing w:before="11"/>
        <w:rPr>
          <w:sz w:val="29"/>
        </w:rPr>
      </w:pPr>
    </w:p>
    <w:p>
      <w:pPr>
        <w:pStyle w:val="BodyText"/>
        <w:spacing w:before="11"/>
        <w:rPr>
          <w:sz w:val="29"/>
        </w:rPr>
      </w:pPr>
    </w:p>
    <w:p>
      <w:pPr>
        <w:pStyle w:val="Heading4"/>
        <w:spacing w:line="242" w:lineRule="auto" w:before="227"/>
        <w:ind w:left="218" w:right="170"/>
      </w:pPr>
      <w:r>
        <w:rPr/>
        <w:br w:type="column"/>
      </w:r>
      <w:r>
        <w:rPr>
          <w:color w:val="231F20"/>
        </w:rPr>
        <w:t>domestic demand more generally. Retail sales grew by 1.3% in the first half of 1998, compared with 2.2% in </w:t>
      </w:r>
      <w:r>
        <w:rPr>
          <w:color w:val="231F20"/>
          <w:spacing w:val="-6"/>
        </w:rPr>
        <w:t>the </w:t>
      </w:r>
      <w:r>
        <w:rPr>
          <w:color w:val="231F20"/>
        </w:rPr>
        <w:t>second half of 1997. Consumer and business confidence is now falling, house price inflation is moderating, and equity prices </w:t>
      </w:r>
      <w:r>
        <w:rPr>
          <w:color w:val="231F20"/>
          <w:spacing w:val="-3"/>
        </w:rPr>
        <w:t>have </w:t>
      </w:r>
      <w:r>
        <w:rPr>
          <w:color w:val="231F20"/>
        </w:rPr>
        <w:t>fallen from the peak levels reached earlier in the </w:t>
      </w:r>
      <w:r>
        <w:rPr>
          <w:color w:val="231F20"/>
          <w:spacing w:val="-3"/>
        </w:rPr>
        <w:t>year.  </w:t>
      </w:r>
      <w:r>
        <w:rPr>
          <w:color w:val="231F20"/>
        </w:rPr>
        <w:t>Those factors, together with the fall in the growth of the money aggregates, are consistent with a continuing slowdown in domestic demand growth to below</w:t>
      </w:r>
      <w:r>
        <w:rPr>
          <w:color w:val="231F20"/>
          <w:spacing w:val="-1"/>
        </w:rPr>
        <w:t> </w:t>
      </w:r>
      <w:r>
        <w:rPr>
          <w:color w:val="231F20"/>
        </w:rPr>
        <w:t>trend.</w:t>
      </w:r>
    </w:p>
    <w:p>
      <w:pPr>
        <w:pStyle w:val="BodyText"/>
        <w:spacing w:before="10"/>
        <w:rPr>
          <w:sz w:val="21"/>
        </w:rPr>
      </w:pPr>
    </w:p>
    <w:p>
      <w:pPr>
        <w:spacing w:line="242" w:lineRule="auto" w:before="0"/>
        <w:ind w:left="218" w:right="212" w:firstLine="0"/>
        <w:jc w:val="left"/>
        <w:rPr>
          <w:sz w:val="24"/>
        </w:rPr>
      </w:pPr>
      <w:r>
        <w:rPr>
          <w:color w:val="231F20"/>
          <w:sz w:val="24"/>
        </w:rPr>
        <w:t>The outlook for inflation depends critically upon developments in the labour market and, in particular, on the behaviour of earnings. Evidence of unemployment, vacancies, skill shortages and recruitment intentions </w:t>
      </w:r>
      <w:r>
        <w:rPr>
          <w:color w:val="231F20"/>
          <w:spacing w:val="-3"/>
          <w:sz w:val="24"/>
        </w:rPr>
        <w:t>have </w:t>
      </w:r>
      <w:r>
        <w:rPr>
          <w:color w:val="231F20"/>
          <w:sz w:val="24"/>
        </w:rPr>
        <w:t>for some time suggested that the labour market </w:t>
      </w:r>
      <w:r>
        <w:rPr>
          <w:color w:val="231F20"/>
          <w:spacing w:val="-7"/>
          <w:sz w:val="24"/>
        </w:rPr>
        <w:t>was </w:t>
      </w:r>
      <w:r>
        <w:rPr>
          <w:color w:val="231F20"/>
          <w:sz w:val="24"/>
        </w:rPr>
        <w:t>tight. But after a period in which they appeared to be flat, official estimates of earnings growth </w:t>
      </w:r>
      <w:r>
        <w:rPr>
          <w:color w:val="231F20"/>
          <w:spacing w:val="-3"/>
          <w:sz w:val="24"/>
        </w:rPr>
        <w:t>have </w:t>
      </w:r>
      <w:r>
        <w:rPr>
          <w:color w:val="231F20"/>
          <w:sz w:val="24"/>
        </w:rPr>
        <w:t>increased</w:t>
      </w:r>
    </w:p>
    <w:p>
      <w:pPr>
        <w:spacing w:after="0" w:line="242" w:lineRule="auto"/>
        <w:jc w:val="left"/>
        <w:rPr>
          <w:sz w:val="24"/>
        </w:rPr>
        <w:sectPr>
          <w:type w:val="continuous"/>
          <w:pgSz w:w="11900" w:h="16840"/>
          <w:pgMar w:top="1220" w:bottom="280" w:left="620" w:right="640"/>
          <w:cols w:num="2" w:equalWidth="0">
            <w:col w:w="3655" w:space="1106"/>
            <w:col w:w="5879"/>
          </w:cols>
        </w:sectPr>
      </w:pPr>
    </w:p>
    <w:p>
      <w:pPr>
        <w:spacing w:before="31"/>
        <w:ind w:left="0" w:right="0" w:firstLine="0"/>
        <w:jc w:val="right"/>
        <w:rPr>
          <w:sz w:val="12"/>
        </w:rPr>
      </w:pPr>
      <w:r>
        <w:rPr>
          <w:color w:val="231F20"/>
          <w:sz w:val="12"/>
        </w:rPr>
        <w:t>1994</w:t>
      </w:r>
    </w:p>
    <w:p>
      <w:pPr>
        <w:tabs>
          <w:tab w:pos="712" w:val="left" w:leader="none"/>
          <w:tab w:pos="1121" w:val="left" w:leader="none"/>
        </w:tabs>
        <w:spacing w:before="25"/>
        <w:ind w:left="266" w:right="0" w:firstLine="0"/>
        <w:jc w:val="left"/>
        <w:rPr>
          <w:sz w:val="12"/>
        </w:rPr>
      </w:pPr>
      <w:r>
        <w:rPr/>
        <w:br w:type="column"/>
      </w:r>
      <w:r>
        <w:rPr>
          <w:color w:val="231F20"/>
          <w:sz w:val="12"/>
        </w:rPr>
        <w:t>95</w:t>
        <w:tab/>
        <w:t>96</w:t>
        <w:tab/>
      </w:r>
      <w:r>
        <w:rPr>
          <w:color w:val="231F20"/>
          <w:spacing w:val="-10"/>
          <w:position w:val="2"/>
          <w:sz w:val="12"/>
        </w:rPr>
        <w:t>97</w:t>
      </w:r>
    </w:p>
    <w:p>
      <w:pPr>
        <w:tabs>
          <w:tab w:pos="682" w:val="left" w:leader="none"/>
        </w:tabs>
        <w:spacing w:before="35"/>
        <w:ind w:left="271" w:right="0" w:firstLine="0"/>
        <w:jc w:val="left"/>
        <w:rPr>
          <w:sz w:val="12"/>
        </w:rPr>
      </w:pPr>
      <w:r>
        <w:rPr/>
        <w:br w:type="column"/>
      </w:r>
      <w:r>
        <w:rPr>
          <w:color w:val="231F20"/>
          <w:sz w:val="12"/>
        </w:rPr>
        <w:t>98</w:t>
        <w:tab/>
      </w:r>
      <w:r>
        <w:rPr>
          <w:color w:val="231F20"/>
          <w:spacing w:val="-10"/>
          <w:position w:val="1"/>
          <w:sz w:val="12"/>
        </w:rPr>
        <w:t>99</w:t>
      </w:r>
    </w:p>
    <w:p>
      <w:pPr>
        <w:spacing w:before="39"/>
        <w:ind w:left="182" w:right="0" w:firstLine="0"/>
        <w:jc w:val="left"/>
        <w:rPr>
          <w:sz w:val="12"/>
        </w:rPr>
      </w:pPr>
      <w:r>
        <w:rPr/>
        <w:br w:type="column"/>
      </w:r>
      <w:r>
        <w:rPr>
          <w:color w:val="231F20"/>
          <w:sz w:val="12"/>
        </w:rPr>
        <w:t>2000</w:t>
      </w:r>
    </w:p>
    <w:p>
      <w:pPr>
        <w:pStyle w:val="Heading4"/>
        <w:spacing w:before="9"/>
        <w:ind w:left="514"/>
      </w:pPr>
      <w:r>
        <w:rPr/>
        <w:br w:type="column"/>
      </w:r>
      <w:r>
        <w:rPr>
          <w:color w:val="231F20"/>
        </w:rPr>
        <w:t>sharply since the May </w:t>
      </w:r>
      <w:r>
        <w:rPr>
          <w:i/>
          <w:color w:val="231F20"/>
        </w:rPr>
        <w:t>Report</w:t>
      </w:r>
      <w:r>
        <w:rPr>
          <w:color w:val="231F20"/>
        </w:rPr>
        <w:t>. A year ago,</w:t>
      </w:r>
    </w:p>
    <w:p>
      <w:pPr>
        <w:spacing w:after="0"/>
        <w:sectPr>
          <w:type w:val="continuous"/>
          <w:pgSz w:w="11900" w:h="16840"/>
          <w:pgMar w:top="1220" w:bottom="280" w:left="620" w:right="640"/>
          <w:cols w:num="5" w:equalWidth="0">
            <w:col w:w="755" w:space="40"/>
            <w:col w:w="1243" w:space="39"/>
            <w:col w:w="803" w:space="39"/>
            <w:col w:w="463" w:space="1083"/>
            <w:col w:w="6175"/>
          </w:cols>
        </w:sectPr>
      </w:pPr>
    </w:p>
    <w:p>
      <w:pPr>
        <w:spacing w:line="208" w:lineRule="auto" w:before="47"/>
        <w:ind w:left="198" w:right="30" w:firstLine="0"/>
        <w:jc w:val="left"/>
        <w:rPr>
          <w:sz w:val="12"/>
        </w:rPr>
      </w:pPr>
      <w:r>
        <w:rPr>
          <w:color w:val="231F20"/>
          <w:sz w:val="12"/>
        </w:rPr>
        <w:t>The fan chart depicting the probability distribution for output growth is rather like a contour map. At any given point during the forecast period,</w:t>
      </w:r>
    </w:p>
    <w:p>
      <w:pPr>
        <w:spacing w:line="208" w:lineRule="auto" w:before="0"/>
        <w:ind w:left="198" w:right="20" w:firstLine="0"/>
        <w:jc w:val="left"/>
        <w:rPr>
          <w:sz w:val="12"/>
        </w:rPr>
      </w:pPr>
      <w:r>
        <w:rPr>
          <w:color w:val="231F20"/>
          <w:sz w:val="12"/>
        </w:rPr>
        <w:t>the depth of shading represents the height of the probability density function over a range of outcomes for output. The darkest band includes the central (single most likely) projection and covers 10% of the probability. Each successive pair of bands is drawn to cover a further 10% of the probability, until 90% of the probability distribution is covered. The bands widen as the time horizon is extended, indicating increasing uncertainty about outcomes.</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4"/>
        <w:rPr>
          <w:sz w:val="13"/>
        </w:rPr>
      </w:pPr>
    </w:p>
    <w:p>
      <w:pPr>
        <w:pStyle w:val="Heading8"/>
        <w:spacing w:before="0"/>
        <w:ind w:left="183"/>
      </w:pPr>
      <w:r>
        <w:rPr>
          <w:color w:val="0093C1"/>
        </w:rPr>
        <w:t>Chart 2</w:t>
      </w:r>
    </w:p>
    <w:p>
      <w:pPr>
        <w:spacing w:line="249" w:lineRule="auto" w:before="10"/>
        <w:ind w:left="183" w:right="227" w:firstLine="0"/>
        <w:jc w:val="left"/>
        <w:rPr>
          <w:b/>
          <w:sz w:val="20"/>
        </w:rPr>
      </w:pPr>
      <w:r>
        <w:rPr>
          <w:b/>
          <w:color w:val="0093C1"/>
          <w:sz w:val="20"/>
        </w:rPr>
        <w:t>Current RPIX inflation projection based on constant nominal interest rates</w:t>
      </w:r>
    </w:p>
    <w:p>
      <w:pPr>
        <w:spacing w:line="115" w:lineRule="exact" w:before="46"/>
        <w:ind w:left="0" w:right="494" w:firstLine="0"/>
        <w:jc w:val="right"/>
        <w:rPr>
          <w:sz w:val="12"/>
        </w:rPr>
      </w:pPr>
      <w:r>
        <w:rPr>
          <w:sz w:val="12"/>
        </w:rPr>
        <w:t>Percentage increase in prices on a year earlier</w:t>
      </w:r>
    </w:p>
    <w:p>
      <w:pPr>
        <w:spacing w:line="115" w:lineRule="exact" w:before="0"/>
        <w:ind w:left="0" w:right="403" w:firstLine="0"/>
        <w:jc w:val="right"/>
        <w:rPr>
          <w:sz w:val="12"/>
        </w:rPr>
      </w:pPr>
      <w:r>
        <w:rPr/>
        <w:pict>
          <v:line style="position:absolute;mso-position-horizontal-relative:page;mso-position-vertical-relative:paragraph;z-index:15735296" from="47.283001pt,3.202953pt" to="51.034001pt,3.202953pt" stroked="true" strokeweight=".5pt" strokecolor="#000000">
            <v:stroke dashstyle="solid"/>
            <w10:wrap type="none"/>
          </v:line>
        </w:pict>
      </w:r>
      <w:r>
        <w:rPr/>
        <w:pict>
          <v:line style="position:absolute;mso-position-horizontal-relative:page;mso-position-vertical-relative:paragraph;z-index:15736320" from="200.517006pt,3.202953pt" to="196.837006pt,3.202953pt" stroked="true" strokeweight=".5pt" strokecolor="#000000">
            <v:stroke dashstyle="solid"/>
            <w10:wrap type="none"/>
          </v:line>
        </w:pict>
      </w:r>
      <w:r>
        <w:rPr>
          <w:sz w:val="12"/>
        </w:rPr>
        <w:t>6</w:t>
      </w:r>
    </w:p>
    <w:p>
      <w:pPr>
        <w:pStyle w:val="BodyText"/>
        <w:rPr>
          <w:sz w:val="12"/>
        </w:rPr>
      </w:pPr>
    </w:p>
    <w:p>
      <w:pPr>
        <w:pStyle w:val="BodyText"/>
        <w:rPr>
          <w:sz w:val="12"/>
        </w:rPr>
      </w:pPr>
    </w:p>
    <w:p>
      <w:pPr>
        <w:spacing w:before="80"/>
        <w:ind w:left="0" w:right="403" w:firstLine="0"/>
        <w:jc w:val="right"/>
        <w:rPr>
          <w:sz w:val="12"/>
        </w:rPr>
      </w:pPr>
      <w:r>
        <w:rPr/>
        <w:pict>
          <v:line style="position:absolute;mso-position-horizontal-relative:page;mso-position-vertical-relative:paragraph;z-index:15734784" from="47.283001pt,8.370564pt" to="50.963001pt,8.370564pt" stroked="true" strokeweight=".5pt" strokecolor="#000000">
            <v:stroke dashstyle="solid"/>
            <w10:wrap type="none"/>
          </v:line>
        </w:pict>
      </w:r>
      <w:r>
        <w:rPr/>
        <w:pict>
          <v:line style="position:absolute;mso-position-horizontal-relative:page;mso-position-vertical-relative:paragraph;z-index:15735808" from="200.517006pt,8.370564pt" to="196.837006pt,8.370564pt" stroked="true" strokeweight=".5pt" strokecolor="#000000">
            <v:stroke dashstyle="solid"/>
            <w10:wrap type="none"/>
          </v:line>
        </w:pict>
      </w:r>
      <w:r>
        <w:rPr>
          <w:sz w:val="12"/>
        </w:rPr>
        <w:t>5</w:t>
      </w:r>
    </w:p>
    <w:p>
      <w:pPr>
        <w:pStyle w:val="BodyText"/>
        <w:rPr>
          <w:sz w:val="12"/>
        </w:rPr>
      </w:pPr>
    </w:p>
    <w:p>
      <w:pPr>
        <w:pStyle w:val="BodyText"/>
        <w:rPr>
          <w:sz w:val="12"/>
        </w:rPr>
      </w:pPr>
    </w:p>
    <w:p>
      <w:pPr>
        <w:spacing w:before="79"/>
        <w:ind w:left="0" w:right="403" w:firstLine="0"/>
        <w:jc w:val="right"/>
        <w:rPr>
          <w:sz w:val="12"/>
        </w:rPr>
      </w:pPr>
      <w:r>
        <w:rPr/>
        <w:pict>
          <v:group style="position:absolute;margin-left:52.609001pt;margin-top:-1.898642pt;width:147.950pt;height:84.5pt;mso-position-horizontal-relative:page;mso-position-vertical-relative:paragraph;z-index:15731712" coordorigin="1052,-38" coordsize="2959,1690">
            <v:shape style="position:absolute;left:2919;top:-38;width:982;height:1633" coordorigin="2919,-38" coordsize="982,1633" path="m3900,-38l3791,16,3682,47,3573,102,3464,150,3355,171,3246,295,3137,472,3028,672,2919,680,3028,1075,3137,1177,3246,1201,3355,1177,3464,1157,3573,1265,3682,1366,3791,1493,3900,1595,3900,-38xe" filled="true" fillcolor="#fee7de" stroked="false">
              <v:path arrowok="t"/>
              <v:fill type="solid"/>
            </v:shape>
            <v:shape style="position:absolute;left:2919;top:174;width:982;height:1273" coordorigin="2919,175" coordsize="982,1273" path="m3900,175l3791,208,3682,218,3573,252,3464,279,3355,300,3246,412,3137,563,3028,724,2919,680,3028,1038,3137,1112,3246,1118,3355,1084,3464,1064,3573,1159,3682,1246,3791,1359,3900,1448,3900,175xe" filled="true" fillcolor="#fcd3c4" stroked="false">
              <v:path arrowok="t"/>
              <v:fill type="solid"/>
            </v:shape>
            <v:shape style="position:absolute;left:2919;top:316;width:982;height:1027" coordorigin="2919,317" coordsize="982,1027" path="m3900,317l3791,335,3682,330,3573,350,3464,362,3355,382,3246,486,3137,620,3028,756,2919,679,3028,1011,3137,1065,3246,1059,3355,1019,3464,998,3573,1083,3682,1161,3791,1264,3900,1343,3900,317xe" filled="true" fillcolor="#fabeac" stroked="false">
              <v:path arrowok="t"/>
              <v:fill type="solid"/>
            </v:shape>
            <v:shape style="position:absolute;left:2919;top:420;width:982;height:843" coordorigin="2919,420" coordsize="982,843" path="m3682,420l3573,429,3464,430,3355,451,3246,547,3137,668,3028,783,2919,678,3028,991,3137,1030,3246,1013,3355,969,3464,948,3573,1026,3682,1096,3791,1192,3900,1263,3900,429,3791,437,3682,420xe" filled="true" fillcolor="#f8aa95" stroked="false">
              <v:path arrowok="t"/>
              <v:fill type="solid"/>
            </v:shape>
            <v:shape style="position:absolute;left:2919;top:489;width:982;height:705" coordorigin="2919,489" coordsize="982,705" path="m3464,489l3355,510,3246,600,3137,709,3028,807,2919,678,3028,973,3137,999,3246,973,3355,924,3464,904,3573,975,3682,1040,3791,1129,3900,1194,3900,523,3791,522,3682,497,3573,497,3464,489xe" filled="true" fillcolor="#f69780" stroked="false">
              <v:path arrowok="t"/>
              <v:fill type="solid"/>
            </v:shape>
            <v:shape style="position:absolute;left:2919;top:542;width:982;height:592" coordorigin="2919,543" coordsize="982,592" path="m3464,543l3355,563,3246,648,3137,746,3028,828,2919,677,3028,956,3137,971,3246,937,3355,884,3464,864,3573,930,3682,989,3791,1074,3900,1134,3900,611,3791,601,3682,568,3573,559,3464,543xe" filled="true" fillcolor="#f5846d" stroked="false">
              <v:path arrowok="t"/>
              <v:fill type="solid"/>
            </v:shape>
            <v:shape style="position:absolute;left:2919;top:590;width:982;height:483" coordorigin="2919,590" coordsize="982,483" path="m3464,590l3355,611,3246,691,3137,779,3028,846,2919,676,3028,941,3137,945,3246,904,3355,848,3464,827,3573,888,3682,941,3791,1019,3900,1073,3900,688,3791,671,3682,630,3573,614,3464,590xe" filled="true" fillcolor="#f3715b" stroked="false">
              <v:path arrowok="t"/>
              <v:fill type="solid"/>
            </v:shape>
            <v:shape style="position:absolute;left:2919;top:636;width:982;height:384" coordorigin="2919,637" coordsize="982,384" path="m3464,637l3355,657,3246,733,3137,812,3028,866,2919,678,3028,929,3137,923,3246,875,3355,815,3464,795,3573,850,3682,898,3791,971,3900,1021,3900,769,3791,743,3682,694,3573,669,3464,637xe" filled="true" fillcolor="#f15b4a" stroked="false">
              <v:path arrowok="t"/>
              <v:fill type="solid"/>
            </v:shape>
            <v:shape style="position:absolute;left:2919;top:678;width:982;height:294" coordorigin="2919,678" coordsize="982,294" path="m2919,678l3028,916,3137,899,3246,845,3355,781,3464,761,3573,813,3682,857,3791,926,3900,972,3900,844,3791,810,3682,753,3575,721,3466,682,3355,702,3246,774,3137,844,3028,884,2919,678xe" filled="true" fillcolor="#ed1b2d" stroked="false">
              <v:path arrowok="t"/>
              <v:fill type="solid"/>
            </v:shape>
            <v:shape style="position:absolute;left:3936;top:166;width:74;height:1480" coordorigin="3937,166" coordsize="74,1480" path="m4010,1646l3937,1646m4010,1153l3937,1153m4010,660l3937,660m4010,166l3937,166e" filled="false" stroked="true" strokeweight=".5pt" strokecolor="#000000">
              <v:path arrowok="t"/>
              <v:stroke dashstyle="solid"/>
            </v:shape>
            <v:shape style="position:absolute;left:1062;top:693;width:655;height:374" coordorigin="1062,693" coordsize="655,374" path="m1171,949l1062,809m1280,1067l1171,949m1389,1036l1280,1067m1498,761l1389,1036m1607,786l1498,761m1716,693l1607,786e" filled="false" stroked="true" strokeweight="1pt" strokecolor="#ed1b2d">
              <v:path arrowok="t"/>
              <v:stroke dashstyle="solid"/>
            </v:shape>
            <v:line style="position:absolute" from="1706,696" to="1835,696" stroked="true" strokeweight="1.265pt" strokecolor="#ed1b2d">
              <v:stroke dashstyle="solid"/>
            </v:line>
            <v:shape style="position:absolute;left:1825;top:550;width:982;height:327" coordorigin="1825,551" coordsize="982,327" path="m1934,744l1825,699m2044,762l1934,744m2153,721l2044,762m2262,551l2153,721m2371,727l2262,551m2480,877l2371,727m2589,741l2480,877m2698,780l2589,741m2807,857l2698,780e" filled="false" stroked="true" strokeweight="1pt" strokecolor="#ed1b2d">
              <v:path arrowok="t"/>
              <v:stroke dashstyle="solid"/>
            </v:shape>
            <v:line style="position:absolute" from="2916,679" to="2807,857" stroked="true" strokeweight="1pt" strokecolor="#ed1b2d">
              <v:stroke dashstyle="solid"/>
            </v:line>
            <v:shape style="position:absolute;left:1052;top:-38;width:2959;height:1690" type="#_x0000_t202" filled="false" stroked="false">
              <v:textbox inset="0,0,0,0">
                <w:txbxContent>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11"/>
                      <w:rPr>
                        <w:sz w:val="12"/>
                      </w:rPr>
                    </w:pPr>
                  </w:p>
                  <w:p>
                    <w:pPr>
                      <w:tabs>
                        <w:tab w:pos="2962" w:val="left" w:leader="none"/>
                      </w:tabs>
                      <w:spacing w:before="0"/>
                      <w:ind w:left="3" w:right="-15" w:firstLine="0"/>
                      <w:jc w:val="left"/>
                      <w:rPr>
                        <w:sz w:val="12"/>
                      </w:rPr>
                    </w:pPr>
                    <w:r>
                      <w:rPr>
                        <w:sz w:val="12"/>
                        <w:u w:val="single"/>
                      </w:rPr>
                      <w:t> </w:t>
                      <w:tab/>
                    </w:r>
                  </w:p>
                </w:txbxContent>
              </v:textbox>
              <w10:wrap type="none"/>
            </v:shape>
            <w10:wrap type="none"/>
          </v:group>
        </w:pict>
      </w:r>
      <w:r>
        <w:rPr/>
        <w:pict>
          <v:line style="position:absolute;mso-position-horizontal-relative:page;mso-position-vertical-relative:paragraph;z-index:15734272" from="47.283001pt,8.319358pt" to="50.963001pt,8.319358pt" stroked="true" strokeweight=".5pt" strokecolor="#000000">
            <v:stroke dashstyle="solid"/>
            <w10:wrap type="none"/>
          </v:line>
        </w:pict>
      </w:r>
      <w:r>
        <w:rPr>
          <w:sz w:val="12"/>
        </w:rPr>
        <w:t>4</w:t>
      </w:r>
    </w:p>
    <w:p>
      <w:pPr>
        <w:pStyle w:val="BodyText"/>
        <w:rPr>
          <w:sz w:val="12"/>
        </w:rPr>
      </w:pPr>
    </w:p>
    <w:p>
      <w:pPr>
        <w:pStyle w:val="BodyText"/>
        <w:rPr>
          <w:sz w:val="12"/>
        </w:rPr>
      </w:pPr>
    </w:p>
    <w:p>
      <w:pPr>
        <w:spacing w:before="79"/>
        <w:ind w:left="0" w:right="403" w:firstLine="0"/>
        <w:jc w:val="right"/>
        <w:rPr>
          <w:sz w:val="12"/>
        </w:rPr>
      </w:pPr>
      <w:r>
        <w:rPr/>
        <w:pict>
          <v:line style="position:absolute;mso-position-horizontal-relative:page;mso-position-vertical-relative:paragraph;z-index:15733760" from="47.283001pt,8.319152pt" to="50.963001pt,8.319152pt" stroked="true" strokeweight=".5pt" strokecolor="#000000">
            <v:stroke dashstyle="solid"/>
            <w10:wrap type="none"/>
          </v:line>
        </w:pict>
      </w:r>
      <w:r>
        <w:rPr>
          <w:sz w:val="12"/>
        </w:rPr>
        <w:t>3</w:t>
      </w:r>
    </w:p>
    <w:p>
      <w:pPr>
        <w:spacing w:before="91"/>
        <w:ind w:left="0" w:right="306" w:firstLine="0"/>
        <w:jc w:val="right"/>
        <w:rPr>
          <w:sz w:val="12"/>
        </w:rPr>
      </w:pPr>
      <w:r>
        <w:rPr>
          <w:sz w:val="12"/>
        </w:rPr>
        <w:t>2.5</w:t>
      </w:r>
    </w:p>
    <w:p>
      <w:pPr>
        <w:pStyle w:val="BodyText"/>
        <w:rPr>
          <w:sz w:val="11"/>
        </w:rPr>
      </w:pPr>
    </w:p>
    <w:p>
      <w:pPr>
        <w:spacing w:before="0"/>
        <w:ind w:left="0" w:right="403" w:firstLine="0"/>
        <w:jc w:val="right"/>
        <w:rPr>
          <w:sz w:val="12"/>
        </w:rPr>
      </w:pPr>
      <w:r>
        <w:rPr/>
        <w:pict>
          <v:line style="position:absolute;mso-position-horizontal-relative:page;mso-position-vertical-relative:paragraph;z-index:15733248" from="47.283001pt,4.368961pt" to="50.963001pt,4.368961pt" stroked="true" strokeweight=".5pt" strokecolor="#000000">
            <v:stroke dashstyle="solid"/>
            <w10:wrap type="none"/>
          </v:line>
        </w:pict>
      </w:r>
      <w:r>
        <w:rPr>
          <w:sz w:val="12"/>
        </w:rPr>
        <w:t>2</w:t>
      </w:r>
    </w:p>
    <w:p>
      <w:pPr>
        <w:pStyle w:val="BodyText"/>
        <w:rPr>
          <w:sz w:val="12"/>
        </w:rPr>
      </w:pPr>
    </w:p>
    <w:p>
      <w:pPr>
        <w:pStyle w:val="BodyText"/>
        <w:rPr>
          <w:sz w:val="12"/>
        </w:rPr>
      </w:pPr>
    </w:p>
    <w:p>
      <w:pPr>
        <w:spacing w:before="80"/>
        <w:ind w:left="0" w:right="403" w:firstLine="0"/>
        <w:jc w:val="right"/>
        <w:rPr>
          <w:sz w:val="12"/>
        </w:rPr>
      </w:pPr>
      <w:r>
        <w:rPr/>
        <w:pict>
          <v:line style="position:absolute;mso-position-horizontal-relative:page;mso-position-vertical-relative:paragraph;z-index:15732736" from="47.283001pt,8.367756pt" to="50.963001pt,8.367756pt" stroked="true" strokeweight=".5pt" strokecolor="#000000">
            <v:stroke dashstyle="solid"/>
            <w10:wrap type="none"/>
          </v:line>
        </w:pict>
      </w:r>
      <w:r>
        <w:rPr>
          <w:sz w:val="12"/>
        </w:rPr>
        <w:t>1</w:t>
      </w:r>
    </w:p>
    <w:p>
      <w:pPr>
        <w:pStyle w:val="BodyText"/>
        <w:rPr>
          <w:sz w:val="12"/>
        </w:rPr>
      </w:pPr>
    </w:p>
    <w:p>
      <w:pPr>
        <w:pStyle w:val="BodyText"/>
        <w:rPr>
          <w:sz w:val="12"/>
        </w:rPr>
      </w:pPr>
    </w:p>
    <w:p>
      <w:pPr>
        <w:spacing w:before="79"/>
        <w:ind w:left="0" w:right="403" w:firstLine="0"/>
        <w:jc w:val="right"/>
        <w:rPr>
          <w:sz w:val="12"/>
        </w:rPr>
      </w:pPr>
      <w:r>
        <w:rPr/>
        <w:pict>
          <v:shape style="position:absolute;margin-left:47.210999pt;margin-top:1.251565pt;width:153.3pt;height:7.25pt;mso-position-horizontal-relative:page;mso-position-vertical-relative:paragraph;z-index:15732224" coordorigin="944,25" coordsize="3066,145" path="m1053,166l3901,166m1053,170l1053,25m1175,166l1175,92m1284,166l1284,92m1393,166l1393,92m1513,170l1513,25m1611,166l1611,92m1721,166l1721,92m1830,166l1830,92m1949,170l1949,25m2048,166l2048,92m2157,166l2157,92m2266,166l2266,92m2385,170l2385,25m2484,166l2484,92m2593,166l2593,92m2702,166l2702,92m2822,170l2822,25m2920,166l2920,92m3029,166l3029,92m3138,166l3138,92m3258,170l3258,38m3356,166l3356,92m3465,166l3465,92m3571,166l3571,92m3677,166l3677,34m3901,166l3901,92m3789,166l3789,92m944,154l1018,154m4010,160l3936,160e" filled="false" stroked="true" strokeweight=".5pt" strokecolor="#000000">
            <v:path arrowok="t"/>
            <v:stroke dashstyle="solid"/>
            <w10:wrap type="none"/>
          </v:shape>
        </w:pict>
      </w:r>
      <w:r>
        <w:rPr>
          <w:sz w:val="12"/>
        </w:rPr>
        <w:t>0</w:t>
      </w:r>
    </w:p>
    <w:p>
      <w:pPr>
        <w:tabs>
          <w:tab w:pos="511" w:val="left" w:leader="none"/>
          <w:tab w:pos="943" w:val="left" w:leader="none"/>
          <w:tab w:pos="1418" w:val="left" w:leader="none"/>
          <w:tab w:pos="1866" w:val="left" w:leader="none"/>
          <w:tab w:pos="2309" w:val="left" w:leader="none"/>
        </w:tabs>
        <w:spacing w:before="11"/>
        <w:ind w:left="0" w:right="493" w:firstLine="0"/>
        <w:jc w:val="right"/>
        <w:rPr>
          <w:sz w:val="12"/>
        </w:rPr>
      </w:pPr>
      <w:r>
        <w:rPr>
          <w:sz w:val="12"/>
        </w:rPr>
        <w:t>1994</w:t>
        <w:tab/>
        <w:t>95</w:t>
        <w:tab/>
        <w:t>96</w:t>
        <w:tab/>
        <w:t>97</w:t>
        <w:tab/>
        <w:t>98</w:t>
        <w:tab/>
        <w:t>99</w:t>
      </w:r>
      <w:r>
        <w:rPr>
          <w:spacing w:val="1"/>
          <w:sz w:val="12"/>
        </w:rPr>
        <w:t> </w:t>
      </w:r>
      <w:r>
        <w:rPr>
          <w:sz w:val="12"/>
        </w:rPr>
        <w:t>2000</w:t>
      </w:r>
    </w:p>
    <w:p>
      <w:pPr>
        <w:pStyle w:val="BodyText"/>
        <w:spacing w:before="10"/>
        <w:rPr>
          <w:sz w:val="10"/>
        </w:rPr>
      </w:pPr>
    </w:p>
    <w:p>
      <w:pPr>
        <w:spacing w:line="208" w:lineRule="auto" w:before="1"/>
        <w:ind w:left="181" w:right="127" w:firstLine="0"/>
        <w:jc w:val="left"/>
        <w:rPr>
          <w:sz w:val="12"/>
        </w:rPr>
      </w:pPr>
      <w:r>
        <w:rPr>
          <w:color w:val="231F20"/>
          <w:sz w:val="12"/>
        </w:rPr>
        <w:t>The fan chart depicting the probability distribution for inflation is rather like a contour map. At any given point during the forecast period, the depth of shading represents the height of the probability density function over a range of outcomes for inflation. The darkest band includes the central (single most likely) projection and covers 10% of the probability. Each successive pair of bands is drawn to cover a further 10% of the probability, until 90% of the probability distribution is covered. The </w:t>
      </w:r>
      <w:r>
        <w:rPr>
          <w:color w:val="231F20"/>
          <w:spacing w:val="-4"/>
          <w:sz w:val="12"/>
        </w:rPr>
        <w:t>bands </w:t>
      </w:r>
      <w:r>
        <w:rPr>
          <w:color w:val="231F20"/>
          <w:sz w:val="12"/>
        </w:rPr>
        <w:t>widen as the time horizon is extended, indicating increasing uncertainty about outcomes.</w:t>
      </w:r>
    </w:p>
    <w:p>
      <w:pPr>
        <w:pStyle w:val="Heading4"/>
        <w:spacing w:line="242" w:lineRule="auto" w:before="4"/>
        <w:ind w:left="181" w:right="206"/>
      </w:pPr>
      <w:r>
        <w:rPr/>
        <w:br w:type="column"/>
      </w:r>
      <w:r>
        <w:rPr>
          <w:color w:val="231F20"/>
        </w:rPr>
        <w:t>whole-economy earnings growth was estimated at 4.25%, and that figure had risen to only 4.5% by the time of the May </w:t>
      </w:r>
      <w:r>
        <w:rPr>
          <w:i/>
          <w:color w:val="231F20"/>
        </w:rPr>
        <w:t>Report</w:t>
      </w:r>
      <w:r>
        <w:rPr>
          <w:color w:val="231F20"/>
        </w:rPr>
        <w:t>. The latest figure is 5.4%. That suggests that unemployment has reached a level likely </w:t>
      </w:r>
      <w:r>
        <w:rPr>
          <w:color w:val="231F20"/>
          <w:spacing w:val="-8"/>
        </w:rPr>
        <w:t>to </w:t>
      </w:r>
      <w:r>
        <w:rPr>
          <w:color w:val="231F20"/>
        </w:rPr>
        <w:t>prove incompatible with price stability. As demand growth slows, unemployment is likely to rise, reducing cost pressures in the labour</w:t>
      </w:r>
      <w:r>
        <w:rPr>
          <w:color w:val="231F20"/>
          <w:spacing w:val="-1"/>
        </w:rPr>
        <w:t> </w:t>
      </w:r>
      <w:r>
        <w:rPr>
          <w:color w:val="231F20"/>
        </w:rPr>
        <w:t>market.</w:t>
      </w:r>
    </w:p>
    <w:p>
      <w:pPr>
        <w:pStyle w:val="BodyText"/>
        <w:spacing w:before="8"/>
        <w:rPr>
          <w:sz w:val="21"/>
        </w:rPr>
      </w:pPr>
    </w:p>
    <w:p>
      <w:pPr>
        <w:spacing w:line="242" w:lineRule="auto" w:before="0"/>
        <w:ind w:left="181" w:right="156" w:firstLine="0"/>
        <w:jc w:val="left"/>
        <w:rPr>
          <w:sz w:val="24"/>
        </w:rPr>
      </w:pPr>
      <w:r>
        <w:rPr>
          <w:color w:val="231F20"/>
          <w:sz w:val="24"/>
        </w:rPr>
        <w:t>The current projection for the growth rate of GDP— based on the assumption of constant short-term official interest rates—is shown in Chart 1. The projection is lower than in May reflecting in particular a more depressed outlook for private investment. The central projection is for the four-quarter growth rate of output to continue slowing until early 1999, reflecting weaker net trade and slower domestic demand. GDP growth then begins to rise, as the deterioration in net trade comes to an end and as government spending picks up.</w:t>
      </w:r>
    </w:p>
    <w:p>
      <w:pPr>
        <w:pStyle w:val="BodyText"/>
        <w:spacing w:before="11"/>
        <w:rPr>
          <w:sz w:val="21"/>
        </w:rPr>
      </w:pPr>
    </w:p>
    <w:p>
      <w:pPr>
        <w:spacing w:line="242" w:lineRule="auto" w:before="0"/>
        <w:ind w:left="181" w:right="228" w:firstLine="0"/>
        <w:jc w:val="left"/>
        <w:rPr>
          <w:sz w:val="24"/>
        </w:rPr>
      </w:pPr>
      <w:r>
        <w:rPr>
          <w:color w:val="231F20"/>
          <w:sz w:val="24"/>
        </w:rPr>
        <w:t>The corresponding projection for RPIX inflation is shown in Chart 2. The forecast most likely path for RPIX inflation is for it to rise somewhat over the next year, but then to fall back so that, as in the May </w:t>
      </w:r>
      <w:r>
        <w:rPr>
          <w:i/>
          <w:color w:val="231F20"/>
          <w:sz w:val="24"/>
        </w:rPr>
        <w:t>Report</w:t>
      </w:r>
      <w:r>
        <w:rPr>
          <w:color w:val="231F20"/>
          <w:sz w:val="24"/>
        </w:rPr>
        <w:t>, inflation some two years ahead is close to the 2</w:t>
      </w:r>
      <w:r>
        <w:rPr>
          <w:color w:val="231F20"/>
          <w:position w:val="8"/>
          <w:sz w:val="12"/>
        </w:rPr>
        <w:t>1</w:t>
      </w:r>
      <w:r>
        <w:rPr>
          <w:color w:val="231F20"/>
          <w:sz w:val="24"/>
        </w:rPr>
        <w:t>/</w:t>
      </w:r>
      <w:r>
        <w:rPr>
          <w:color w:val="231F20"/>
          <w:sz w:val="12"/>
        </w:rPr>
        <w:t>2</w:t>
      </w:r>
      <w:r>
        <w:rPr>
          <w:color w:val="231F20"/>
          <w:sz w:val="24"/>
        </w:rPr>
        <w:t>% target. The higher profile for inflation since the May projection reflects the interaction of four developments. First, the higher-than-expected earnings figures led to a reassessment of current labour market pressures.</w:t>
      </w:r>
    </w:p>
    <w:p>
      <w:pPr>
        <w:spacing w:line="242" w:lineRule="auto" w:before="11"/>
        <w:ind w:left="181" w:right="189" w:firstLine="0"/>
        <w:jc w:val="left"/>
        <w:rPr>
          <w:sz w:val="24"/>
        </w:rPr>
      </w:pPr>
      <w:r>
        <w:rPr>
          <w:color w:val="231F20"/>
          <w:sz w:val="24"/>
        </w:rPr>
        <w:t>Second, the National Minimum </w:t>
      </w:r>
      <w:r>
        <w:rPr>
          <w:color w:val="231F20"/>
          <w:spacing w:val="-4"/>
          <w:sz w:val="24"/>
        </w:rPr>
        <w:t>Wage, </w:t>
      </w:r>
      <w:r>
        <w:rPr>
          <w:color w:val="231F20"/>
          <w:sz w:val="24"/>
        </w:rPr>
        <w:t>which takes effect in April next year, is likely to </w:t>
      </w:r>
      <w:r>
        <w:rPr>
          <w:color w:val="231F20"/>
          <w:spacing w:val="-3"/>
          <w:sz w:val="24"/>
        </w:rPr>
        <w:t>have </w:t>
      </w:r>
      <w:r>
        <w:rPr>
          <w:color w:val="231F20"/>
          <w:sz w:val="24"/>
        </w:rPr>
        <w:t>a small temporary effect on inflation. Third, private sector investment growth is expected to weaken significantly over this period. And </w:t>
      </w:r>
      <w:r>
        <w:rPr>
          <w:color w:val="231F20"/>
          <w:spacing w:val="-3"/>
          <w:sz w:val="24"/>
        </w:rPr>
        <w:t>finally, </w:t>
      </w:r>
      <w:r>
        <w:rPr>
          <w:color w:val="231F20"/>
          <w:sz w:val="24"/>
        </w:rPr>
        <w:t>higher government spending provides a stimulus to domestic demand,</w:t>
      </w:r>
      <w:r>
        <w:rPr>
          <w:color w:val="231F20"/>
          <w:spacing w:val="2"/>
          <w:sz w:val="24"/>
        </w:rPr>
        <w:t> </w:t>
      </w:r>
      <w:r>
        <w:rPr>
          <w:color w:val="231F20"/>
          <w:spacing w:val="-6"/>
          <w:sz w:val="24"/>
        </w:rPr>
        <w:t>above</w:t>
      </w:r>
    </w:p>
    <w:p>
      <w:pPr>
        <w:spacing w:after="0" w:line="242" w:lineRule="auto"/>
        <w:jc w:val="left"/>
        <w:rPr>
          <w:sz w:val="24"/>
        </w:rPr>
        <w:sectPr>
          <w:type w:val="continuous"/>
          <w:pgSz w:w="11900" w:h="16840"/>
          <w:pgMar w:top="1220" w:bottom="280" w:left="620" w:right="640"/>
          <w:cols w:num="2" w:equalWidth="0">
            <w:col w:w="3908" w:space="890"/>
            <w:col w:w="5842"/>
          </w:cols>
        </w:sectPr>
      </w:pPr>
    </w:p>
    <w:p>
      <w:pPr>
        <w:pStyle w:val="BodyText"/>
        <w:spacing w:before="11"/>
        <w:rPr>
          <w:sz w:val="24"/>
        </w:rPr>
      </w:pPr>
    </w:p>
    <w:p>
      <w:pPr>
        <w:spacing w:before="93"/>
        <w:ind w:left="185" w:right="0" w:firstLine="0"/>
        <w:jc w:val="left"/>
        <w:rPr>
          <w:sz w:val="16"/>
        </w:rPr>
      </w:pPr>
      <w:r>
        <w:rPr>
          <w:color w:val="231F20"/>
          <w:sz w:val="16"/>
        </w:rPr>
        <w:t>ii</w:t>
      </w:r>
    </w:p>
    <w:p>
      <w:pPr>
        <w:spacing w:after="0"/>
        <w:jc w:val="left"/>
        <w:rPr>
          <w:sz w:val="16"/>
        </w:rPr>
        <w:sectPr>
          <w:type w:val="continuous"/>
          <w:pgSz w:w="11900" w:h="16840"/>
          <w:pgMar w:top="1220" w:bottom="280" w:left="620" w:right="640"/>
        </w:sectPr>
      </w:pPr>
    </w:p>
    <w:p>
      <w:pPr>
        <w:spacing w:before="82"/>
        <w:ind w:left="0" w:right="157" w:firstLine="0"/>
        <w:jc w:val="right"/>
        <w:rPr>
          <w:i/>
          <w:sz w:val="16"/>
        </w:rPr>
      </w:pPr>
      <w:r>
        <w:rPr>
          <w:i/>
          <w:color w:val="231F20"/>
          <w:sz w:val="16"/>
        </w:rPr>
        <w:t>Overview</w:t>
      </w:r>
    </w:p>
    <w:p>
      <w:pPr>
        <w:pStyle w:val="BodyText"/>
        <w:spacing w:line="20" w:lineRule="exact"/>
        <w:ind w:left="158"/>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rPr>
          <w:i/>
          <w:sz w:val="20"/>
        </w:rPr>
      </w:pPr>
    </w:p>
    <w:p>
      <w:pPr>
        <w:pStyle w:val="Heading4"/>
        <w:spacing w:line="242" w:lineRule="auto" w:before="207"/>
        <w:ind w:left="5020"/>
      </w:pPr>
      <w:r>
        <w:rPr>
          <w:color w:val="231F20"/>
        </w:rPr>
        <w:t>that assumed in May, towards the end of the forecast horizon.</w:t>
      </w:r>
    </w:p>
    <w:p>
      <w:pPr>
        <w:pStyle w:val="BodyText"/>
        <w:spacing w:before="1"/>
        <w:rPr>
          <w:sz w:val="21"/>
        </w:rPr>
      </w:pPr>
    </w:p>
    <w:p>
      <w:pPr>
        <w:spacing w:line="242" w:lineRule="auto" w:before="1"/>
        <w:ind w:left="5020" w:right="135" w:firstLine="0"/>
        <w:jc w:val="left"/>
        <w:rPr>
          <w:sz w:val="24"/>
        </w:rPr>
      </w:pPr>
      <w:r>
        <w:rPr>
          <w:color w:val="231F20"/>
          <w:sz w:val="24"/>
        </w:rPr>
        <w:t>The balance of risks to output is on the downside. These risks, which reflect continuing concerns about the world economy and the speed of domestic demand moderation, imply corresponding downside risks to inflation. The overall balance of risks to inflation is, however, on the upside, reflecting the possibility of a more rapid fall in the exchange rate, past money growth and a more marked acceleration of earnings.</w:t>
      </w:r>
    </w:p>
    <w:p>
      <w:pPr>
        <w:pStyle w:val="BodyText"/>
        <w:spacing w:before="8"/>
        <w:rPr>
          <w:sz w:val="21"/>
        </w:rPr>
      </w:pPr>
    </w:p>
    <w:p>
      <w:pPr>
        <w:spacing w:line="242" w:lineRule="auto" w:before="0"/>
        <w:ind w:left="5020" w:right="141" w:firstLine="0"/>
        <w:jc w:val="left"/>
        <w:rPr>
          <w:sz w:val="24"/>
        </w:rPr>
      </w:pPr>
      <w:r>
        <w:rPr>
          <w:color w:val="231F20"/>
          <w:sz w:val="24"/>
        </w:rPr>
        <w:t>The fan charts represent the MPC’s best collective judgment about the likely paths for inflation and output, and the uncertainties surrounding those central projections. The shape of the fan charts reflects judgments about a range of key economic developments. In present circumstances, it is especially difficult to know how to calibrate some of these uncertainties, and on some of them, Committee members take somewhat different views. The sharp decline in business optimism across a broad range of surveys over the past month raises the possibility of a more pronounced downturn in activity than in the central projection in Chart 1.</w:t>
      </w:r>
    </w:p>
    <w:p>
      <w:pPr>
        <w:spacing w:line="242" w:lineRule="auto" w:before="15"/>
        <w:ind w:left="5020" w:right="174" w:firstLine="0"/>
        <w:jc w:val="left"/>
        <w:rPr>
          <w:sz w:val="24"/>
        </w:rPr>
      </w:pPr>
      <w:r>
        <w:rPr>
          <w:color w:val="231F20"/>
          <w:sz w:val="24"/>
        </w:rPr>
        <w:t>Equally, the interpretation of the earnings figures is unclear and will remain so for some time. Insofar as bonuses reflect past performance and profits, their contribution might fall back as real activity weakens, in such a way that aggregate earnings growth is more benign for inflation than in Chart 2. Putting these two possibilities together would imply a weaker growth profile and a lower inflation path than shown in the central projections. Alternatively, giving more weight to the view that unemployment was well below the natural rate would imply stronger earnings growth, and a correspondingly higher profile for RPIX inflation, than in the central projection.</w:t>
      </w:r>
    </w:p>
    <w:p>
      <w:pPr>
        <w:pStyle w:val="BodyText"/>
        <w:spacing w:before="4"/>
        <w:rPr>
          <w:sz w:val="22"/>
        </w:rPr>
      </w:pPr>
    </w:p>
    <w:p>
      <w:pPr>
        <w:spacing w:line="242" w:lineRule="auto" w:before="0"/>
        <w:ind w:left="5020" w:right="173" w:firstLine="0"/>
        <w:jc w:val="left"/>
        <w:rPr>
          <w:sz w:val="24"/>
        </w:rPr>
      </w:pPr>
      <w:r>
        <w:rPr>
          <w:color w:val="231F20"/>
          <w:sz w:val="24"/>
        </w:rPr>
        <w:t>Inflation has remained at or above 2</w:t>
      </w:r>
      <w:r>
        <w:rPr>
          <w:color w:val="231F20"/>
          <w:position w:val="8"/>
          <w:sz w:val="12"/>
        </w:rPr>
        <w:t>1</w:t>
      </w:r>
      <w:r>
        <w:rPr>
          <w:color w:val="231F20"/>
          <w:sz w:val="24"/>
        </w:rPr>
        <w:t>/</w:t>
      </w:r>
      <w:r>
        <w:rPr>
          <w:color w:val="231F20"/>
          <w:sz w:val="12"/>
        </w:rPr>
        <w:t>2</w:t>
      </w:r>
      <w:r>
        <w:rPr>
          <w:color w:val="231F20"/>
          <w:sz w:val="24"/>
        </w:rPr>
        <w:t>% despite the strong pound. If the inflation target is to be met in the future, inflationary pressure in the domestic economy— especially in the labour market—will need to come down before that restraining influence wears off. The slowdown in both domestic and external demand </w:t>
      </w:r>
      <w:r>
        <w:rPr>
          <w:color w:val="231F20"/>
          <w:spacing w:val="-3"/>
          <w:sz w:val="24"/>
        </w:rPr>
        <w:t>now </w:t>
      </w:r>
      <w:r>
        <w:rPr>
          <w:color w:val="231F20"/>
          <w:sz w:val="24"/>
        </w:rPr>
        <w:t>underway will weaken inflationary pressure. But recent evidence, especially on earnings, suggests that it is stronger than previously expected. So it may be </w:t>
      </w:r>
      <w:r>
        <w:rPr>
          <w:color w:val="231F20"/>
          <w:spacing w:val="-4"/>
          <w:sz w:val="24"/>
        </w:rPr>
        <w:t>difficult </w:t>
      </w:r>
      <w:r>
        <w:rPr>
          <w:color w:val="231F20"/>
          <w:sz w:val="24"/>
        </w:rPr>
        <w:t>to avoid a temporary rise in inflation over the next year, after which point inflation should fall back. The monetary policy response to that prospect depends on how far and for how long inflation is expected to remain above</w:t>
      </w:r>
      <w:r>
        <w:rPr>
          <w:color w:val="231F20"/>
          <w:spacing w:val="-1"/>
          <w:sz w:val="24"/>
        </w:rPr>
        <w:t> </w:t>
      </w:r>
      <w:r>
        <w:rPr>
          <w:color w:val="231F20"/>
          <w:sz w:val="24"/>
        </w:rPr>
        <w:t>target.</w:t>
      </w:r>
    </w:p>
    <w:p>
      <w:pPr>
        <w:spacing w:after="0" w:line="242" w:lineRule="auto"/>
        <w:jc w:val="left"/>
        <w:rPr>
          <w:sz w:val="24"/>
        </w:rPr>
        <w:sectPr>
          <w:footerReference w:type="even" r:id="rId7"/>
          <w:pgSz w:w="11900" w:h="16840"/>
          <w:pgMar w:footer="597" w:header="0" w:top="500" w:bottom="780" w:left="620" w:right="640"/>
        </w:sectPr>
      </w:pPr>
    </w:p>
    <w:p>
      <w:pPr>
        <w:spacing w:before="76"/>
        <w:ind w:left="5009" w:right="0" w:firstLine="0"/>
        <w:jc w:val="left"/>
        <w:rPr>
          <w:b/>
          <w:sz w:val="28"/>
        </w:rPr>
      </w:pPr>
      <w:bookmarkStart w:name="Contents" w:id="3"/>
      <w:bookmarkEnd w:id="3"/>
      <w:r>
        <w:rPr/>
      </w:r>
      <w:r>
        <w:rPr>
          <w:b/>
          <w:color w:val="009483"/>
          <w:sz w:val="28"/>
        </w:rPr>
        <w:t>Contents</w:t>
      </w:r>
    </w:p>
    <w:p>
      <w:pPr>
        <w:tabs>
          <w:tab w:pos="5389" w:val="left" w:leader="none"/>
          <w:tab w:pos="10289" w:val="right" w:leader="none"/>
        </w:tabs>
        <w:spacing w:before="595"/>
        <w:ind w:left="5009" w:right="0" w:firstLine="0"/>
        <w:jc w:val="left"/>
        <w:rPr>
          <w:sz w:val="24"/>
        </w:rPr>
      </w:pPr>
      <w:r>
        <w:rPr/>
        <w:pict>
          <v:shape style="position:absolute;margin-left:297.969604pt;margin-top:46.25935pt;width:250.05pt;height:440.3pt;mso-position-horizontal-relative:page;mso-position-vertical-relative:paragraph;z-index:1574246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7"/>
                    <w:gridCol w:w="4057"/>
                    <w:gridCol w:w="389"/>
                  </w:tblGrid>
                  <w:tr>
                    <w:trPr>
                      <w:trHeight w:val="292" w:hRule="atLeast"/>
                    </w:trPr>
                    <w:tc>
                      <w:tcPr>
                        <w:tcW w:w="557" w:type="dxa"/>
                      </w:tcPr>
                      <w:p>
                        <w:pPr>
                          <w:pStyle w:val="TableParagraph"/>
                          <w:spacing w:line="266" w:lineRule="exact"/>
                          <w:ind w:left="50"/>
                          <w:rPr>
                            <w:b/>
                            <w:sz w:val="24"/>
                          </w:rPr>
                        </w:pPr>
                        <w:r>
                          <w:rPr>
                            <w:b/>
                            <w:color w:val="231F20"/>
                            <w:sz w:val="24"/>
                          </w:rPr>
                          <w:t>1.1</w:t>
                        </w:r>
                      </w:p>
                    </w:tc>
                    <w:tc>
                      <w:tcPr>
                        <w:tcW w:w="4057" w:type="dxa"/>
                      </w:tcPr>
                      <w:p>
                        <w:pPr>
                          <w:pStyle w:val="TableParagraph"/>
                          <w:spacing w:line="266" w:lineRule="exact"/>
                          <w:ind w:left="52"/>
                          <w:rPr>
                            <w:b/>
                            <w:sz w:val="24"/>
                          </w:rPr>
                        </w:pPr>
                        <w:hyperlink w:history="true" w:anchor="_bookmark0">
                          <w:r>
                            <w:rPr>
                              <w:b/>
                              <w:color w:val="231F20"/>
                              <w:sz w:val="24"/>
                            </w:rPr>
                            <w:t>Money</w:t>
                          </w:r>
                        </w:hyperlink>
                      </w:p>
                    </w:tc>
                    <w:tc>
                      <w:tcPr>
                        <w:tcW w:w="389" w:type="dxa"/>
                      </w:tcPr>
                      <w:p>
                        <w:pPr>
                          <w:pStyle w:val="TableParagraph"/>
                          <w:spacing w:line="266" w:lineRule="exact"/>
                          <w:ind w:right="52"/>
                          <w:jc w:val="right"/>
                          <w:rPr>
                            <w:sz w:val="24"/>
                          </w:rPr>
                        </w:pPr>
                        <w:r>
                          <w:rPr>
                            <w:color w:val="231F20"/>
                            <w:sz w:val="24"/>
                          </w:rPr>
                          <w:t>3</w:t>
                        </w:r>
                      </w:p>
                    </w:tc>
                  </w:tr>
                  <w:tr>
                    <w:trPr>
                      <w:trHeight w:val="319" w:hRule="atLeast"/>
                    </w:trPr>
                    <w:tc>
                      <w:tcPr>
                        <w:tcW w:w="557" w:type="dxa"/>
                      </w:tcPr>
                      <w:p>
                        <w:pPr>
                          <w:pStyle w:val="TableParagraph"/>
                          <w:rPr>
                            <w:sz w:val="24"/>
                          </w:rPr>
                        </w:pPr>
                      </w:p>
                    </w:tc>
                    <w:tc>
                      <w:tcPr>
                        <w:tcW w:w="4057" w:type="dxa"/>
                      </w:tcPr>
                      <w:p>
                        <w:pPr>
                          <w:pStyle w:val="TableParagraph"/>
                          <w:spacing w:before="17"/>
                          <w:ind w:left="353"/>
                          <w:rPr>
                            <w:sz w:val="24"/>
                          </w:rPr>
                        </w:pPr>
                        <w:hyperlink w:history="true" w:anchor="_bookmark2">
                          <w:r>
                            <w:rPr>
                              <w:color w:val="231F20"/>
                              <w:sz w:val="24"/>
                            </w:rPr>
                            <w:t>Other financial institutions</w:t>
                          </w:r>
                        </w:hyperlink>
                      </w:p>
                    </w:tc>
                    <w:tc>
                      <w:tcPr>
                        <w:tcW w:w="389" w:type="dxa"/>
                      </w:tcPr>
                      <w:p>
                        <w:pPr>
                          <w:pStyle w:val="TableParagraph"/>
                          <w:spacing w:before="17"/>
                          <w:ind w:right="50"/>
                          <w:jc w:val="right"/>
                          <w:rPr>
                            <w:sz w:val="24"/>
                          </w:rPr>
                        </w:pPr>
                        <w:r>
                          <w:rPr>
                            <w:color w:val="231F20"/>
                            <w:sz w:val="24"/>
                          </w:rPr>
                          <w:t>4</w:t>
                        </w:r>
                      </w:p>
                    </w:tc>
                  </w:tr>
                  <w:tr>
                    <w:trPr>
                      <w:trHeight w:val="319" w:hRule="atLeast"/>
                    </w:trPr>
                    <w:tc>
                      <w:tcPr>
                        <w:tcW w:w="557" w:type="dxa"/>
                      </w:tcPr>
                      <w:p>
                        <w:pPr>
                          <w:pStyle w:val="TableParagraph"/>
                          <w:rPr>
                            <w:sz w:val="24"/>
                          </w:rPr>
                        </w:pPr>
                      </w:p>
                    </w:tc>
                    <w:tc>
                      <w:tcPr>
                        <w:tcW w:w="4057" w:type="dxa"/>
                      </w:tcPr>
                      <w:p>
                        <w:pPr>
                          <w:pStyle w:val="TableParagraph"/>
                          <w:spacing w:before="17"/>
                          <w:ind w:left="353"/>
                          <w:rPr>
                            <w:sz w:val="24"/>
                          </w:rPr>
                        </w:pPr>
                        <w:hyperlink w:history="true" w:anchor="_bookmark3">
                          <w:r>
                            <w:rPr>
                              <w:color w:val="231F20"/>
                              <w:sz w:val="24"/>
                            </w:rPr>
                            <w:t>Personal sector</w:t>
                          </w:r>
                        </w:hyperlink>
                      </w:p>
                    </w:tc>
                    <w:tc>
                      <w:tcPr>
                        <w:tcW w:w="389" w:type="dxa"/>
                      </w:tcPr>
                      <w:p>
                        <w:pPr>
                          <w:pStyle w:val="TableParagraph"/>
                          <w:spacing w:before="17"/>
                          <w:ind w:right="50"/>
                          <w:jc w:val="right"/>
                          <w:rPr>
                            <w:sz w:val="24"/>
                          </w:rPr>
                        </w:pPr>
                        <w:r>
                          <w:rPr>
                            <w:color w:val="231F20"/>
                            <w:sz w:val="24"/>
                          </w:rPr>
                          <w:t>5</w:t>
                        </w:r>
                      </w:p>
                    </w:tc>
                  </w:tr>
                  <w:tr>
                    <w:trPr>
                      <w:trHeight w:val="319" w:hRule="atLeast"/>
                    </w:trPr>
                    <w:tc>
                      <w:tcPr>
                        <w:tcW w:w="557" w:type="dxa"/>
                      </w:tcPr>
                      <w:p>
                        <w:pPr>
                          <w:pStyle w:val="TableParagraph"/>
                          <w:rPr>
                            <w:sz w:val="24"/>
                          </w:rPr>
                        </w:pPr>
                      </w:p>
                    </w:tc>
                    <w:tc>
                      <w:tcPr>
                        <w:tcW w:w="4057" w:type="dxa"/>
                      </w:tcPr>
                      <w:p>
                        <w:pPr>
                          <w:pStyle w:val="TableParagraph"/>
                          <w:spacing w:before="17"/>
                          <w:ind w:right="96"/>
                          <w:jc w:val="right"/>
                          <w:rPr>
                            <w:sz w:val="24"/>
                          </w:rPr>
                        </w:pPr>
                        <w:hyperlink w:history="true" w:anchor="_bookmark3">
                          <w:r>
                            <w:rPr>
                              <w:color w:val="231F20"/>
                              <w:sz w:val="24"/>
                            </w:rPr>
                            <w:t>Industrial and commercial companies</w:t>
                          </w:r>
                        </w:hyperlink>
                      </w:p>
                    </w:tc>
                    <w:tc>
                      <w:tcPr>
                        <w:tcW w:w="389" w:type="dxa"/>
                      </w:tcPr>
                      <w:p>
                        <w:pPr>
                          <w:pStyle w:val="TableParagraph"/>
                          <w:spacing w:before="17"/>
                          <w:ind w:right="50"/>
                          <w:jc w:val="right"/>
                          <w:rPr>
                            <w:sz w:val="24"/>
                          </w:rPr>
                        </w:pPr>
                        <w:r>
                          <w:rPr>
                            <w:color w:val="231F20"/>
                            <w:sz w:val="24"/>
                          </w:rPr>
                          <w:t>5</w:t>
                        </w:r>
                      </w:p>
                    </w:tc>
                  </w:tr>
                  <w:tr>
                    <w:trPr>
                      <w:trHeight w:val="319" w:hRule="atLeast"/>
                    </w:trPr>
                    <w:tc>
                      <w:tcPr>
                        <w:tcW w:w="557" w:type="dxa"/>
                      </w:tcPr>
                      <w:p>
                        <w:pPr>
                          <w:pStyle w:val="TableParagraph"/>
                          <w:rPr>
                            <w:sz w:val="24"/>
                          </w:rPr>
                        </w:pPr>
                      </w:p>
                    </w:tc>
                    <w:tc>
                      <w:tcPr>
                        <w:tcW w:w="4057" w:type="dxa"/>
                      </w:tcPr>
                      <w:p>
                        <w:pPr>
                          <w:pStyle w:val="TableParagraph"/>
                          <w:spacing w:before="17"/>
                          <w:ind w:left="353"/>
                          <w:rPr>
                            <w:sz w:val="24"/>
                          </w:rPr>
                        </w:pPr>
                        <w:hyperlink w:history="true" w:anchor="_bookmark3">
                          <w:r>
                            <w:rPr>
                              <w:color w:val="231F20"/>
                              <w:sz w:val="24"/>
                            </w:rPr>
                            <w:t>Divisia money</w:t>
                          </w:r>
                        </w:hyperlink>
                      </w:p>
                    </w:tc>
                    <w:tc>
                      <w:tcPr>
                        <w:tcW w:w="389" w:type="dxa"/>
                      </w:tcPr>
                      <w:p>
                        <w:pPr>
                          <w:pStyle w:val="TableParagraph"/>
                          <w:spacing w:before="17"/>
                          <w:ind w:right="50"/>
                          <w:jc w:val="right"/>
                          <w:rPr>
                            <w:sz w:val="24"/>
                          </w:rPr>
                        </w:pPr>
                        <w:r>
                          <w:rPr>
                            <w:color w:val="231F20"/>
                            <w:sz w:val="24"/>
                          </w:rPr>
                          <w:t>5</w:t>
                        </w:r>
                      </w:p>
                    </w:tc>
                  </w:tr>
                  <w:tr>
                    <w:trPr>
                      <w:trHeight w:val="319" w:hRule="atLeast"/>
                    </w:trPr>
                    <w:tc>
                      <w:tcPr>
                        <w:tcW w:w="557" w:type="dxa"/>
                      </w:tcPr>
                      <w:p>
                        <w:pPr>
                          <w:pStyle w:val="TableParagraph"/>
                          <w:rPr>
                            <w:sz w:val="24"/>
                          </w:rPr>
                        </w:pPr>
                      </w:p>
                    </w:tc>
                    <w:tc>
                      <w:tcPr>
                        <w:tcW w:w="4057" w:type="dxa"/>
                      </w:tcPr>
                      <w:p>
                        <w:pPr>
                          <w:pStyle w:val="TableParagraph"/>
                          <w:spacing w:before="17"/>
                          <w:ind w:left="353"/>
                          <w:rPr>
                            <w:sz w:val="24"/>
                          </w:rPr>
                        </w:pPr>
                        <w:hyperlink w:history="true" w:anchor="_bookmark4">
                          <w:r>
                            <w:rPr>
                              <w:color w:val="231F20"/>
                              <w:sz w:val="24"/>
                            </w:rPr>
                            <w:t>Narrow money</w:t>
                          </w:r>
                        </w:hyperlink>
                      </w:p>
                    </w:tc>
                    <w:tc>
                      <w:tcPr>
                        <w:tcW w:w="389" w:type="dxa"/>
                      </w:tcPr>
                      <w:p>
                        <w:pPr>
                          <w:pStyle w:val="TableParagraph"/>
                          <w:spacing w:before="17"/>
                          <w:ind w:right="50"/>
                          <w:jc w:val="right"/>
                          <w:rPr>
                            <w:sz w:val="24"/>
                          </w:rPr>
                        </w:pPr>
                        <w:r>
                          <w:rPr>
                            <w:color w:val="231F20"/>
                            <w:sz w:val="24"/>
                          </w:rPr>
                          <w:t>6</w:t>
                        </w:r>
                      </w:p>
                    </w:tc>
                  </w:tr>
                  <w:tr>
                    <w:trPr>
                      <w:trHeight w:val="319" w:hRule="atLeast"/>
                    </w:trPr>
                    <w:tc>
                      <w:tcPr>
                        <w:tcW w:w="557" w:type="dxa"/>
                      </w:tcPr>
                      <w:p>
                        <w:pPr>
                          <w:pStyle w:val="TableParagraph"/>
                          <w:spacing w:before="17"/>
                          <w:ind w:left="50"/>
                          <w:rPr>
                            <w:b/>
                            <w:sz w:val="24"/>
                          </w:rPr>
                        </w:pPr>
                        <w:r>
                          <w:rPr>
                            <w:b/>
                            <w:color w:val="231F20"/>
                            <w:sz w:val="24"/>
                          </w:rPr>
                          <w:t>1.2</w:t>
                        </w:r>
                      </w:p>
                    </w:tc>
                    <w:tc>
                      <w:tcPr>
                        <w:tcW w:w="4057" w:type="dxa"/>
                      </w:tcPr>
                      <w:p>
                        <w:pPr>
                          <w:pStyle w:val="TableParagraph"/>
                          <w:spacing w:before="17"/>
                          <w:ind w:left="52"/>
                          <w:rPr>
                            <w:b/>
                            <w:sz w:val="24"/>
                          </w:rPr>
                        </w:pPr>
                        <w:hyperlink w:history="true" w:anchor="_bookmark4">
                          <w:r>
                            <w:rPr>
                              <w:b/>
                              <w:color w:val="231F20"/>
                              <w:sz w:val="24"/>
                            </w:rPr>
                            <w:t>Credit</w:t>
                          </w:r>
                        </w:hyperlink>
                      </w:p>
                    </w:tc>
                    <w:tc>
                      <w:tcPr>
                        <w:tcW w:w="389" w:type="dxa"/>
                      </w:tcPr>
                      <w:p>
                        <w:pPr>
                          <w:pStyle w:val="TableParagraph"/>
                          <w:spacing w:before="17"/>
                          <w:ind w:right="50"/>
                          <w:jc w:val="right"/>
                          <w:rPr>
                            <w:sz w:val="24"/>
                          </w:rPr>
                        </w:pPr>
                        <w:r>
                          <w:rPr>
                            <w:color w:val="231F20"/>
                            <w:sz w:val="24"/>
                          </w:rPr>
                          <w:t>6</w:t>
                        </w:r>
                      </w:p>
                    </w:tc>
                  </w:tr>
                  <w:tr>
                    <w:trPr>
                      <w:trHeight w:val="319" w:hRule="atLeast"/>
                    </w:trPr>
                    <w:tc>
                      <w:tcPr>
                        <w:tcW w:w="557" w:type="dxa"/>
                      </w:tcPr>
                      <w:p>
                        <w:pPr>
                          <w:pStyle w:val="TableParagraph"/>
                          <w:rPr>
                            <w:sz w:val="24"/>
                          </w:rPr>
                        </w:pPr>
                      </w:p>
                    </w:tc>
                    <w:tc>
                      <w:tcPr>
                        <w:tcW w:w="4057" w:type="dxa"/>
                      </w:tcPr>
                      <w:p>
                        <w:pPr>
                          <w:pStyle w:val="TableParagraph"/>
                          <w:spacing w:before="17"/>
                          <w:ind w:left="353"/>
                          <w:rPr>
                            <w:sz w:val="24"/>
                          </w:rPr>
                        </w:pPr>
                        <w:hyperlink w:history="true" w:anchor="_bookmark4">
                          <w:r>
                            <w:rPr>
                              <w:color w:val="231F20"/>
                              <w:sz w:val="24"/>
                            </w:rPr>
                            <w:t>Personal sector</w:t>
                          </w:r>
                        </w:hyperlink>
                      </w:p>
                    </w:tc>
                    <w:tc>
                      <w:tcPr>
                        <w:tcW w:w="389" w:type="dxa"/>
                      </w:tcPr>
                      <w:p>
                        <w:pPr>
                          <w:pStyle w:val="TableParagraph"/>
                          <w:spacing w:before="17"/>
                          <w:ind w:right="50"/>
                          <w:jc w:val="right"/>
                          <w:rPr>
                            <w:sz w:val="24"/>
                          </w:rPr>
                        </w:pPr>
                        <w:r>
                          <w:rPr>
                            <w:color w:val="231F20"/>
                            <w:sz w:val="24"/>
                          </w:rPr>
                          <w:t>6</w:t>
                        </w:r>
                      </w:p>
                    </w:tc>
                  </w:tr>
                  <w:tr>
                    <w:trPr>
                      <w:trHeight w:val="319" w:hRule="atLeast"/>
                    </w:trPr>
                    <w:tc>
                      <w:tcPr>
                        <w:tcW w:w="557" w:type="dxa"/>
                      </w:tcPr>
                      <w:p>
                        <w:pPr>
                          <w:pStyle w:val="TableParagraph"/>
                          <w:rPr>
                            <w:sz w:val="24"/>
                          </w:rPr>
                        </w:pPr>
                      </w:p>
                    </w:tc>
                    <w:tc>
                      <w:tcPr>
                        <w:tcW w:w="4057" w:type="dxa"/>
                      </w:tcPr>
                      <w:p>
                        <w:pPr>
                          <w:pStyle w:val="TableParagraph"/>
                          <w:spacing w:before="17"/>
                          <w:ind w:right="96"/>
                          <w:jc w:val="right"/>
                          <w:rPr>
                            <w:sz w:val="24"/>
                          </w:rPr>
                        </w:pPr>
                        <w:hyperlink w:history="true" w:anchor="_bookmark6">
                          <w:r>
                            <w:rPr>
                              <w:color w:val="231F20"/>
                              <w:sz w:val="24"/>
                            </w:rPr>
                            <w:t>Industrial and commercial companies</w:t>
                          </w:r>
                        </w:hyperlink>
                      </w:p>
                    </w:tc>
                    <w:tc>
                      <w:tcPr>
                        <w:tcW w:w="389" w:type="dxa"/>
                      </w:tcPr>
                      <w:p>
                        <w:pPr>
                          <w:pStyle w:val="TableParagraph"/>
                          <w:spacing w:before="17"/>
                          <w:ind w:right="50"/>
                          <w:jc w:val="right"/>
                          <w:rPr>
                            <w:sz w:val="24"/>
                          </w:rPr>
                        </w:pPr>
                        <w:r>
                          <w:rPr>
                            <w:color w:val="231F20"/>
                            <w:sz w:val="24"/>
                          </w:rPr>
                          <w:t>7</w:t>
                        </w:r>
                      </w:p>
                    </w:tc>
                  </w:tr>
                  <w:tr>
                    <w:trPr>
                      <w:trHeight w:val="319" w:hRule="atLeast"/>
                    </w:trPr>
                    <w:tc>
                      <w:tcPr>
                        <w:tcW w:w="557" w:type="dxa"/>
                      </w:tcPr>
                      <w:p>
                        <w:pPr>
                          <w:pStyle w:val="TableParagraph"/>
                          <w:rPr>
                            <w:sz w:val="24"/>
                          </w:rPr>
                        </w:pPr>
                      </w:p>
                    </w:tc>
                    <w:tc>
                      <w:tcPr>
                        <w:tcW w:w="4057" w:type="dxa"/>
                      </w:tcPr>
                      <w:p>
                        <w:pPr>
                          <w:pStyle w:val="TableParagraph"/>
                          <w:spacing w:before="17"/>
                          <w:ind w:left="353"/>
                          <w:rPr>
                            <w:sz w:val="24"/>
                          </w:rPr>
                        </w:pPr>
                        <w:hyperlink w:history="true" w:anchor="_bookmark7">
                          <w:r>
                            <w:rPr>
                              <w:color w:val="231F20"/>
                              <w:sz w:val="24"/>
                            </w:rPr>
                            <w:t>Other financial institutions</w:t>
                          </w:r>
                        </w:hyperlink>
                      </w:p>
                    </w:tc>
                    <w:tc>
                      <w:tcPr>
                        <w:tcW w:w="389" w:type="dxa"/>
                      </w:tcPr>
                      <w:p>
                        <w:pPr>
                          <w:pStyle w:val="TableParagraph"/>
                          <w:spacing w:before="17"/>
                          <w:ind w:right="50"/>
                          <w:jc w:val="right"/>
                          <w:rPr>
                            <w:sz w:val="24"/>
                          </w:rPr>
                        </w:pPr>
                        <w:r>
                          <w:rPr>
                            <w:color w:val="231F20"/>
                            <w:sz w:val="24"/>
                          </w:rPr>
                          <w:t>8</w:t>
                        </w:r>
                      </w:p>
                    </w:tc>
                  </w:tr>
                  <w:tr>
                    <w:trPr>
                      <w:trHeight w:val="319" w:hRule="atLeast"/>
                    </w:trPr>
                    <w:tc>
                      <w:tcPr>
                        <w:tcW w:w="557" w:type="dxa"/>
                      </w:tcPr>
                      <w:p>
                        <w:pPr>
                          <w:pStyle w:val="TableParagraph"/>
                          <w:spacing w:before="17"/>
                          <w:ind w:left="50"/>
                          <w:rPr>
                            <w:b/>
                            <w:sz w:val="24"/>
                          </w:rPr>
                        </w:pPr>
                        <w:r>
                          <w:rPr>
                            <w:b/>
                            <w:color w:val="231F20"/>
                            <w:sz w:val="24"/>
                          </w:rPr>
                          <w:t>1.3</w:t>
                        </w:r>
                      </w:p>
                    </w:tc>
                    <w:tc>
                      <w:tcPr>
                        <w:tcW w:w="4057" w:type="dxa"/>
                      </w:tcPr>
                      <w:p>
                        <w:pPr>
                          <w:pStyle w:val="TableParagraph"/>
                          <w:spacing w:before="17"/>
                          <w:ind w:left="52"/>
                          <w:rPr>
                            <w:b/>
                            <w:sz w:val="24"/>
                          </w:rPr>
                        </w:pPr>
                        <w:hyperlink w:history="true" w:anchor="_bookmark8">
                          <w:r>
                            <w:rPr>
                              <w:b/>
                              <w:color w:val="231F20"/>
                              <w:sz w:val="24"/>
                            </w:rPr>
                            <w:t>Interest rates and asset prices</w:t>
                          </w:r>
                        </w:hyperlink>
                      </w:p>
                    </w:tc>
                    <w:tc>
                      <w:tcPr>
                        <w:tcW w:w="389" w:type="dxa"/>
                      </w:tcPr>
                      <w:p>
                        <w:pPr>
                          <w:pStyle w:val="TableParagraph"/>
                          <w:spacing w:before="17"/>
                          <w:ind w:right="50"/>
                          <w:jc w:val="right"/>
                          <w:rPr>
                            <w:sz w:val="24"/>
                          </w:rPr>
                        </w:pPr>
                        <w:r>
                          <w:rPr>
                            <w:color w:val="231F20"/>
                            <w:sz w:val="24"/>
                          </w:rPr>
                          <w:t>9</w:t>
                        </w:r>
                      </w:p>
                    </w:tc>
                  </w:tr>
                  <w:tr>
                    <w:trPr>
                      <w:trHeight w:val="319" w:hRule="atLeast"/>
                    </w:trPr>
                    <w:tc>
                      <w:tcPr>
                        <w:tcW w:w="557" w:type="dxa"/>
                      </w:tcPr>
                      <w:p>
                        <w:pPr>
                          <w:pStyle w:val="TableParagraph"/>
                          <w:rPr>
                            <w:sz w:val="24"/>
                          </w:rPr>
                        </w:pPr>
                      </w:p>
                    </w:tc>
                    <w:tc>
                      <w:tcPr>
                        <w:tcW w:w="4057" w:type="dxa"/>
                      </w:tcPr>
                      <w:p>
                        <w:pPr>
                          <w:pStyle w:val="TableParagraph"/>
                          <w:spacing w:before="17"/>
                          <w:ind w:left="353"/>
                          <w:rPr>
                            <w:sz w:val="24"/>
                          </w:rPr>
                        </w:pPr>
                        <w:hyperlink w:history="true" w:anchor="_bookmark8">
                          <w:r>
                            <w:rPr>
                              <w:color w:val="231F20"/>
                              <w:sz w:val="24"/>
                            </w:rPr>
                            <w:t>Short-term interest rates</w:t>
                          </w:r>
                        </w:hyperlink>
                      </w:p>
                    </w:tc>
                    <w:tc>
                      <w:tcPr>
                        <w:tcW w:w="389" w:type="dxa"/>
                      </w:tcPr>
                      <w:p>
                        <w:pPr>
                          <w:pStyle w:val="TableParagraph"/>
                          <w:spacing w:before="17"/>
                          <w:ind w:right="50"/>
                          <w:jc w:val="right"/>
                          <w:rPr>
                            <w:sz w:val="24"/>
                          </w:rPr>
                        </w:pPr>
                        <w:r>
                          <w:rPr>
                            <w:color w:val="231F20"/>
                            <w:sz w:val="24"/>
                          </w:rPr>
                          <w:t>9</w:t>
                        </w:r>
                      </w:p>
                    </w:tc>
                  </w:tr>
                  <w:tr>
                    <w:trPr>
                      <w:trHeight w:val="319" w:hRule="atLeast"/>
                    </w:trPr>
                    <w:tc>
                      <w:tcPr>
                        <w:tcW w:w="557" w:type="dxa"/>
                      </w:tcPr>
                      <w:p>
                        <w:pPr>
                          <w:pStyle w:val="TableParagraph"/>
                          <w:rPr>
                            <w:sz w:val="24"/>
                          </w:rPr>
                        </w:pPr>
                      </w:p>
                    </w:tc>
                    <w:tc>
                      <w:tcPr>
                        <w:tcW w:w="4057" w:type="dxa"/>
                      </w:tcPr>
                      <w:p>
                        <w:pPr>
                          <w:pStyle w:val="TableParagraph"/>
                          <w:spacing w:before="17"/>
                          <w:ind w:left="353"/>
                          <w:rPr>
                            <w:sz w:val="24"/>
                          </w:rPr>
                        </w:pPr>
                        <w:hyperlink w:history="true" w:anchor="_bookmark9">
                          <w:r>
                            <w:rPr>
                              <w:color w:val="231F20"/>
                              <w:sz w:val="24"/>
                            </w:rPr>
                            <w:t>Long-term interest rates</w:t>
                          </w:r>
                        </w:hyperlink>
                      </w:p>
                    </w:tc>
                    <w:tc>
                      <w:tcPr>
                        <w:tcW w:w="389" w:type="dxa"/>
                      </w:tcPr>
                      <w:p>
                        <w:pPr>
                          <w:pStyle w:val="TableParagraph"/>
                          <w:spacing w:before="17"/>
                          <w:ind w:right="50"/>
                          <w:jc w:val="right"/>
                          <w:rPr>
                            <w:sz w:val="24"/>
                          </w:rPr>
                        </w:pPr>
                        <w:r>
                          <w:rPr>
                            <w:color w:val="231F20"/>
                            <w:sz w:val="24"/>
                          </w:rPr>
                          <w:t>10</w:t>
                        </w:r>
                      </w:p>
                    </w:tc>
                  </w:tr>
                  <w:tr>
                    <w:trPr>
                      <w:trHeight w:val="319" w:hRule="atLeast"/>
                    </w:trPr>
                    <w:tc>
                      <w:tcPr>
                        <w:tcW w:w="557" w:type="dxa"/>
                      </w:tcPr>
                      <w:p>
                        <w:pPr>
                          <w:pStyle w:val="TableParagraph"/>
                          <w:rPr>
                            <w:sz w:val="24"/>
                          </w:rPr>
                        </w:pPr>
                      </w:p>
                    </w:tc>
                    <w:tc>
                      <w:tcPr>
                        <w:tcW w:w="4057" w:type="dxa"/>
                      </w:tcPr>
                      <w:p>
                        <w:pPr>
                          <w:pStyle w:val="TableParagraph"/>
                          <w:spacing w:before="17"/>
                          <w:ind w:left="353"/>
                          <w:rPr>
                            <w:sz w:val="24"/>
                          </w:rPr>
                        </w:pPr>
                        <w:hyperlink w:history="true" w:anchor="_bookmark10">
                          <w:r>
                            <w:rPr>
                              <w:color w:val="231F20"/>
                              <w:sz w:val="24"/>
                            </w:rPr>
                            <w:t>Equity prices</w:t>
                          </w:r>
                        </w:hyperlink>
                      </w:p>
                    </w:tc>
                    <w:tc>
                      <w:tcPr>
                        <w:tcW w:w="389" w:type="dxa"/>
                      </w:tcPr>
                      <w:p>
                        <w:pPr>
                          <w:pStyle w:val="TableParagraph"/>
                          <w:spacing w:before="17"/>
                          <w:ind w:right="50"/>
                          <w:jc w:val="right"/>
                          <w:rPr>
                            <w:sz w:val="24"/>
                          </w:rPr>
                        </w:pPr>
                        <w:r>
                          <w:rPr>
                            <w:color w:val="231F20"/>
                            <w:sz w:val="24"/>
                          </w:rPr>
                          <w:t>11</w:t>
                        </w:r>
                      </w:p>
                    </w:tc>
                  </w:tr>
                  <w:tr>
                    <w:trPr>
                      <w:trHeight w:val="319" w:hRule="atLeast"/>
                    </w:trPr>
                    <w:tc>
                      <w:tcPr>
                        <w:tcW w:w="557" w:type="dxa"/>
                      </w:tcPr>
                      <w:p>
                        <w:pPr>
                          <w:pStyle w:val="TableParagraph"/>
                          <w:rPr>
                            <w:sz w:val="24"/>
                          </w:rPr>
                        </w:pPr>
                      </w:p>
                    </w:tc>
                    <w:tc>
                      <w:tcPr>
                        <w:tcW w:w="4057" w:type="dxa"/>
                      </w:tcPr>
                      <w:p>
                        <w:pPr>
                          <w:pStyle w:val="TableParagraph"/>
                          <w:spacing w:before="17"/>
                          <w:ind w:left="353"/>
                          <w:rPr>
                            <w:sz w:val="24"/>
                          </w:rPr>
                        </w:pPr>
                        <w:hyperlink w:history="true" w:anchor="_bookmark10">
                          <w:r>
                            <w:rPr>
                              <w:color w:val="231F20"/>
                              <w:sz w:val="24"/>
                            </w:rPr>
                            <w:t>Property prices</w:t>
                          </w:r>
                        </w:hyperlink>
                      </w:p>
                    </w:tc>
                    <w:tc>
                      <w:tcPr>
                        <w:tcW w:w="389" w:type="dxa"/>
                      </w:tcPr>
                      <w:p>
                        <w:pPr>
                          <w:pStyle w:val="TableParagraph"/>
                          <w:spacing w:before="17"/>
                          <w:ind w:right="50"/>
                          <w:jc w:val="right"/>
                          <w:rPr>
                            <w:sz w:val="24"/>
                          </w:rPr>
                        </w:pPr>
                        <w:r>
                          <w:rPr>
                            <w:color w:val="231F20"/>
                            <w:sz w:val="24"/>
                          </w:rPr>
                          <w:t>11</w:t>
                        </w:r>
                      </w:p>
                    </w:tc>
                  </w:tr>
                  <w:tr>
                    <w:trPr>
                      <w:trHeight w:val="319" w:hRule="atLeast"/>
                    </w:trPr>
                    <w:tc>
                      <w:tcPr>
                        <w:tcW w:w="557" w:type="dxa"/>
                      </w:tcPr>
                      <w:p>
                        <w:pPr>
                          <w:pStyle w:val="TableParagraph"/>
                          <w:spacing w:before="17"/>
                          <w:ind w:left="50"/>
                          <w:rPr>
                            <w:b/>
                            <w:sz w:val="24"/>
                          </w:rPr>
                        </w:pPr>
                        <w:r>
                          <w:rPr>
                            <w:b/>
                            <w:color w:val="231F20"/>
                            <w:sz w:val="24"/>
                          </w:rPr>
                          <w:t>1.4</w:t>
                        </w:r>
                      </w:p>
                    </w:tc>
                    <w:tc>
                      <w:tcPr>
                        <w:tcW w:w="4057" w:type="dxa"/>
                      </w:tcPr>
                      <w:p>
                        <w:pPr>
                          <w:pStyle w:val="TableParagraph"/>
                          <w:spacing w:before="17"/>
                          <w:ind w:left="52"/>
                          <w:rPr>
                            <w:b/>
                            <w:sz w:val="24"/>
                          </w:rPr>
                        </w:pPr>
                        <w:hyperlink w:history="true" w:anchor="_bookmark11">
                          <w:r>
                            <w:rPr>
                              <w:b/>
                              <w:color w:val="231F20"/>
                              <w:sz w:val="24"/>
                            </w:rPr>
                            <w:t>Exchange rates</w:t>
                          </w:r>
                        </w:hyperlink>
                      </w:p>
                    </w:tc>
                    <w:tc>
                      <w:tcPr>
                        <w:tcW w:w="389" w:type="dxa"/>
                      </w:tcPr>
                      <w:p>
                        <w:pPr>
                          <w:pStyle w:val="TableParagraph"/>
                          <w:spacing w:before="17"/>
                          <w:ind w:right="50"/>
                          <w:jc w:val="right"/>
                          <w:rPr>
                            <w:sz w:val="24"/>
                          </w:rPr>
                        </w:pPr>
                        <w:r>
                          <w:rPr>
                            <w:color w:val="231F20"/>
                            <w:sz w:val="24"/>
                          </w:rPr>
                          <w:t>12</w:t>
                        </w:r>
                      </w:p>
                    </w:tc>
                  </w:tr>
                  <w:tr>
                    <w:trPr>
                      <w:trHeight w:val="309" w:hRule="atLeast"/>
                    </w:trPr>
                    <w:tc>
                      <w:tcPr>
                        <w:tcW w:w="557" w:type="dxa"/>
                      </w:tcPr>
                      <w:p>
                        <w:pPr>
                          <w:pStyle w:val="TableParagraph"/>
                          <w:spacing w:line="273" w:lineRule="exact" w:before="17"/>
                          <w:ind w:left="50"/>
                          <w:rPr>
                            <w:b/>
                            <w:sz w:val="24"/>
                          </w:rPr>
                        </w:pPr>
                        <w:r>
                          <w:rPr>
                            <w:b/>
                            <w:color w:val="231F20"/>
                            <w:sz w:val="24"/>
                          </w:rPr>
                          <w:t>1.5</w:t>
                        </w:r>
                      </w:p>
                    </w:tc>
                    <w:tc>
                      <w:tcPr>
                        <w:tcW w:w="4057" w:type="dxa"/>
                      </w:tcPr>
                      <w:p>
                        <w:pPr>
                          <w:pStyle w:val="TableParagraph"/>
                          <w:spacing w:line="273" w:lineRule="exact" w:before="17"/>
                          <w:ind w:left="52"/>
                          <w:rPr>
                            <w:b/>
                            <w:sz w:val="24"/>
                          </w:rPr>
                        </w:pPr>
                        <w:hyperlink w:history="true" w:anchor="_bookmark13">
                          <w:r>
                            <w:rPr>
                              <w:b/>
                              <w:color w:val="231F20"/>
                              <w:sz w:val="24"/>
                            </w:rPr>
                            <w:t>Summary</w:t>
                          </w:r>
                        </w:hyperlink>
                      </w:p>
                    </w:tc>
                    <w:tc>
                      <w:tcPr>
                        <w:tcW w:w="389" w:type="dxa"/>
                      </w:tcPr>
                      <w:p>
                        <w:pPr>
                          <w:pStyle w:val="TableParagraph"/>
                          <w:spacing w:line="273" w:lineRule="exact" w:before="17"/>
                          <w:ind w:right="50"/>
                          <w:jc w:val="right"/>
                          <w:rPr>
                            <w:sz w:val="24"/>
                          </w:rPr>
                        </w:pPr>
                        <w:r>
                          <w:rPr>
                            <w:color w:val="231F20"/>
                            <w:sz w:val="24"/>
                          </w:rPr>
                          <w:t>13</w:t>
                        </w:r>
                      </w:p>
                    </w:tc>
                  </w:tr>
                  <w:tr>
                    <w:trPr>
                      <w:trHeight w:val="282" w:hRule="atLeast"/>
                    </w:trPr>
                    <w:tc>
                      <w:tcPr>
                        <w:tcW w:w="557" w:type="dxa"/>
                      </w:tcPr>
                      <w:p>
                        <w:pPr>
                          <w:pStyle w:val="TableParagraph"/>
                          <w:spacing w:line="256" w:lineRule="exact" w:before="7"/>
                          <w:ind w:left="50"/>
                          <w:rPr>
                            <w:i/>
                            <w:sz w:val="24"/>
                          </w:rPr>
                        </w:pPr>
                        <w:r>
                          <w:rPr>
                            <w:i/>
                            <w:color w:val="231F20"/>
                            <w:sz w:val="24"/>
                          </w:rPr>
                          <w:t>Box:</w:t>
                        </w:r>
                      </w:p>
                    </w:tc>
                    <w:tc>
                      <w:tcPr>
                        <w:tcW w:w="4057" w:type="dxa"/>
                      </w:tcPr>
                      <w:p>
                        <w:pPr>
                          <w:pStyle w:val="TableParagraph"/>
                          <w:spacing w:line="256" w:lineRule="exact" w:before="7"/>
                          <w:ind w:left="353"/>
                          <w:rPr>
                            <w:i/>
                            <w:sz w:val="24"/>
                          </w:rPr>
                        </w:pPr>
                        <w:hyperlink w:history="true" w:anchor="_bookmark12">
                          <w:r>
                            <w:rPr>
                              <w:i/>
                              <w:color w:val="231F20"/>
                              <w:sz w:val="24"/>
                            </w:rPr>
                            <w:t>The determinants of equity values</w:t>
                          </w:r>
                        </w:hyperlink>
                      </w:p>
                    </w:tc>
                    <w:tc>
                      <w:tcPr>
                        <w:tcW w:w="389" w:type="dxa"/>
                      </w:tcPr>
                      <w:p>
                        <w:pPr>
                          <w:pStyle w:val="TableParagraph"/>
                          <w:spacing w:line="256" w:lineRule="exact" w:before="7"/>
                          <w:ind w:right="50"/>
                          <w:jc w:val="right"/>
                          <w:rPr>
                            <w:sz w:val="24"/>
                          </w:rPr>
                        </w:pPr>
                        <w:r>
                          <w:rPr>
                            <w:color w:val="231F20"/>
                            <w:sz w:val="24"/>
                          </w:rPr>
                          <w:t>12</w:t>
                        </w:r>
                      </w:p>
                    </w:tc>
                  </w:tr>
                  <w:tr>
                    <w:trPr>
                      <w:trHeight w:val="640" w:hRule="atLeast"/>
                    </w:trPr>
                    <w:tc>
                      <w:tcPr>
                        <w:tcW w:w="5003" w:type="dxa"/>
                        <w:gridSpan w:val="3"/>
                      </w:tcPr>
                      <w:p>
                        <w:pPr>
                          <w:pStyle w:val="TableParagraph"/>
                          <w:tabs>
                            <w:tab w:pos="4949" w:val="right" w:leader="none"/>
                          </w:tabs>
                          <w:spacing w:line="256" w:lineRule="exact" w:before="364"/>
                          <w:ind w:left="50"/>
                          <w:rPr>
                            <w:sz w:val="24"/>
                          </w:rPr>
                        </w:pPr>
                        <w:hyperlink w:history="true" w:anchor="_bookmark14">
                          <w:r>
                            <w:rPr>
                              <w:b/>
                              <w:color w:val="0093C1"/>
                              <w:sz w:val="24"/>
                            </w:rPr>
                            <w:t>Demand and output</w:t>
                          </w:r>
                        </w:hyperlink>
                        <w:r>
                          <w:rPr>
                            <w:b/>
                            <w:color w:val="0093C1"/>
                            <w:sz w:val="24"/>
                          </w:rPr>
                          <w:tab/>
                        </w:r>
                        <w:r>
                          <w:rPr>
                            <w:color w:val="231F20"/>
                            <w:sz w:val="24"/>
                          </w:rPr>
                          <w:t>15</w:t>
                        </w:r>
                      </w:p>
                    </w:tc>
                  </w:tr>
                  <w:tr>
                    <w:trPr>
                      <w:trHeight w:val="347" w:hRule="atLeast"/>
                    </w:trPr>
                    <w:tc>
                      <w:tcPr>
                        <w:tcW w:w="557" w:type="dxa"/>
                      </w:tcPr>
                      <w:p>
                        <w:pPr>
                          <w:pStyle w:val="TableParagraph"/>
                          <w:spacing w:before="44"/>
                          <w:ind w:left="50"/>
                          <w:rPr>
                            <w:b/>
                            <w:sz w:val="24"/>
                          </w:rPr>
                        </w:pPr>
                        <w:r>
                          <w:rPr>
                            <w:b/>
                            <w:color w:val="231F20"/>
                            <w:sz w:val="24"/>
                          </w:rPr>
                          <w:t>2.1</w:t>
                        </w:r>
                      </w:p>
                    </w:tc>
                    <w:tc>
                      <w:tcPr>
                        <w:tcW w:w="4057" w:type="dxa"/>
                      </w:tcPr>
                      <w:p>
                        <w:pPr>
                          <w:pStyle w:val="TableParagraph"/>
                          <w:spacing w:before="44"/>
                          <w:ind w:left="52"/>
                          <w:rPr>
                            <w:b/>
                            <w:sz w:val="24"/>
                          </w:rPr>
                        </w:pPr>
                        <w:hyperlink w:history="true" w:anchor="_bookmark14">
                          <w:r>
                            <w:rPr>
                              <w:b/>
                              <w:color w:val="231F20"/>
                              <w:sz w:val="24"/>
                            </w:rPr>
                            <w:t>External demand</w:t>
                          </w:r>
                        </w:hyperlink>
                      </w:p>
                    </w:tc>
                    <w:tc>
                      <w:tcPr>
                        <w:tcW w:w="389" w:type="dxa"/>
                      </w:tcPr>
                      <w:p>
                        <w:pPr>
                          <w:pStyle w:val="TableParagraph"/>
                          <w:spacing w:before="44"/>
                          <w:ind w:right="50"/>
                          <w:jc w:val="right"/>
                          <w:rPr>
                            <w:sz w:val="24"/>
                          </w:rPr>
                        </w:pPr>
                        <w:r>
                          <w:rPr>
                            <w:color w:val="231F20"/>
                            <w:sz w:val="24"/>
                          </w:rPr>
                          <w:t>15</w:t>
                        </w:r>
                      </w:p>
                    </w:tc>
                  </w:tr>
                  <w:tr>
                    <w:trPr>
                      <w:trHeight w:val="319" w:hRule="atLeast"/>
                    </w:trPr>
                    <w:tc>
                      <w:tcPr>
                        <w:tcW w:w="557" w:type="dxa"/>
                      </w:tcPr>
                      <w:p>
                        <w:pPr>
                          <w:pStyle w:val="TableParagraph"/>
                          <w:spacing w:before="17"/>
                          <w:ind w:left="50"/>
                          <w:rPr>
                            <w:b/>
                            <w:sz w:val="24"/>
                          </w:rPr>
                        </w:pPr>
                        <w:r>
                          <w:rPr>
                            <w:b/>
                            <w:color w:val="231F20"/>
                            <w:sz w:val="24"/>
                          </w:rPr>
                          <w:t>2.2</w:t>
                        </w:r>
                      </w:p>
                    </w:tc>
                    <w:tc>
                      <w:tcPr>
                        <w:tcW w:w="4057" w:type="dxa"/>
                      </w:tcPr>
                      <w:p>
                        <w:pPr>
                          <w:pStyle w:val="TableParagraph"/>
                          <w:spacing w:before="17"/>
                          <w:ind w:left="52"/>
                          <w:rPr>
                            <w:b/>
                            <w:sz w:val="24"/>
                          </w:rPr>
                        </w:pPr>
                        <w:hyperlink w:history="true" w:anchor="_bookmark17">
                          <w:r>
                            <w:rPr>
                              <w:b/>
                              <w:color w:val="231F20"/>
                              <w:sz w:val="24"/>
                            </w:rPr>
                            <w:t>Consumption</w:t>
                          </w:r>
                        </w:hyperlink>
                      </w:p>
                    </w:tc>
                    <w:tc>
                      <w:tcPr>
                        <w:tcW w:w="389" w:type="dxa"/>
                      </w:tcPr>
                      <w:p>
                        <w:pPr>
                          <w:pStyle w:val="TableParagraph"/>
                          <w:spacing w:before="17"/>
                          <w:ind w:right="50"/>
                          <w:jc w:val="right"/>
                          <w:rPr>
                            <w:sz w:val="24"/>
                          </w:rPr>
                        </w:pPr>
                        <w:r>
                          <w:rPr>
                            <w:color w:val="231F20"/>
                            <w:sz w:val="24"/>
                          </w:rPr>
                          <w:t>17</w:t>
                        </w:r>
                      </w:p>
                    </w:tc>
                  </w:tr>
                  <w:tr>
                    <w:trPr>
                      <w:trHeight w:val="319" w:hRule="atLeast"/>
                    </w:trPr>
                    <w:tc>
                      <w:tcPr>
                        <w:tcW w:w="557" w:type="dxa"/>
                      </w:tcPr>
                      <w:p>
                        <w:pPr>
                          <w:pStyle w:val="TableParagraph"/>
                          <w:spacing w:before="17"/>
                          <w:ind w:left="50"/>
                          <w:rPr>
                            <w:b/>
                            <w:sz w:val="24"/>
                          </w:rPr>
                        </w:pPr>
                        <w:r>
                          <w:rPr>
                            <w:b/>
                            <w:color w:val="231F20"/>
                            <w:sz w:val="24"/>
                          </w:rPr>
                          <w:t>2.3</w:t>
                        </w:r>
                      </w:p>
                    </w:tc>
                    <w:tc>
                      <w:tcPr>
                        <w:tcW w:w="4057" w:type="dxa"/>
                      </w:tcPr>
                      <w:p>
                        <w:pPr>
                          <w:pStyle w:val="TableParagraph"/>
                          <w:spacing w:before="17"/>
                          <w:ind w:left="52"/>
                          <w:rPr>
                            <w:b/>
                            <w:sz w:val="24"/>
                          </w:rPr>
                        </w:pPr>
                        <w:hyperlink w:history="true" w:anchor="_bookmark18">
                          <w:r>
                            <w:rPr>
                              <w:b/>
                              <w:color w:val="231F20"/>
                              <w:sz w:val="24"/>
                            </w:rPr>
                            <w:t>Investment demand</w:t>
                          </w:r>
                        </w:hyperlink>
                      </w:p>
                    </w:tc>
                    <w:tc>
                      <w:tcPr>
                        <w:tcW w:w="389" w:type="dxa"/>
                      </w:tcPr>
                      <w:p>
                        <w:pPr>
                          <w:pStyle w:val="TableParagraph"/>
                          <w:spacing w:before="17"/>
                          <w:ind w:right="50"/>
                          <w:jc w:val="right"/>
                          <w:rPr>
                            <w:sz w:val="24"/>
                          </w:rPr>
                        </w:pPr>
                        <w:r>
                          <w:rPr>
                            <w:color w:val="231F20"/>
                            <w:sz w:val="24"/>
                          </w:rPr>
                          <w:t>19</w:t>
                        </w:r>
                      </w:p>
                    </w:tc>
                  </w:tr>
                  <w:tr>
                    <w:trPr>
                      <w:trHeight w:val="309" w:hRule="atLeast"/>
                    </w:trPr>
                    <w:tc>
                      <w:tcPr>
                        <w:tcW w:w="557" w:type="dxa"/>
                      </w:tcPr>
                      <w:p>
                        <w:pPr>
                          <w:pStyle w:val="TableParagraph"/>
                          <w:spacing w:line="273" w:lineRule="exact" w:before="17"/>
                          <w:ind w:left="50"/>
                          <w:rPr>
                            <w:b/>
                            <w:sz w:val="24"/>
                          </w:rPr>
                        </w:pPr>
                        <w:r>
                          <w:rPr>
                            <w:b/>
                            <w:color w:val="231F20"/>
                            <w:sz w:val="24"/>
                          </w:rPr>
                          <w:t>2.4</w:t>
                        </w:r>
                      </w:p>
                    </w:tc>
                    <w:tc>
                      <w:tcPr>
                        <w:tcW w:w="4057" w:type="dxa"/>
                      </w:tcPr>
                      <w:p>
                        <w:pPr>
                          <w:pStyle w:val="TableParagraph"/>
                          <w:spacing w:line="273" w:lineRule="exact" w:before="17"/>
                          <w:ind w:left="52"/>
                          <w:rPr>
                            <w:b/>
                            <w:sz w:val="24"/>
                          </w:rPr>
                        </w:pPr>
                        <w:hyperlink w:history="true" w:anchor="_bookmark19">
                          <w:r>
                            <w:rPr>
                              <w:b/>
                              <w:color w:val="231F20"/>
                              <w:sz w:val="24"/>
                            </w:rPr>
                            <w:t>Stockbuilding</w:t>
                          </w:r>
                        </w:hyperlink>
                      </w:p>
                    </w:tc>
                    <w:tc>
                      <w:tcPr>
                        <w:tcW w:w="389" w:type="dxa"/>
                      </w:tcPr>
                      <w:p>
                        <w:pPr>
                          <w:pStyle w:val="TableParagraph"/>
                          <w:spacing w:line="273" w:lineRule="exact" w:before="17"/>
                          <w:ind w:right="50"/>
                          <w:jc w:val="right"/>
                          <w:rPr>
                            <w:sz w:val="24"/>
                          </w:rPr>
                        </w:pPr>
                        <w:r>
                          <w:rPr>
                            <w:color w:val="231F20"/>
                            <w:sz w:val="24"/>
                          </w:rPr>
                          <w:t>21</w:t>
                        </w:r>
                      </w:p>
                    </w:tc>
                  </w:tr>
                  <w:tr>
                    <w:trPr>
                      <w:trHeight w:val="300" w:hRule="atLeast"/>
                    </w:trPr>
                    <w:tc>
                      <w:tcPr>
                        <w:tcW w:w="557" w:type="dxa"/>
                      </w:tcPr>
                      <w:p>
                        <w:pPr>
                          <w:pStyle w:val="TableParagraph"/>
                          <w:spacing w:line="273" w:lineRule="exact" w:before="7"/>
                          <w:ind w:left="50"/>
                          <w:rPr>
                            <w:b/>
                            <w:sz w:val="24"/>
                          </w:rPr>
                        </w:pPr>
                        <w:r>
                          <w:rPr>
                            <w:b/>
                            <w:color w:val="231F20"/>
                            <w:sz w:val="24"/>
                          </w:rPr>
                          <w:t>2.5</w:t>
                        </w:r>
                      </w:p>
                    </w:tc>
                    <w:tc>
                      <w:tcPr>
                        <w:tcW w:w="4057" w:type="dxa"/>
                      </w:tcPr>
                      <w:p>
                        <w:pPr>
                          <w:pStyle w:val="TableParagraph"/>
                          <w:spacing w:line="273" w:lineRule="exact" w:before="7"/>
                          <w:ind w:left="52"/>
                          <w:rPr>
                            <w:b/>
                            <w:sz w:val="24"/>
                          </w:rPr>
                        </w:pPr>
                        <w:hyperlink w:history="true" w:anchor="_bookmark19">
                          <w:r>
                            <w:rPr>
                              <w:b/>
                              <w:color w:val="231F20"/>
                              <w:sz w:val="24"/>
                            </w:rPr>
                            <w:t>Public sector demand</w:t>
                          </w:r>
                        </w:hyperlink>
                      </w:p>
                    </w:tc>
                    <w:tc>
                      <w:tcPr>
                        <w:tcW w:w="389" w:type="dxa"/>
                      </w:tcPr>
                      <w:p>
                        <w:pPr>
                          <w:pStyle w:val="TableParagraph"/>
                          <w:spacing w:line="273" w:lineRule="exact" w:before="7"/>
                          <w:ind w:right="50"/>
                          <w:jc w:val="right"/>
                          <w:rPr>
                            <w:sz w:val="24"/>
                          </w:rPr>
                        </w:pPr>
                        <w:r>
                          <w:rPr>
                            <w:color w:val="231F20"/>
                            <w:sz w:val="24"/>
                          </w:rPr>
                          <w:t>21</w:t>
                        </w:r>
                      </w:p>
                    </w:tc>
                  </w:tr>
                  <w:tr>
                    <w:trPr>
                      <w:trHeight w:val="300" w:hRule="atLeast"/>
                    </w:trPr>
                    <w:tc>
                      <w:tcPr>
                        <w:tcW w:w="557" w:type="dxa"/>
                      </w:tcPr>
                      <w:p>
                        <w:pPr>
                          <w:pStyle w:val="TableParagraph"/>
                          <w:spacing w:line="273" w:lineRule="exact" w:before="7"/>
                          <w:ind w:left="50"/>
                          <w:rPr>
                            <w:b/>
                            <w:sz w:val="24"/>
                          </w:rPr>
                        </w:pPr>
                        <w:r>
                          <w:rPr>
                            <w:b/>
                            <w:color w:val="231F20"/>
                            <w:sz w:val="24"/>
                          </w:rPr>
                          <w:t>2.6</w:t>
                        </w:r>
                      </w:p>
                    </w:tc>
                    <w:tc>
                      <w:tcPr>
                        <w:tcW w:w="4057" w:type="dxa"/>
                      </w:tcPr>
                      <w:p>
                        <w:pPr>
                          <w:pStyle w:val="TableParagraph"/>
                          <w:spacing w:line="273" w:lineRule="exact" w:before="7"/>
                          <w:ind w:left="52"/>
                          <w:rPr>
                            <w:b/>
                            <w:sz w:val="24"/>
                          </w:rPr>
                        </w:pPr>
                        <w:hyperlink w:history="true" w:anchor="_bookmark20">
                          <w:r>
                            <w:rPr>
                              <w:b/>
                              <w:color w:val="231F20"/>
                              <w:sz w:val="24"/>
                            </w:rPr>
                            <w:t>Output</w:t>
                          </w:r>
                        </w:hyperlink>
                      </w:p>
                    </w:tc>
                    <w:tc>
                      <w:tcPr>
                        <w:tcW w:w="389" w:type="dxa"/>
                      </w:tcPr>
                      <w:p>
                        <w:pPr>
                          <w:pStyle w:val="TableParagraph"/>
                          <w:spacing w:line="273" w:lineRule="exact" w:before="7"/>
                          <w:ind w:right="50"/>
                          <w:jc w:val="right"/>
                          <w:rPr>
                            <w:sz w:val="24"/>
                          </w:rPr>
                        </w:pPr>
                        <w:r>
                          <w:rPr>
                            <w:color w:val="231F20"/>
                            <w:sz w:val="24"/>
                          </w:rPr>
                          <w:t>22</w:t>
                        </w:r>
                      </w:p>
                    </w:tc>
                  </w:tr>
                  <w:tr>
                    <w:trPr>
                      <w:trHeight w:val="300" w:hRule="atLeast"/>
                    </w:trPr>
                    <w:tc>
                      <w:tcPr>
                        <w:tcW w:w="557" w:type="dxa"/>
                      </w:tcPr>
                      <w:p>
                        <w:pPr>
                          <w:pStyle w:val="TableParagraph"/>
                          <w:spacing w:line="273" w:lineRule="exact" w:before="7"/>
                          <w:ind w:left="50"/>
                          <w:rPr>
                            <w:b/>
                            <w:sz w:val="24"/>
                          </w:rPr>
                        </w:pPr>
                        <w:r>
                          <w:rPr>
                            <w:b/>
                            <w:color w:val="231F20"/>
                            <w:sz w:val="24"/>
                          </w:rPr>
                          <w:t>2.7</w:t>
                        </w:r>
                      </w:p>
                    </w:tc>
                    <w:tc>
                      <w:tcPr>
                        <w:tcW w:w="4057" w:type="dxa"/>
                      </w:tcPr>
                      <w:p>
                        <w:pPr>
                          <w:pStyle w:val="TableParagraph"/>
                          <w:spacing w:line="273" w:lineRule="exact" w:before="7"/>
                          <w:ind w:left="52"/>
                          <w:rPr>
                            <w:b/>
                            <w:sz w:val="24"/>
                          </w:rPr>
                        </w:pPr>
                        <w:hyperlink w:history="true" w:anchor="_bookmark21">
                          <w:r>
                            <w:rPr>
                              <w:b/>
                              <w:color w:val="231F20"/>
                              <w:sz w:val="24"/>
                            </w:rPr>
                            <w:t>Summary</w:t>
                          </w:r>
                        </w:hyperlink>
                      </w:p>
                    </w:tc>
                    <w:tc>
                      <w:tcPr>
                        <w:tcW w:w="389" w:type="dxa"/>
                      </w:tcPr>
                      <w:p>
                        <w:pPr>
                          <w:pStyle w:val="TableParagraph"/>
                          <w:spacing w:line="273" w:lineRule="exact" w:before="7"/>
                          <w:ind w:right="50"/>
                          <w:jc w:val="right"/>
                          <w:rPr>
                            <w:sz w:val="24"/>
                          </w:rPr>
                        </w:pPr>
                        <w:r>
                          <w:rPr>
                            <w:color w:val="231F20"/>
                            <w:sz w:val="24"/>
                          </w:rPr>
                          <w:t>23</w:t>
                        </w:r>
                      </w:p>
                    </w:tc>
                  </w:tr>
                  <w:tr>
                    <w:trPr>
                      <w:trHeight w:val="282" w:hRule="atLeast"/>
                    </w:trPr>
                    <w:tc>
                      <w:tcPr>
                        <w:tcW w:w="557" w:type="dxa"/>
                      </w:tcPr>
                      <w:p>
                        <w:pPr>
                          <w:pStyle w:val="TableParagraph"/>
                          <w:spacing w:line="256" w:lineRule="exact" w:before="7"/>
                          <w:ind w:left="50"/>
                          <w:rPr>
                            <w:i/>
                            <w:sz w:val="24"/>
                          </w:rPr>
                        </w:pPr>
                        <w:r>
                          <w:rPr>
                            <w:i/>
                            <w:color w:val="231F20"/>
                            <w:sz w:val="24"/>
                          </w:rPr>
                          <w:t>Box:</w:t>
                        </w:r>
                      </w:p>
                    </w:tc>
                    <w:tc>
                      <w:tcPr>
                        <w:tcW w:w="4057" w:type="dxa"/>
                      </w:tcPr>
                      <w:p>
                        <w:pPr>
                          <w:pStyle w:val="TableParagraph"/>
                          <w:spacing w:line="256" w:lineRule="exact" w:before="7"/>
                          <w:ind w:left="353"/>
                          <w:rPr>
                            <w:i/>
                            <w:sz w:val="24"/>
                          </w:rPr>
                        </w:pPr>
                        <w:hyperlink w:history="true" w:anchor="_bookmark15">
                          <w:r>
                            <w:rPr>
                              <w:i/>
                              <w:color w:val="231F20"/>
                              <w:sz w:val="24"/>
                            </w:rPr>
                            <w:t>Changes to the National Accounts</w:t>
                          </w:r>
                        </w:hyperlink>
                      </w:p>
                    </w:tc>
                    <w:tc>
                      <w:tcPr>
                        <w:tcW w:w="389" w:type="dxa"/>
                      </w:tcPr>
                      <w:p>
                        <w:pPr>
                          <w:pStyle w:val="TableParagraph"/>
                          <w:spacing w:line="256" w:lineRule="exact" w:before="7"/>
                          <w:ind w:right="50"/>
                          <w:jc w:val="right"/>
                          <w:rPr>
                            <w:sz w:val="24"/>
                          </w:rPr>
                        </w:pPr>
                        <w:r>
                          <w:rPr>
                            <w:color w:val="231F20"/>
                            <w:sz w:val="24"/>
                          </w:rPr>
                          <w:t>16</w:t>
                        </w:r>
                      </w:p>
                    </w:tc>
                  </w:tr>
                </w:tbl>
                <w:p>
                  <w:pPr>
                    <w:pStyle w:val="BodyText"/>
                  </w:pPr>
                </w:p>
              </w:txbxContent>
            </v:textbox>
            <w10:wrap type="none"/>
          </v:shape>
        </w:pict>
      </w:r>
      <w:r>
        <w:rPr>
          <w:b/>
          <w:color w:val="0093C1"/>
          <w:sz w:val="24"/>
        </w:rPr>
        <w:t>1</w:t>
        <w:tab/>
      </w:r>
      <w:hyperlink w:history="true" w:anchor="_bookmark0">
        <w:r>
          <w:rPr>
            <w:b/>
            <w:color w:val="0093C1"/>
            <w:sz w:val="24"/>
          </w:rPr>
          <w:t>Money and</w:t>
        </w:r>
        <w:r>
          <w:rPr>
            <w:b/>
            <w:color w:val="0093C1"/>
            <w:spacing w:val="-1"/>
            <w:sz w:val="24"/>
          </w:rPr>
          <w:t> </w:t>
        </w:r>
        <w:r>
          <w:rPr>
            <w:b/>
            <w:color w:val="0093C1"/>
            <w:sz w:val="24"/>
          </w:rPr>
          <w:t>financial markets</w:t>
        </w:r>
      </w:hyperlink>
      <w:r>
        <w:rPr>
          <w:b/>
          <w:color w:val="0093C1"/>
          <w:sz w:val="24"/>
        </w:rPr>
        <w:tab/>
      </w:r>
      <w:r>
        <w:rPr>
          <w:color w:val="231F20"/>
          <w:sz w:val="24"/>
        </w:rPr>
        <w:t>3</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0"/>
        <w:rPr>
          <w:sz w:val="36"/>
        </w:rPr>
      </w:pPr>
    </w:p>
    <w:p>
      <w:pPr>
        <w:spacing w:before="0"/>
        <w:ind w:left="5009" w:right="0" w:firstLine="0"/>
        <w:jc w:val="left"/>
        <w:rPr>
          <w:b/>
          <w:sz w:val="24"/>
        </w:rPr>
      </w:pPr>
      <w:r>
        <w:rPr>
          <w:b/>
          <w:color w:val="0093C1"/>
          <w:sz w:val="24"/>
        </w:rPr>
        <w:t>2</w:t>
      </w: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spacing w:before="9"/>
        <w:rPr>
          <w:b/>
          <w:sz w:val="35"/>
        </w:rPr>
      </w:pPr>
    </w:p>
    <w:sdt>
      <w:sdtPr>
        <w:docPartObj>
          <w:docPartGallery w:val="Table of Contents"/>
          <w:docPartUnique/>
        </w:docPartObj>
      </w:sdtPr>
      <w:sdtEndPr/>
      <w:sdtContent>
        <w:p>
          <w:pPr>
            <w:pStyle w:val="TOC1"/>
            <w:numPr>
              <w:ilvl w:val="0"/>
              <w:numId w:val="1"/>
            </w:numPr>
            <w:tabs>
              <w:tab w:pos="5389" w:val="left" w:leader="none"/>
              <w:tab w:pos="5390" w:val="left" w:leader="none"/>
              <w:tab w:pos="10289" w:val="right" w:leader="none"/>
            </w:tabs>
            <w:spacing w:line="240" w:lineRule="auto" w:before="1" w:after="0"/>
            <w:ind w:left="5389" w:right="0" w:hanging="381"/>
            <w:jc w:val="left"/>
            <w:rPr>
              <w:b w:val="0"/>
            </w:rPr>
          </w:pPr>
          <w:hyperlink w:history="true" w:anchor="_bookmark22">
            <w:r>
              <w:rPr>
                <w:color w:val="0093C1"/>
              </w:rPr>
              <w:t>The</w:t>
            </w:r>
            <w:r>
              <w:rPr>
                <w:color w:val="0093C1"/>
                <w:spacing w:val="-1"/>
              </w:rPr>
              <w:t> </w:t>
            </w:r>
            <w:r>
              <w:rPr>
                <w:color w:val="0093C1"/>
              </w:rPr>
              <w:t>labour market</w:t>
            </w:r>
          </w:hyperlink>
          <w:r>
            <w:rPr>
              <w:color w:val="0093C1"/>
            </w:rPr>
            <w:tab/>
          </w:r>
          <w:r>
            <w:rPr>
              <w:b w:val="0"/>
              <w:color w:val="231F20"/>
            </w:rPr>
            <w:t>24</w:t>
          </w:r>
        </w:p>
        <w:p>
          <w:pPr>
            <w:pStyle w:val="TOC2"/>
            <w:numPr>
              <w:ilvl w:val="1"/>
              <w:numId w:val="1"/>
            </w:numPr>
            <w:tabs>
              <w:tab w:pos="5949" w:val="left" w:leader="none"/>
              <w:tab w:pos="5950" w:val="left" w:leader="none"/>
              <w:tab w:pos="10289" w:val="right" w:leader="none"/>
            </w:tabs>
            <w:spacing w:line="240" w:lineRule="auto" w:before="44" w:after="0"/>
            <w:ind w:left="5949" w:right="0" w:hanging="561"/>
            <w:jc w:val="left"/>
            <w:rPr>
              <w:b w:val="0"/>
            </w:rPr>
          </w:pPr>
          <w:hyperlink w:history="true" w:anchor="_bookmark22">
            <w:r>
              <w:rPr>
                <w:color w:val="231F20"/>
              </w:rPr>
              <w:t>Earnings</w:t>
            </w:r>
          </w:hyperlink>
          <w:r>
            <w:rPr>
              <w:color w:val="231F20"/>
            </w:rPr>
            <w:tab/>
          </w:r>
          <w:r>
            <w:rPr>
              <w:b w:val="0"/>
              <w:color w:val="231F20"/>
            </w:rPr>
            <w:t>24</w:t>
          </w:r>
        </w:p>
        <w:p>
          <w:pPr>
            <w:pStyle w:val="TOC2"/>
            <w:numPr>
              <w:ilvl w:val="1"/>
              <w:numId w:val="1"/>
            </w:numPr>
            <w:tabs>
              <w:tab w:pos="5949" w:val="left" w:leader="none"/>
              <w:tab w:pos="5950" w:val="left" w:leader="none"/>
              <w:tab w:pos="10289" w:val="right" w:leader="none"/>
            </w:tabs>
            <w:spacing w:line="240" w:lineRule="auto" w:before="44" w:after="0"/>
            <w:ind w:left="5949" w:right="0" w:hanging="561"/>
            <w:jc w:val="left"/>
            <w:rPr>
              <w:b w:val="0"/>
            </w:rPr>
          </w:pPr>
          <w:hyperlink w:history="true" w:anchor="_bookmark25">
            <w:r>
              <w:rPr>
                <w:color w:val="231F20"/>
              </w:rPr>
              <w:t>Unemployment and employment</w:t>
            </w:r>
          </w:hyperlink>
          <w:r>
            <w:rPr>
              <w:color w:val="231F20"/>
            </w:rPr>
            <w:tab/>
          </w:r>
          <w:r>
            <w:rPr>
              <w:b w:val="0"/>
              <w:color w:val="231F20"/>
            </w:rPr>
            <w:t>28</w:t>
          </w:r>
        </w:p>
        <w:p>
          <w:pPr>
            <w:pStyle w:val="TOC2"/>
            <w:numPr>
              <w:ilvl w:val="1"/>
              <w:numId w:val="1"/>
            </w:numPr>
            <w:tabs>
              <w:tab w:pos="5949" w:val="left" w:leader="none"/>
              <w:tab w:pos="5950" w:val="left" w:leader="none"/>
              <w:tab w:pos="10289" w:val="right" w:leader="none"/>
            </w:tabs>
            <w:spacing w:line="240" w:lineRule="auto" w:before="44" w:after="0"/>
            <w:ind w:left="5949" w:right="0" w:hanging="561"/>
            <w:jc w:val="left"/>
            <w:rPr>
              <w:b w:val="0"/>
            </w:rPr>
          </w:pPr>
          <w:hyperlink w:history="true" w:anchor="_bookmark28">
            <w:r>
              <w:rPr>
                <w:color w:val="231F20"/>
              </w:rPr>
              <w:t>Unemployment and inflation</w:t>
            </w:r>
          </w:hyperlink>
          <w:r>
            <w:rPr>
              <w:color w:val="231F20"/>
            </w:rPr>
            <w:tab/>
          </w:r>
          <w:r>
            <w:rPr>
              <w:b w:val="0"/>
              <w:color w:val="231F20"/>
            </w:rPr>
            <w:t>31</w:t>
          </w:r>
        </w:p>
        <w:p>
          <w:pPr>
            <w:pStyle w:val="TOC2"/>
            <w:numPr>
              <w:ilvl w:val="1"/>
              <w:numId w:val="1"/>
            </w:numPr>
            <w:tabs>
              <w:tab w:pos="5949" w:val="left" w:leader="none"/>
              <w:tab w:pos="5950" w:val="left" w:leader="none"/>
            </w:tabs>
            <w:spacing w:line="240" w:lineRule="auto" w:before="44" w:after="0"/>
            <w:ind w:left="5949" w:right="0" w:hanging="561"/>
            <w:jc w:val="left"/>
          </w:pPr>
          <w:hyperlink w:history="true" w:anchor="_bookmark29">
            <w:r>
              <w:rPr>
                <w:color w:val="231F20"/>
              </w:rPr>
              <w:t>Reforms affecting the</w:t>
            </w:r>
            <w:r>
              <w:rPr>
                <w:color w:val="231F20"/>
                <w:spacing w:val="-1"/>
              </w:rPr>
              <w:t> </w:t>
            </w:r>
            <w:r>
              <w:rPr>
                <w:color w:val="231F20"/>
              </w:rPr>
              <w:t>labour</w:t>
            </w:r>
          </w:hyperlink>
        </w:p>
        <w:p>
          <w:pPr>
            <w:pStyle w:val="TOC4"/>
            <w:tabs>
              <w:tab w:pos="10289" w:val="right" w:leader="none"/>
            </w:tabs>
            <w:rPr>
              <w:b w:val="0"/>
              <w:i w:val="0"/>
              <w:sz w:val="24"/>
            </w:rPr>
          </w:pPr>
          <w:hyperlink w:history="true" w:anchor="_bookmark29">
            <w:r>
              <w:rPr>
                <w:i w:val="0"/>
                <w:color w:val="231F20"/>
                <w:sz w:val="24"/>
              </w:rPr>
              <w:t>market</w:t>
            </w:r>
          </w:hyperlink>
          <w:r>
            <w:rPr>
              <w:i w:val="0"/>
              <w:color w:val="231F20"/>
              <w:sz w:val="24"/>
            </w:rPr>
            <w:tab/>
          </w:r>
          <w:r>
            <w:rPr>
              <w:b w:val="0"/>
              <w:i w:val="0"/>
              <w:color w:val="231F20"/>
              <w:sz w:val="24"/>
            </w:rPr>
            <w:t>32</w:t>
          </w:r>
        </w:p>
        <w:p>
          <w:pPr>
            <w:pStyle w:val="TOC2"/>
            <w:numPr>
              <w:ilvl w:val="1"/>
              <w:numId w:val="1"/>
            </w:numPr>
            <w:tabs>
              <w:tab w:pos="5949" w:val="left" w:leader="none"/>
              <w:tab w:pos="5950" w:val="left" w:leader="none"/>
              <w:tab w:pos="10289" w:val="right" w:leader="none"/>
            </w:tabs>
            <w:spacing w:line="240" w:lineRule="auto" w:before="44" w:after="0"/>
            <w:ind w:left="5949" w:right="0" w:hanging="561"/>
            <w:jc w:val="left"/>
            <w:rPr>
              <w:b w:val="0"/>
            </w:rPr>
          </w:pPr>
          <w:hyperlink w:history="true" w:anchor="_bookmark29">
            <w:r>
              <w:rPr>
                <w:color w:val="231F20"/>
              </w:rPr>
              <w:t>Summary</w:t>
            </w:r>
          </w:hyperlink>
          <w:r>
            <w:rPr>
              <w:color w:val="231F20"/>
            </w:rPr>
            <w:tab/>
          </w:r>
          <w:r>
            <w:rPr>
              <w:b w:val="0"/>
              <w:color w:val="231F20"/>
            </w:rPr>
            <w:t>32</w:t>
          </w:r>
        </w:p>
        <w:p>
          <w:pPr>
            <w:pStyle w:val="TOC3"/>
            <w:tabs>
              <w:tab w:pos="6249" w:val="left" w:leader="none"/>
              <w:tab w:pos="10289" w:val="right" w:leader="none"/>
            </w:tabs>
            <w:spacing w:line="261" w:lineRule="auto"/>
            <w:rPr>
              <w:i w:val="0"/>
            </w:rPr>
          </w:pPr>
          <w:r>
            <w:rPr>
              <w:i/>
              <w:color w:val="231F20"/>
            </w:rPr>
            <w:t>Boxes:</w:t>
            <w:tab/>
          </w:r>
          <w:hyperlink w:history="true" w:anchor="_bookmark24">
            <w:r>
              <w:rPr>
                <w:i/>
                <w:color w:val="231F20"/>
              </w:rPr>
              <w:t>Bonuses, performance-related pay and </w:t>
            </w:r>
            <w:r>
              <w:rPr>
                <w:color w:val="231F20"/>
              </w:rPr>
              <w:t>the </w:t>
            </w:r>
            <w:r>
              <w:rPr>
                <w:color w:val="231F20"/>
                <w:spacing w:val="-4"/>
              </w:rPr>
              <w:t>Average</w:t>
            </w:r>
            <w:r>
              <w:rPr>
                <w:color w:val="231F20"/>
                <w:spacing w:val="-1"/>
              </w:rPr>
              <w:t> </w:t>
            </w:r>
            <w:r>
              <w:rPr>
                <w:color w:val="231F20"/>
              </w:rPr>
              <w:t>Earnings Index</w:t>
            </w:r>
          </w:hyperlink>
          <w:r>
            <w:rPr>
              <w:color w:val="231F20"/>
            </w:rPr>
            <w:tab/>
          </w:r>
          <w:r>
            <w:rPr>
              <w:i w:val="0"/>
              <w:color w:val="231F20"/>
            </w:rPr>
            <w:t>26</w:t>
          </w:r>
        </w:p>
        <w:p>
          <w:pPr>
            <w:pStyle w:val="TOC5"/>
            <w:rPr>
              <w:i/>
            </w:rPr>
          </w:pPr>
          <w:hyperlink w:history="true" w:anchor="_bookmark26">
            <w:r>
              <w:rPr>
                <w:i/>
                <w:color w:val="231F20"/>
              </w:rPr>
              <w:t>The National Minimum Wage and</w:t>
            </w:r>
          </w:hyperlink>
        </w:p>
        <w:p>
          <w:pPr>
            <w:pStyle w:val="TOC6"/>
            <w:tabs>
              <w:tab w:pos="10289" w:val="right" w:leader="none"/>
            </w:tabs>
            <w:rPr>
              <w:i w:val="0"/>
            </w:rPr>
          </w:pPr>
          <w:hyperlink w:history="true" w:anchor="_bookmark26">
            <w:r>
              <w:rPr>
                <w:i/>
                <w:color w:val="231F20"/>
              </w:rPr>
              <w:t>other labour</w:t>
            </w:r>
            <w:r>
              <w:rPr>
                <w:i/>
                <w:color w:val="231F20"/>
                <w:spacing w:val="-2"/>
              </w:rPr>
              <w:t> </w:t>
            </w:r>
            <w:r>
              <w:rPr>
                <w:i/>
                <w:color w:val="231F20"/>
              </w:rPr>
              <w:t>market reforms</w:t>
            </w:r>
          </w:hyperlink>
          <w:r>
            <w:rPr>
              <w:i/>
              <w:color w:val="231F20"/>
            </w:rPr>
            <w:tab/>
          </w:r>
          <w:r>
            <w:rPr>
              <w:i w:val="0"/>
              <w:color w:val="231F20"/>
            </w:rPr>
            <w:t>30</w:t>
          </w:r>
        </w:p>
      </w:sdtContent>
    </w:sdt>
    <w:p>
      <w:pPr>
        <w:spacing w:after="0"/>
        <w:sectPr>
          <w:footerReference w:type="default" r:id="rId8"/>
          <w:pgSz w:w="11900" w:h="16840"/>
          <w:pgMar w:footer="0" w:header="0" w:top="1200" w:bottom="280" w:left="620" w:right="640"/>
        </w:sectPr>
      </w:pPr>
    </w:p>
    <w:p>
      <w:pPr>
        <w:pStyle w:val="ListParagraph"/>
        <w:numPr>
          <w:ilvl w:val="0"/>
          <w:numId w:val="1"/>
        </w:numPr>
        <w:tabs>
          <w:tab w:pos="5379" w:val="left" w:leader="none"/>
          <w:tab w:pos="5380" w:val="left" w:leader="none"/>
          <w:tab w:pos="10039" w:val="left" w:leader="none"/>
        </w:tabs>
        <w:spacing w:line="240" w:lineRule="auto" w:before="73" w:after="55"/>
        <w:ind w:left="5379" w:right="0" w:hanging="380"/>
        <w:jc w:val="left"/>
        <w:rPr>
          <w:sz w:val="24"/>
        </w:rPr>
      </w:pPr>
      <w:hyperlink w:history="true" w:anchor="_bookmark30">
        <w:r>
          <w:rPr>
            <w:b/>
            <w:color w:val="0093C1"/>
            <w:sz w:val="24"/>
          </w:rPr>
          <w:t>Costs and prices</w:t>
        </w:r>
      </w:hyperlink>
      <w:r>
        <w:rPr>
          <w:b/>
          <w:color w:val="0093C1"/>
          <w:sz w:val="24"/>
        </w:rPr>
        <w:tab/>
      </w:r>
      <w:r>
        <w:rPr>
          <w:color w:val="231F20"/>
          <w:sz w:val="24"/>
        </w:rPr>
        <w:t>34</w:t>
      </w:r>
    </w:p>
    <w:tbl>
      <w:tblPr>
        <w:tblW w:w="0" w:type="auto"/>
        <w:jc w:val="left"/>
        <w:tblInd w:w="53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6"/>
        <w:gridCol w:w="3981"/>
        <w:gridCol w:w="461"/>
      </w:tblGrid>
      <w:tr>
        <w:trPr>
          <w:trHeight w:val="292" w:hRule="atLeast"/>
        </w:trPr>
        <w:tc>
          <w:tcPr>
            <w:tcW w:w="556" w:type="dxa"/>
          </w:tcPr>
          <w:p>
            <w:pPr>
              <w:pStyle w:val="TableParagraph"/>
              <w:spacing w:line="266" w:lineRule="exact"/>
              <w:ind w:left="50"/>
              <w:rPr>
                <w:b/>
                <w:sz w:val="24"/>
              </w:rPr>
            </w:pPr>
            <w:r>
              <w:rPr>
                <w:b/>
                <w:color w:val="231F20"/>
                <w:sz w:val="24"/>
              </w:rPr>
              <w:t>4.1</w:t>
            </w:r>
          </w:p>
        </w:tc>
        <w:tc>
          <w:tcPr>
            <w:tcW w:w="3981" w:type="dxa"/>
          </w:tcPr>
          <w:p>
            <w:pPr>
              <w:pStyle w:val="TableParagraph"/>
              <w:spacing w:line="266" w:lineRule="exact"/>
              <w:ind w:left="53"/>
              <w:rPr>
                <w:b/>
                <w:sz w:val="24"/>
              </w:rPr>
            </w:pPr>
            <w:hyperlink w:history="true" w:anchor="_bookmark30">
              <w:r>
                <w:rPr>
                  <w:b/>
                  <w:color w:val="231F20"/>
                  <w:sz w:val="24"/>
                </w:rPr>
                <w:t>Import prices and the exchange rate</w:t>
              </w:r>
            </w:hyperlink>
          </w:p>
        </w:tc>
        <w:tc>
          <w:tcPr>
            <w:tcW w:w="461" w:type="dxa"/>
          </w:tcPr>
          <w:p>
            <w:pPr>
              <w:pStyle w:val="TableParagraph"/>
              <w:spacing w:line="266" w:lineRule="exact"/>
              <w:ind w:right="47"/>
              <w:jc w:val="right"/>
              <w:rPr>
                <w:sz w:val="24"/>
              </w:rPr>
            </w:pPr>
            <w:r>
              <w:rPr>
                <w:color w:val="231F20"/>
                <w:sz w:val="24"/>
              </w:rPr>
              <w:t>34</w:t>
            </w:r>
          </w:p>
        </w:tc>
      </w:tr>
      <w:tr>
        <w:trPr>
          <w:trHeight w:val="319" w:hRule="atLeast"/>
        </w:trPr>
        <w:tc>
          <w:tcPr>
            <w:tcW w:w="556" w:type="dxa"/>
          </w:tcPr>
          <w:p>
            <w:pPr>
              <w:pStyle w:val="TableParagraph"/>
              <w:spacing w:before="17"/>
              <w:ind w:left="50"/>
              <w:rPr>
                <w:b/>
                <w:sz w:val="24"/>
              </w:rPr>
            </w:pPr>
            <w:r>
              <w:rPr>
                <w:b/>
                <w:color w:val="231F20"/>
                <w:sz w:val="24"/>
              </w:rPr>
              <w:t>4.2</w:t>
            </w:r>
          </w:p>
        </w:tc>
        <w:tc>
          <w:tcPr>
            <w:tcW w:w="3981" w:type="dxa"/>
          </w:tcPr>
          <w:p>
            <w:pPr>
              <w:pStyle w:val="TableParagraph"/>
              <w:spacing w:before="17"/>
              <w:ind w:left="53"/>
              <w:rPr>
                <w:b/>
                <w:sz w:val="24"/>
              </w:rPr>
            </w:pPr>
            <w:hyperlink w:history="true" w:anchor="_bookmark31">
              <w:r>
                <w:rPr>
                  <w:b/>
                  <w:color w:val="231F20"/>
                  <w:sz w:val="24"/>
                </w:rPr>
                <w:t>Raw material and commodity prices</w:t>
              </w:r>
            </w:hyperlink>
          </w:p>
        </w:tc>
        <w:tc>
          <w:tcPr>
            <w:tcW w:w="461" w:type="dxa"/>
          </w:tcPr>
          <w:p>
            <w:pPr>
              <w:pStyle w:val="TableParagraph"/>
              <w:spacing w:before="17"/>
              <w:ind w:right="47"/>
              <w:jc w:val="right"/>
              <w:rPr>
                <w:sz w:val="24"/>
              </w:rPr>
            </w:pPr>
            <w:r>
              <w:rPr>
                <w:color w:val="231F20"/>
                <w:sz w:val="24"/>
              </w:rPr>
              <w:t>35</w:t>
            </w:r>
          </w:p>
        </w:tc>
      </w:tr>
      <w:tr>
        <w:trPr>
          <w:trHeight w:val="319" w:hRule="atLeast"/>
        </w:trPr>
        <w:tc>
          <w:tcPr>
            <w:tcW w:w="556" w:type="dxa"/>
          </w:tcPr>
          <w:p>
            <w:pPr>
              <w:pStyle w:val="TableParagraph"/>
              <w:spacing w:before="17"/>
              <w:ind w:left="50"/>
              <w:rPr>
                <w:b/>
                <w:sz w:val="24"/>
              </w:rPr>
            </w:pPr>
            <w:r>
              <w:rPr>
                <w:b/>
                <w:color w:val="231F20"/>
                <w:sz w:val="24"/>
              </w:rPr>
              <w:t>4.3</w:t>
            </w:r>
          </w:p>
        </w:tc>
        <w:tc>
          <w:tcPr>
            <w:tcW w:w="3981" w:type="dxa"/>
          </w:tcPr>
          <w:p>
            <w:pPr>
              <w:pStyle w:val="TableParagraph"/>
              <w:spacing w:before="17"/>
              <w:ind w:left="53"/>
              <w:rPr>
                <w:b/>
                <w:sz w:val="24"/>
              </w:rPr>
            </w:pPr>
            <w:hyperlink w:history="true" w:anchor="_bookmark31">
              <w:r>
                <w:rPr>
                  <w:b/>
                  <w:color w:val="231F20"/>
                  <w:sz w:val="24"/>
                </w:rPr>
                <w:t>Costs and prices in the service sector</w:t>
              </w:r>
            </w:hyperlink>
          </w:p>
        </w:tc>
        <w:tc>
          <w:tcPr>
            <w:tcW w:w="461" w:type="dxa"/>
          </w:tcPr>
          <w:p>
            <w:pPr>
              <w:pStyle w:val="TableParagraph"/>
              <w:spacing w:before="17"/>
              <w:ind w:right="47"/>
              <w:jc w:val="right"/>
              <w:rPr>
                <w:sz w:val="24"/>
              </w:rPr>
            </w:pPr>
            <w:r>
              <w:rPr>
                <w:color w:val="231F20"/>
                <w:sz w:val="24"/>
              </w:rPr>
              <w:t>35</w:t>
            </w:r>
          </w:p>
        </w:tc>
      </w:tr>
      <w:tr>
        <w:trPr>
          <w:trHeight w:val="319" w:hRule="atLeast"/>
        </w:trPr>
        <w:tc>
          <w:tcPr>
            <w:tcW w:w="556" w:type="dxa"/>
          </w:tcPr>
          <w:p>
            <w:pPr>
              <w:pStyle w:val="TableParagraph"/>
              <w:spacing w:before="17"/>
              <w:ind w:left="50"/>
              <w:rPr>
                <w:b/>
                <w:sz w:val="24"/>
              </w:rPr>
            </w:pPr>
            <w:r>
              <w:rPr>
                <w:b/>
                <w:color w:val="231F20"/>
                <w:sz w:val="24"/>
              </w:rPr>
              <w:t>4.4</w:t>
            </w:r>
          </w:p>
        </w:tc>
        <w:tc>
          <w:tcPr>
            <w:tcW w:w="3981" w:type="dxa"/>
          </w:tcPr>
          <w:p>
            <w:pPr>
              <w:pStyle w:val="TableParagraph"/>
              <w:spacing w:before="17"/>
              <w:ind w:left="53"/>
              <w:rPr>
                <w:b/>
                <w:sz w:val="24"/>
              </w:rPr>
            </w:pPr>
            <w:hyperlink w:history="true" w:anchor="_bookmark32">
              <w:r>
                <w:rPr>
                  <w:b/>
                  <w:color w:val="231F20"/>
                  <w:sz w:val="24"/>
                </w:rPr>
                <w:t>Costs and prices in manufacturing</w:t>
              </w:r>
            </w:hyperlink>
          </w:p>
        </w:tc>
        <w:tc>
          <w:tcPr>
            <w:tcW w:w="461" w:type="dxa"/>
          </w:tcPr>
          <w:p>
            <w:pPr>
              <w:pStyle w:val="TableParagraph"/>
              <w:spacing w:before="17"/>
              <w:ind w:right="47"/>
              <w:jc w:val="right"/>
              <w:rPr>
                <w:sz w:val="24"/>
              </w:rPr>
            </w:pPr>
            <w:r>
              <w:rPr>
                <w:color w:val="231F20"/>
                <w:sz w:val="24"/>
              </w:rPr>
              <w:t>36</w:t>
            </w:r>
          </w:p>
        </w:tc>
      </w:tr>
      <w:tr>
        <w:trPr>
          <w:trHeight w:val="319" w:hRule="atLeast"/>
        </w:trPr>
        <w:tc>
          <w:tcPr>
            <w:tcW w:w="556" w:type="dxa"/>
          </w:tcPr>
          <w:p>
            <w:pPr>
              <w:pStyle w:val="TableParagraph"/>
              <w:spacing w:before="17"/>
              <w:ind w:left="50"/>
              <w:rPr>
                <w:b/>
                <w:sz w:val="24"/>
              </w:rPr>
            </w:pPr>
            <w:r>
              <w:rPr>
                <w:b/>
                <w:color w:val="231F20"/>
                <w:sz w:val="24"/>
              </w:rPr>
              <w:t>4.5</w:t>
            </w:r>
          </w:p>
        </w:tc>
        <w:tc>
          <w:tcPr>
            <w:tcW w:w="3981" w:type="dxa"/>
          </w:tcPr>
          <w:p>
            <w:pPr>
              <w:pStyle w:val="TableParagraph"/>
              <w:spacing w:before="17"/>
              <w:ind w:left="53"/>
              <w:rPr>
                <w:b/>
                <w:sz w:val="24"/>
              </w:rPr>
            </w:pPr>
            <w:hyperlink w:history="true" w:anchor="_bookmark33">
              <w:r>
                <w:rPr>
                  <w:b/>
                  <w:color w:val="231F20"/>
                  <w:sz w:val="24"/>
                </w:rPr>
                <w:t>Retail prices</w:t>
              </w:r>
            </w:hyperlink>
          </w:p>
        </w:tc>
        <w:tc>
          <w:tcPr>
            <w:tcW w:w="461" w:type="dxa"/>
          </w:tcPr>
          <w:p>
            <w:pPr>
              <w:pStyle w:val="TableParagraph"/>
              <w:spacing w:before="17"/>
              <w:ind w:right="47"/>
              <w:jc w:val="right"/>
              <w:rPr>
                <w:sz w:val="24"/>
              </w:rPr>
            </w:pPr>
            <w:r>
              <w:rPr>
                <w:color w:val="231F20"/>
                <w:sz w:val="24"/>
              </w:rPr>
              <w:t>37</w:t>
            </w:r>
          </w:p>
        </w:tc>
      </w:tr>
      <w:tr>
        <w:trPr>
          <w:trHeight w:val="319" w:hRule="atLeast"/>
        </w:trPr>
        <w:tc>
          <w:tcPr>
            <w:tcW w:w="556" w:type="dxa"/>
          </w:tcPr>
          <w:p>
            <w:pPr>
              <w:pStyle w:val="TableParagraph"/>
              <w:spacing w:before="17"/>
              <w:ind w:left="50"/>
              <w:rPr>
                <w:b/>
                <w:sz w:val="24"/>
              </w:rPr>
            </w:pPr>
            <w:r>
              <w:rPr>
                <w:b/>
                <w:color w:val="231F20"/>
                <w:sz w:val="24"/>
              </w:rPr>
              <w:t>4.6</w:t>
            </w:r>
          </w:p>
        </w:tc>
        <w:tc>
          <w:tcPr>
            <w:tcW w:w="3981" w:type="dxa"/>
          </w:tcPr>
          <w:p>
            <w:pPr>
              <w:pStyle w:val="TableParagraph"/>
              <w:spacing w:before="17"/>
              <w:ind w:left="53"/>
              <w:rPr>
                <w:b/>
                <w:sz w:val="24"/>
              </w:rPr>
            </w:pPr>
            <w:hyperlink w:history="true" w:anchor="_bookmark34">
              <w:r>
                <w:rPr>
                  <w:b/>
                  <w:color w:val="231F20"/>
                  <w:sz w:val="24"/>
                </w:rPr>
                <w:t>Other price indices</w:t>
              </w:r>
            </w:hyperlink>
          </w:p>
        </w:tc>
        <w:tc>
          <w:tcPr>
            <w:tcW w:w="461" w:type="dxa"/>
          </w:tcPr>
          <w:p>
            <w:pPr>
              <w:pStyle w:val="TableParagraph"/>
              <w:spacing w:before="17"/>
              <w:ind w:right="47"/>
              <w:jc w:val="right"/>
              <w:rPr>
                <w:sz w:val="24"/>
              </w:rPr>
            </w:pPr>
            <w:r>
              <w:rPr>
                <w:color w:val="231F20"/>
                <w:sz w:val="24"/>
              </w:rPr>
              <w:t>38</w:t>
            </w:r>
          </w:p>
        </w:tc>
      </w:tr>
      <w:tr>
        <w:trPr>
          <w:trHeight w:val="319" w:hRule="atLeast"/>
        </w:trPr>
        <w:tc>
          <w:tcPr>
            <w:tcW w:w="556" w:type="dxa"/>
          </w:tcPr>
          <w:p>
            <w:pPr>
              <w:pStyle w:val="TableParagraph"/>
              <w:spacing w:before="17"/>
              <w:ind w:left="50"/>
              <w:rPr>
                <w:b/>
                <w:sz w:val="24"/>
              </w:rPr>
            </w:pPr>
            <w:r>
              <w:rPr>
                <w:b/>
                <w:color w:val="231F20"/>
                <w:sz w:val="24"/>
              </w:rPr>
              <w:t>4.7</w:t>
            </w:r>
          </w:p>
        </w:tc>
        <w:tc>
          <w:tcPr>
            <w:tcW w:w="3981" w:type="dxa"/>
          </w:tcPr>
          <w:p>
            <w:pPr>
              <w:pStyle w:val="TableParagraph"/>
              <w:spacing w:before="17"/>
              <w:ind w:left="53"/>
              <w:rPr>
                <w:b/>
                <w:sz w:val="24"/>
              </w:rPr>
            </w:pPr>
            <w:hyperlink w:history="true" w:anchor="_bookmark34">
              <w:r>
                <w:rPr>
                  <w:b/>
                  <w:color w:val="231F20"/>
                  <w:sz w:val="24"/>
                </w:rPr>
                <w:t>Summary</w:t>
              </w:r>
            </w:hyperlink>
          </w:p>
        </w:tc>
        <w:tc>
          <w:tcPr>
            <w:tcW w:w="461" w:type="dxa"/>
          </w:tcPr>
          <w:p>
            <w:pPr>
              <w:pStyle w:val="TableParagraph"/>
              <w:spacing w:before="17"/>
              <w:ind w:right="47"/>
              <w:jc w:val="right"/>
              <w:rPr>
                <w:sz w:val="24"/>
              </w:rPr>
            </w:pPr>
            <w:r>
              <w:rPr>
                <w:color w:val="231F20"/>
                <w:sz w:val="24"/>
              </w:rPr>
              <w:t>38</w:t>
            </w:r>
          </w:p>
        </w:tc>
      </w:tr>
      <w:tr>
        <w:trPr>
          <w:trHeight w:val="292" w:hRule="atLeast"/>
        </w:trPr>
        <w:tc>
          <w:tcPr>
            <w:tcW w:w="556" w:type="dxa"/>
          </w:tcPr>
          <w:p>
            <w:pPr>
              <w:pStyle w:val="TableParagraph"/>
              <w:spacing w:line="256" w:lineRule="exact" w:before="17"/>
              <w:ind w:left="50"/>
              <w:rPr>
                <w:i/>
                <w:sz w:val="24"/>
              </w:rPr>
            </w:pPr>
            <w:r>
              <w:rPr>
                <w:i/>
                <w:color w:val="231F20"/>
                <w:sz w:val="24"/>
              </w:rPr>
              <w:t>Box:</w:t>
            </w:r>
          </w:p>
        </w:tc>
        <w:tc>
          <w:tcPr>
            <w:tcW w:w="3981" w:type="dxa"/>
          </w:tcPr>
          <w:p>
            <w:pPr>
              <w:pStyle w:val="TableParagraph"/>
              <w:spacing w:line="256" w:lineRule="exact" w:before="17"/>
              <w:ind w:left="354"/>
              <w:rPr>
                <w:i/>
                <w:sz w:val="24"/>
              </w:rPr>
            </w:pPr>
            <w:hyperlink w:history="true" w:anchor="_bookmark35">
              <w:r>
                <w:rPr>
                  <w:i/>
                  <w:color w:val="231F20"/>
                  <w:sz w:val="24"/>
                </w:rPr>
                <w:t>Domestically generated inflation</w:t>
              </w:r>
            </w:hyperlink>
          </w:p>
        </w:tc>
        <w:tc>
          <w:tcPr>
            <w:tcW w:w="461" w:type="dxa"/>
          </w:tcPr>
          <w:p>
            <w:pPr>
              <w:pStyle w:val="TableParagraph"/>
              <w:spacing w:line="256" w:lineRule="exact" w:before="17"/>
              <w:ind w:right="47"/>
              <w:jc w:val="right"/>
              <w:rPr>
                <w:sz w:val="24"/>
              </w:rPr>
            </w:pPr>
            <w:r>
              <w:rPr>
                <w:color w:val="231F20"/>
                <w:sz w:val="24"/>
              </w:rPr>
              <w:t>39</w:t>
            </w:r>
          </w:p>
        </w:tc>
      </w:tr>
    </w:tbl>
    <w:p>
      <w:pPr>
        <w:pStyle w:val="BodyText"/>
        <w:spacing w:before="7"/>
        <w:rPr>
          <w:sz w:val="31"/>
        </w:rPr>
      </w:pPr>
    </w:p>
    <w:p>
      <w:pPr>
        <w:pStyle w:val="ListParagraph"/>
        <w:numPr>
          <w:ilvl w:val="0"/>
          <w:numId w:val="1"/>
        </w:numPr>
        <w:tabs>
          <w:tab w:pos="5379" w:val="left" w:leader="none"/>
          <w:tab w:pos="5380" w:val="left" w:leader="none"/>
          <w:tab w:pos="10039" w:val="left" w:leader="none"/>
        </w:tabs>
        <w:spacing w:line="240" w:lineRule="auto" w:before="0" w:after="0"/>
        <w:ind w:left="5379" w:right="0" w:hanging="380"/>
        <w:jc w:val="left"/>
        <w:rPr>
          <w:sz w:val="24"/>
        </w:rPr>
      </w:pPr>
      <w:hyperlink w:history="true" w:anchor="_bookmark37">
        <w:r>
          <w:rPr>
            <w:b/>
            <w:color w:val="0093C1"/>
            <w:sz w:val="24"/>
          </w:rPr>
          <w:t>Monetary policy since the May</w:t>
        </w:r>
        <w:r>
          <w:rPr>
            <w:b/>
            <w:color w:val="0093C1"/>
            <w:spacing w:val="-1"/>
            <w:sz w:val="24"/>
          </w:rPr>
          <w:t> </w:t>
        </w:r>
        <w:r>
          <w:rPr>
            <w:b/>
            <w:i/>
            <w:color w:val="0093C1"/>
            <w:sz w:val="24"/>
          </w:rPr>
          <w:t>Report</w:t>
        </w:r>
      </w:hyperlink>
      <w:r>
        <w:rPr>
          <w:b/>
          <w:i/>
          <w:color w:val="0093C1"/>
          <w:sz w:val="24"/>
        </w:rPr>
        <w:tab/>
      </w:r>
      <w:r>
        <w:rPr>
          <w:color w:val="231F20"/>
          <w:sz w:val="24"/>
        </w:rPr>
        <w:t>41</w:t>
      </w:r>
    </w:p>
    <w:p>
      <w:pPr>
        <w:pStyle w:val="Heading3"/>
        <w:numPr>
          <w:ilvl w:val="0"/>
          <w:numId w:val="1"/>
        </w:numPr>
        <w:tabs>
          <w:tab w:pos="5379" w:val="left" w:leader="none"/>
          <w:tab w:pos="5380" w:val="left" w:leader="none"/>
          <w:tab w:pos="10039" w:val="left" w:leader="none"/>
        </w:tabs>
        <w:spacing w:line="240" w:lineRule="auto" w:before="364" w:after="0"/>
        <w:ind w:left="5379" w:right="0" w:hanging="380"/>
        <w:jc w:val="left"/>
        <w:rPr>
          <w:b w:val="0"/>
        </w:rPr>
      </w:pPr>
      <w:hyperlink w:history="true" w:anchor="_bookmark38">
        <w:r>
          <w:rPr>
            <w:color w:val="0093C1"/>
          </w:rPr>
          <w:t>Prospects</w:t>
        </w:r>
        <w:r>
          <w:rPr>
            <w:color w:val="0093C1"/>
            <w:spacing w:val="-3"/>
          </w:rPr>
          <w:t> </w:t>
        </w:r>
        <w:r>
          <w:rPr>
            <w:color w:val="0093C1"/>
          </w:rPr>
          <w:t>for</w:t>
        </w:r>
        <w:r>
          <w:rPr>
            <w:color w:val="0093C1"/>
            <w:spacing w:val="-3"/>
          </w:rPr>
          <w:t> </w:t>
        </w:r>
        <w:r>
          <w:rPr>
            <w:color w:val="0093C1"/>
          </w:rPr>
          <w:t>inflation</w:t>
        </w:r>
      </w:hyperlink>
      <w:r>
        <w:rPr>
          <w:color w:val="0093C1"/>
        </w:rPr>
        <w:tab/>
      </w:r>
      <w:r>
        <w:rPr>
          <w:b w:val="0"/>
          <w:color w:val="231F20"/>
        </w:rPr>
        <w:t>45</w:t>
      </w:r>
    </w:p>
    <w:p>
      <w:pPr>
        <w:pStyle w:val="Heading3"/>
        <w:numPr>
          <w:ilvl w:val="1"/>
          <w:numId w:val="1"/>
        </w:numPr>
        <w:tabs>
          <w:tab w:pos="5939" w:val="left" w:leader="none"/>
          <w:tab w:pos="5940" w:val="left" w:leader="none"/>
          <w:tab w:pos="10039" w:val="left" w:leader="none"/>
        </w:tabs>
        <w:spacing w:line="240" w:lineRule="auto" w:before="44" w:after="0"/>
        <w:ind w:left="5939" w:right="0" w:hanging="561"/>
        <w:jc w:val="left"/>
        <w:rPr>
          <w:b w:val="0"/>
        </w:rPr>
      </w:pPr>
      <w:hyperlink w:history="true" w:anchor="_bookmark38">
        <w:r>
          <w:rPr>
            <w:color w:val="231F20"/>
          </w:rPr>
          <w:t>The inflation</w:t>
        </w:r>
        <w:r>
          <w:rPr>
            <w:color w:val="231F20"/>
            <w:spacing w:val="-2"/>
          </w:rPr>
          <w:t> </w:t>
        </w:r>
        <w:r>
          <w:rPr>
            <w:color w:val="231F20"/>
          </w:rPr>
          <w:t>projection</w:t>
        </w:r>
        <w:r>
          <w:rPr>
            <w:color w:val="231F20"/>
            <w:spacing w:val="-1"/>
          </w:rPr>
          <w:t> </w:t>
        </w:r>
        <w:r>
          <w:rPr>
            <w:color w:val="231F20"/>
          </w:rPr>
          <w:t>assumptions</w:t>
        </w:r>
      </w:hyperlink>
      <w:r>
        <w:rPr>
          <w:color w:val="231F20"/>
        </w:rPr>
        <w:tab/>
      </w:r>
      <w:r>
        <w:rPr>
          <w:b w:val="0"/>
          <w:color w:val="231F20"/>
        </w:rPr>
        <w:t>45</w:t>
      </w:r>
    </w:p>
    <w:p>
      <w:pPr>
        <w:pStyle w:val="Heading3"/>
        <w:numPr>
          <w:ilvl w:val="1"/>
          <w:numId w:val="1"/>
        </w:numPr>
        <w:tabs>
          <w:tab w:pos="5939" w:val="left" w:leader="none"/>
          <w:tab w:pos="5940" w:val="left" w:leader="none"/>
          <w:tab w:pos="10039" w:val="left" w:leader="none"/>
        </w:tabs>
        <w:spacing w:line="240" w:lineRule="auto" w:before="44" w:after="0"/>
        <w:ind w:left="5939" w:right="0" w:hanging="561"/>
        <w:jc w:val="left"/>
        <w:rPr>
          <w:b w:val="0"/>
        </w:rPr>
      </w:pPr>
      <w:hyperlink w:history="true" w:anchor="_bookmark39">
        <w:r>
          <w:rPr>
            <w:color w:val="231F20"/>
          </w:rPr>
          <w:t>The medium-term</w:t>
        </w:r>
        <w:r>
          <w:rPr>
            <w:color w:val="231F20"/>
            <w:spacing w:val="-2"/>
          </w:rPr>
          <w:t> </w:t>
        </w:r>
        <w:r>
          <w:rPr>
            <w:color w:val="231F20"/>
          </w:rPr>
          <w:t>inflation</w:t>
        </w:r>
        <w:r>
          <w:rPr>
            <w:color w:val="231F20"/>
            <w:spacing w:val="-1"/>
          </w:rPr>
          <w:t> </w:t>
        </w:r>
        <w:r>
          <w:rPr>
            <w:color w:val="231F20"/>
          </w:rPr>
          <w:t>projection</w:t>
        </w:r>
      </w:hyperlink>
      <w:r>
        <w:rPr>
          <w:color w:val="231F20"/>
        </w:rPr>
        <w:tab/>
      </w:r>
      <w:r>
        <w:rPr>
          <w:b w:val="0"/>
          <w:color w:val="231F20"/>
        </w:rPr>
        <w:t>47</w:t>
      </w:r>
    </w:p>
    <w:p>
      <w:pPr>
        <w:pStyle w:val="Heading3"/>
        <w:numPr>
          <w:ilvl w:val="1"/>
          <w:numId w:val="1"/>
        </w:numPr>
        <w:tabs>
          <w:tab w:pos="5939" w:val="left" w:leader="none"/>
          <w:tab w:pos="5940" w:val="left" w:leader="none"/>
          <w:tab w:pos="10039" w:val="left" w:leader="none"/>
        </w:tabs>
        <w:spacing w:line="240" w:lineRule="auto" w:before="44" w:after="0"/>
        <w:ind w:left="5939" w:right="0" w:hanging="561"/>
        <w:jc w:val="left"/>
        <w:rPr>
          <w:b w:val="0"/>
        </w:rPr>
      </w:pPr>
      <w:hyperlink w:history="true" w:anchor="_bookmark40">
        <w:r>
          <w:rPr>
            <w:color w:val="231F20"/>
          </w:rPr>
          <w:t>Other</w:t>
        </w:r>
        <w:r>
          <w:rPr>
            <w:color w:val="231F20"/>
            <w:spacing w:val="-4"/>
          </w:rPr>
          <w:t> </w:t>
        </w:r>
        <w:r>
          <w:rPr>
            <w:color w:val="231F20"/>
          </w:rPr>
          <w:t>forecasts</w:t>
        </w:r>
      </w:hyperlink>
      <w:r>
        <w:rPr>
          <w:color w:val="231F20"/>
        </w:rPr>
        <w:tab/>
      </w:r>
      <w:r>
        <w:rPr>
          <w:b w:val="0"/>
          <w:color w:val="231F20"/>
        </w:rPr>
        <w:t>53</w:t>
      </w:r>
    </w:p>
    <w:p>
      <w:pPr>
        <w:pStyle w:val="Heading3"/>
        <w:tabs>
          <w:tab w:pos="10039" w:val="left" w:leader="none"/>
        </w:tabs>
        <w:spacing w:before="364"/>
        <w:ind w:left="5000"/>
        <w:rPr>
          <w:b w:val="0"/>
        </w:rPr>
      </w:pPr>
      <w:hyperlink w:history="true" w:anchor="_bookmark41">
        <w:r>
          <w:rPr>
            <w:color w:val="0093C1"/>
          </w:rPr>
          <w:t>Glossary and</w:t>
        </w:r>
        <w:r>
          <w:rPr>
            <w:color w:val="0093C1"/>
            <w:spacing w:val="-3"/>
          </w:rPr>
          <w:t> </w:t>
        </w:r>
        <w:r>
          <w:rPr>
            <w:color w:val="0093C1"/>
          </w:rPr>
          <w:t>other</w:t>
        </w:r>
        <w:r>
          <w:rPr>
            <w:color w:val="0093C1"/>
            <w:spacing w:val="-1"/>
          </w:rPr>
          <w:t> </w:t>
        </w:r>
        <w:r>
          <w:rPr>
            <w:color w:val="0093C1"/>
          </w:rPr>
          <w:t>information</w:t>
        </w:r>
      </w:hyperlink>
      <w:r>
        <w:rPr>
          <w:color w:val="0093C1"/>
        </w:rPr>
        <w:tab/>
      </w:r>
      <w:r>
        <w:rPr>
          <w:b w:val="0"/>
          <w:color w:val="231F20"/>
        </w:rPr>
        <w:t>54</w:t>
      </w:r>
    </w:p>
    <w:p>
      <w:pPr>
        <w:pStyle w:val="Heading3"/>
        <w:tabs>
          <w:tab w:pos="10039" w:val="left" w:leader="none"/>
        </w:tabs>
        <w:spacing w:line="278" w:lineRule="auto" w:before="364"/>
        <w:ind w:left="5979" w:right="359" w:hanging="980"/>
        <w:rPr>
          <w:b w:val="0"/>
        </w:rPr>
      </w:pPr>
      <w:hyperlink w:history="true" w:anchor="_bookmark42">
        <w:r>
          <w:rPr>
            <w:color w:val="0093C1"/>
          </w:rPr>
          <w:t>Annex:  Minutes of the Monetary Policy Committee</w:t>
        </w:r>
      </w:hyperlink>
      <w:r>
        <w:rPr>
          <w:color w:val="0093C1"/>
        </w:rPr>
        <w:tab/>
      </w:r>
      <w:r>
        <w:rPr>
          <w:b w:val="0"/>
          <w:color w:val="231F20"/>
          <w:spacing w:val="-9"/>
        </w:rPr>
        <w:t>55</w:t>
      </w:r>
    </w:p>
    <w:p>
      <w:pPr>
        <w:pStyle w:val="Heading3"/>
        <w:tabs>
          <w:tab w:pos="10039" w:val="left" w:leader="none"/>
        </w:tabs>
        <w:spacing w:line="276" w:lineRule="exact"/>
        <w:ind w:left="5940"/>
        <w:rPr>
          <w:b w:val="0"/>
        </w:rPr>
      </w:pPr>
      <w:hyperlink w:history="true" w:anchor="_bookmark44">
        <w:r>
          <w:rPr>
            <w:color w:val="231F20"/>
          </w:rPr>
          <w:t>May meeting</w:t>
        </w:r>
      </w:hyperlink>
      <w:r>
        <w:rPr>
          <w:color w:val="231F20"/>
        </w:rPr>
        <w:tab/>
      </w:r>
      <w:r>
        <w:rPr>
          <w:b w:val="0"/>
          <w:color w:val="231F20"/>
        </w:rPr>
        <w:t>57</w:t>
      </w:r>
    </w:p>
    <w:p>
      <w:pPr>
        <w:pStyle w:val="Heading3"/>
        <w:tabs>
          <w:tab w:pos="10039" w:val="left" w:leader="none"/>
        </w:tabs>
        <w:spacing w:before="44"/>
        <w:ind w:left="5940"/>
        <w:rPr>
          <w:b w:val="0"/>
        </w:rPr>
      </w:pPr>
      <w:hyperlink w:history="true" w:anchor="_bookmark46">
        <w:r>
          <w:rPr>
            <w:color w:val="231F20"/>
          </w:rPr>
          <w:t>June</w:t>
        </w:r>
        <w:r>
          <w:rPr>
            <w:color w:val="231F20"/>
            <w:spacing w:val="-2"/>
          </w:rPr>
          <w:t> </w:t>
        </w:r>
        <w:r>
          <w:rPr>
            <w:color w:val="231F20"/>
          </w:rPr>
          <w:t>meeting</w:t>
        </w:r>
      </w:hyperlink>
      <w:r>
        <w:rPr>
          <w:color w:val="231F20"/>
        </w:rPr>
        <w:tab/>
      </w:r>
      <w:r>
        <w:rPr>
          <w:b w:val="0"/>
          <w:color w:val="231F20"/>
        </w:rPr>
        <w:t>66</w:t>
      </w:r>
    </w:p>
    <w:p>
      <w:pPr>
        <w:pStyle w:val="Heading3"/>
        <w:tabs>
          <w:tab w:pos="10039" w:val="left" w:leader="none"/>
        </w:tabs>
        <w:spacing w:before="44"/>
        <w:ind w:left="5940"/>
        <w:rPr>
          <w:b w:val="0"/>
        </w:rPr>
      </w:pPr>
      <w:hyperlink w:history="true" w:anchor="_bookmark48">
        <w:r>
          <w:rPr>
            <w:color w:val="231F20"/>
          </w:rPr>
          <w:t>June</w:t>
        </w:r>
        <w:r>
          <w:rPr>
            <w:color w:val="231F20"/>
            <w:spacing w:val="-3"/>
          </w:rPr>
          <w:t> </w:t>
        </w:r>
        <w:r>
          <w:rPr>
            <w:color w:val="231F20"/>
          </w:rPr>
          <w:t>Press</w:t>
        </w:r>
        <w:r>
          <w:rPr>
            <w:color w:val="231F20"/>
            <w:spacing w:val="-2"/>
          </w:rPr>
          <w:t> </w:t>
        </w:r>
        <w:r>
          <w:rPr>
            <w:color w:val="231F20"/>
          </w:rPr>
          <w:t>Notice</w:t>
        </w:r>
      </w:hyperlink>
      <w:r>
        <w:rPr>
          <w:color w:val="231F20"/>
        </w:rPr>
        <w:tab/>
      </w:r>
      <w:r>
        <w:rPr>
          <w:b w:val="0"/>
          <w:color w:val="231F20"/>
        </w:rPr>
        <w:t>77</w:t>
      </w:r>
    </w:p>
    <w:p>
      <w:pPr>
        <w:pStyle w:val="Heading3"/>
        <w:tabs>
          <w:tab w:pos="10039" w:val="left" w:leader="none"/>
        </w:tabs>
        <w:spacing w:before="44"/>
        <w:ind w:left="5940"/>
        <w:rPr>
          <w:b w:val="0"/>
        </w:rPr>
      </w:pPr>
      <w:hyperlink w:history="true" w:anchor="_bookmark49">
        <w:r>
          <w:rPr>
            <w:color w:val="231F20"/>
          </w:rPr>
          <w:t>July</w:t>
        </w:r>
        <w:r>
          <w:rPr>
            <w:color w:val="231F20"/>
            <w:spacing w:val="-2"/>
          </w:rPr>
          <w:t> </w:t>
        </w:r>
        <w:r>
          <w:rPr>
            <w:color w:val="231F20"/>
          </w:rPr>
          <w:t>meeting</w:t>
        </w:r>
      </w:hyperlink>
      <w:r>
        <w:rPr>
          <w:color w:val="231F20"/>
        </w:rPr>
        <w:tab/>
      </w:r>
      <w:r>
        <w:rPr>
          <w:b w:val="0"/>
          <w:color w:val="231F20"/>
        </w:rPr>
        <w:t>78</w:t>
      </w:r>
    </w:p>
    <w:p>
      <w:pPr>
        <w:pStyle w:val="Heading3"/>
        <w:tabs>
          <w:tab w:pos="10039" w:val="left" w:leader="none"/>
        </w:tabs>
        <w:spacing w:before="44"/>
        <w:ind w:left="5940"/>
        <w:rPr>
          <w:b w:val="0"/>
        </w:rPr>
      </w:pPr>
      <w:hyperlink w:history="true" w:anchor="_bookmark51">
        <w:r>
          <w:rPr>
            <w:color w:val="231F20"/>
          </w:rPr>
          <w:t>July</w:t>
        </w:r>
        <w:r>
          <w:rPr>
            <w:color w:val="231F20"/>
            <w:spacing w:val="-3"/>
          </w:rPr>
          <w:t> </w:t>
        </w:r>
        <w:r>
          <w:rPr>
            <w:color w:val="231F20"/>
          </w:rPr>
          <w:t>Press</w:t>
        </w:r>
        <w:r>
          <w:rPr>
            <w:color w:val="231F20"/>
            <w:spacing w:val="-2"/>
          </w:rPr>
          <w:t> </w:t>
        </w:r>
        <w:r>
          <w:rPr>
            <w:color w:val="231F20"/>
          </w:rPr>
          <w:t>Notice</w:t>
        </w:r>
      </w:hyperlink>
      <w:r>
        <w:rPr>
          <w:color w:val="231F20"/>
        </w:rPr>
        <w:tab/>
      </w:r>
      <w:r>
        <w:rPr>
          <w:b w:val="0"/>
          <w:color w:val="231F20"/>
        </w:rPr>
        <w:t>87</w:t>
      </w:r>
    </w:p>
    <w:p>
      <w:pPr>
        <w:pStyle w:val="Heading3"/>
        <w:tabs>
          <w:tab w:pos="10039" w:val="left" w:leader="none"/>
        </w:tabs>
        <w:spacing w:before="44"/>
        <w:ind w:left="5940"/>
        <w:rPr>
          <w:b w:val="0"/>
        </w:rPr>
      </w:pPr>
      <w:hyperlink w:history="true" w:anchor="_bookmark52">
        <w:r>
          <w:rPr>
            <w:color w:val="231F20"/>
          </w:rPr>
          <w:t>August</w:t>
        </w:r>
        <w:r>
          <w:rPr>
            <w:color w:val="231F20"/>
            <w:spacing w:val="-4"/>
          </w:rPr>
          <w:t> </w:t>
        </w:r>
        <w:r>
          <w:rPr>
            <w:color w:val="231F20"/>
          </w:rPr>
          <w:t>Press</w:t>
        </w:r>
        <w:r>
          <w:rPr>
            <w:color w:val="231F20"/>
            <w:spacing w:val="-4"/>
          </w:rPr>
          <w:t> </w:t>
        </w:r>
        <w:r>
          <w:rPr>
            <w:color w:val="231F20"/>
          </w:rPr>
          <w:t>Notice</w:t>
        </w:r>
      </w:hyperlink>
      <w:r>
        <w:rPr>
          <w:color w:val="231F20"/>
        </w:rPr>
        <w:tab/>
      </w:r>
      <w:r>
        <w:rPr>
          <w:b w:val="0"/>
          <w:color w:val="231F20"/>
        </w:rPr>
        <w:t>88</w:t>
      </w:r>
    </w:p>
    <w:p>
      <w:pPr>
        <w:spacing w:after="0"/>
        <w:sectPr>
          <w:footerReference w:type="even" r:id="rId9"/>
          <w:pgSz w:w="11900" w:h="16840"/>
          <w:pgMar w:footer="0" w:header="0" w:top="980" w:bottom="280" w:left="620" w:right="64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4"/>
        <w:rPr>
          <w:sz w:val="32"/>
        </w:rPr>
      </w:pPr>
    </w:p>
    <w:p>
      <w:pPr>
        <w:pStyle w:val="Heading8"/>
        <w:spacing w:before="0"/>
        <w:ind w:left="189"/>
      </w:pPr>
      <w:r>
        <w:rPr/>
        <w:pict>
          <v:shape style="position:absolute;margin-left:39.619999pt;margin-top:-82.654053pt;width:517pt;height:47.5pt;mso-position-horizontal-relative:page;mso-position-vertical-relative:paragraph;z-index:15756288" type="#_x0000_t202" filled="true" fillcolor="#b5dad6" stroked="false">
            <v:textbox inset="0,0,0,0">
              <w:txbxContent>
                <w:p>
                  <w:pPr>
                    <w:tabs>
                      <w:tab w:pos="10099" w:val="right" w:leader="none"/>
                    </w:tabs>
                    <w:spacing w:before="51"/>
                    <w:ind w:left="260" w:right="0" w:firstLine="0"/>
                    <w:jc w:val="left"/>
                    <w:rPr>
                      <w:b/>
                      <w:sz w:val="72"/>
                    </w:rPr>
                  </w:pPr>
                  <w:r>
                    <w:rPr>
                      <w:b/>
                      <w:color w:val="009483"/>
                      <w:sz w:val="48"/>
                    </w:rPr>
                    <w:t>Money and</w:t>
                  </w:r>
                  <w:r>
                    <w:rPr>
                      <w:b/>
                      <w:color w:val="009483"/>
                      <w:spacing w:val="-2"/>
                      <w:sz w:val="48"/>
                    </w:rPr>
                    <w:t> </w:t>
                  </w:r>
                  <w:r>
                    <w:rPr>
                      <w:b/>
                      <w:color w:val="009483"/>
                      <w:sz w:val="48"/>
                    </w:rPr>
                    <w:t>financial markets</w:t>
                    <w:tab/>
                  </w:r>
                  <w:r>
                    <w:rPr>
                      <w:b/>
                      <w:color w:val="009483"/>
                      <w:sz w:val="72"/>
                    </w:rPr>
                    <w:t>1</w:t>
                  </w:r>
                </w:p>
              </w:txbxContent>
            </v:textbox>
            <v:fill type="solid"/>
            <w10:wrap type="none"/>
          </v:shape>
        </w:pict>
      </w:r>
      <w:bookmarkStart w:name="Money and financial markets" w:id="4"/>
      <w:bookmarkEnd w:id="4"/>
      <w:r>
        <w:rPr>
          <w:b w:val="0"/>
        </w:rPr>
      </w:r>
      <w:bookmarkStart w:name="Money" w:id="5"/>
      <w:bookmarkEnd w:id="5"/>
      <w:r>
        <w:rPr>
          <w:b w:val="0"/>
        </w:rPr>
      </w:r>
      <w:bookmarkStart w:name="_bookmark0" w:id="6"/>
      <w:bookmarkEnd w:id="6"/>
      <w:r>
        <w:rPr>
          <w:b w:val="0"/>
        </w:rPr>
      </w:r>
      <w:bookmarkStart w:name="_bookmark1" w:id="7"/>
      <w:bookmarkEnd w:id="7"/>
      <w:r>
        <w:rPr>
          <w:b w:val="0"/>
        </w:rPr>
      </w:r>
      <w:r>
        <w:rPr>
          <w:color w:val="0093C1"/>
        </w:rPr>
        <w:t>Chart 1.1</w:t>
      </w:r>
    </w:p>
    <w:p>
      <w:pPr>
        <w:spacing w:before="10"/>
        <w:ind w:left="189" w:right="0" w:firstLine="0"/>
        <w:jc w:val="left"/>
        <w:rPr>
          <w:b/>
          <w:sz w:val="20"/>
        </w:rPr>
      </w:pPr>
      <w:r>
        <w:rPr>
          <w:b/>
          <w:color w:val="0093C1"/>
          <w:sz w:val="20"/>
        </w:rPr>
        <w:t>Growth of M4 and M4 lending</w:t>
      </w:r>
    </w:p>
    <w:p>
      <w:pPr>
        <w:spacing w:line="136" w:lineRule="exact" w:before="112"/>
        <w:ind w:left="1865" w:right="0" w:firstLine="0"/>
        <w:jc w:val="left"/>
        <w:rPr>
          <w:sz w:val="12"/>
        </w:rPr>
      </w:pPr>
      <w:r>
        <w:rPr>
          <w:sz w:val="12"/>
        </w:rPr>
        <w:t>Percentage changes on a year earlier</w:t>
      </w:r>
    </w:p>
    <w:p>
      <w:pPr>
        <w:spacing w:line="136" w:lineRule="exact" w:before="0"/>
        <w:ind w:left="3649" w:right="0" w:firstLine="0"/>
        <w:jc w:val="left"/>
        <w:rPr>
          <w:sz w:val="12"/>
        </w:rPr>
      </w:pPr>
      <w:r>
        <w:rPr/>
        <w:pict>
          <v:group style="position:absolute;margin-left:42.908001pt;margin-top:2.485352pt;width:158.050pt;height:114pt;mso-position-horizontal-relative:page;mso-position-vertical-relative:paragraph;z-index:15746048" coordorigin="858,50" coordsize="3161,2280">
            <v:shape style="position:absolute;left:858;top:59;width:80;height:2000" coordorigin="858,60" coordsize="80,2000" path="m938,2060l858,2060m938,1560l858,1560m938,1060l858,1060m938,560l858,560m938,60l858,60e" filled="false" stroked="true" strokeweight=".5pt" strokecolor="#000000">
              <v:path arrowok="t"/>
              <v:stroke dashstyle="solid"/>
            </v:shape>
            <v:shape style="position:absolute;left:1009;top:59;width:3000;height:2260" coordorigin="1009,60" coordsize="3000,2260" path="m1009,1600l1049,1640,1089,1660,1129,1700,1149,1820,1189,1780,1229,1700,1269,1760,1309,1840,1349,1700,1389,1960,1429,2140,1469,2220,1509,2240,1549,2240,1589,2260,1629,2220,1669,2320,1709,2280,1789,2240,1829,2160,1869,1980,1909,1920,1949,1760,2029,1640,2049,1640,2089,1740,2129,1700,2169,1840,2209,1860,2249,1780,2289,1980,2329,1920,2369,1880,2409,1920,2449,1860,2489,1680,2529,1600,2569,1440,2609,1340,2649,1000,2689,940,2729,960,2769,780,2789,740,2849,580,2889,400,2909,580,2949,600,2989,560,3029,600,3069,580,3109,780,3189,540,3229,400,3269,340,3309,640,3349,560,3389,280,3429,280,3469,420,3509,200,3549,140,3589,60,3629,160,3669,160,3689,340,3749,400,3789,140,3809,400,3849,480,3889,660,3929,500,3969,760,4009,800e" filled="false" stroked="true" strokeweight="1pt" strokecolor="#ed1b2d">
              <v:path arrowok="t"/>
              <v:stroke dashstyle="solid"/>
            </v:shape>
            <v:shape style="position:absolute;left:1009;top:539;width:3000;height:1740" coordorigin="1009,540" coordsize="3000,1740" path="m1009,1540l1049,1660,1089,1760,1129,1740,1149,1760,1189,1700,1229,1700,1269,1760,1309,1860,1349,1740,1389,1960,1429,2040,1469,2020,1549,2060,1589,2140,1629,2160,1669,2240,1709,2280,1749,2260,1789,2220,1829,2280,1869,2240,1909,2180,1949,2260,1989,2280,2029,2220,2089,2280,2129,2180,2209,2140,2249,2060,2289,2080,2329,1860,2369,1780,2409,1640,2449,1560,2489,1360,2529,1180,2569,1060,2609,1160,2649,960,2689,980,2729,960,2769,800,2789,960,2849,800,2889,780,2909,740,2949,840,2989,880,3029,880,3069,740,3109,800,3149,700,3189,740,3229,660,3269,540,3309,920,3349,780,3389,780,3429,800,3469,840,3509,700,3549,680,3629,880,3669,880,3689,1100,3749,1060,3789,800,3809,980,3849,840,3889,960,3929,860,3969,1000,4009,1160e" filled="false" stroked="true" strokeweight="1pt" strokecolor="#faab54">
              <v:path arrowok="t"/>
              <v:stroke dashstyle="solid"/>
            </v:shape>
            <v:shape style="position:absolute;left:2759;top:202;width:187;height:133" type="#_x0000_t202" filled="false" stroked="false">
              <v:textbox inset="0,0,0,0">
                <w:txbxContent>
                  <w:p>
                    <w:pPr>
                      <w:spacing w:line="133" w:lineRule="exact" w:before="0"/>
                      <w:ind w:left="0" w:right="0" w:firstLine="0"/>
                      <w:jc w:val="left"/>
                      <w:rPr>
                        <w:sz w:val="12"/>
                      </w:rPr>
                    </w:pPr>
                    <w:r>
                      <w:rPr>
                        <w:sz w:val="12"/>
                      </w:rPr>
                      <w:t>M4</w:t>
                    </w:r>
                  </w:p>
                </w:txbxContent>
              </v:textbox>
              <w10:wrap type="none"/>
            </v:shape>
            <v:shape style="position:absolute;left:3359;top:1082;width:577;height:133" type="#_x0000_t202" filled="false" stroked="false">
              <v:textbox inset="0,0,0,0">
                <w:txbxContent>
                  <w:p>
                    <w:pPr>
                      <w:spacing w:line="133" w:lineRule="exact" w:before="0"/>
                      <w:ind w:left="0" w:right="0" w:firstLine="0"/>
                      <w:jc w:val="left"/>
                      <w:rPr>
                        <w:sz w:val="12"/>
                      </w:rPr>
                    </w:pPr>
                    <w:r>
                      <w:rPr>
                        <w:sz w:val="12"/>
                      </w:rPr>
                      <w:t>M4 lending</w:t>
                    </w:r>
                  </w:p>
                </w:txbxContent>
              </v:textbox>
              <w10:wrap type="none"/>
            </v:shape>
            <w10:wrap type="none"/>
          </v:group>
        </w:pict>
      </w:r>
      <w:r>
        <w:rPr/>
        <w:pict>
          <v:line style="position:absolute;mso-position-horizontal-relative:page;mso-position-vertical-relative:paragraph;z-index:15749632" from="211.449997pt,2.985352pt" to="206.449997pt,2.985352pt" stroked="true" strokeweight=".5pt" strokecolor="#000000">
            <v:stroke dashstyle="solid"/>
            <w10:wrap type="none"/>
          </v:line>
        </w:pict>
      </w:r>
      <w:r>
        <w:rPr>
          <w:sz w:val="12"/>
        </w:rPr>
        <w:t>12</w:t>
      </w:r>
    </w:p>
    <w:p>
      <w:pPr>
        <w:pStyle w:val="BodyText"/>
        <w:rPr>
          <w:sz w:val="12"/>
        </w:rPr>
      </w:pPr>
    </w:p>
    <w:p>
      <w:pPr>
        <w:pStyle w:val="BodyText"/>
        <w:rPr>
          <w:sz w:val="12"/>
        </w:rPr>
      </w:pPr>
    </w:p>
    <w:p>
      <w:pPr>
        <w:spacing w:before="86"/>
        <w:ind w:left="0" w:right="307" w:firstLine="0"/>
        <w:jc w:val="right"/>
        <w:rPr>
          <w:sz w:val="12"/>
        </w:rPr>
      </w:pPr>
      <w:r>
        <w:rPr/>
        <w:pict>
          <v:line style="position:absolute;mso-position-horizontal-relative:page;mso-position-vertical-relative:paragraph;z-index:15749120" from="211.449997pt,7.401563pt" to="206.449997pt,7.401563pt" stroked="true" strokeweight=".5pt" strokecolor="#000000">
            <v:stroke dashstyle="solid"/>
            <w10:wrap type="none"/>
          </v:line>
        </w:pict>
      </w:r>
      <w:r>
        <w:rPr>
          <w:sz w:val="12"/>
        </w:rPr>
        <w:t>10</w:t>
      </w:r>
    </w:p>
    <w:p>
      <w:pPr>
        <w:pStyle w:val="BodyText"/>
        <w:rPr>
          <w:sz w:val="12"/>
        </w:rPr>
      </w:pPr>
    </w:p>
    <w:p>
      <w:pPr>
        <w:pStyle w:val="BodyText"/>
        <w:rPr>
          <w:sz w:val="12"/>
        </w:rPr>
      </w:pPr>
    </w:p>
    <w:p>
      <w:pPr>
        <w:spacing w:before="86"/>
        <w:ind w:left="0" w:right="307" w:firstLine="0"/>
        <w:jc w:val="right"/>
        <w:rPr>
          <w:sz w:val="12"/>
        </w:rPr>
      </w:pPr>
      <w:r>
        <w:rPr/>
        <w:pict>
          <v:line style="position:absolute;mso-position-horizontal-relative:page;mso-position-vertical-relative:paragraph;z-index:15748608" from="211.449997pt,7.401563pt" to="206.449997pt,7.401563pt" stroked="true" strokeweight=".5pt" strokecolor="#000000">
            <v:stroke dashstyle="solid"/>
            <w10:wrap type="none"/>
          </v:line>
        </w:pict>
      </w:r>
      <w:r>
        <w:rPr>
          <w:sz w:val="12"/>
        </w:rPr>
        <w:t>8</w:t>
      </w:r>
    </w:p>
    <w:p>
      <w:pPr>
        <w:pStyle w:val="BodyText"/>
        <w:rPr>
          <w:sz w:val="12"/>
        </w:rPr>
      </w:pPr>
    </w:p>
    <w:p>
      <w:pPr>
        <w:pStyle w:val="BodyText"/>
        <w:rPr>
          <w:sz w:val="12"/>
        </w:rPr>
      </w:pPr>
    </w:p>
    <w:p>
      <w:pPr>
        <w:spacing w:before="86"/>
        <w:ind w:left="0" w:right="307" w:firstLine="0"/>
        <w:jc w:val="right"/>
        <w:rPr>
          <w:sz w:val="12"/>
        </w:rPr>
      </w:pPr>
      <w:r>
        <w:rPr/>
        <w:pict>
          <v:line style="position:absolute;mso-position-horizontal-relative:page;mso-position-vertical-relative:paragraph;z-index:15748096" from="211.449997pt,7.401563pt" to="206.449997pt,7.401563pt" stroked="true" strokeweight=".5pt" strokecolor="#000000">
            <v:stroke dashstyle="solid"/>
            <w10:wrap type="none"/>
          </v:line>
        </w:pict>
      </w:r>
      <w:r>
        <w:rPr>
          <w:sz w:val="12"/>
        </w:rPr>
        <w:t>6</w:t>
      </w:r>
    </w:p>
    <w:p>
      <w:pPr>
        <w:pStyle w:val="BodyText"/>
        <w:rPr>
          <w:sz w:val="12"/>
        </w:rPr>
      </w:pPr>
    </w:p>
    <w:p>
      <w:pPr>
        <w:pStyle w:val="BodyText"/>
        <w:rPr>
          <w:sz w:val="12"/>
        </w:rPr>
      </w:pPr>
    </w:p>
    <w:p>
      <w:pPr>
        <w:spacing w:before="86"/>
        <w:ind w:left="0" w:right="307" w:firstLine="0"/>
        <w:jc w:val="right"/>
        <w:rPr>
          <w:sz w:val="12"/>
        </w:rPr>
      </w:pPr>
      <w:r>
        <w:rPr/>
        <w:pict>
          <v:line style="position:absolute;mso-position-horizontal-relative:page;mso-position-vertical-relative:paragraph;z-index:15747584" from="211.449997pt,7.401563pt" to="206.449997pt,7.401563pt" stroked="true" strokeweight=".5pt" strokecolor="#000000">
            <v:stroke dashstyle="solid"/>
            <w10:wrap type="none"/>
          </v:line>
        </w:pict>
      </w:r>
      <w:r>
        <w:rPr>
          <w:sz w:val="12"/>
        </w:rPr>
        <w:t>4</w:t>
      </w:r>
    </w:p>
    <w:p>
      <w:pPr>
        <w:pStyle w:val="BodyText"/>
        <w:rPr>
          <w:sz w:val="12"/>
        </w:rPr>
      </w:pPr>
    </w:p>
    <w:p>
      <w:pPr>
        <w:pStyle w:val="BodyText"/>
        <w:rPr>
          <w:sz w:val="12"/>
        </w:rPr>
      </w:pPr>
    </w:p>
    <w:p>
      <w:pPr>
        <w:spacing w:before="86"/>
        <w:ind w:left="0" w:right="307" w:firstLine="0"/>
        <w:jc w:val="right"/>
        <w:rPr>
          <w:sz w:val="12"/>
        </w:rPr>
      </w:pPr>
      <w:r>
        <w:rPr/>
        <w:pict>
          <v:line style="position:absolute;mso-position-horizontal-relative:page;mso-position-vertical-relative:paragraph;z-index:15744512" from="46.908001pt,7.401563pt" to="42.908001pt,7.401563pt" stroked="true" strokeweight=".5pt" strokecolor="#000000">
            <v:stroke dashstyle="solid"/>
            <w10:wrap type="none"/>
          </v:line>
        </w:pict>
      </w:r>
      <w:r>
        <w:rPr/>
        <w:pict>
          <v:line style="position:absolute;mso-position-horizontal-relative:page;mso-position-vertical-relative:paragraph;z-index:15747072" from="211.449997pt,7.401563pt" to="206.449997pt,7.401563pt" stroked="true" strokeweight=".5pt" strokecolor="#000000">
            <v:stroke dashstyle="solid"/>
            <w10:wrap type="none"/>
          </v:line>
        </w:pict>
      </w:r>
      <w:r>
        <w:rPr>
          <w:sz w:val="12"/>
        </w:rPr>
        <w:t>2</w:t>
      </w:r>
    </w:p>
    <w:p>
      <w:pPr>
        <w:pStyle w:val="BodyText"/>
        <w:rPr>
          <w:sz w:val="12"/>
        </w:rPr>
      </w:pPr>
    </w:p>
    <w:p>
      <w:pPr>
        <w:pStyle w:val="BodyText"/>
        <w:rPr>
          <w:sz w:val="12"/>
        </w:rPr>
      </w:pPr>
    </w:p>
    <w:p>
      <w:pPr>
        <w:spacing w:line="129" w:lineRule="exact" w:before="86"/>
        <w:ind w:left="3709" w:right="0" w:firstLine="0"/>
        <w:jc w:val="left"/>
        <w:rPr>
          <w:sz w:val="12"/>
        </w:rPr>
      </w:pPr>
      <w:r>
        <w:rPr/>
        <w:pict>
          <v:shape style="position:absolute;margin-left:42.908001pt;margin-top:2.401562pt;width:157.550pt;height:5pt;mso-position-horizontal-relative:page;mso-position-vertical-relative:paragraph;z-index:15744000" coordorigin="858,48" coordsize="3151,100" path="m3809,148l3809,48m3349,148l3349,48m2869,148l2869,48m2409,148l2409,48m1929,148l1929,48m1469,148l1469,48m1009,148l1009,48m938,148l858,148m1009,148l4009,148m1124,148l1124,108m1239,148l1239,108m1354,148l1354,108m1584,148l1584,108m1699,148l1699,108m1814,148l1814,108m2049,148l2049,108m2169,148l2169,108m2289,148l2289,108m2524,148l2524,108m2639,148l2639,108m2754,148l2754,108m2989,148l2989,108m3109,148l3109,108m3229,148l3229,108m3464,148l3464,108m3579,148l3579,108m3694,148l3694,108m3929,148l3929,108e" filled="false" stroked="true" strokeweight=".5pt" strokecolor="#000000">
            <v:path arrowok="t"/>
            <v:stroke dashstyle="solid"/>
            <w10:wrap type="none"/>
          </v:shape>
        </w:pict>
      </w:r>
      <w:r>
        <w:rPr/>
        <w:pict>
          <v:line style="position:absolute;mso-position-horizontal-relative:page;mso-position-vertical-relative:paragraph;z-index:15746560" from="211.449997pt,7.401563pt" to="206.449997pt,7.401563pt" stroked="true" strokeweight=".5pt" strokecolor="#000000">
            <v:stroke dashstyle="solid"/>
            <w10:wrap type="none"/>
          </v:line>
        </w:pict>
      </w:r>
      <w:r>
        <w:rPr>
          <w:sz w:val="12"/>
        </w:rPr>
        <w:t>0</w:t>
      </w:r>
    </w:p>
    <w:p>
      <w:pPr>
        <w:tabs>
          <w:tab w:pos="1018" w:val="left" w:leader="none"/>
          <w:tab w:pos="1498" w:val="left" w:leader="none"/>
          <w:tab w:pos="1958" w:val="left" w:leader="none"/>
          <w:tab w:pos="2438" w:val="left" w:leader="none"/>
          <w:tab w:pos="2898" w:val="left" w:leader="none"/>
          <w:tab w:pos="3238" w:val="left" w:leader="none"/>
        </w:tabs>
        <w:spacing w:line="129" w:lineRule="exact" w:before="0"/>
        <w:ind w:left="465" w:right="0" w:firstLine="0"/>
        <w:jc w:val="left"/>
        <w:rPr>
          <w:sz w:val="12"/>
        </w:rPr>
      </w:pPr>
      <w:r>
        <w:rPr>
          <w:sz w:val="12"/>
        </w:rPr>
        <w:t>1992</w:t>
        <w:tab/>
        <w:t>93</w:t>
        <w:tab/>
        <w:t>94</w:t>
        <w:tab/>
        <w:t>95</w:t>
        <w:tab/>
        <w:t>96</w:t>
        <w:tab/>
        <w:t>97</w:t>
        <w:tab/>
        <w:t>98</w:t>
      </w:r>
    </w:p>
    <w:p>
      <w:pPr>
        <w:spacing w:before="36"/>
        <w:ind w:left="179" w:right="0" w:firstLine="0"/>
        <w:jc w:val="left"/>
        <w:rPr>
          <w:sz w:val="12"/>
        </w:rPr>
      </w:pPr>
      <w:r>
        <w:rPr>
          <w:color w:val="231F20"/>
          <w:sz w:val="12"/>
        </w:rPr>
        <w:t>Source: Bank of England.</w:t>
      </w:r>
    </w:p>
    <w:p>
      <w:pPr>
        <w:pStyle w:val="BodyText"/>
        <w:rPr>
          <w:sz w:val="12"/>
        </w:rPr>
      </w:pPr>
    </w:p>
    <w:p>
      <w:pPr>
        <w:pStyle w:val="BodyText"/>
        <w:rPr>
          <w:sz w:val="10"/>
        </w:rPr>
      </w:pPr>
    </w:p>
    <w:p>
      <w:pPr>
        <w:pStyle w:val="Heading8"/>
        <w:spacing w:before="0"/>
        <w:ind w:left="184"/>
      </w:pPr>
      <w:r>
        <w:rPr>
          <w:color w:val="0093C1"/>
        </w:rPr>
        <w:t>Table 1.A</w:t>
      </w:r>
    </w:p>
    <w:p>
      <w:pPr>
        <w:spacing w:before="10"/>
        <w:ind w:left="184" w:right="0" w:firstLine="0"/>
        <w:jc w:val="left"/>
        <w:rPr>
          <w:sz w:val="12"/>
        </w:rPr>
      </w:pPr>
      <w:r>
        <w:rPr>
          <w:b/>
          <w:color w:val="0093C1"/>
          <w:sz w:val="20"/>
        </w:rPr>
        <w:t>Growth rates of M4 and M4 lending</w:t>
      </w:r>
      <w:r>
        <w:rPr>
          <w:color w:val="231F20"/>
          <w:position w:val="4"/>
          <w:sz w:val="12"/>
        </w:rPr>
        <w:t>(a)</w:t>
      </w:r>
    </w:p>
    <w:p>
      <w:pPr>
        <w:spacing w:before="106"/>
        <w:ind w:left="184" w:right="0" w:firstLine="0"/>
        <w:jc w:val="left"/>
        <w:rPr>
          <w:sz w:val="14"/>
        </w:rPr>
      </w:pPr>
      <w:r>
        <w:rPr/>
        <w:pict>
          <v:shape style="position:absolute;margin-left:37.700001pt;margin-top:19.597374pt;width:216.4pt;height:63.8pt;mso-position-horizontal-relative:page;mso-position-vertical-relative:paragraph;z-index:1575680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23"/>
                    <w:gridCol w:w="664"/>
                    <w:gridCol w:w="835"/>
                    <w:gridCol w:w="810"/>
                    <w:gridCol w:w="696"/>
                  </w:tblGrid>
                  <w:tr>
                    <w:trPr>
                      <w:trHeight w:val="217" w:hRule="atLeast"/>
                    </w:trPr>
                    <w:tc>
                      <w:tcPr>
                        <w:tcW w:w="1323" w:type="dxa"/>
                      </w:tcPr>
                      <w:p>
                        <w:pPr>
                          <w:pStyle w:val="TableParagraph"/>
                          <w:rPr>
                            <w:sz w:val="14"/>
                          </w:rPr>
                        </w:pPr>
                      </w:p>
                    </w:tc>
                    <w:tc>
                      <w:tcPr>
                        <w:tcW w:w="664" w:type="dxa"/>
                      </w:tcPr>
                      <w:p>
                        <w:pPr>
                          <w:pStyle w:val="TableParagraph"/>
                          <w:spacing w:line="155" w:lineRule="exact"/>
                          <w:ind w:left="96" w:right="64"/>
                          <w:jc w:val="center"/>
                          <w:rPr>
                            <w:sz w:val="14"/>
                          </w:rPr>
                        </w:pPr>
                        <w:r>
                          <w:rPr>
                            <w:color w:val="231F20"/>
                            <w:sz w:val="14"/>
                            <w:u w:val="single" w:color="231F20"/>
                          </w:rPr>
                          <w:t>1 month</w:t>
                        </w:r>
                      </w:p>
                    </w:tc>
                    <w:tc>
                      <w:tcPr>
                        <w:tcW w:w="835" w:type="dxa"/>
                      </w:tcPr>
                      <w:p>
                        <w:pPr>
                          <w:pStyle w:val="TableParagraph"/>
                          <w:spacing w:line="155" w:lineRule="exact"/>
                          <w:ind w:left="62" w:right="40"/>
                          <w:jc w:val="center"/>
                          <w:rPr>
                            <w:sz w:val="12"/>
                          </w:rPr>
                        </w:pPr>
                        <w:r>
                          <w:rPr>
                            <w:color w:val="231F20"/>
                            <w:sz w:val="14"/>
                            <w:u w:val="single" w:color="231F20"/>
                          </w:rPr>
                          <w:t>3 months </w:t>
                        </w:r>
                        <w:r>
                          <w:rPr>
                            <w:color w:val="231F20"/>
                            <w:sz w:val="12"/>
                            <w:u w:val="single" w:color="231F20"/>
                          </w:rPr>
                          <w:t>(b</w:t>
                        </w:r>
                        <w:r>
                          <w:rPr>
                            <w:color w:val="231F20"/>
                            <w:sz w:val="12"/>
                          </w:rPr>
                          <w:t>)</w:t>
                        </w:r>
                      </w:p>
                    </w:tc>
                    <w:tc>
                      <w:tcPr>
                        <w:tcW w:w="810" w:type="dxa"/>
                      </w:tcPr>
                      <w:p>
                        <w:pPr>
                          <w:pStyle w:val="TableParagraph"/>
                          <w:spacing w:line="155" w:lineRule="exact"/>
                          <w:ind w:left="38" w:right="38"/>
                          <w:jc w:val="center"/>
                          <w:rPr>
                            <w:sz w:val="12"/>
                          </w:rPr>
                        </w:pPr>
                        <w:r>
                          <w:rPr>
                            <w:color w:val="231F20"/>
                            <w:sz w:val="14"/>
                            <w:u w:val="single" w:color="231F20"/>
                          </w:rPr>
                          <w:t>6 months </w:t>
                        </w:r>
                        <w:r>
                          <w:rPr>
                            <w:color w:val="231F20"/>
                            <w:sz w:val="12"/>
                            <w:u w:val="single" w:color="231F20"/>
                          </w:rPr>
                          <w:t>(b</w:t>
                        </w:r>
                        <w:r>
                          <w:rPr>
                            <w:color w:val="231F20"/>
                            <w:sz w:val="12"/>
                          </w:rPr>
                          <w:t>)</w:t>
                        </w:r>
                      </w:p>
                    </w:tc>
                    <w:tc>
                      <w:tcPr>
                        <w:tcW w:w="696" w:type="dxa"/>
                      </w:tcPr>
                      <w:p>
                        <w:pPr>
                          <w:pStyle w:val="TableParagraph"/>
                          <w:spacing w:line="155" w:lineRule="exact"/>
                          <w:ind w:left="37" w:right="30"/>
                          <w:jc w:val="center"/>
                          <w:rPr>
                            <w:sz w:val="14"/>
                          </w:rPr>
                        </w:pPr>
                        <w:r>
                          <w:rPr>
                            <w:color w:val="231F20"/>
                            <w:sz w:val="14"/>
                            <w:u w:val="single" w:color="231F20"/>
                          </w:rPr>
                          <w:t>12 months</w:t>
                        </w:r>
                      </w:p>
                    </w:tc>
                  </w:tr>
                  <w:tr>
                    <w:trPr>
                      <w:trHeight w:val="210" w:hRule="atLeast"/>
                    </w:trPr>
                    <w:tc>
                      <w:tcPr>
                        <w:tcW w:w="1323" w:type="dxa"/>
                      </w:tcPr>
                      <w:p>
                        <w:pPr>
                          <w:pStyle w:val="TableParagraph"/>
                          <w:tabs>
                            <w:tab w:pos="859" w:val="left" w:leader="none"/>
                          </w:tabs>
                          <w:spacing w:line="133" w:lineRule="exact" w:before="56"/>
                          <w:ind w:right="115"/>
                          <w:jc w:val="right"/>
                          <w:rPr>
                            <w:sz w:val="14"/>
                          </w:rPr>
                        </w:pPr>
                        <w:r>
                          <w:rPr>
                            <w:color w:val="231F20"/>
                            <w:sz w:val="14"/>
                          </w:rPr>
                          <w:t>M4</w:t>
                          <w:tab/>
                          <w:t>April</w:t>
                        </w:r>
                      </w:p>
                    </w:tc>
                    <w:tc>
                      <w:tcPr>
                        <w:tcW w:w="664" w:type="dxa"/>
                      </w:tcPr>
                      <w:p>
                        <w:pPr>
                          <w:pStyle w:val="TableParagraph"/>
                          <w:spacing w:line="133" w:lineRule="exact" w:before="56"/>
                          <w:ind w:left="96" w:right="31"/>
                          <w:jc w:val="center"/>
                          <w:rPr>
                            <w:sz w:val="14"/>
                          </w:rPr>
                        </w:pPr>
                        <w:r>
                          <w:rPr>
                            <w:color w:val="231F20"/>
                            <w:sz w:val="14"/>
                          </w:rPr>
                          <w:t>0.9</w:t>
                        </w:r>
                      </w:p>
                    </w:tc>
                    <w:tc>
                      <w:tcPr>
                        <w:tcW w:w="835" w:type="dxa"/>
                      </w:tcPr>
                      <w:p>
                        <w:pPr>
                          <w:pStyle w:val="TableParagraph"/>
                          <w:spacing w:line="133" w:lineRule="exact" w:before="56"/>
                          <w:ind w:left="29" w:right="40"/>
                          <w:jc w:val="center"/>
                          <w:rPr>
                            <w:sz w:val="14"/>
                          </w:rPr>
                        </w:pPr>
                        <w:r>
                          <w:rPr>
                            <w:color w:val="231F20"/>
                            <w:sz w:val="14"/>
                          </w:rPr>
                          <w:t>9.4</w:t>
                        </w:r>
                      </w:p>
                    </w:tc>
                    <w:tc>
                      <w:tcPr>
                        <w:tcW w:w="810" w:type="dxa"/>
                      </w:tcPr>
                      <w:p>
                        <w:pPr>
                          <w:pStyle w:val="TableParagraph"/>
                          <w:spacing w:line="133" w:lineRule="exact" w:before="56"/>
                          <w:ind w:left="38" w:right="114"/>
                          <w:jc w:val="center"/>
                          <w:rPr>
                            <w:sz w:val="14"/>
                          </w:rPr>
                        </w:pPr>
                        <w:r>
                          <w:rPr>
                            <w:color w:val="231F20"/>
                            <w:sz w:val="14"/>
                          </w:rPr>
                          <w:t>9.3</w:t>
                        </w:r>
                      </w:p>
                    </w:tc>
                    <w:tc>
                      <w:tcPr>
                        <w:tcW w:w="696" w:type="dxa"/>
                      </w:tcPr>
                      <w:p>
                        <w:pPr>
                          <w:pStyle w:val="TableParagraph"/>
                          <w:spacing w:line="133" w:lineRule="exact" w:before="56"/>
                          <w:ind w:left="37" w:right="109"/>
                          <w:jc w:val="center"/>
                          <w:rPr>
                            <w:sz w:val="14"/>
                          </w:rPr>
                        </w:pPr>
                        <w:r>
                          <w:rPr>
                            <w:color w:val="231F20"/>
                            <w:sz w:val="14"/>
                          </w:rPr>
                          <w:t>10.2</w:t>
                        </w:r>
                      </w:p>
                    </w:tc>
                  </w:tr>
                  <w:tr>
                    <w:trPr>
                      <w:trHeight w:val="140" w:hRule="atLeast"/>
                    </w:trPr>
                    <w:tc>
                      <w:tcPr>
                        <w:tcW w:w="1323" w:type="dxa"/>
                      </w:tcPr>
                      <w:p>
                        <w:pPr>
                          <w:pStyle w:val="TableParagraph"/>
                          <w:spacing w:line="120" w:lineRule="exact"/>
                          <w:ind w:right="154"/>
                          <w:jc w:val="right"/>
                          <w:rPr>
                            <w:sz w:val="14"/>
                          </w:rPr>
                        </w:pPr>
                        <w:r>
                          <w:rPr>
                            <w:color w:val="231F20"/>
                            <w:sz w:val="14"/>
                          </w:rPr>
                          <w:t>May</w:t>
                        </w:r>
                      </w:p>
                    </w:tc>
                    <w:tc>
                      <w:tcPr>
                        <w:tcW w:w="664" w:type="dxa"/>
                      </w:tcPr>
                      <w:p>
                        <w:pPr>
                          <w:pStyle w:val="TableParagraph"/>
                          <w:spacing w:line="120" w:lineRule="exact"/>
                          <w:ind w:left="96" w:right="31"/>
                          <w:jc w:val="center"/>
                          <w:rPr>
                            <w:sz w:val="14"/>
                          </w:rPr>
                        </w:pPr>
                        <w:r>
                          <w:rPr>
                            <w:color w:val="231F20"/>
                            <w:sz w:val="14"/>
                          </w:rPr>
                          <w:t>0.5</w:t>
                        </w:r>
                      </w:p>
                    </w:tc>
                    <w:tc>
                      <w:tcPr>
                        <w:tcW w:w="835" w:type="dxa"/>
                      </w:tcPr>
                      <w:p>
                        <w:pPr>
                          <w:pStyle w:val="TableParagraph"/>
                          <w:spacing w:line="120" w:lineRule="exact"/>
                          <w:ind w:left="29" w:right="40"/>
                          <w:jc w:val="center"/>
                          <w:rPr>
                            <w:sz w:val="14"/>
                          </w:rPr>
                        </w:pPr>
                        <w:r>
                          <w:rPr>
                            <w:color w:val="231F20"/>
                            <w:sz w:val="14"/>
                          </w:rPr>
                          <w:t>7.6</w:t>
                        </w:r>
                      </w:p>
                    </w:tc>
                    <w:tc>
                      <w:tcPr>
                        <w:tcW w:w="810" w:type="dxa"/>
                      </w:tcPr>
                      <w:p>
                        <w:pPr>
                          <w:pStyle w:val="TableParagraph"/>
                          <w:spacing w:line="120" w:lineRule="exact"/>
                          <w:ind w:left="38" w:right="114"/>
                          <w:jc w:val="center"/>
                          <w:rPr>
                            <w:sz w:val="14"/>
                          </w:rPr>
                        </w:pPr>
                        <w:r>
                          <w:rPr>
                            <w:color w:val="231F20"/>
                            <w:sz w:val="14"/>
                          </w:rPr>
                          <w:t>8.8</w:t>
                        </w:r>
                      </w:p>
                    </w:tc>
                    <w:tc>
                      <w:tcPr>
                        <w:tcW w:w="696" w:type="dxa"/>
                      </w:tcPr>
                      <w:p>
                        <w:pPr>
                          <w:pStyle w:val="TableParagraph"/>
                          <w:spacing w:line="120" w:lineRule="exact"/>
                          <w:ind w:left="28" w:right="30"/>
                          <w:jc w:val="center"/>
                          <w:rPr>
                            <w:sz w:val="14"/>
                          </w:rPr>
                        </w:pPr>
                        <w:r>
                          <w:rPr>
                            <w:color w:val="231F20"/>
                            <w:sz w:val="14"/>
                          </w:rPr>
                          <w:t>9.2</w:t>
                        </w:r>
                      </w:p>
                    </w:tc>
                  </w:tr>
                  <w:tr>
                    <w:trPr>
                      <w:trHeight w:val="210" w:hRule="atLeast"/>
                    </w:trPr>
                    <w:tc>
                      <w:tcPr>
                        <w:tcW w:w="1323" w:type="dxa"/>
                      </w:tcPr>
                      <w:p>
                        <w:pPr>
                          <w:pStyle w:val="TableParagraph"/>
                          <w:spacing w:line="148" w:lineRule="exact"/>
                          <w:ind w:right="154"/>
                          <w:jc w:val="right"/>
                          <w:rPr>
                            <w:sz w:val="14"/>
                          </w:rPr>
                        </w:pPr>
                        <w:r>
                          <w:rPr>
                            <w:color w:val="231F20"/>
                            <w:sz w:val="14"/>
                          </w:rPr>
                          <w:t>June</w:t>
                        </w:r>
                      </w:p>
                    </w:tc>
                    <w:tc>
                      <w:tcPr>
                        <w:tcW w:w="664" w:type="dxa"/>
                      </w:tcPr>
                      <w:p>
                        <w:pPr>
                          <w:pStyle w:val="TableParagraph"/>
                          <w:spacing w:line="148" w:lineRule="exact"/>
                          <w:ind w:left="96" w:right="31"/>
                          <w:jc w:val="center"/>
                          <w:rPr>
                            <w:sz w:val="14"/>
                          </w:rPr>
                        </w:pPr>
                        <w:r>
                          <w:rPr>
                            <w:color w:val="231F20"/>
                            <w:sz w:val="14"/>
                          </w:rPr>
                          <w:t>0.7</w:t>
                        </w:r>
                      </w:p>
                    </w:tc>
                    <w:tc>
                      <w:tcPr>
                        <w:tcW w:w="835" w:type="dxa"/>
                      </w:tcPr>
                      <w:p>
                        <w:pPr>
                          <w:pStyle w:val="TableParagraph"/>
                          <w:spacing w:line="148" w:lineRule="exact"/>
                          <w:ind w:left="29" w:right="40"/>
                          <w:jc w:val="center"/>
                          <w:rPr>
                            <w:sz w:val="14"/>
                          </w:rPr>
                        </w:pPr>
                        <w:r>
                          <w:rPr>
                            <w:color w:val="231F20"/>
                            <w:sz w:val="14"/>
                          </w:rPr>
                          <w:t>8.5</w:t>
                        </w:r>
                      </w:p>
                    </w:tc>
                    <w:tc>
                      <w:tcPr>
                        <w:tcW w:w="810" w:type="dxa"/>
                      </w:tcPr>
                      <w:p>
                        <w:pPr>
                          <w:pStyle w:val="TableParagraph"/>
                          <w:spacing w:line="148" w:lineRule="exact"/>
                          <w:ind w:left="38" w:right="114"/>
                          <w:jc w:val="center"/>
                          <w:rPr>
                            <w:sz w:val="14"/>
                          </w:rPr>
                        </w:pPr>
                        <w:r>
                          <w:rPr>
                            <w:color w:val="231F20"/>
                            <w:sz w:val="14"/>
                          </w:rPr>
                          <w:t>8.0</w:t>
                        </w:r>
                      </w:p>
                    </w:tc>
                    <w:tc>
                      <w:tcPr>
                        <w:tcW w:w="696" w:type="dxa"/>
                      </w:tcPr>
                      <w:p>
                        <w:pPr>
                          <w:pStyle w:val="TableParagraph"/>
                          <w:spacing w:line="148" w:lineRule="exact"/>
                          <w:ind w:left="28" w:right="30"/>
                          <w:jc w:val="center"/>
                          <w:rPr>
                            <w:sz w:val="14"/>
                          </w:rPr>
                        </w:pPr>
                        <w:r>
                          <w:rPr>
                            <w:color w:val="231F20"/>
                            <w:sz w:val="14"/>
                          </w:rPr>
                          <w:t>9.0</w:t>
                        </w:r>
                      </w:p>
                    </w:tc>
                  </w:tr>
                  <w:tr>
                    <w:trPr>
                      <w:trHeight w:val="210" w:hRule="atLeast"/>
                    </w:trPr>
                    <w:tc>
                      <w:tcPr>
                        <w:tcW w:w="1323" w:type="dxa"/>
                      </w:tcPr>
                      <w:p>
                        <w:pPr>
                          <w:pStyle w:val="TableParagraph"/>
                          <w:tabs>
                            <w:tab w:pos="859" w:val="left" w:leader="none"/>
                          </w:tabs>
                          <w:spacing w:line="133" w:lineRule="exact" w:before="56"/>
                          <w:ind w:right="115"/>
                          <w:jc w:val="right"/>
                          <w:rPr>
                            <w:sz w:val="14"/>
                          </w:rPr>
                        </w:pPr>
                        <w:r>
                          <w:rPr>
                            <w:color w:val="231F20"/>
                            <w:sz w:val="14"/>
                          </w:rPr>
                          <w:t>M4 lending</w:t>
                          <w:tab/>
                          <w:t>April</w:t>
                        </w:r>
                      </w:p>
                    </w:tc>
                    <w:tc>
                      <w:tcPr>
                        <w:tcW w:w="664" w:type="dxa"/>
                      </w:tcPr>
                      <w:p>
                        <w:pPr>
                          <w:pStyle w:val="TableParagraph"/>
                          <w:spacing w:line="133" w:lineRule="exact" w:before="56"/>
                          <w:ind w:left="96" w:right="31"/>
                          <w:jc w:val="center"/>
                          <w:rPr>
                            <w:sz w:val="14"/>
                          </w:rPr>
                        </w:pPr>
                        <w:r>
                          <w:rPr>
                            <w:color w:val="231F20"/>
                            <w:sz w:val="14"/>
                          </w:rPr>
                          <w:t>0.9</w:t>
                        </w:r>
                      </w:p>
                    </w:tc>
                    <w:tc>
                      <w:tcPr>
                        <w:tcW w:w="835" w:type="dxa"/>
                      </w:tcPr>
                      <w:p>
                        <w:pPr>
                          <w:pStyle w:val="TableParagraph"/>
                          <w:spacing w:line="133" w:lineRule="exact" w:before="56"/>
                          <w:ind w:left="62" w:right="143"/>
                          <w:jc w:val="center"/>
                          <w:rPr>
                            <w:sz w:val="14"/>
                          </w:rPr>
                        </w:pPr>
                        <w:r>
                          <w:rPr>
                            <w:color w:val="231F20"/>
                            <w:sz w:val="14"/>
                          </w:rPr>
                          <w:t>10.2</w:t>
                        </w:r>
                      </w:p>
                    </w:tc>
                    <w:tc>
                      <w:tcPr>
                        <w:tcW w:w="810" w:type="dxa"/>
                      </w:tcPr>
                      <w:p>
                        <w:pPr>
                          <w:pStyle w:val="TableParagraph"/>
                          <w:spacing w:line="133" w:lineRule="exact" w:before="56"/>
                          <w:ind w:left="38" w:right="114"/>
                          <w:jc w:val="center"/>
                          <w:rPr>
                            <w:sz w:val="14"/>
                          </w:rPr>
                        </w:pPr>
                        <w:r>
                          <w:rPr>
                            <w:color w:val="231F20"/>
                            <w:sz w:val="14"/>
                          </w:rPr>
                          <w:t>9.8</w:t>
                        </w:r>
                      </w:p>
                    </w:tc>
                    <w:tc>
                      <w:tcPr>
                        <w:tcW w:w="696" w:type="dxa"/>
                      </w:tcPr>
                      <w:p>
                        <w:pPr>
                          <w:pStyle w:val="TableParagraph"/>
                          <w:spacing w:line="133" w:lineRule="exact" w:before="56"/>
                          <w:ind w:left="28" w:right="30"/>
                          <w:jc w:val="center"/>
                          <w:rPr>
                            <w:sz w:val="14"/>
                          </w:rPr>
                        </w:pPr>
                        <w:r>
                          <w:rPr>
                            <w:color w:val="231F20"/>
                            <w:sz w:val="14"/>
                          </w:rPr>
                          <w:t>8.8</w:t>
                        </w:r>
                      </w:p>
                    </w:tc>
                  </w:tr>
                  <w:tr>
                    <w:trPr>
                      <w:trHeight w:val="140" w:hRule="atLeast"/>
                    </w:trPr>
                    <w:tc>
                      <w:tcPr>
                        <w:tcW w:w="1323" w:type="dxa"/>
                      </w:tcPr>
                      <w:p>
                        <w:pPr>
                          <w:pStyle w:val="TableParagraph"/>
                          <w:spacing w:line="120" w:lineRule="exact"/>
                          <w:ind w:right="154"/>
                          <w:jc w:val="right"/>
                          <w:rPr>
                            <w:sz w:val="14"/>
                          </w:rPr>
                        </w:pPr>
                        <w:r>
                          <w:rPr>
                            <w:color w:val="231F20"/>
                            <w:sz w:val="14"/>
                          </w:rPr>
                          <w:t>May</w:t>
                        </w:r>
                      </w:p>
                    </w:tc>
                    <w:tc>
                      <w:tcPr>
                        <w:tcW w:w="664" w:type="dxa"/>
                      </w:tcPr>
                      <w:p>
                        <w:pPr>
                          <w:pStyle w:val="TableParagraph"/>
                          <w:spacing w:line="120" w:lineRule="exact"/>
                          <w:ind w:left="96" w:right="31"/>
                          <w:jc w:val="center"/>
                          <w:rPr>
                            <w:sz w:val="14"/>
                          </w:rPr>
                        </w:pPr>
                        <w:r>
                          <w:rPr>
                            <w:color w:val="231F20"/>
                            <w:sz w:val="14"/>
                          </w:rPr>
                          <w:t>0.5</w:t>
                        </w:r>
                      </w:p>
                    </w:tc>
                    <w:tc>
                      <w:tcPr>
                        <w:tcW w:w="835" w:type="dxa"/>
                      </w:tcPr>
                      <w:p>
                        <w:pPr>
                          <w:pStyle w:val="TableParagraph"/>
                          <w:spacing w:line="120" w:lineRule="exact"/>
                          <w:ind w:left="29" w:right="40"/>
                          <w:jc w:val="center"/>
                          <w:rPr>
                            <w:sz w:val="14"/>
                          </w:rPr>
                        </w:pPr>
                        <w:r>
                          <w:rPr>
                            <w:color w:val="231F20"/>
                            <w:sz w:val="14"/>
                          </w:rPr>
                          <w:t>6.9</w:t>
                        </w:r>
                      </w:p>
                    </w:tc>
                    <w:tc>
                      <w:tcPr>
                        <w:tcW w:w="810" w:type="dxa"/>
                      </w:tcPr>
                      <w:p>
                        <w:pPr>
                          <w:pStyle w:val="TableParagraph"/>
                          <w:spacing w:line="120" w:lineRule="exact"/>
                          <w:ind w:left="38" w:right="114"/>
                          <w:jc w:val="center"/>
                          <w:rPr>
                            <w:sz w:val="14"/>
                          </w:rPr>
                        </w:pPr>
                        <w:r>
                          <w:rPr>
                            <w:color w:val="231F20"/>
                            <w:sz w:val="14"/>
                          </w:rPr>
                          <w:t>8.9</w:t>
                        </w:r>
                      </w:p>
                    </w:tc>
                    <w:tc>
                      <w:tcPr>
                        <w:tcW w:w="696" w:type="dxa"/>
                      </w:tcPr>
                      <w:p>
                        <w:pPr>
                          <w:pStyle w:val="TableParagraph"/>
                          <w:spacing w:line="120" w:lineRule="exact"/>
                          <w:ind w:left="28" w:right="30"/>
                          <w:jc w:val="center"/>
                          <w:rPr>
                            <w:sz w:val="14"/>
                          </w:rPr>
                        </w:pPr>
                        <w:r>
                          <w:rPr>
                            <w:color w:val="231F20"/>
                            <w:sz w:val="14"/>
                          </w:rPr>
                          <w:t>8.2</w:t>
                        </w:r>
                      </w:p>
                    </w:tc>
                  </w:tr>
                  <w:tr>
                    <w:trPr>
                      <w:trHeight w:val="147" w:hRule="atLeast"/>
                    </w:trPr>
                    <w:tc>
                      <w:tcPr>
                        <w:tcW w:w="1323" w:type="dxa"/>
                      </w:tcPr>
                      <w:p>
                        <w:pPr>
                          <w:pStyle w:val="TableParagraph"/>
                          <w:spacing w:line="128" w:lineRule="exact"/>
                          <w:ind w:right="154"/>
                          <w:jc w:val="right"/>
                          <w:rPr>
                            <w:sz w:val="14"/>
                          </w:rPr>
                        </w:pPr>
                        <w:r>
                          <w:rPr>
                            <w:color w:val="231F20"/>
                            <w:sz w:val="14"/>
                          </w:rPr>
                          <w:t>June</w:t>
                        </w:r>
                      </w:p>
                    </w:tc>
                    <w:tc>
                      <w:tcPr>
                        <w:tcW w:w="664" w:type="dxa"/>
                      </w:tcPr>
                      <w:p>
                        <w:pPr>
                          <w:pStyle w:val="TableParagraph"/>
                          <w:spacing w:line="128" w:lineRule="exact"/>
                          <w:ind w:left="96" w:right="31"/>
                          <w:jc w:val="center"/>
                          <w:rPr>
                            <w:sz w:val="14"/>
                          </w:rPr>
                        </w:pPr>
                        <w:r>
                          <w:rPr>
                            <w:color w:val="231F20"/>
                            <w:sz w:val="14"/>
                          </w:rPr>
                          <w:t>0.3</w:t>
                        </w:r>
                      </w:p>
                    </w:tc>
                    <w:tc>
                      <w:tcPr>
                        <w:tcW w:w="835" w:type="dxa"/>
                      </w:tcPr>
                      <w:p>
                        <w:pPr>
                          <w:pStyle w:val="TableParagraph"/>
                          <w:spacing w:line="128" w:lineRule="exact"/>
                          <w:ind w:left="29" w:right="40"/>
                          <w:jc w:val="center"/>
                          <w:rPr>
                            <w:sz w:val="14"/>
                          </w:rPr>
                        </w:pPr>
                        <w:r>
                          <w:rPr>
                            <w:color w:val="231F20"/>
                            <w:sz w:val="14"/>
                          </w:rPr>
                          <w:t>6.7</w:t>
                        </w:r>
                      </w:p>
                    </w:tc>
                    <w:tc>
                      <w:tcPr>
                        <w:tcW w:w="810" w:type="dxa"/>
                      </w:tcPr>
                      <w:p>
                        <w:pPr>
                          <w:pStyle w:val="TableParagraph"/>
                          <w:spacing w:line="128" w:lineRule="exact"/>
                          <w:ind w:left="38" w:right="114"/>
                          <w:jc w:val="center"/>
                          <w:rPr>
                            <w:sz w:val="14"/>
                          </w:rPr>
                        </w:pPr>
                        <w:r>
                          <w:rPr>
                            <w:color w:val="231F20"/>
                            <w:sz w:val="14"/>
                          </w:rPr>
                          <w:t>7.9</w:t>
                        </w:r>
                      </w:p>
                    </w:tc>
                    <w:tc>
                      <w:tcPr>
                        <w:tcW w:w="696" w:type="dxa"/>
                      </w:tcPr>
                      <w:p>
                        <w:pPr>
                          <w:pStyle w:val="TableParagraph"/>
                          <w:spacing w:line="128" w:lineRule="exact"/>
                          <w:ind w:left="28" w:right="30"/>
                          <w:jc w:val="center"/>
                          <w:rPr>
                            <w:sz w:val="14"/>
                          </w:rPr>
                        </w:pPr>
                        <w:r>
                          <w:rPr>
                            <w:color w:val="231F20"/>
                            <w:sz w:val="14"/>
                          </w:rPr>
                          <w:t>7.6</w:t>
                        </w:r>
                      </w:p>
                    </w:tc>
                  </w:tr>
                </w:tbl>
                <w:p>
                  <w:pPr>
                    <w:pStyle w:val="BodyText"/>
                  </w:pPr>
                </w:p>
              </w:txbxContent>
            </v:textbox>
            <w10:wrap type="none"/>
          </v:shape>
        </w:pict>
      </w:r>
      <w:r>
        <w:rPr>
          <w:color w:val="231F20"/>
          <w:sz w:val="14"/>
        </w:rPr>
        <w:t>Per cent</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20"/>
        </w:rPr>
      </w:pPr>
    </w:p>
    <w:p>
      <w:pPr>
        <w:spacing w:before="0"/>
        <w:ind w:left="184" w:right="0" w:firstLine="0"/>
        <w:jc w:val="left"/>
        <w:rPr>
          <w:sz w:val="12"/>
        </w:rPr>
      </w:pPr>
      <w:r>
        <w:rPr>
          <w:color w:val="231F20"/>
          <w:sz w:val="12"/>
        </w:rPr>
        <w:t>Source: Bank of England.</w:t>
      </w:r>
    </w:p>
    <w:p>
      <w:pPr>
        <w:pStyle w:val="ListParagraph"/>
        <w:numPr>
          <w:ilvl w:val="0"/>
          <w:numId w:val="2"/>
        </w:numPr>
        <w:tabs>
          <w:tab w:pos="424" w:val="left" w:leader="none"/>
        </w:tabs>
        <w:spacing w:line="129" w:lineRule="exact" w:before="102" w:after="0"/>
        <w:ind w:left="423" w:right="0" w:hanging="240"/>
        <w:jc w:val="left"/>
        <w:rPr>
          <w:sz w:val="12"/>
        </w:rPr>
      </w:pPr>
      <w:r>
        <w:rPr>
          <w:color w:val="231F20"/>
          <w:sz w:val="12"/>
        </w:rPr>
        <w:t>Seasonally adjusted.</w:t>
      </w:r>
    </w:p>
    <w:p>
      <w:pPr>
        <w:pStyle w:val="ListParagraph"/>
        <w:numPr>
          <w:ilvl w:val="0"/>
          <w:numId w:val="2"/>
        </w:numPr>
        <w:tabs>
          <w:tab w:pos="425" w:val="left" w:leader="none"/>
        </w:tabs>
        <w:spacing w:line="129" w:lineRule="exact" w:before="0" w:after="0"/>
        <w:ind w:left="424" w:right="0" w:hanging="241"/>
        <w:jc w:val="left"/>
        <w:rPr>
          <w:sz w:val="12"/>
        </w:rPr>
      </w:pPr>
      <w:r>
        <w:rPr>
          <w:color w:val="231F20"/>
          <w:sz w:val="12"/>
        </w:rPr>
        <w:t>Annualised.</w:t>
      </w:r>
    </w:p>
    <w:p>
      <w:pPr>
        <w:pStyle w:val="BodyText"/>
        <w:rPr>
          <w:sz w:val="12"/>
        </w:rPr>
      </w:pPr>
    </w:p>
    <w:p>
      <w:pPr>
        <w:pStyle w:val="BodyText"/>
        <w:rPr>
          <w:sz w:val="12"/>
        </w:rPr>
      </w:pPr>
    </w:p>
    <w:p>
      <w:pPr>
        <w:pStyle w:val="BodyText"/>
        <w:spacing w:before="4"/>
        <w:rPr>
          <w:sz w:val="11"/>
        </w:rPr>
      </w:pPr>
    </w:p>
    <w:p>
      <w:pPr>
        <w:pStyle w:val="Heading8"/>
        <w:spacing w:before="1"/>
        <w:ind w:left="189"/>
      </w:pPr>
      <w:r>
        <w:rPr>
          <w:color w:val="0093C1"/>
        </w:rPr>
        <w:t>Chart 1.2</w:t>
      </w:r>
    </w:p>
    <w:p>
      <w:pPr>
        <w:spacing w:before="10"/>
        <w:ind w:left="189" w:right="0" w:firstLine="0"/>
        <w:jc w:val="left"/>
        <w:rPr>
          <w:b/>
          <w:sz w:val="20"/>
        </w:rPr>
      </w:pPr>
      <w:r>
        <w:rPr>
          <w:b/>
          <w:color w:val="0093C1"/>
          <w:sz w:val="20"/>
        </w:rPr>
        <w:t>Aggregate and sectoral broad money velocity</w:t>
      </w:r>
    </w:p>
    <w:p>
      <w:pPr>
        <w:spacing w:before="121"/>
        <w:ind w:left="0" w:right="217" w:firstLine="0"/>
        <w:jc w:val="right"/>
        <w:rPr>
          <w:sz w:val="12"/>
        </w:rPr>
      </w:pPr>
      <w:r>
        <w:rPr/>
        <w:pict>
          <v:line style="position:absolute;mso-position-horizontal-relative:page;mso-position-vertical-relative:paragraph;z-index:15754752" from="49.450001pt,13.818555pt" to="44.450001pt,13.818555pt" stroked="true" strokeweight=".5pt" strokecolor="#000000">
            <v:stroke dashstyle="solid"/>
            <w10:wrap type="none"/>
          </v:line>
        </w:pict>
      </w:r>
      <w:r>
        <w:rPr/>
        <w:pict>
          <v:group style="position:absolute;margin-left:53.950001pt;margin-top:22.318554pt;width:159.5pt;height:118pt;mso-position-horizontal-relative:page;mso-position-vertical-relative:paragraph;z-index:-21172736" coordorigin="1079,446" coordsize="3190,2360">
            <v:shape style="position:absolute;left:1089;top:536;width:3020;height:1240" coordorigin="1089,536" coordsize="3020,1240" path="m1089,636l1129,656,1169,656,1209,676,1229,636,1269,676,1309,656,1349,696,1389,716,1409,536,1449,616,1489,596,1529,536,1549,636,1589,676,1629,776,1669,756,1709,756,1729,796,1769,776,1809,796,1849,836,1889,856,1909,876,1949,936,1989,956,2029,936,2069,976,2089,1016,2129,1036,2169,1116,2209,1116,2249,1096,2269,1136,2309,1136,2349,1176,2389,1196,2429,1176,2449,1176,2489,1216,2529,1176,2569,1216,2589,1196,2629,1216,2669,1216,2749,1296,2769,1336,2849,1416,2889,1496,2929,1516,2989,1636,3069,1716,3109,1736,3129,1756,3129,1736,3169,1756,3209,1756,3249,1776,3289,1756,3349,1756,3389,1716,3429,1716,3449,1696,3489,1676,3529,1676,3569,1656,3609,1656,3629,1636,3669,1676,3709,1676,3749,1716,3789,1736,3809,1696,3849,1716,3889,1716,3929,1696,3969,1736,4069,1736,4109,1716e" filled="false" stroked="true" strokeweight="1pt" strokecolor="#faab54">
              <v:path arrowok="t"/>
              <v:stroke dashstyle="solid"/>
            </v:shape>
            <v:shape style="position:absolute;left:1089;top:456;width:3020;height:2340" coordorigin="1089,456" coordsize="3020,2340" path="m1089,1436l1129,1256,1209,1376,1229,1496,1309,1416,1349,1416,1389,1256,1409,1116,1449,776,1489,496,1529,456,1549,496,1589,716,1629,956,1669,1276,1709,1496,1729,1636,1769,1636,1809,1716,1849,1516,1909,1396,1949,1476,1989,1636,2029,1596,2069,1636,2089,1636,2129,1616,2169,1656,2209,1656,2249,1576,2269,1756,2349,1756,2389,1876,2429,2096,2449,2096,2489,2116,2529,2176,2569,2156,2589,2096,2669,2056,2709,1956,2749,1976,2809,1856,2849,1936,2889,1996,2929,2096,3029,2196,3069,2216,3109,2336,3129,2416,3169,2496,3209,2556,3309,2656,3349,2616,3389,2636,3429,2676,3449,2736,3489,2736,3529,2756,3569,2796,3609,2776,3629,2716,3669,2736,3709,2656,3749,2676,3809,2736,3849,2736,3889,2776,3929,2796,3969,2776,4069,2776,4109,2716e" filled="false" stroked="true" strokeweight="1pt" strokecolor="#0066a5">
              <v:path arrowok="t"/>
              <v:stroke dashstyle="solid"/>
            </v:shape>
            <v:shape style="position:absolute;left:4169;top:656;width:100;height:1880" coordorigin="4169,656" coordsize="100,1880" path="m4269,2536l4169,2536m4269,2156l4169,2156m4269,1776l4169,1776m4269,1416l4169,1416m4269,1036l4169,1036m4269,656l4169,656e" filled="false" stroked="true" strokeweight=".5pt" strokecolor="#000000">
              <v:path arrowok="t"/>
              <v:stroke dashstyle="solid"/>
            </v:shape>
            <v:shape style="position:absolute;left:1089;top:576;width:3020;height:1920" coordorigin="1089,576" coordsize="3020,1920" path="m1089,776l1129,776,1209,816,1229,856,1269,796,1309,816,1349,816,1389,856,1409,716,1489,596,1529,576,1549,636,1589,676,1629,756,1669,796,1709,876,1729,896,1769,896,1849,936,1889,996,1949,1056,1989,1116,2029,1096,2069,1136,2089,1176,2129,1236,2169,1316,2209,1336,2249,1336,2269,1316,2309,1376,2349,1416,2389,1496,2429,1556,2449,1596,2529,1636,2589,1696,2629,1756,2669,1776,2809,1916,2849,1996,2889,2036,2929,2096,2949,2136,2989,2176,3029,2196,3069,2236,3129,2236,3169,2256,3209,2256,3249,2276,3289,2256,3349,2256,3429,2216,3449,2216,3489,2236,3529,2236,3609,2196,3629,2196,3709,2236,3749,2276,3789,2296,3809,2316,3889,2356,3929,2356,3969,2416,3989,2436,4109,2496e" filled="false" stroked="true" strokeweight="1pt" strokecolor="#008256">
              <v:path arrowok="t"/>
              <v:stroke dashstyle="solid"/>
            </v:shape>
            <w10:wrap type="none"/>
          </v:group>
        </w:pict>
      </w:r>
      <w:r>
        <w:rPr>
          <w:sz w:val="12"/>
        </w:rPr>
        <w:t>1980 = 1</w:t>
      </w:r>
      <w:r>
        <w:rPr>
          <w:sz w:val="12"/>
          <w:u w:val="single"/>
        </w:rPr>
        <w:t>00</w:t>
      </w:r>
      <w:r>
        <w:rPr>
          <w:spacing w:val="-12"/>
          <w:sz w:val="12"/>
        </w:rPr>
        <w:t> </w:t>
      </w:r>
      <w:r>
        <w:rPr>
          <w:position w:val="-6"/>
          <w:sz w:val="12"/>
        </w:rPr>
        <w:t>110</w:t>
      </w:r>
    </w:p>
    <w:p>
      <w:pPr>
        <w:pStyle w:val="BodyText"/>
        <w:spacing w:before="4"/>
        <w:rPr>
          <w:sz w:val="21"/>
        </w:rPr>
      </w:pPr>
    </w:p>
    <w:p>
      <w:pPr>
        <w:spacing w:before="0"/>
        <w:ind w:left="0" w:right="217" w:firstLine="0"/>
        <w:jc w:val="right"/>
        <w:rPr>
          <w:sz w:val="12"/>
        </w:rPr>
      </w:pPr>
      <w:r>
        <w:rPr/>
        <w:pict>
          <v:line style="position:absolute;mso-position-horizontal-relative:page;mso-position-vertical-relative:paragraph;z-index:15754240" from="49.450001pt,4.101563pt" to="44.450001pt,4.101563pt" stroked="true" strokeweight=".5pt" strokecolor="#000000">
            <v:stroke dashstyle="solid"/>
            <w10:wrap type="none"/>
          </v:line>
        </w:pict>
      </w:r>
      <w:r>
        <w:rPr>
          <w:sz w:val="12"/>
        </w:rPr>
        <w:t>100</w:t>
      </w:r>
    </w:p>
    <w:p>
      <w:pPr>
        <w:pStyle w:val="BodyText"/>
        <w:spacing w:before="6"/>
        <w:rPr>
          <w:sz w:val="17"/>
        </w:rPr>
      </w:pPr>
    </w:p>
    <w:p>
      <w:pPr>
        <w:tabs>
          <w:tab w:pos="3738" w:val="left" w:leader="none"/>
        </w:tabs>
        <w:spacing w:line="149" w:lineRule="exact" w:before="1"/>
        <w:ind w:left="1999" w:right="0" w:firstLine="0"/>
        <w:jc w:val="left"/>
        <w:rPr>
          <w:sz w:val="12"/>
        </w:rPr>
      </w:pPr>
      <w:r>
        <w:rPr/>
        <w:pict>
          <v:line style="position:absolute;mso-position-horizontal-relative:page;mso-position-vertical-relative:paragraph;z-index:15753728" from="49.450001pt,6.151959pt" to="44.450001pt,6.151959pt" stroked="true" strokeweight=".5pt" strokecolor="#000000">
            <v:stroke dashstyle="solid"/>
            <w10:wrap type="none"/>
          </v:line>
        </w:pict>
      </w:r>
      <w:r>
        <w:rPr>
          <w:sz w:val="12"/>
        </w:rPr>
        <w:t>Personal sector</w:t>
        <w:tab/>
      </w:r>
      <w:r>
        <w:rPr>
          <w:position w:val="-3"/>
          <w:sz w:val="12"/>
        </w:rPr>
        <w:t>90</w:t>
      </w:r>
    </w:p>
    <w:p>
      <w:pPr>
        <w:spacing w:line="109" w:lineRule="exact" w:before="0"/>
        <w:ind w:left="2029" w:right="0" w:firstLine="0"/>
        <w:jc w:val="left"/>
        <w:rPr>
          <w:sz w:val="12"/>
        </w:rPr>
      </w:pPr>
      <w:r>
        <w:rPr>
          <w:sz w:val="12"/>
        </w:rPr>
        <w:t>consumption velocity (a)</w:t>
      </w:r>
    </w:p>
    <w:p>
      <w:pPr>
        <w:pStyle w:val="BodyText"/>
        <w:rPr>
          <w:sz w:val="14"/>
        </w:rPr>
      </w:pPr>
    </w:p>
    <w:p>
      <w:pPr>
        <w:spacing w:before="1"/>
        <w:ind w:left="0" w:right="217" w:firstLine="0"/>
        <w:jc w:val="right"/>
        <w:rPr>
          <w:sz w:val="12"/>
        </w:rPr>
      </w:pPr>
      <w:r>
        <w:rPr/>
        <w:pict>
          <v:line style="position:absolute;mso-position-horizontal-relative:page;mso-position-vertical-relative:paragraph;z-index:15753216" from="49.450001pt,4.151563pt" to="44.450001pt,4.151563pt" stroked="true" strokeweight=".5pt" strokecolor="#000000">
            <v:stroke dashstyle="solid"/>
            <w10:wrap type="none"/>
          </v:line>
        </w:pict>
      </w:r>
      <w:r>
        <w:rPr>
          <w:sz w:val="12"/>
        </w:rPr>
        <w:t>80</w:t>
      </w:r>
    </w:p>
    <w:p>
      <w:pPr>
        <w:pStyle w:val="BodyText"/>
        <w:rPr>
          <w:sz w:val="12"/>
        </w:rPr>
      </w:pPr>
    </w:p>
    <w:p>
      <w:pPr>
        <w:spacing w:before="84"/>
        <w:ind w:left="0" w:right="217" w:firstLine="0"/>
        <w:jc w:val="right"/>
        <w:rPr>
          <w:sz w:val="12"/>
        </w:rPr>
      </w:pPr>
      <w:r>
        <w:rPr/>
        <w:pict>
          <v:line style="position:absolute;mso-position-horizontal-relative:page;mso-position-vertical-relative:paragraph;z-index:15752704" from="49.450001pt,8.301562pt" to="44.450001pt,8.301562pt" stroked="true" strokeweight=".5pt" strokecolor="#000000">
            <v:stroke dashstyle="solid"/>
            <w10:wrap type="none"/>
          </v:line>
        </w:pict>
      </w:r>
      <w:r>
        <w:rPr>
          <w:sz w:val="12"/>
        </w:rPr>
        <w:t>70</w:t>
      </w:r>
    </w:p>
    <w:p>
      <w:pPr>
        <w:pStyle w:val="BodyText"/>
        <w:rPr>
          <w:sz w:val="12"/>
        </w:rPr>
      </w:pPr>
    </w:p>
    <w:p>
      <w:pPr>
        <w:tabs>
          <w:tab w:pos="3738" w:val="left" w:leader="none"/>
        </w:tabs>
        <w:spacing w:before="70"/>
        <w:ind w:left="2432" w:right="0" w:firstLine="0"/>
        <w:jc w:val="left"/>
        <w:rPr>
          <w:sz w:val="12"/>
        </w:rPr>
      </w:pPr>
      <w:r>
        <w:rPr/>
        <w:pict>
          <v:line style="position:absolute;mso-position-horizontal-relative:page;mso-position-vertical-relative:paragraph;z-index:15752192" from="49.450001pt,9.26857pt" to="44.450001pt,9.26857pt" stroked="true" strokeweight=".5pt" strokecolor="#000000">
            <v:stroke dashstyle="solid"/>
            <w10:wrap type="none"/>
          </v:line>
        </w:pict>
      </w:r>
      <w:r>
        <w:rPr>
          <w:sz w:val="12"/>
        </w:rPr>
        <w:t>Aggregate velocity (b)</w:t>
        <w:tab/>
      </w:r>
      <w:r>
        <w:rPr>
          <w:position w:val="-2"/>
          <w:sz w:val="12"/>
        </w:rPr>
        <w:t>60</w:t>
      </w:r>
    </w:p>
    <w:p>
      <w:pPr>
        <w:pStyle w:val="BodyText"/>
        <w:spacing w:before="4"/>
        <w:rPr>
          <w:sz w:val="21"/>
        </w:rPr>
      </w:pPr>
    </w:p>
    <w:p>
      <w:pPr>
        <w:spacing w:before="0"/>
        <w:ind w:left="0" w:right="217" w:firstLine="0"/>
        <w:jc w:val="right"/>
        <w:rPr>
          <w:sz w:val="12"/>
        </w:rPr>
      </w:pPr>
      <w:r>
        <w:rPr/>
        <w:pict>
          <v:line style="position:absolute;mso-position-horizontal-relative:page;mso-position-vertical-relative:paragraph;z-index:15751680" from="49.450001pt,4.101563pt" to="44.450001pt,4.101563pt" stroked="true" strokeweight=".5pt" strokecolor="#000000">
            <v:stroke dashstyle="solid"/>
            <w10:wrap type="none"/>
          </v:line>
        </w:pict>
      </w:r>
      <w:r>
        <w:rPr>
          <w:sz w:val="12"/>
        </w:rPr>
        <w:t>50</w:t>
      </w:r>
    </w:p>
    <w:p>
      <w:pPr>
        <w:spacing w:line="129" w:lineRule="exact" w:before="82"/>
        <w:ind w:left="2218" w:right="0" w:firstLine="0"/>
        <w:jc w:val="left"/>
        <w:rPr>
          <w:sz w:val="12"/>
        </w:rPr>
      </w:pPr>
      <w:r>
        <w:rPr>
          <w:sz w:val="12"/>
        </w:rPr>
        <w:t>ICC sector</w:t>
      </w:r>
    </w:p>
    <w:p>
      <w:pPr>
        <w:tabs>
          <w:tab w:pos="3738" w:val="left" w:leader="none"/>
        </w:tabs>
        <w:spacing w:line="218" w:lineRule="auto" w:before="0"/>
        <w:ind w:left="2249" w:right="0" w:firstLine="0"/>
        <w:jc w:val="left"/>
        <w:rPr>
          <w:sz w:val="12"/>
        </w:rPr>
      </w:pPr>
      <w:r>
        <w:rPr/>
        <w:pict>
          <v:line style="position:absolute;mso-position-horizontal-relative:page;mso-position-vertical-relative:paragraph;z-index:15751168" from="49.450001pt,5.813636pt" to="44.450001pt,5.813636pt" stroked="true" strokeweight=".5pt" strokecolor="#000000">
            <v:stroke dashstyle="solid"/>
            <w10:wrap type="none"/>
          </v:line>
        </w:pict>
      </w:r>
      <w:r>
        <w:rPr/>
        <w:pict>
          <v:line style="position:absolute;mso-position-horizontal-relative:page;mso-position-vertical-relative:paragraph;z-index:-21172224" from="213.449997pt,5.813636pt" to="208.449997pt,5.813636pt" stroked="true" strokeweight=".5pt" strokecolor="#000000">
            <v:stroke dashstyle="solid"/>
            <w10:wrap type="none"/>
          </v:line>
        </w:pict>
      </w:r>
      <w:r>
        <w:rPr>
          <w:sz w:val="12"/>
        </w:rPr>
        <w:t>investment velocity (c)</w:t>
        <w:tab/>
      </w:r>
      <w:r>
        <w:rPr>
          <w:position w:val="-3"/>
          <w:sz w:val="12"/>
        </w:rPr>
        <w:t>40</w:t>
      </w:r>
    </w:p>
    <w:p>
      <w:pPr>
        <w:pStyle w:val="BodyText"/>
        <w:spacing w:before="3"/>
        <w:rPr>
          <w:sz w:val="21"/>
        </w:rPr>
      </w:pPr>
    </w:p>
    <w:p>
      <w:pPr>
        <w:spacing w:line="129" w:lineRule="exact" w:before="0"/>
        <w:ind w:left="3739" w:right="0" w:firstLine="0"/>
        <w:jc w:val="left"/>
        <w:rPr>
          <w:sz w:val="12"/>
        </w:rPr>
      </w:pPr>
      <w:r>
        <w:rPr/>
        <w:pict>
          <v:shape style="position:absolute;margin-left:54.450001pt;margin-top:-.898438pt;width:159pt;height:5pt;mso-position-horizontal-relative:page;mso-position-vertical-relative:paragraph;z-index:15750144" coordorigin="1089,-18" coordsize="3180,100" path="m3669,82l3669,-18m2949,82l2949,-18m2229,82l2229,-18m1529,82l1529,-18m1089,82l4109,82m1089,82l1089,42m1236,82l1236,42m1382,82l1382,42m1669,82l1669,42m1809,82l1809,42m1949,82l1949,42m2089,82l2089,42m2373,82l2373,42m2517,82l2517,42m2661,82l2661,42m2805,82l2805,42m3093,82l3093,42m3237,82l3237,42m3381,82l3381,42m3525,82l3525,42m3816,82l3816,42m3962,82l3962,42m4109,82l4109,42m4269,82l4169,82e" filled="false" stroked="true" strokeweight=".5pt" strokecolor="#000000">
            <v:path arrowok="t"/>
            <v:stroke dashstyle="solid"/>
            <w10:wrap type="none"/>
          </v:shape>
        </w:pict>
      </w:r>
      <w:r>
        <w:rPr/>
        <w:pict>
          <v:line style="position:absolute;mso-position-horizontal-relative:page;mso-position-vertical-relative:paragraph;z-index:15750656" from="49.450001pt,4.101563pt" to="44.450001pt,4.101563pt" stroked="true" strokeweight=".5pt" strokecolor="#000000">
            <v:stroke dashstyle="solid"/>
            <w10:wrap type="none"/>
          </v:line>
        </w:pict>
      </w:r>
      <w:r>
        <w:rPr>
          <w:sz w:val="12"/>
        </w:rPr>
        <w:t>30</w:t>
      </w:r>
    </w:p>
    <w:p>
      <w:pPr>
        <w:tabs>
          <w:tab w:pos="858" w:val="left" w:leader="none"/>
          <w:tab w:pos="1558" w:val="left" w:leader="none"/>
          <w:tab w:pos="2278" w:val="left" w:leader="none"/>
          <w:tab w:pos="2998" w:val="left" w:leader="none"/>
        </w:tabs>
        <w:spacing w:line="129" w:lineRule="exact" w:before="0"/>
        <w:ind w:left="339" w:right="0" w:firstLine="0"/>
        <w:jc w:val="left"/>
        <w:rPr>
          <w:sz w:val="12"/>
        </w:rPr>
      </w:pPr>
      <w:r>
        <w:rPr>
          <w:sz w:val="12"/>
        </w:rPr>
        <w:t>1977</w:t>
        <w:tab/>
        <w:t>80</w:t>
        <w:tab/>
        <w:t>85</w:t>
        <w:tab/>
        <w:t>90</w:t>
        <w:tab/>
        <w:t>95</w:t>
      </w:r>
    </w:p>
    <w:p>
      <w:pPr>
        <w:spacing w:before="56"/>
        <w:ind w:left="189" w:right="0" w:firstLine="0"/>
        <w:jc w:val="left"/>
        <w:rPr>
          <w:sz w:val="12"/>
        </w:rPr>
      </w:pPr>
      <w:r>
        <w:rPr>
          <w:color w:val="231F20"/>
          <w:sz w:val="12"/>
        </w:rPr>
        <w:t>Source: Bank of England.</w:t>
      </w:r>
    </w:p>
    <w:p>
      <w:pPr>
        <w:pStyle w:val="ListParagraph"/>
        <w:numPr>
          <w:ilvl w:val="0"/>
          <w:numId w:val="3"/>
        </w:numPr>
        <w:tabs>
          <w:tab w:pos="429" w:val="left" w:leader="none"/>
        </w:tabs>
        <w:spacing w:line="129" w:lineRule="exact" w:before="102" w:after="0"/>
        <w:ind w:left="428" w:right="0" w:hanging="240"/>
        <w:jc w:val="left"/>
        <w:rPr>
          <w:sz w:val="12"/>
        </w:rPr>
      </w:pPr>
      <w:r>
        <w:rPr>
          <w:color w:val="231F20"/>
          <w:sz w:val="12"/>
        </w:rPr>
        <w:t>Nominal consumption divided by personal sector M4 stock.</w:t>
      </w:r>
    </w:p>
    <w:p>
      <w:pPr>
        <w:pStyle w:val="ListParagraph"/>
        <w:numPr>
          <w:ilvl w:val="0"/>
          <w:numId w:val="3"/>
        </w:numPr>
        <w:tabs>
          <w:tab w:pos="430" w:val="left" w:leader="none"/>
        </w:tabs>
        <w:spacing w:line="120" w:lineRule="exact" w:before="0" w:after="0"/>
        <w:ind w:left="429" w:right="0" w:hanging="241"/>
        <w:jc w:val="left"/>
        <w:rPr>
          <w:sz w:val="12"/>
        </w:rPr>
      </w:pPr>
      <w:r>
        <w:rPr>
          <w:color w:val="231F20"/>
          <w:sz w:val="12"/>
        </w:rPr>
        <w:t>Nominal GDP divided by aggregate M4 stock.</w:t>
      </w:r>
    </w:p>
    <w:p>
      <w:pPr>
        <w:pStyle w:val="ListParagraph"/>
        <w:numPr>
          <w:ilvl w:val="0"/>
          <w:numId w:val="3"/>
        </w:numPr>
        <w:tabs>
          <w:tab w:pos="429" w:val="left" w:leader="none"/>
        </w:tabs>
        <w:spacing w:line="129" w:lineRule="exact" w:before="0" w:after="0"/>
        <w:ind w:left="428" w:right="0" w:hanging="240"/>
        <w:jc w:val="left"/>
        <w:rPr>
          <w:sz w:val="12"/>
        </w:rPr>
      </w:pPr>
      <w:r>
        <w:rPr>
          <w:color w:val="231F20"/>
          <w:sz w:val="12"/>
        </w:rPr>
        <w:t>Nominal investment divided by ICCs’ M4 stock.</w:t>
      </w:r>
    </w:p>
    <w:p>
      <w:pPr>
        <w:pStyle w:val="BodyText"/>
        <w:rPr>
          <w:sz w:val="26"/>
        </w:rPr>
      </w:pPr>
      <w:r>
        <w:rPr/>
        <w:br w:type="column"/>
      </w:r>
      <w:r>
        <w:rPr>
          <w:sz w:val="26"/>
        </w:rPr>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6"/>
        <w:rPr>
          <w:sz w:val="29"/>
        </w:rPr>
      </w:pPr>
    </w:p>
    <w:p>
      <w:pPr>
        <w:pStyle w:val="Heading4"/>
        <w:spacing w:line="242" w:lineRule="auto"/>
        <w:ind w:left="179" w:right="172"/>
      </w:pPr>
      <w:r>
        <w:rPr>
          <w:color w:val="231F20"/>
        </w:rPr>
        <w:t>Broad and narrow money growth has continued to slow, but from high rates. Aggregate credit growth has also fallen. On 4 June, official interest rates were raised by</w:t>
      </w:r>
    </w:p>
    <w:p>
      <w:pPr>
        <w:spacing w:line="242" w:lineRule="auto" w:before="4"/>
        <w:ind w:left="179" w:right="172" w:firstLine="0"/>
        <w:jc w:val="left"/>
        <w:rPr>
          <w:sz w:val="24"/>
        </w:rPr>
      </w:pPr>
      <w:r>
        <w:rPr>
          <w:color w:val="231F20"/>
          <w:sz w:val="24"/>
        </w:rPr>
        <w:t>0.25 percentage points to 7.5% and three-month nominal forward interest rates have risen by around 50 basis points. Long-term nominal interest rates have fallen by 15 basis points in the United Kingdom and by around</w:t>
      </w:r>
    </w:p>
    <w:p>
      <w:pPr>
        <w:spacing w:line="242" w:lineRule="auto" w:before="5"/>
        <w:ind w:left="179" w:right="211" w:firstLine="0"/>
        <w:jc w:val="left"/>
        <w:rPr>
          <w:sz w:val="24"/>
        </w:rPr>
      </w:pPr>
      <w:r>
        <w:rPr>
          <w:color w:val="231F20"/>
          <w:sz w:val="24"/>
        </w:rPr>
        <w:t>30 basis points overseas. The starting-point for the nominal effective exchange rate used in the inflation forecast, based on its average value in the 15 working days to 5 August, was 104.7, slightly lower than assumed on the basis of interest rate differentials in the May </w:t>
      </w:r>
      <w:r>
        <w:rPr>
          <w:i/>
          <w:color w:val="231F20"/>
          <w:sz w:val="24"/>
        </w:rPr>
        <w:t>Report</w:t>
      </w:r>
      <w:r>
        <w:rPr>
          <w:color w:val="231F20"/>
          <w:sz w:val="24"/>
        </w:rPr>
        <w:t>.</w:t>
      </w:r>
    </w:p>
    <w:p>
      <w:pPr>
        <w:pStyle w:val="BodyText"/>
        <w:rPr>
          <w:sz w:val="25"/>
        </w:rPr>
      </w:pPr>
    </w:p>
    <w:p>
      <w:pPr>
        <w:spacing w:line="242" w:lineRule="auto" w:before="0"/>
        <w:ind w:left="179" w:right="172" w:firstLine="0"/>
        <w:jc w:val="left"/>
        <w:rPr>
          <w:sz w:val="24"/>
        </w:rPr>
      </w:pPr>
      <w:r>
        <w:rPr>
          <w:color w:val="231F20"/>
          <w:sz w:val="24"/>
        </w:rPr>
        <w:t>This section contains a broader coverage of asset prices than in previous </w:t>
      </w:r>
      <w:r>
        <w:rPr>
          <w:i/>
          <w:color w:val="231F20"/>
          <w:sz w:val="24"/>
        </w:rPr>
        <w:t>Reports</w:t>
      </w:r>
      <w:hyperlink w:history="true" w:anchor="_bookmark1">
        <w:r>
          <w:rPr>
            <w:color w:val="231F20"/>
            <w:sz w:val="24"/>
          </w:rPr>
          <w:t>. Sections 1.1</w:t>
        </w:r>
      </w:hyperlink>
      <w:r>
        <w:rPr>
          <w:color w:val="231F20"/>
          <w:sz w:val="24"/>
        </w:rPr>
        <w:t> and </w:t>
      </w:r>
      <w:hyperlink w:history="true" w:anchor="_bookmark5">
        <w:r>
          <w:rPr>
            <w:color w:val="231F20"/>
            <w:sz w:val="24"/>
          </w:rPr>
          <w:t>1.2</w:t>
        </w:r>
      </w:hyperlink>
      <w:r>
        <w:rPr>
          <w:color w:val="231F20"/>
          <w:sz w:val="24"/>
        </w:rPr>
        <w:t> consider money and credit respectively. Section </w:t>
      </w:r>
      <w:hyperlink w:history="true" w:anchor="_bookmark8">
        <w:r>
          <w:rPr>
            <w:color w:val="231F20"/>
            <w:sz w:val="24"/>
          </w:rPr>
          <w:t>1.3</w:t>
        </w:r>
      </w:hyperlink>
      <w:r>
        <w:rPr>
          <w:color w:val="231F20"/>
          <w:sz w:val="24"/>
        </w:rPr>
        <w:t> draws together information on developments in domestic and international bond and stock markets and in the UK property market. Section </w:t>
      </w:r>
      <w:hyperlink w:history="true" w:anchor="_bookmark11">
        <w:r>
          <w:rPr>
            <w:color w:val="231F20"/>
            <w:sz w:val="24"/>
          </w:rPr>
          <w:t>1.4</w:t>
        </w:r>
      </w:hyperlink>
      <w:r>
        <w:rPr>
          <w:color w:val="231F20"/>
          <w:sz w:val="24"/>
        </w:rPr>
        <w:t> considers developments in foreign exchange markets.</w:t>
      </w:r>
    </w:p>
    <w:p>
      <w:pPr>
        <w:pStyle w:val="BodyText"/>
        <w:spacing w:before="4"/>
        <w:rPr>
          <w:sz w:val="25"/>
        </w:rPr>
      </w:pPr>
    </w:p>
    <w:p>
      <w:pPr>
        <w:pStyle w:val="ListParagraph"/>
        <w:numPr>
          <w:ilvl w:val="1"/>
          <w:numId w:val="4"/>
        </w:numPr>
        <w:tabs>
          <w:tab w:pos="4634" w:val="left" w:leader="none"/>
          <w:tab w:pos="4635" w:val="left" w:leader="none"/>
          <w:tab w:pos="5659" w:val="left" w:leader="none"/>
        </w:tabs>
        <w:spacing w:line="240" w:lineRule="auto" w:before="0" w:after="0"/>
        <w:ind w:left="4634" w:right="0" w:hanging="4456"/>
        <w:jc w:val="left"/>
        <w:rPr>
          <w:b/>
          <w:sz w:val="28"/>
        </w:rPr>
      </w:pPr>
      <w:r>
        <w:rPr>
          <w:b/>
          <w:color w:val="009483"/>
          <w:sz w:val="28"/>
          <w:u w:val="thick" w:color="0093C1"/>
        </w:rPr>
        <w:t>Money</w:t>
        <w:tab/>
      </w:r>
    </w:p>
    <w:p>
      <w:pPr>
        <w:spacing w:line="242" w:lineRule="auto" w:before="264"/>
        <w:ind w:left="178" w:right="347" w:firstLine="0"/>
        <w:jc w:val="left"/>
        <w:rPr>
          <w:sz w:val="24"/>
        </w:rPr>
      </w:pPr>
      <w:r>
        <w:rPr>
          <w:color w:val="231F20"/>
          <w:sz w:val="24"/>
        </w:rPr>
        <w:t>Annual growth in broad money has been falling since reaching a peak of 12.0% in July 1997 (see Chart 1.1). M4 grew by 9.0% in the year to June, compared with 9.2% in May and 10.2% in April. And annualised shorter-term growth rates are below the twelve-month rate (see Table 1.A). But adjusting for the effects of inflation, the 6.1% growth of real broad money</w:t>
      </w:r>
      <w:r>
        <w:rPr>
          <w:color w:val="231F20"/>
          <w:position w:val="5"/>
          <w:sz w:val="16"/>
        </w:rPr>
        <w:t>(1) </w:t>
      </w:r>
      <w:r>
        <w:rPr>
          <w:color w:val="231F20"/>
          <w:sz w:val="24"/>
        </w:rPr>
        <w:t>in the year to June remains high relative to its long-run</w:t>
      </w:r>
      <w:r>
        <w:rPr>
          <w:color w:val="231F20"/>
          <w:position w:val="5"/>
          <w:sz w:val="16"/>
        </w:rPr>
        <w:t>(2) </w:t>
      </w:r>
      <w:r>
        <w:rPr>
          <w:color w:val="231F20"/>
          <w:sz w:val="24"/>
        </w:rPr>
        <w:t>average of 4.3%.</w:t>
      </w:r>
    </w:p>
    <w:p>
      <w:pPr>
        <w:pStyle w:val="BodyText"/>
        <w:spacing w:before="4"/>
        <w:rPr>
          <w:sz w:val="25"/>
        </w:rPr>
      </w:pPr>
    </w:p>
    <w:p>
      <w:pPr>
        <w:spacing w:line="242" w:lineRule="auto" w:before="0"/>
        <w:ind w:left="179" w:right="171" w:firstLine="0"/>
        <w:jc w:val="left"/>
        <w:rPr>
          <w:sz w:val="24"/>
        </w:rPr>
      </w:pPr>
      <w:r>
        <w:rPr>
          <w:color w:val="231F20"/>
          <w:sz w:val="24"/>
        </w:rPr>
        <w:t>For broad money to be a reliable indicator of </w:t>
      </w:r>
      <w:r>
        <w:rPr>
          <w:color w:val="231F20"/>
          <w:spacing w:val="-2"/>
          <w:sz w:val="24"/>
        </w:rPr>
        <w:t>inflationary </w:t>
      </w:r>
      <w:r>
        <w:rPr>
          <w:color w:val="231F20"/>
          <w:sz w:val="24"/>
        </w:rPr>
        <w:t>pressure, there must be a reasonably stable relationship in the medium term between nominal expenditure and the stock of broad </w:t>
      </w:r>
      <w:r>
        <w:rPr>
          <w:color w:val="231F20"/>
          <w:spacing w:val="-4"/>
          <w:sz w:val="24"/>
        </w:rPr>
        <w:t>money.  </w:t>
      </w:r>
      <w:r>
        <w:rPr>
          <w:color w:val="231F20"/>
          <w:sz w:val="24"/>
        </w:rPr>
        <w:t>As Chart 1.2 shows, aggregate broad money velocity—the ratio of nominal GDP to the total stock of M4—fell throughout the 1980s, levelled off in the early 1990s and then began falling again in 1995. The decline in the 1980s reflected the impact of financial liberalisation on the demand</w:t>
      </w:r>
      <w:r>
        <w:rPr>
          <w:color w:val="231F20"/>
          <w:spacing w:val="-4"/>
          <w:sz w:val="24"/>
        </w:rPr>
        <w:t> </w:t>
      </w:r>
      <w:r>
        <w:rPr>
          <w:color w:val="231F20"/>
          <w:sz w:val="24"/>
        </w:rPr>
        <w:t>for</w:t>
      </w:r>
    </w:p>
    <w:p>
      <w:pPr>
        <w:spacing w:after="0" w:line="242" w:lineRule="auto"/>
        <w:jc w:val="left"/>
        <w:rPr>
          <w:sz w:val="24"/>
        </w:rPr>
        <w:sectPr>
          <w:footerReference w:type="default" r:id="rId10"/>
          <w:footerReference w:type="even" r:id="rId11"/>
          <w:pgSz w:w="11900" w:h="16840"/>
          <w:pgMar w:footer="597" w:header="0" w:top="760" w:bottom="780" w:left="620" w:right="640"/>
          <w:pgNumType w:start="3"/>
          <w:cols w:num="2" w:equalWidth="0">
            <w:col w:w="4079" w:space="731"/>
            <w:col w:w="5830"/>
          </w:cols>
        </w:sectPr>
      </w:pPr>
    </w:p>
    <w:p>
      <w:pPr>
        <w:pStyle w:val="BodyText"/>
        <w:spacing w:before="5"/>
        <w:rPr>
          <w:sz w:val="15"/>
        </w:rPr>
      </w:pPr>
      <w:r>
        <w:rPr/>
        <w:pict>
          <v:line style="position:absolute;mso-position-horizontal-relative:page;mso-position-vertical-relative:page;z-index:15743488" from="38.5pt,38pt" to="555.5pt,38pt" stroked="true" strokeweight=".125pt" strokecolor="#231f20">
            <v:stroke dashstyle="solid"/>
            <w10:wrap type="none"/>
          </v:line>
        </w:pict>
      </w:r>
    </w:p>
    <w:p>
      <w:pPr>
        <w:pStyle w:val="BodyText"/>
        <w:spacing w:line="20" w:lineRule="exact"/>
        <w:ind w:left="4948"/>
        <w:rPr>
          <w:sz w:val="2"/>
        </w:rPr>
      </w:pPr>
      <w:r>
        <w:rPr>
          <w:sz w:val="2"/>
        </w:rPr>
        <w:pict>
          <v:group style="width:277.5pt;height:.15pt;mso-position-horizontal-relative:char;mso-position-vertical-relative:line" coordorigin="0,0" coordsize="5550,3">
            <v:line style="position:absolute" from="0,1" to="5550,1" stroked="true" strokeweight=".125pt" strokecolor="#231f20">
              <v:stroke dashstyle="solid"/>
            </v:line>
          </v:group>
        </w:pict>
      </w:r>
      <w:r>
        <w:rPr>
          <w:sz w:val="2"/>
        </w:rPr>
      </w:r>
    </w:p>
    <w:p>
      <w:pPr>
        <w:pStyle w:val="ListParagraph"/>
        <w:numPr>
          <w:ilvl w:val="2"/>
          <w:numId w:val="4"/>
        </w:numPr>
        <w:tabs>
          <w:tab w:pos="5268" w:val="left" w:leader="none"/>
        </w:tabs>
        <w:spacing w:line="172" w:lineRule="exact" w:before="4" w:after="0"/>
        <w:ind w:left="5267" w:right="0" w:hanging="289"/>
        <w:jc w:val="left"/>
        <w:rPr>
          <w:sz w:val="16"/>
        </w:rPr>
      </w:pPr>
      <w:r>
        <w:rPr>
          <w:color w:val="231F20"/>
          <w:sz w:val="16"/>
        </w:rPr>
        <w:t>Defined as M4 deflated by RPIX.</w:t>
      </w:r>
    </w:p>
    <w:p>
      <w:pPr>
        <w:pStyle w:val="ListParagraph"/>
        <w:numPr>
          <w:ilvl w:val="2"/>
          <w:numId w:val="4"/>
        </w:numPr>
        <w:tabs>
          <w:tab w:pos="5268" w:val="left" w:leader="none"/>
        </w:tabs>
        <w:spacing w:line="172" w:lineRule="exact" w:before="0" w:after="0"/>
        <w:ind w:left="5267" w:right="0" w:hanging="289"/>
        <w:jc w:val="left"/>
        <w:rPr>
          <w:sz w:val="16"/>
        </w:rPr>
      </w:pPr>
      <w:r>
        <w:rPr>
          <w:color w:val="231F20"/>
          <w:sz w:val="16"/>
        </w:rPr>
        <w:t>Thirty-year.</w:t>
      </w:r>
    </w:p>
    <w:p>
      <w:pPr>
        <w:spacing w:after="0" w:line="172" w:lineRule="exact"/>
        <w:jc w:val="left"/>
        <w:rPr>
          <w:sz w:val="16"/>
        </w:rPr>
        <w:sectPr>
          <w:type w:val="continuous"/>
          <w:pgSz w:w="11900" w:h="16840"/>
          <w:pgMar w:top="1220" w:bottom="280" w:left="620" w:right="640"/>
        </w:sectPr>
      </w:pPr>
    </w:p>
    <w:p>
      <w:pPr>
        <w:pStyle w:val="BodyText"/>
        <w:rPr>
          <w:sz w:val="20"/>
        </w:rPr>
      </w:pPr>
    </w:p>
    <w:p>
      <w:pPr>
        <w:pStyle w:val="Heading4"/>
        <w:spacing w:line="242" w:lineRule="auto" w:before="207"/>
        <w:ind w:left="4989" w:right="247"/>
      </w:pPr>
      <w:bookmarkStart w:name="Other financial institutions (OFIs)" w:id="8"/>
      <w:bookmarkEnd w:id="8"/>
      <w:r>
        <w:rPr/>
      </w:r>
      <w:bookmarkStart w:name="_bookmark2" w:id="9"/>
      <w:bookmarkEnd w:id="9"/>
      <w:r>
        <w:rPr/>
      </w:r>
      <w:r>
        <w:rPr>
          <w:color w:val="231F20"/>
        </w:rPr>
        <w:t>money by individuals and firms. There is less evidence of this in the 1990s: personal and corporate sector money holdings have been growing broadly in line with nominal consumption and investment respectively (see Chart 1.2). The more recent decline in aggregate velocity has largely been accounted for by the build-up of liquidity in other financial institutions (OFIs), which has coincided with strong rises in equity prices.</w:t>
      </w:r>
    </w:p>
    <w:p>
      <w:pPr>
        <w:spacing w:line="242" w:lineRule="auto" w:before="10"/>
        <w:ind w:left="4989" w:right="0" w:firstLine="0"/>
        <w:jc w:val="left"/>
        <w:rPr>
          <w:sz w:val="24"/>
        </w:rPr>
      </w:pPr>
      <w:r>
        <w:rPr>
          <w:color w:val="231F20"/>
          <w:sz w:val="24"/>
        </w:rPr>
        <w:t>Whether this reflects a temporary or permanent shift in velocity will depend on the OFIs’ behaviour, the relationship between equity prices and activity, and the future path of asset prices.</w:t>
      </w:r>
    </w:p>
    <w:p>
      <w:pPr>
        <w:pStyle w:val="BodyText"/>
        <w:spacing w:before="3"/>
        <w:rPr>
          <w:sz w:val="15"/>
        </w:rPr>
      </w:pPr>
    </w:p>
    <w:p>
      <w:pPr>
        <w:spacing w:after="0"/>
        <w:rPr>
          <w:sz w:val="15"/>
        </w:rPr>
        <w:sectPr>
          <w:headerReference w:type="even" r:id="rId12"/>
          <w:headerReference w:type="default" r:id="rId13"/>
          <w:pgSz w:w="11900" w:h="16840"/>
          <w:pgMar w:header="566" w:footer="597" w:top="760" w:bottom="780" w:left="620" w:right="64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4"/>
        <w:rPr>
          <w:sz w:val="30"/>
        </w:rPr>
      </w:pPr>
    </w:p>
    <w:p>
      <w:pPr>
        <w:pStyle w:val="Heading8"/>
        <w:spacing w:before="0"/>
        <w:ind w:left="190"/>
      </w:pPr>
      <w:r>
        <w:rPr>
          <w:color w:val="0093C1"/>
        </w:rPr>
        <w:t>Chart 1.3</w:t>
      </w:r>
    </w:p>
    <w:p>
      <w:pPr>
        <w:spacing w:before="10"/>
        <w:ind w:left="190" w:right="0" w:firstLine="0"/>
        <w:jc w:val="left"/>
        <w:rPr>
          <w:b/>
          <w:sz w:val="20"/>
        </w:rPr>
      </w:pPr>
      <w:r>
        <w:rPr>
          <w:b/>
          <w:color w:val="0093C1"/>
          <w:sz w:val="20"/>
        </w:rPr>
        <w:t>Sectoral M4 growth</w:t>
      </w:r>
    </w:p>
    <w:p>
      <w:pPr>
        <w:pStyle w:val="BodyText"/>
        <w:spacing w:after="39"/>
        <w:rPr>
          <w:b/>
          <w:sz w:val="22"/>
        </w:rPr>
      </w:pPr>
    </w:p>
    <w:p>
      <w:pPr>
        <w:pStyle w:val="BodyText"/>
        <w:spacing w:line="20" w:lineRule="exact"/>
        <w:ind w:left="295"/>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rPr>
          <w:b/>
          <w:sz w:val="20"/>
        </w:rPr>
      </w:pPr>
    </w:p>
    <w:p>
      <w:pPr>
        <w:pStyle w:val="BodyText"/>
        <w:spacing w:before="4"/>
        <w:rPr>
          <w:b/>
          <w:sz w:val="11"/>
        </w:rPr>
      </w:pPr>
      <w:r>
        <w:rPr/>
        <w:pict>
          <v:shape style="position:absolute;margin-left:46pt;margin-top:8.750977pt;width:5pt;height:.1pt;mso-position-horizontal-relative:page;mso-position-vertical-relative:paragraph;z-index:-15699456;mso-wrap-distance-left:0;mso-wrap-distance-right:0" coordorigin="920,175" coordsize="100,0" path="m1020,175l920,175e" filled="false" stroked="true" strokeweight=".5pt" strokecolor="#000000">
            <v:path arrowok="t"/>
            <v:stroke dashstyle="solid"/>
            <w10:wrap type="topAndBottom"/>
          </v:shape>
        </w:pict>
      </w:r>
    </w:p>
    <w:p>
      <w:pPr>
        <w:pStyle w:val="BodyText"/>
        <w:rPr>
          <w:b/>
          <w:sz w:val="20"/>
        </w:rPr>
      </w:pPr>
    </w:p>
    <w:p>
      <w:pPr>
        <w:pStyle w:val="BodyText"/>
        <w:spacing w:before="5"/>
        <w:rPr>
          <w:b/>
          <w:sz w:val="11"/>
        </w:rPr>
      </w:pPr>
      <w:r>
        <w:rPr/>
        <w:pict>
          <v:shape style="position:absolute;margin-left:46pt;margin-top:8.800977pt;width:5pt;height:.1pt;mso-position-horizontal-relative:page;mso-position-vertical-relative:paragraph;z-index:-15698944;mso-wrap-distance-left:0;mso-wrap-distance-right:0" coordorigin="920,176" coordsize="100,0" path="m1020,176l920,176e" filled="false" stroked="true" strokeweight=".5pt" strokecolor="#000000">
            <v:path arrowok="t"/>
            <v:stroke dashstyle="solid"/>
            <w10:wrap type="topAndBottom"/>
          </v:shape>
        </w:pict>
      </w:r>
    </w:p>
    <w:p>
      <w:pPr>
        <w:pStyle w:val="BodyText"/>
        <w:rPr>
          <w:b/>
          <w:sz w:val="20"/>
        </w:rPr>
      </w:pPr>
    </w:p>
    <w:p>
      <w:pPr>
        <w:pStyle w:val="BodyText"/>
        <w:spacing w:before="5"/>
        <w:rPr>
          <w:b/>
          <w:sz w:val="11"/>
        </w:rPr>
      </w:pPr>
      <w:r>
        <w:rPr/>
        <w:pict>
          <v:shape style="position:absolute;margin-left:46pt;margin-top:8.800977pt;width:5pt;height:.1pt;mso-position-horizontal-relative:page;mso-position-vertical-relative:paragraph;z-index:-15698432;mso-wrap-distance-left:0;mso-wrap-distance-right:0" coordorigin="920,176" coordsize="100,0" path="m1020,176l920,176e" filled="false" stroked="true" strokeweight=".5pt" strokecolor="#000000">
            <v:path arrowok="t"/>
            <v:stroke dashstyle="solid"/>
            <w10:wrap type="topAndBottom"/>
          </v:shape>
        </w:pict>
      </w:r>
      <w:r>
        <w:rPr/>
        <w:pict>
          <v:shape style="position:absolute;margin-left:46pt;margin-top:29.800976pt;width:5pt;height:.1pt;mso-position-horizontal-relative:page;mso-position-vertical-relative:paragraph;z-index:-15697920;mso-wrap-distance-left:0;mso-wrap-distance-right:0" coordorigin="920,596" coordsize="100,0" path="m1020,596l920,596e" filled="false" stroked="true" strokeweight=".5pt" strokecolor="#000000">
            <v:path arrowok="t"/>
            <v:stroke dashstyle="solid"/>
            <w10:wrap type="topAndBottom"/>
          </v:shape>
        </w:pict>
      </w:r>
      <w:r>
        <w:rPr/>
        <w:pict>
          <v:shape style="position:absolute;margin-left:46pt;margin-top:50.800976pt;width:5pt;height:.1pt;mso-position-horizontal-relative:page;mso-position-vertical-relative:paragraph;z-index:-15697408;mso-wrap-distance-left:0;mso-wrap-distance-right:0" coordorigin="920,1016" coordsize="100,0" path="m1020,1016l920,1016e" filled="false" stroked="true" strokeweight=".5pt" strokecolor="#000000">
            <v:path arrowok="t"/>
            <v:stroke dashstyle="solid"/>
            <w10:wrap type="topAndBottom"/>
          </v:shape>
        </w:pict>
      </w:r>
    </w:p>
    <w:p>
      <w:pPr>
        <w:pStyle w:val="BodyText"/>
        <w:spacing w:before="8"/>
        <w:rPr>
          <w:b/>
          <w:sz w:val="29"/>
        </w:rPr>
      </w:pPr>
    </w:p>
    <w:p>
      <w:pPr>
        <w:pStyle w:val="BodyText"/>
        <w:spacing w:before="8"/>
        <w:rPr>
          <w:b/>
          <w:sz w:val="29"/>
        </w:rPr>
      </w:pPr>
    </w:p>
    <w:p>
      <w:pPr>
        <w:pStyle w:val="BodyText"/>
        <w:rPr>
          <w:b/>
          <w:sz w:val="12"/>
        </w:rPr>
      </w:pPr>
      <w:r>
        <w:rPr/>
        <w:br w:type="column"/>
      </w:r>
      <w:r>
        <w:rPr>
          <w:b/>
          <w:sz w:val="12"/>
        </w:rPr>
      </w: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spacing w:before="9"/>
        <w:rPr>
          <w:b/>
          <w:sz w:val="11"/>
        </w:rPr>
      </w:pPr>
    </w:p>
    <w:p>
      <w:pPr>
        <w:spacing w:line="126" w:lineRule="exact" w:before="0"/>
        <w:ind w:left="80" w:right="0" w:firstLine="0"/>
        <w:jc w:val="left"/>
        <w:rPr>
          <w:sz w:val="12"/>
        </w:rPr>
      </w:pPr>
      <w:r>
        <w:rPr>
          <w:sz w:val="12"/>
        </w:rPr>
        <w:t>Percentage changes on a year earlier</w:t>
      </w:r>
    </w:p>
    <w:p>
      <w:pPr>
        <w:spacing w:line="126" w:lineRule="exact" w:before="0"/>
        <w:ind w:left="1873" w:right="0" w:firstLine="0"/>
        <w:jc w:val="left"/>
        <w:rPr>
          <w:sz w:val="12"/>
        </w:rPr>
      </w:pPr>
      <w:r>
        <w:rPr/>
        <w:pict>
          <v:group style="position:absolute;margin-left:55.833401pt;margin-top:7.985748pt;width:151.7pt;height:130pt;mso-position-horizontal-relative:page;mso-position-vertical-relative:paragraph;z-index:15762432" coordorigin="1117,160" coordsize="3034,2600">
            <v:line style="position:absolute" from="1140,2630" to="4140,2630" stroked="true" strokeweight=".5pt" strokecolor="#000000">
              <v:stroke dashstyle="solid"/>
            </v:line>
            <v:shape style="position:absolute;left:1140;top:169;width:3000;height:2580" coordorigin="1140,170" coordsize="3000,2580" path="m1140,570l1200,470,1280,170,1340,330,1400,1110,1480,1170,1540,1370,1600,1510,1680,1410,1740,1330,1800,1330,1880,1270,1940,1190,2000,1270,2080,1550,2140,1730,2200,2170,2280,2550,2400,2750,2480,2710,2540,2570,2600,2490,2680,2590,2740,2530,2800,2590,2880,2570,2940,2350,3000,2270,3080,2170,3140,2290,3200,2290,3280,2130,3340,1950,3400,1750,3480,1610,3540,1630,3620,1710,3680,1590,3740,1630,3800,1490,3880,1430,3940,1510,4020,1490,4080,1670,4140,1770e" filled="false" stroked="true" strokeweight="1pt" strokecolor="#ed1b2d">
              <v:path arrowok="t"/>
              <v:stroke dashstyle="solid"/>
            </v:shape>
            <v:shape style="position:absolute;left:1140;top:1649;width:3000;height:980" coordorigin="1140,1650" coordsize="3000,980" path="m1140,1650l1200,1830,1280,1890,1340,1810,1400,1750,1480,1930,1540,2030,1600,2230,1680,2150,1740,1990,1800,1990,1880,1830,1940,1870,2000,2030,2080,2190,2140,2510,2200,2630,2280,2510,2340,2490,2400,2210,2480,2250,2540,2370,2600,2350,2680,2590,2740,2510,2800,2510,2880,2470,2940,2270,3000,2130,3080,2130,3140,2170,3200,2270,3280,2410,3340,2490,3400,2510,3480,2350,3540,2350,3620,2190,3680,2150,3740,2230,3800,2250,3880,2290,3940,2310,4020,2370,4080,2390,4140,2390e" filled="false" stroked="true" strokeweight="1pt" strokecolor="#faab54">
              <v:path arrowok="t"/>
              <v:stroke dashstyle="solid"/>
            </v:shape>
            <v:shape style="position:absolute;left:1140;top:1869;width:3000;height:620" coordorigin="1140,1870" coordsize="3000,620" path="m1140,2210l1200,2210,1280,2190,1340,2130,1400,2030,1480,2010,1540,1870,1600,1890,1680,1910,1740,1930,1800,1990,1880,1970,1940,2010,2000,2010,2080,2070,2140,2130,2200,2130,2280,2190,2400,2310,2480,2350,2540,2390,2600,2410,2680,2410,2740,2470,3000,2470,3080,2490,3200,2490,3280,2450,3340,2390,3400,2350,3480,2310,3540,2330,3620,2330,3680,2370,3740,2370,3800,2310,3880,2290,3940,2290,4020,2270,4080,2350,4140,2370e" filled="false" stroked="true" strokeweight="1pt" strokecolor="#0066a5">
              <v:path arrowok="t"/>
              <v:stroke dashstyle="solid"/>
            </v:shape>
            <v:shape style="position:absolute;left:1910;top:1012;width:261;height:133" type="#_x0000_t202" filled="false" stroked="false">
              <v:textbox inset="0,0,0,0">
                <w:txbxContent>
                  <w:p>
                    <w:pPr>
                      <w:spacing w:line="133" w:lineRule="exact" w:before="0"/>
                      <w:ind w:left="0" w:right="0" w:firstLine="0"/>
                      <w:jc w:val="left"/>
                      <w:rPr>
                        <w:sz w:val="12"/>
                      </w:rPr>
                    </w:pPr>
                    <w:r>
                      <w:rPr>
                        <w:sz w:val="12"/>
                      </w:rPr>
                      <w:t>OFIs</w:t>
                    </w:r>
                  </w:p>
                </w:txbxContent>
              </v:textbox>
              <w10:wrap type="none"/>
            </v:shape>
            <v:shape style="position:absolute;left:3570;top:1999;width:267;height:133" type="#_x0000_t202" filled="false" stroked="false">
              <v:textbox inset="0,0,0,0">
                <w:txbxContent>
                  <w:p>
                    <w:pPr>
                      <w:spacing w:line="133" w:lineRule="exact" w:before="0"/>
                      <w:ind w:left="0" w:right="0" w:firstLine="0"/>
                      <w:jc w:val="left"/>
                      <w:rPr>
                        <w:sz w:val="12"/>
                      </w:rPr>
                    </w:pPr>
                    <w:r>
                      <w:rPr>
                        <w:sz w:val="12"/>
                      </w:rPr>
                      <w:t>ICCs</w:t>
                    </w:r>
                  </w:p>
                </w:txbxContent>
              </v:textbox>
              <w10:wrap type="none"/>
            </v:shape>
            <v:shape style="position:absolute;left:1116;top:2239;width:394;height:133" type="#_x0000_t202" filled="false" stroked="false">
              <v:textbox inset="0,0,0,0">
                <w:txbxContent>
                  <w:p>
                    <w:pPr>
                      <w:spacing w:line="133" w:lineRule="exact" w:before="0"/>
                      <w:ind w:left="0" w:right="0" w:firstLine="0"/>
                      <w:jc w:val="left"/>
                      <w:rPr>
                        <w:sz w:val="12"/>
                      </w:rPr>
                    </w:pPr>
                    <w:r>
                      <w:rPr>
                        <w:sz w:val="12"/>
                      </w:rPr>
                      <w:t>Persons</w:t>
                    </w:r>
                  </w:p>
                </w:txbxContent>
              </v:textbox>
              <w10:wrap type="none"/>
            </v:shape>
            <w10:wrap type="none"/>
          </v:group>
        </w:pict>
      </w:r>
      <w:r>
        <w:rPr/>
        <w:pict>
          <v:line style="position:absolute;mso-position-horizontal-relative:page;mso-position-vertical-relative:paragraph;z-index:15767552" from="219pt,2.485748pt" to="214pt,2.485748pt" stroked="true" strokeweight=".5pt" strokecolor="#000000">
            <v:stroke dashstyle="solid"/>
            <w10:wrap type="none"/>
          </v:line>
        </w:pict>
      </w:r>
      <w:r>
        <w:rPr>
          <w:sz w:val="12"/>
        </w:rPr>
        <w:t>60</w:t>
      </w:r>
    </w:p>
    <w:p>
      <w:pPr>
        <w:pStyle w:val="BodyText"/>
        <w:rPr>
          <w:sz w:val="12"/>
        </w:rPr>
      </w:pPr>
    </w:p>
    <w:p>
      <w:pPr>
        <w:pStyle w:val="BodyText"/>
        <w:spacing w:before="3"/>
        <w:rPr>
          <w:sz w:val="14"/>
        </w:rPr>
      </w:pPr>
    </w:p>
    <w:p>
      <w:pPr>
        <w:spacing w:before="0"/>
        <w:ind w:left="0" w:right="38" w:firstLine="0"/>
        <w:jc w:val="right"/>
        <w:rPr>
          <w:sz w:val="12"/>
        </w:rPr>
      </w:pPr>
      <w:r>
        <w:rPr/>
        <w:pict>
          <v:line style="position:absolute;mso-position-horizontal-relative:page;mso-position-vertical-relative:paragraph;z-index:15767040" from="219pt,2.102173pt" to="214pt,2.102173pt" stroked="true" strokeweight=".5pt" strokecolor="#000000">
            <v:stroke dashstyle="solid"/>
            <w10:wrap type="none"/>
          </v:line>
        </w:pict>
      </w:r>
      <w:r>
        <w:rPr>
          <w:sz w:val="12"/>
        </w:rPr>
        <w:t>50</w:t>
      </w:r>
    </w:p>
    <w:p>
      <w:pPr>
        <w:pStyle w:val="BodyText"/>
        <w:rPr>
          <w:sz w:val="12"/>
        </w:rPr>
      </w:pPr>
    </w:p>
    <w:p>
      <w:pPr>
        <w:pStyle w:val="BodyText"/>
        <w:spacing w:before="6"/>
        <w:rPr>
          <w:sz w:val="12"/>
        </w:rPr>
      </w:pPr>
    </w:p>
    <w:p>
      <w:pPr>
        <w:spacing w:before="0"/>
        <w:ind w:left="0" w:right="38" w:firstLine="0"/>
        <w:jc w:val="right"/>
        <w:rPr>
          <w:sz w:val="12"/>
        </w:rPr>
      </w:pPr>
      <w:r>
        <w:rPr/>
        <w:pict>
          <v:line style="position:absolute;mso-position-horizontal-relative:page;mso-position-vertical-relative:paragraph;z-index:15766528" from="219pt,3.102173pt" to="214pt,3.102173pt" stroked="true" strokeweight=".5pt" strokecolor="#000000">
            <v:stroke dashstyle="solid"/>
            <w10:wrap type="none"/>
          </v:line>
        </w:pict>
      </w:r>
      <w:r>
        <w:rPr>
          <w:sz w:val="12"/>
        </w:rPr>
        <w:t>40</w:t>
      </w:r>
    </w:p>
    <w:p>
      <w:pPr>
        <w:pStyle w:val="BodyText"/>
        <w:rPr>
          <w:sz w:val="12"/>
        </w:rPr>
      </w:pPr>
    </w:p>
    <w:p>
      <w:pPr>
        <w:pStyle w:val="BodyText"/>
        <w:spacing w:before="3"/>
        <w:rPr>
          <w:sz w:val="14"/>
        </w:rPr>
      </w:pPr>
    </w:p>
    <w:p>
      <w:pPr>
        <w:spacing w:before="0"/>
        <w:ind w:left="0" w:right="38" w:firstLine="0"/>
        <w:jc w:val="right"/>
        <w:rPr>
          <w:sz w:val="12"/>
        </w:rPr>
      </w:pPr>
      <w:r>
        <w:rPr/>
        <w:pict>
          <v:line style="position:absolute;mso-position-horizontal-relative:page;mso-position-vertical-relative:paragraph;z-index:15766016" from="219pt,3.101959pt" to="214pt,3.101959pt" stroked="true" strokeweight=".5pt" strokecolor="#000000">
            <v:stroke dashstyle="solid"/>
            <w10:wrap type="none"/>
          </v:line>
        </w:pict>
      </w:r>
      <w:r>
        <w:rPr>
          <w:sz w:val="12"/>
        </w:rPr>
        <w:t>30</w:t>
      </w:r>
    </w:p>
    <w:p>
      <w:pPr>
        <w:pStyle w:val="BodyText"/>
        <w:rPr>
          <w:sz w:val="12"/>
        </w:rPr>
      </w:pPr>
    </w:p>
    <w:p>
      <w:pPr>
        <w:pStyle w:val="BodyText"/>
        <w:spacing w:before="6"/>
        <w:rPr>
          <w:sz w:val="12"/>
        </w:rPr>
      </w:pPr>
    </w:p>
    <w:p>
      <w:pPr>
        <w:spacing w:before="0"/>
        <w:ind w:left="0" w:right="38" w:firstLine="0"/>
        <w:jc w:val="right"/>
        <w:rPr>
          <w:sz w:val="12"/>
        </w:rPr>
      </w:pPr>
      <w:r>
        <w:rPr/>
        <w:pict>
          <v:line style="position:absolute;mso-position-horizontal-relative:page;mso-position-vertical-relative:paragraph;z-index:15765504" from="219pt,3.101959pt" to="214pt,3.101959pt" stroked="true" strokeweight=".5pt" strokecolor="#000000">
            <v:stroke dashstyle="solid"/>
            <w10:wrap type="none"/>
          </v:line>
        </w:pict>
      </w:r>
      <w:r>
        <w:rPr>
          <w:sz w:val="12"/>
        </w:rPr>
        <w:t>20</w:t>
      </w:r>
    </w:p>
    <w:p>
      <w:pPr>
        <w:pStyle w:val="BodyText"/>
        <w:rPr>
          <w:sz w:val="12"/>
        </w:rPr>
      </w:pPr>
    </w:p>
    <w:p>
      <w:pPr>
        <w:pStyle w:val="BodyText"/>
        <w:spacing w:before="3"/>
        <w:rPr>
          <w:sz w:val="14"/>
        </w:rPr>
      </w:pPr>
    </w:p>
    <w:p>
      <w:pPr>
        <w:spacing w:before="0"/>
        <w:ind w:left="0" w:right="38" w:firstLine="0"/>
        <w:jc w:val="right"/>
        <w:rPr>
          <w:sz w:val="12"/>
        </w:rPr>
      </w:pPr>
      <w:r>
        <w:rPr/>
        <w:pict>
          <v:line style="position:absolute;mso-position-horizontal-relative:page;mso-position-vertical-relative:paragraph;z-index:15764992" from="219pt,2.101776pt" to="214pt,2.101776pt" stroked="true" strokeweight=".5pt" strokecolor="#000000">
            <v:stroke dashstyle="solid"/>
            <w10:wrap type="none"/>
          </v:line>
        </w:pict>
      </w:r>
      <w:r>
        <w:rPr>
          <w:sz w:val="12"/>
        </w:rPr>
        <w:t>10</w:t>
      </w:r>
    </w:p>
    <w:p>
      <w:pPr>
        <w:spacing w:line="158" w:lineRule="exact" w:before="5"/>
        <w:ind w:left="1840" w:right="0" w:firstLine="0"/>
        <w:jc w:val="left"/>
        <w:rPr>
          <w:sz w:val="16"/>
        </w:rPr>
      </w:pPr>
      <w:r>
        <w:rPr>
          <w:sz w:val="16"/>
        </w:rPr>
        <w:t>+</w:t>
      </w:r>
    </w:p>
    <w:p>
      <w:pPr>
        <w:pStyle w:val="Heading4"/>
        <w:spacing w:line="242" w:lineRule="auto" w:before="90"/>
        <w:ind w:left="190" w:right="258"/>
      </w:pPr>
      <w:r>
        <w:rPr/>
        <w:br w:type="column"/>
      </w:r>
      <w:r>
        <w:rPr>
          <w:color w:val="231F20"/>
        </w:rPr>
        <w:t>As in May, the MPC’s central projection assumes that aggregate velocity will continue to fall during the remainder of 1998 and 1999, but slightly more slowly than during the past couple of years. On this basis, broad money growth will need to fall further to remain consistent with the central projection for inflation. The possibility that past rapid money growth could feed through into higher future inflation continues to pose an upside risk.</w:t>
      </w:r>
    </w:p>
    <w:p>
      <w:pPr>
        <w:pStyle w:val="BodyText"/>
        <w:spacing w:before="9"/>
        <w:rPr>
          <w:sz w:val="28"/>
        </w:rPr>
      </w:pPr>
    </w:p>
    <w:p>
      <w:pPr>
        <w:spacing w:before="0"/>
        <w:ind w:left="190" w:right="0" w:firstLine="0"/>
        <w:jc w:val="left"/>
        <w:rPr>
          <w:i/>
          <w:sz w:val="24"/>
        </w:rPr>
      </w:pPr>
      <w:r>
        <w:rPr>
          <w:i/>
          <w:color w:val="009483"/>
          <w:sz w:val="24"/>
        </w:rPr>
        <w:t>Other financial institutions (OFIs)</w:t>
      </w:r>
    </w:p>
    <w:p>
      <w:pPr>
        <w:spacing w:line="242" w:lineRule="auto" w:before="164"/>
        <w:ind w:left="190" w:right="258" w:firstLine="0"/>
        <w:jc w:val="left"/>
        <w:rPr>
          <w:sz w:val="24"/>
        </w:rPr>
      </w:pPr>
      <w:r>
        <w:rPr>
          <w:color w:val="231F20"/>
          <w:sz w:val="24"/>
        </w:rPr>
        <w:t>OFIs hold only one fifth of the total stock of M4, but have accounted for about half of the increase in broad money during 1998, as in the previous three years. The annual growth rate of OFIs’ deposits fell to 19.9% in 1998 Q2 from 22.2% in Q1, but OFIs’ money holdings</w:t>
      </w:r>
    </w:p>
    <w:p>
      <w:pPr>
        <w:spacing w:after="0" w:line="242" w:lineRule="auto"/>
        <w:jc w:val="left"/>
        <w:rPr>
          <w:sz w:val="24"/>
        </w:rPr>
        <w:sectPr>
          <w:type w:val="continuous"/>
          <w:pgSz w:w="11900" w:h="16840"/>
          <w:pgMar w:top="1220" w:bottom="280" w:left="620" w:right="640"/>
          <w:cols w:num="3" w:equalWidth="0">
            <w:col w:w="1890" w:space="40"/>
            <w:col w:w="2034" w:space="835"/>
            <w:col w:w="5841"/>
          </w:cols>
        </w:sectPr>
      </w:pPr>
    </w:p>
    <w:p>
      <w:pPr>
        <w:tabs>
          <w:tab w:pos="4988" w:val="left" w:leader="none"/>
        </w:tabs>
        <w:spacing w:line="263" w:lineRule="exact" w:before="0"/>
        <w:ind w:left="3863" w:right="0" w:firstLine="0"/>
        <w:jc w:val="left"/>
        <w:rPr>
          <w:sz w:val="24"/>
        </w:rPr>
      </w:pPr>
      <w:r>
        <w:rPr/>
        <w:pict>
          <v:line style="position:absolute;mso-position-horizontal-relative:page;mso-position-vertical-relative:paragraph;z-index:15763456" from="51pt,9.067648pt" to="46pt,9.067648pt" stroked="true" strokeweight=".5pt" strokecolor="#000000">
            <v:stroke dashstyle="solid"/>
            <w10:wrap type="none"/>
          </v:line>
        </w:pict>
      </w:r>
      <w:r>
        <w:rPr/>
        <w:pict>
          <v:line style="position:absolute;mso-position-horizontal-relative:page;mso-position-vertical-relative:paragraph;z-index:15764480" from="219pt,9.067648pt" to="214pt,9.067648pt" stroked="true" strokeweight=".5pt" strokecolor="#000000">
            <v:stroke dashstyle="solid"/>
            <w10:wrap type="none"/>
          </v:line>
        </w:pict>
      </w:r>
      <w:r>
        <w:rPr>
          <w:sz w:val="12"/>
        </w:rPr>
        <w:t>0</w:t>
        <w:tab/>
      </w:r>
      <w:r>
        <w:rPr>
          <w:color w:val="231F20"/>
          <w:position w:val="2"/>
          <w:sz w:val="24"/>
        </w:rPr>
        <w:t>are still growing much more rapidly than either</w:t>
      </w:r>
      <w:r>
        <w:rPr>
          <w:color w:val="231F20"/>
          <w:spacing w:val="-4"/>
          <w:position w:val="2"/>
          <w:sz w:val="24"/>
        </w:rPr>
        <w:t> </w:t>
      </w:r>
      <w:r>
        <w:rPr>
          <w:color w:val="231F20"/>
          <w:position w:val="2"/>
          <w:sz w:val="24"/>
        </w:rPr>
        <w:t>personal</w:t>
      </w:r>
    </w:p>
    <w:p>
      <w:pPr>
        <w:tabs>
          <w:tab w:pos="4988" w:val="left" w:leader="none"/>
        </w:tabs>
        <w:spacing w:before="7"/>
        <w:ind w:left="3770" w:right="0" w:firstLine="0"/>
        <w:jc w:val="left"/>
        <w:rPr>
          <w:sz w:val="24"/>
        </w:rPr>
      </w:pPr>
      <w:r>
        <w:rPr/>
        <w:pict>
          <v:shape style="position:absolute;margin-left:57pt;margin-top:12.903528pt;width:150pt;height:4pt;mso-position-horizontal-relative:page;mso-position-vertical-relative:paragraph;z-index:-21167616" coordorigin="1140,258" coordsize="3000,80" path="m4080,338l4080,258m3820,338l3820,258m3540,338l3540,258m3280,338l3280,258m3000,338l3000,258m2740,338l2740,258m2480,338l2480,258m2200,338l2200,258m1940,338l1940,258m1660,338l1660,258m1400,338l1400,258m1140,338l1140,258m1140,338l4140,338m1205,338l1205,298m1270,338l1270,298m1335,338l1335,298m1465,338l1465,298m1530,338l1530,298m1595,338l1595,298m1730,338l1730,298m1800,338l1800,298m1870,338l1870,298m2005,338l2005,298m2070,338l2070,298m2135,338l2135,298m2270,338l2270,298m2340,338l2340,298m2410,338l2410,298m2545,338l2545,298m2610,338l2610,298m2675,338l2675,298m2805,338l2805,298m2870,338l2870,298m2935,338l2935,298m3070,338l3070,298m3140,338l3140,298m3210,338l3210,298m3345,338l3345,298m3410,338l3410,298m3475,338l3475,298m3610,338l3610,298m3680,338l3680,298m3750,338l3750,298m3885,338l3885,298m3950,338l3950,298m4015,338l4015,298m4140,338l4140,298e" filled="false" stroked="true" strokeweight=".5pt" strokecolor="#000000">
            <v:path arrowok="t"/>
            <v:stroke dashstyle="solid"/>
            <w10:wrap type="none"/>
          </v:shape>
        </w:pict>
      </w:r>
      <w:r>
        <w:rPr>
          <w:sz w:val="24"/>
          <w:vertAlign w:val="superscript"/>
        </w:rPr>
        <w:t>–</w:t>
      </w:r>
      <w:r>
        <w:rPr>
          <w:sz w:val="24"/>
          <w:vertAlign w:val="baseline"/>
        </w:rPr>
        <w:tab/>
      </w:r>
      <w:r>
        <w:rPr>
          <w:color w:val="231F20"/>
          <w:sz w:val="24"/>
          <w:vertAlign w:val="baseline"/>
        </w:rPr>
        <w:t>or corporate sector deposits (see Chart 1.3).</w:t>
      </w:r>
    </w:p>
    <w:p>
      <w:pPr>
        <w:spacing w:after="0"/>
        <w:jc w:val="left"/>
        <w:rPr>
          <w:sz w:val="24"/>
        </w:rPr>
        <w:sectPr>
          <w:type w:val="continuous"/>
          <w:pgSz w:w="11900" w:h="16840"/>
          <w:pgMar w:top="1220" w:bottom="280" w:left="620" w:right="640"/>
        </w:sectPr>
      </w:pPr>
    </w:p>
    <w:p>
      <w:pPr>
        <w:tabs>
          <w:tab w:pos="3803" w:val="left" w:leader="none"/>
        </w:tabs>
        <w:spacing w:before="13"/>
        <w:ind w:left="490" w:right="0" w:firstLine="0"/>
        <w:jc w:val="left"/>
        <w:rPr>
          <w:sz w:val="12"/>
        </w:rPr>
      </w:pPr>
      <w:r>
        <w:rPr/>
        <w:pict>
          <v:line style="position:absolute;mso-position-horizontal-relative:page;mso-position-vertical-relative:paragraph;z-index:15762944" from="51pt,2.751563pt" to="46pt,2.751563pt" stroked="true" strokeweight=".5pt" strokecolor="#000000">
            <v:stroke dashstyle="solid"/>
            <w10:wrap type="none"/>
          </v:line>
        </w:pict>
      </w:r>
      <w:r>
        <w:rPr/>
        <w:pict>
          <v:line style="position:absolute;mso-position-horizontal-relative:page;mso-position-vertical-relative:paragraph;z-index:-21164032" from="219pt,2.751563pt" to="214pt,2.751563pt" stroked="true" strokeweight=".5pt" strokecolor="#000000">
            <v:stroke dashstyle="solid"/>
            <w10:wrap type="none"/>
          </v:line>
        </w:pict>
      </w:r>
      <w:r>
        <w:rPr>
          <w:sz w:val="12"/>
        </w:rPr>
        <w:t>1987    88     89     90     91     92     93      94     95      96 </w:t>
      </w:r>
      <w:r>
        <w:rPr>
          <w:spacing w:val="23"/>
          <w:sz w:val="12"/>
        </w:rPr>
        <w:t> </w:t>
      </w:r>
      <w:r>
        <w:rPr>
          <w:sz w:val="12"/>
        </w:rPr>
        <w:t>97</w:t>
      </w:r>
      <w:r>
        <w:rPr>
          <w:spacing w:val="23"/>
          <w:sz w:val="12"/>
        </w:rPr>
        <w:t> </w:t>
      </w:r>
      <w:r>
        <w:rPr>
          <w:sz w:val="12"/>
        </w:rPr>
        <w:t>98</w:t>
        <w:tab/>
      </w:r>
      <w:r>
        <w:rPr>
          <w:position w:val="8"/>
          <w:sz w:val="12"/>
        </w:rPr>
        <w:t>10</w:t>
      </w:r>
    </w:p>
    <w:p>
      <w:pPr>
        <w:spacing w:before="66"/>
        <w:ind w:left="190" w:right="0" w:firstLine="0"/>
        <w:jc w:val="left"/>
        <w:rPr>
          <w:sz w:val="12"/>
        </w:rPr>
      </w:pPr>
      <w:r>
        <w:rPr>
          <w:color w:val="231F20"/>
          <w:sz w:val="12"/>
        </w:rPr>
        <w:t>Source: Bank of England.</w:t>
      </w:r>
    </w:p>
    <w:p>
      <w:pPr>
        <w:pStyle w:val="BodyText"/>
        <w:rPr>
          <w:sz w:val="12"/>
        </w:rPr>
      </w:pPr>
    </w:p>
    <w:p>
      <w:pPr>
        <w:pStyle w:val="BodyText"/>
        <w:rPr>
          <w:sz w:val="12"/>
        </w:rPr>
      </w:pPr>
    </w:p>
    <w:p>
      <w:pPr>
        <w:pStyle w:val="BodyText"/>
        <w:rPr>
          <w:sz w:val="12"/>
        </w:rPr>
      </w:pPr>
    </w:p>
    <w:p>
      <w:pPr>
        <w:pStyle w:val="Heading8"/>
        <w:spacing w:before="89"/>
        <w:ind w:left="189"/>
      </w:pPr>
      <w:r>
        <w:rPr>
          <w:color w:val="0093C1"/>
        </w:rPr>
        <w:t>Chart 1.4</w:t>
      </w:r>
    </w:p>
    <w:p>
      <w:pPr>
        <w:spacing w:line="249" w:lineRule="auto" w:before="10"/>
        <w:ind w:left="189" w:right="278" w:firstLine="0"/>
        <w:jc w:val="left"/>
        <w:rPr>
          <w:sz w:val="12"/>
        </w:rPr>
      </w:pPr>
      <w:r>
        <w:rPr>
          <w:b/>
          <w:color w:val="0093C1"/>
          <w:sz w:val="20"/>
        </w:rPr>
        <w:t>Quarterly flows of OFIs’ deposits and cash-financed mergers and acquisitions</w:t>
      </w:r>
      <w:r>
        <w:rPr>
          <w:color w:val="231F20"/>
          <w:position w:val="4"/>
          <w:sz w:val="12"/>
        </w:rPr>
        <w:t>(a)</w:t>
      </w:r>
    </w:p>
    <w:p>
      <w:pPr>
        <w:spacing w:before="66"/>
        <w:ind w:left="0" w:right="201" w:firstLine="0"/>
        <w:jc w:val="right"/>
        <w:rPr>
          <w:sz w:val="12"/>
        </w:rPr>
      </w:pPr>
      <w:r>
        <w:rPr/>
        <w:pict>
          <v:line style="position:absolute;mso-position-horizontal-relative:page;mso-position-vertical-relative:paragraph;z-index:15769600" from="49.117001pt,10.401359pt" to="44.117001pt,10.401359pt" stroked="true" strokeweight=".5pt" strokecolor="#000000">
            <v:stroke dashstyle="solid"/>
            <w10:wrap type="none"/>
          </v:line>
        </w:pict>
      </w:r>
      <w:r>
        <w:rPr>
          <w:color w:val="231F20"/>
          <w:sz w:val="12"/>
        </w:rPr>
        <w:t>£ billio</w:t>
      </w:r>
      <w:r>
        <w:rPr>
          <w:color w:val="231F20"/>
          <w:sz w:val="12"/>
          <w:u w:val="single" w:color="000000"/>
        </w:rPr>
        <w:t>ns</w:t>
      </w:r>
      <w:r>
        <w:rPr>
          <w:color w:val="231F20"/>
          <w:sz w:val="12"/>
        </w:rPr>
        <w:t> </w:t>
      </w:r>
      <w:r>
        <w:rPr>
          <w:color w:val="231F20"/>
          <w:spacing w:val="9"/>
          <w:sz w:val="12"/>
        </w:rPr>
        <w:t> </w:t>
      </w:r>
      <w:r>
        <w:rPr>
          <w:position w:val="-3"/>
          <w:sz w:val="12"/>
        </w:rPr>
        <w:t>10</w:t>
      </w:r>
    </w:p>
    <w:p>
      <w:pPr>
        <w:spacing w:before="122"/>
        <w:ind w:left="3699" w:right="0" w:firstLine="0"/>
        <w:jc w:val="left"/>
        <w:rPr>
          <w:sz w:val="12"/>
        </w:rPr>
      </w:pPr>
      <w:r>
        <w:rPr/>
        <w:pict>
          <v:group style="position:absolute;margin-left:44.117001pt;margin-top:8.701557pt;width:165.4pt;height:139.75pt;mso-position-horizontal-relative:page;mso-position-vertical-relative:paragraph;z-index:15769088" coordorigin="882,174" coordsize="3308,2795">
            <v:shape style="position:absolute;left:882;top:224;width:3157;height:2740" coordorigin="882,224" coordsize="3157,2740" path="m3519,2964l3519,2847m2679,2964l2679,2847m1859,2964l1859,2847m1039,2964l1039,2847m982,2964l882,2964m1039,2684l4039,2684m982,2684l882,2684m982,2424l882,2424m982,2144l882,2144m982,1864l882,1864m982,1604l882,1604m982,1324l882,1324m982,1044l882,1044m982,784l882,784m982,504l882,504m982,224l882,224e" filled="false" stroked="true" strokeweight=".5pt" strokecolor="#000000">
              <v:path arrowok="t"/>
              <v:stroke dashstyle="solid"/>
            </v:shape>
            <v:shape style="position:absolute;left:1039;top:184;width:3020;height:2680" coordorigin="1039,184" coordsize="3020,2680" path="m1039,2684l1119,2644,1199,2684,1239,2684,1279,2644,1339,2564,1359,2544,1459,2544,1499,2564,1579,2524,1619,2544,1659,2544,1699,2564,1739,2504,1779,2464,1819,2404,1859,2404,1899,2424,1939,2404,1999,2424,2019,2404,2079,2404,2119,2384,2159,2304,2199,2064,2239,1984,2279,1844,2319,1784,2359,1964,2399,1944,2479,1984,2599,1684,2639,1604,2679,1444,2739,1404,2779,1604,2819,1724,2899,2604,2939,2724,2979,2864,3019,2804,3059,2624,3099,2504,3139,2644,3179,2584,3219,2644,3259,2624,3299,2324,3339,2244,3399,2104,3439,2224,3479,2224,3519,2004,3599,1404,3639,1184,3679,1104,3719,1144,3759,864,3799,864,3839,484,3879,264,3919,244,3959,184,4019,504,4059,684e" filled="false" stroked="true" strokeweight="1pt" strokecolor="#ed1b2d">
              <v:path arrowok="t"/>
              <v:stroke dashstyle="solid"/>
            </v:shape>
            <v:shape style="position:absolute;left:1039;top:864;width:2980;height:1780" coordorigin="1039,864" coordsize="2980,1780" path="m1039,2624l1119,2624,1159,2644,1459,2644,1499,2604,1619,2604,1659,2624,1779,2624,1819,2484,1939,2484,1999,2504,2019,2464,2079,2424,2119,2364,2159,2424,2199,2384,2239,2324,2279,2304,2319,2304,2359,2044,2399,2064,2439,1684,2479,1604,2519,1724,2559,1684,2599,1384,2639,1164,2679,1224,2739,1264,2779,1924,2819,2264,2859,2204,2899,2224,2939,2284,2979,2184,3019,2304,3059,2304,3099,2324,3139,2444,3179,2424,3219,2424,3259,2404,3299,2304,3339,2324,3399,2304,3439,2264,3479,2324,3519,1864,3559,1844,3599,1344,3639,944,3679,1104,3719,864,3759,1104,3839,1624,3879,1824,3919,1944,3959,1984,4019,1864e" filled="false" stroked="true" strokeweight="1pt" strokecolor="#0093c0">
              <v:path arrowok="t"/>
              <v:stroke dashstyle="solid"/>
            </v:shape>
            <v:shape style="position:absolute;left:1039;top:224;width:3151;height:2740" coordorigin="1039,224" coordsize="3151,2740" path="m1039,2964l4039,2964m1199,2964l1199,2907m1359,2964l1359,2907m1539,2964l1539,2907m1699,2964l1699,2907m2019,2964l2019,2907m2199,2964l2199,2907m2359,2964l2359,2907m2519,2964l2519,2907m2859,2964l2859,2907m3019,2964l3019,2907m3179,2964l3179,2907m3339,2964l3339,2907m3679,2964l3679,2907m3839,2964l3839,2907m3999,2964l3999,2907m4189,2964l4089,2964m4189,2684l4089,2684m4189,2424l4089,2424m4189,2144l4089,2144m4189,1864l4089,1864m4189,1604l4089,1604m4189,1324l4089,1324m4189,1044l4089,1044m4189,784l4089,784m4189,504l4089,504m4189,224l4089,224e" filled="false" stroked="true" strokeweight=".5pt" strokecolor="#000000">
              <v:path arrowok="t"/>
              <v:stroke dashstyle="solid"/>
            </v:shape>
            <v:shape style="position:absolute;left:3135;top:287;width:724;height:133" type="#_x0000_t202" filled="false" stroked="false">
              <v:textbox inset="0,0,0,0">
                <w:txbxContent>
                  <w:p>
                    <w:pPr>
                      <w:spacing w:line="133" w:lineRule="exact" w:before="0"/>
                      <w:ind w:left="0" w:right="0" w:firstLine="0"/>
                      <w:jc w:val="left"/>
                      <w:rPr>
                        <w:sz w:val="12"/>
                      </w:rPr>
                    </w:pPr>
                    <w:r>
                      <w:rPr>
                        <w:sz w:val="12"/>
                      </w:rPr>
                      <w:t>OFIs’ deposits</w:t>
                    </w:r>
                  </w:p>
                </w:txbxContent>
              </v:textbox>
              <w10:wrap type="none"/>
            </v:shape>
            <v:shape style="position:absolute;left:1229;top:1007;width:1937;height:133" type="#_x0000_t202" filled="false" stroked="false">
              <v:textbox inset="0,0,0,0">
                <w:txbxContent>
                  <w:p>
                    <w:pPr>
                      <w:spacing w:line="133" w:lineRule="exact" w:before="0"/>
                      <w:ind w:left="0" w:right="0" w:firstLine="0"/>
                      <w:jc w:val="left"/>
                      <w:rPr>
                        <w:sz w:val="12"/>
                      </w:rPr>
                    </w:pPr>
                    <w:r>
                      <w:rPr>
                        <w:sz w:val="12"/>
                      </w:rPr>
                      <w:t>Cash-financed mergers and acquisitions</w:t>
                    </w:r>
                  </w:p>
                </w:txbxContent>
              </v:textbox>
              <w10:wrap type="none"/>
            </v:shape>
            <w10:wrap type="none"/>
          </v:group>
        </w:pict>
      </w:r>
      <w:r>
        <w:rPr>
          <w:sz w:val="12"/>
        </w:rPr>
        <w:t>9</w:t>
      </w:r>
    </w:p>
    <w:p>
      <w:pPr>
        <w:pStyle w:val="BodyText"/>
        <w:spacing w:before="4"/>
        <w:rPr>
          <w:sz w:val="12"/>
        </w:rPr>
      </w:pPr>
    </w:p>
    <w:p>
      <w:pPr>
        <w:spacing w:before="0"/>
        <w:ind w:left="3699" w:right="0" w:firstLine="0"/>
        <w:jc w:val="left"/>
        <w:rPr>
          <w:sz w:val="12"/>
        </w:rPr>
      </w:pPr>
      <w:r>
        <w:rPr>
          <w:sz w:val="12"/>
        </w:rPr>
        <w:t>8</w:t>
      </w:r>
    </w:p>
    <w:p>
      <w:pPr>
        <w:pStyle w:val="BodyText"/>
        <w:spacing w:before="4"/>
        <w:rPr>
          <w:sz w:val="12"/>
        </w:rPr>
      </w:pPr>
    </w:p>
    <w:p>
      <w:pPr>
        <w:spacing w:before="0"/>
        <w:ind w:left="3699" w:right="0" w:firstLine="0"/>
        <w:jc w:val="left"/>
        <w:rPr>
          <w:sz w:val="12"/>
        </w:rPr>
      </w:pPr>
      <w:r>
        <w:rPr>
          <w:sz w:val="12"/>
        </w:rPr>
        <w:t>7</w:t>
      </w:r>
    </w:p>
    <w:p>
      <w:pPr>
        <w:pStyle w:val="BodyText"/>
        <w:spacing w:before="7"/>
        <w:rPr>
          <w:sz w:val="10"/>
        </w:rPr>
      </w:pPr>
    </w:p>
    <w:p>
      <w:pPr>
        <w:spacing w:before="0"/>
        <w:ind w:left="3699" w:right="0" w:firstLine="0"/>
        <w:jc w:val="left"/>
        <w:rPr>
          <w:sz w:val="12"/>
        </w:rPr>
      </w:pPr>
      <w:r>
        <w:rPr>
          <w:sz w:val="12"/>
        </w:rPr>
        <w:t>6</w:t>
      </w:r>
    </w:p>
    <w:p>
      <w:pPr>
        <w:pStyle w:val="BodyText"/>
        <w:spacing w:before="4"/>
        <w:rPr>
          <w:sz w:val="12"/>
        </w:rPr>
      </w:pPr>
    </w:p>
    <w:p>
      <w:pPr>
        <w:spacing w:before="0"/>
        <w:ind w:left="3699" w:right="0" w:firstLine="0"/>
        <w:jc w:val="left"/>
        <w:rPr>
          <w:sz w:val="12"/>
        </w:rPr>
      </w:pPr>
      <w:r>
        <w:rPr>
          <w:sz w:val="12"/>
        </w:rPr>
        <w:t>5</w:t>
      </w:r>
    </w:p>
    <w:p>
      <w:pPr>
        <w:pStyle w:val="BodyText"/>
        <w:spacing w:before="4"/>
        <w:rPr>
          <w:sz w:val="12"/>
        </w:rPr>
      </w:pPr>
    </w:p>
    <w:p>
      <w:pPr>
        <w:spacing w:before="0"/>
        <w:ind w:left="3699" w:right="0" w:firstLine="0"/>
        <w:jc w:val="left"/>
        <w:rPr>
          <w:sz w:val="12"/>
        </w:rPr>
      </w:pPr>
      <w:r>
        <w:rPr>
          <w:sz w:val="12"/>
        </w:rPr>
        <w:t>4</w:t>
      </w:r>
    </w:p>
    <w:p>
      <w:pPr>
        <w:pStyle w:val="BodyText"/>
        <w:spacing w:before="7"/>
        <w:rPr>
          <w:sz w:val="10"/>
        </w:rPr>
      </w:pPr>
    </w:p>
    <w:p>
      <w:pPr>
        <w:spacing w:before="0"/>
        <w:ind w:left="3699" w:right="0" w:firstLine="0"/>
        <w:jc w:val="left"/>
        <w:rPr>
          <w:sz w:val="12"/>
        </w:rPr>
      </w:pPr>
      <w:r>
        <w:rPr>
          <w:sz w:val="12"/>
        </w:rPr>
        <w:t>3</w:t>
      </w:r>
    </w:p>
    <w:p>
      <w:pPr>
        <w:pStyle w:val="BodyText"/>
        <w:spacing w:before="4"/>
        <w:rPr>
          <w:sz w:val="12"/>
        </w:rPr>
      </w:pPr>
    </w:p>
    <w:p>
      <w:pPr>
        <w:spacing w:before="0"/>
        <w:ind w:left="3699" w:right="0" w:firstLine="0"/>
        <w:jc w:val="left"/>
        <w:rPr>
          <w:sz w:val="12"/>
        </w:rPr>
      </w:pPr>
      <w:r>
        <w:rPr>
          <w:sz w:val="12"/>
        </w:rPr>
        <w:t>2</w:t>
      </w:r>
    </w:p>
    <w:p>
      <w:pPr>
        <w:pStyle w:val="BodyText"/>
        <w:spacing w:before="4"/>
        <w:rPr>
          <w:sz w:val="12"/>
        </w:rPr>
      </w:pPr>
    </w:p>
    <w:p>
      <w:pPr>
        <w:spacing w:line="130" w:lineRule="exact" w:before="0"/>
        <w:ind w:left="3699" w:right="0" w:firstLine="0"/>
        <w:jc w:val="left"/>
        <w:rPr>
          <w:sz w:val="12"/>
        </w:rPr>
      </w:pPr>
      <w:r>
        <w:rPr>
          <w:sz w:val="12"/>
        </w:rPr>
        <w:t>1</w:t>
      </w:r>
    </w:p>
    <w:p>
      <w:pPr>
        <w:spacing w:line="153" w:lineRule="exact" w:before="0"/>
        <w:ind w:left="3579" w:right="0" w:firstLine="0"/>
        <w:jc w:val="left"/>
        <w:rPr>
          <w:sz w:val="16"/>
        </w:rPr>
      </w:pPr>
      <w:r>
        <w:rPr>
          <w:sz w:val="16"/>
        </w:rPr>
        <w:t>+</w:t>
      </w:r>
    </w:p>
    <w:p>
      <w:pPr>
        <w:spacing w:line="141" w:lineRule="auto" w:before="0"/>
        <w:ind w:left="3579" w:right="0" w:firstLine="0"/>
        <w:jc w:val="left"/>
        <w:rPr>
          <w:sz w:val="12"/>
        </w:rPr>
      </w:pPr>
      <w:r>
        <w:rPr>
          <w:position w:val="-9"/>
          <w:sz w:val="16"/>
        </w:rPr>
        <w:t>_ </w:t>
      </w:r>
      <w:r>
        <w:rPr>
          <w:sz w:val="12"/>
        </w:rPr>
        <w:t>0</w:t>
      </w:r>
    </w:p>
    <w:p>
      <w:pPr>
        <w:spacing w:before="86"/>
        <w:ind w:left="3699" w:right="0" w:firstLine="0"/>
        <w:jc w:val="left"/>
        <w:rPr>
          <w:sz w:val="12"/>
        </w:rPr>
      </w:pPr>
      <w:r>
        <w:rPr>
          <w:sz w:val="12"/>
        </w:rPr>
        <w:t>1</w:t>
      </w:r>
    </w:p>
    <w:p>
      <w:pPr>
        <w:tabs>
          <w:tab w:pos="1228" w:val="left" w:leader="none"/>
          <w:tab w:pos="2048" w:val="left" w:leader="none"/>
          <w:tab w:pos="2868" w:val="left" w:leader="none"/>
        </w:tabs>
        <w:spacing w:before="9"/>
        <w:ind w:left="329" w:right="0" w:firstLine="0"/>
        <w:jc w:val="left"/>
        <w:rPr>
          <w:sz w:val="12"/>
        </w:rPr>
      </w:pPr>
      <w:r>
        <w:rPr>
          <w:sz w:val="12"/>
        </w:rPr>
        <w:t>1980</w:t>
        <w:tab/>
        <w:t>85</w:t>
        <w:tab/>
        <w:t>90</w:t>
        <w:tab/>
        <w:t>95</w:t>
      </w:r>
    </w:p>
    <w:p>
      <w:pPr>
        <w:pStyle w:val="BodyText"/>
        <w:spacing w:before="2"/>
        <w:rPr>
          <w:sz w:val="11"/>
        </w:rPr>
      </w:pPr>
    </w:p>
    <w:p>
      <w:pPr>
        <w:spacing w:before="1"/>
        <w:ind w:left="189" w:right="0" w:firstLine="0"/>
        <w:jc w:val="left"/>
        <w:rPr>
          <w:sz w:val="12"/>
        </w:rPr>
      </w:pPr>
      <w:r>
        <w:rPr>
          <w:color w:val="231F20"/>
          <w:sz w:val="12"/>
        </w:rPr>
        <w:t>Sources: ONS and Bank of England.</w:t>
      </w:r>
    </w:p>
    <w:p>
      <w:pPr>
        <w:spacing w:before="102"/>
        <w:ind w:left="189" w:right="0" w:firstLine="0"/>
        <w:jc w:val="left"/>
        <w:rPr>
          <w:sz w:val="12"/>
        </w:rPr>
      </w:pPr>
      <w:r>
        <w:rPr>
          <w:color w:val="231F20"/>
          <w:sz w:val="12"/>
        </w:rPr>
        <w:t>(a) Four-quarter moving average.</w:t>
      </w:r>
    </w:p>
    <w:p>
      <w:pPr>
        <w:pStyle w:val="BodyText"/>
        <w:spacing w:before="8"/>
        <w:rPr>
          <w:sz w:val="24"/>
        </w:rPr>
      </w:pPr>
      <w:r>
        <w:rPr/>
        <w:br w:type="column"/>
      </w:r>
      <w:r>
        <w:rPr>
          <w:sz w:val="24"/>
        </w:rPr>
      </w:r>
    </w:p>
    <w:p>
      <w:pPr>
        <w:pStyle w:val="Heading4"/>
        <w:spacing w:line="242" w:lineRule="auto"/>
        <w:ind w:left="189" w:right="187"/>
      </w:pPr>
      <w:r>
        <w:rPr>
          <w:color w:val="231F20"/>
        </w:rPr>
        <w:t>Since the early 1980s, rises in OFIs’ deposits have been correlated with cash-financed UK mergers and acquisitions activity (see Chart 1.4). A large proportion of payouts to shareholders from such activity is made to OFIs, which hold around 60% of quoted UK equities by value. More recently, this relationship has broken down: OFIs’ deposits have continued to grow strongly since mid 1996, despite a fall in UK cash-financed mergers and acquisitions. This has coincided with continued strong rises in asset prices.</w:t>
      </w:r>
    </w:p>
    <w:p>
      <w:pPr>
        <w:pStyle w:val="BodyText"/>
        <w:spacing w:before="8"/>
        <w:rPr>
          <w:sz w:val="23"/>
        </w:rPr>
      </w:pPr>
    </w:p>
    <w:p>
      <w:pPr>
        <w:spacing w:line="242" w:lineRule="auto" w:before="0"/>
        <w:ind w:left="188" w:right="180" w:firstLine="0"/>
        <w:jc w:val="left"/>
        <w:rPr>
          <w:sz w:val="24"/>
        </w:rPr>
      </w:pPr>
      <w:r>
        <w:rPr>
          <w:color w:val="231F20"/>
          <w:sz w:val="24"/>
        </w:rPr>
        <w:t>If OFIs aim to maintain a certain proportion of their assets in </w:t>
      </w:r>
      <w:r>
        <w:rPr>
          <w:color w:val="231F20"/>
          <w:spacing w:val="-4"/>
          <w:sz w:val="24"/>
        </w:rPr>
        <w:t>money, </w:t>
      </w:r>
      <w:r>
        <w:rPr>
          <w:color w:val="231F20"/>
          <w:sz w:val="24"/>
        </w:rPr>
        <w:t>an increase in the value of total assets would raise OFIs’ desired holdings of </w:t>
      </w:r>
      <w:r>
        <w:rPr>
          <w:color w:val="231F20"/>
          <w:spacing w:val="-4"/>
          <w:sz w:val="24"/>
        </w:rPr>
        <w:t>money.  </w:t>
      </w:r>
      <w:r>
        <w:rPr>
          <w:color w:val="231F20"/>
          <w:sz w:val="24"/>
        </w:rPr>
        <w:t>But higher money holdings can also push up asset prices. </w:t>
      </w:r>
      <w:r>
        <w:rPr>
          <w:color w:val="231F20"/>
          <w:spacing w:val="-9"/>
          <w:sz w:val="24"/>
        </w:rPr>
        <w:t>As </w:t>
      </w:r>
      <w:r>
        <w:rPr>
          <w:color w:val="231F20"/>
          <w:sz w:val="24"/>
        </w:rPr>
        <w:t>a proportion of their gross financial assets, the broad money holdings of life assurance and pension funds (L</w:t>
      </w:r>
      <w:r>
        <w:rPr>
          <w:color w:val="231F20"/>
          <w:sz w:val="20"/>
        </w:rPr>
        <w:t>APF</w:t>
      </w:r>
      <w:r>
        <w:rPr>
          <w:color w:val="231F20"/>
          <w:sz w:val="24"/>
        </w:rPr>
        <w:t>s)—which hold about 40% of total OFI deposits— rose from 3.8% at the end of 1993 to 5.6% at the end of</w:t>
      </w:r>
    </w:p>
    <w:p>
      <w:pPr>
        <w:spacing w:after="0" w:line="242" w:lineRule="auto"/>
        <w:jc w:val="left"/>
        <w:rPr>
          <w:sz w:val="24"/>
        </w:rPr>
        <w:sectPr>
          <w:type w:val="continuous"/>
          <w:pgSz w:w="11900" w:h="16840"/>
          <w:pgMar w:top="1220" w:bottom="280" w:left="620" w:right="640"/>
          <w:cols w:num="2" w:equalWidth="0">
            <w:col w:w="3964" w:space="836"/>
            <w:col w:w="5840"/>
          </w:cols>
        </w:sectPr>
      </w:pPr>
    </w:p>
    <w:p>
      <w:pPr>
        <w:pStyle w:val="BodyText"/>
        <w:rPr>
          <w:sz w:val="20"/>
        </w:rPr>
      </w:pPr>
    </w:p>
    <w:p>
      <w:pPr>
        <w:spacing w:line="242" w:lineRule="auto" w:before="207"/>
        <w:ind w:left="4989" w:right="186" w:firstLine="0"/>
        <w:jc w:val="left"/>
        <w:rPr>
          <w:sz w:val="24"/>
        </w:rPr>
      </w:pPr>
      <w:bookmarkStart w:name="Personal sector" w:id="10"/>
      <w:bookmarkEnd w:id="10"/>
      <w:r>
        <w:rPr/>
      </w:r>
      <w:bookmarkStart w:name="Industrial and commercial companies (ICC" w:id="11"/>
      <w:bookmarkEnd w:id="11"/>
      <w:r>
        <w:rPr/>
      </w:r>
      <w:bookmarkStart w:name="Divisia money" w:id="12"/>
      <w:bookmarkEnd w:id="12"/>
      <w:r>
        <w:rPr/>
      </w:r>
      <w:bookmarkStart w:name="_bookmark3" w:id="13"/>
      <w:bookmarkEnd w:id="13"/>
      <w:r>
        <w:rPr/>
      </w:r>
      <w:r>
        <w:rPr>
          <w:color w:val="231F20"/>
          <w:sz w:val="24"/>
        </w:rPr>
        <w:t>1996. Part of this build-up has now unwound. L</w:t>
      </w:r>
      <w:r>
        <w:rPr>
          <w:color w:val="231F20"/>
          <w:sz w:val="20"/>
        </w:rPr>
        <w:t>APF</w:t>
      </w:r>
      <w:r>
        <w:rPr>
          <w:color w:val="231F20"/>
          <w:sz w:val="24"/>
        </w:rPr>
        <w:t>s’ broad money holdings accounted for 4.8% of their gross financial assets at the end of 1998 Q1, and the results of the Merrill Lynch-Gallup survey of major UK pension fund managers suggest that this fall may </w:t>
      </w:r>
      <w:r>
        <w:rPr>
          <w:color w:val="231F20"/>
          <w:spacing w:val="-3"/>
          <w:sz w:val="24"/>
        </w:rPr>
        <w:t>have </w:t>
      </w:r>
      <w:r>
        <w:rPr>
          <w:color w:val="231F20"/>
          <w:sz w:val="24"/>
        </w:rPr>
        <w:t>continued in Q2. Some of the decline during 1998 appears to </w:t>
      </w:r>
      <w:r>
        <w:rPr>
          <w:color w:val="231F20"/>
          <w:spacing w:val="-3"/>
          <w:sz w:val="24"/>
        </w:rPr>
        <w:t>have </w:t>
      </w:r>
      <w:r>
        <w:rPr>
          <w:color w:val="231F20"/>
          <w:sz w:val="24"/>
        </w:rPr>
        <w:t>been associated with the acquisition of foreign assets: net institutional investment in overseas securities was at a record level in Q1. Relationships between asset </w:t>
      </w:r>
      <w:r>
        <w:rPr>
          <w:color w:val="231F20"/>
          <w:spacing w:val="-3"/>
          <w:sz w:val="24"/>
        </w:rPr>
        <w:t>prices, </w:t>
      </w:r>
      <w:r>
        <w:rPr>
          <w:color w:val="231F20"/>
          <w:sz w:val="24"/>
        </w:rPr>
        <w:t>wealth and activity are discussed later in this section and </w:t>
      </w:r>
      <w:hyperlink w:history="true" w:anchor="_bookmark14">
        <w:r>
          <w:rPr>
            <w:color w:val="231F20"/>
            <w:sz w:val="24"/>
          </w:rPr>
          <w:t>in Section 2.</w:t>
        </w:r>
      </w:hyperlink>
    </w:p>
    <w:p>
      <w:pPr>
        <w:pStyle w:val="BodyText"/>
        <w:spacing w:before="9"/>
        <w:rPr>
          <w:sz w:val="17"/>
        </w:rPr>
      </w:pPr>
    </w:p>
    <w:p>
      <w:pPr>
        <w:spacing w:after="0"/>
        <w:rPr>
          <w:sz w:val="17"/>
        </w:rPr>
        <w:sectPr>
          <w:footerReference w:type="default" r:id="rId14"/>
          <w:footerReference w:type="even" r:id="rId15"/>
          <w:pgSz w:w="11900" w:h="16840"/>
          <w:pgMar w:footer="597" w:header="566" w:top="760" w:bottom="780" w:left="620" w:right="640"/>
          <w:pgNumType w:start="5"/>
        </w:sectPr>
      </w:pPr>
    </w:p>
    <w:p>
      <w:pPr>
        <w:pStyle w:val="BodyText"/>
        <w:rPr>
          <w:sz w:val="22"/>
        </w:rPr>
      </w:pPr>
    </w:p>
    <w:p>
      <w:pPr>
        <w:pStyle w:val="Heading8"/>
        <w:spacing w:before="196"/>
        <w:ind w:left="196"/>
      </w:pPr>
      <w:r>
        <w:rPr>
          <w:color w:val="0093C1"/>
        </w:rPr>
        <w:t>Chart 1.5</w:t>
      </w:r>
    </w:p>
    <w:p>
      <w:pPr>
        <w:spacing w:line="249" w:lineRule="auto" w:before="10"/>
        <w:ind w:left="196" w:right="20" w:firstLine="0"/>
        <w:jc w:val="left"/>
        <w:rPr>
          <w:b/>
          <w:sz w:val="20"/>
        </w:rPr>
      </w:pPr>
      <w:r>
        <w:rPr>
          <w:b/>
          <w:color w:val="0093C1"/>
          <w:sz w:val="20"/>
        </w:rPr>
        <w:t>Growth of bank and building society retail deposits</w:t>
      </w:r>
    </w:p>
    <w:p>
      <w:pPr>
        <w:spacing w:line="116" w:lineRule="exact" w:before="113"/>
        <w:ind w:left="1805" w:right="0" w:firstLine="0"/>
        <w:jc w:val="left"/>
        <w:rPr>
          <w:sz w:val="12"/>
        </w:rPr>
      </w:pPr>
      <w:r>
        <w:rPr>
          <w:sz w:val="12"/>
        </w:rPr>
        <w:t>Percentage changes on a year earlier</w:t>
      </w:r>
    </w:p>
    <w:p>
      <w:pPr>
        <w:spacing w:line="116" w:lineRule="exact" w:before="0"/>
        <w:ind w:left="3598" w:right="0" w:firstLine="0"/>
        <w:jc w:val="left"/>
        <w:rPr>
          <w:sz w:val="12"/>
        </w:rPr>
      </w:pPr>
      <w:r>
        <w:rPr/>
        <w:pict>
          <v:group style="position:absolute;margin-left:43.111pt;margin-top:10.485352pt;width:165.65pt;height:109pt;mso-position-horizontal-relative:page;mso-position-vertical-relative:paragraph;z-index:15772160" coordorigin="862,210" coordsize="3313,2180">
            <v:shape style="position:absolute;left:862;top:1759;width:80;height:420" coordorigin="862,1760" coordsize="80,420" path="m942,2180l862,2180m942,1760l862,1760e" filled="false" stroked="true" strokeweight=".5pt" strokecolor="#000000">
              <v:path arrowok="t"/>
              <v:stroke dashstyle="solid"/>
            </v:shape>
            <v:shape style="position:absolute;left:1011;top:1439;width:3000;height:940" coordorigin="1012,1440" coordsize="3000,940" path="m1012,2080l1072,2280,1152,2380,1232,2080,1292,2000,1372,2020,1452,2080,1512,1820,1592,1720,1672,1720,1752,1700,1812,1740,1892,1760,1952,1760,2032,1460,2112,1780,2172,1840,2252,1680,2332,1820,2412,1720,2472,1720,2552,1760,2612,1760,2692,1780,2772,1620,2852,1660,2912,1740,2992,1800,3072,1640,3132,1440,3212,1440,3272,1780,3352,1860,3432,1700,3512,1700,3572,1760,3652,1900,3732,1820,3792,1980,3872,1840,3952,1960,4012,2320e" filled="false" stroked="true" strokeweight="1pt" strokecolor="#008256">
              <v:path arrowok="t"/>
              <v:stroke dashstyle="solid"/>
            </v:shape>
            <v:shape style="position:absolute;left:862;top:479;width:80;height:860" coordorigin="862,480" coordsize="80,860" path="m942,1340l862,1340m942,900l862,900m942,480l862,480e" filled="false" stroked="true" strokeweight=".5pt" strokecolor="#000000">
              <v:path arrowok="t"/>
              <v:stroke dashstyle="solid"/>
            </v:shape>
            <v:shape style="position:absolute;left:1011;top:219;width:3000;height:1880" coordorigin="1012,220" coordsize="3000,1880" path="m1012,2100l1072,2020,1232,1820,1292,1740,1372,1720,1452,1680,1512,1620,1592,1560,1672,1560,1752,1580,1812,1580,1892,1620,1952,1640,2112,1720,2172,1760,2252,1820,2332,1900,2412,1940,2472,2020,2552,1980,2612,1940,2692,1900,2772,1820,2852,1700,2912,1680,2992,1640,3072,1540,3132,1420,3272,860,3352,680,3432,480,3512,300,3572,240,3652,320,3732,520,3792,340,3872,220,4012,220e" filled="false" stroked="true" strokeweight="1pt" strokecolor="#95459a">
              <v:path arrowok="t"/>
              <v:stroke dashstyle="solid"/>
            </v:shape>
            <v:shape style="position:absolute;left:4075;top:479;width:100;height:1700" coordorigin="4075,480" coordsize="100,1700" path="m4175,2180l4075,2180m4175,1760l4075,1760m4175,1340l4075,1340m4175,900l4075,900m4175,480l4075,480e" filled="false" stroked="true" strokeweight=".5pt" strokecolor="#000000">
              <v:path arrowok="t"/>
              <v:stroke dashstyle="solid"/>
            </v:shape>
            <v:shape style="position:absolute;left:2421;top:542;width:884;height:133" type="#_x0000_t202" filled="false" stroked="false">
              <v:textbox inset="0,0,0,0">
                <w:txbxContent>
                  <w:p>
                    <w:pPr>
                      <w:spacing w:line="133" w:lineRule="exact" w:before="0"/>
                      <w:ind w:left="0" w:right="0" w:firstLine="0"/>
                      <w:jc w:val="left"/>
                      <w:rPr>
                        <w:sz w:val="12"/>
                      </w:rPr>
                    </w:pPr>
                    <w:r>
                      <w:rPr>
                        <w:sz w:val="12"/>
                      </w:rPr>
                      <w:t>Building societies</w:t>
                    </w:r>
                  </w:p>
                </w:txbxContent>
              </v:textbox>
              <w10:wrap type="none"/>
            </v:shape>
            <v:shape style="position:absolute;left:3401;top:1922;width:320;height:133" type="#_x0000_t202" filled="false" stroked="false">
              <v:textbox inset="0,0,0,0">
                <w:txbxContent>
                  <w:p>
                    <w:pPr>
                      <w:spacing w:line="133" w:lineRule="exact" w:before="0"/>
                      <w:ind w:left="0" w:right="0" w:firstLine="0"/>
                      <w:jc w:val="left"/>
                      <w:rPr>
                        <w:sz w:val="12"/>
                      </w:rPr>
                    </w:pPr>
                    <w:r>
                      <w:rPr>
                        <w:sz w:val="12"/>
                      </w:rPr>
                      <w:t>Banks</w:t>
                    </w:r>
                  </w:p>
                </w:txbxContent>
              </v:textbox>
              <w10:wrap type="none"/>
            </v:shape>
            <w10:wrap type="none"/>
          </v:group>
        </w:pict>
      </w:r>
      <w:r>
        <w:rPr/>
        <w:pict>
          <v:line style="position:absolute;mso-position-horizontal-relative:page;mso-position-vertical-relative:paragraph;z-index:15772672" from="47.111pt,1.985352pt" to="43.111pt,1.985352pt" stroked="true" strokeweight=".5pt" strokecolor="#000000">
            <v:stroke dashstyle="solid"/>
            <w10:wrap type="none"/>
          </v:line>
        </w:pict>
      </w:r>
      <w:r>
        <w:rPr/>
        <w:pict>
          <v:line style="position:absolute;mso-position-horizontal-relative:page;mso-position-vertical-relative:paragraph;z-index:15773696" from="208.757004pt,1.985352pt" to="203.757004pt,1.985352pt" stroked="true" strokeweight=".5pt" strokecolor="#000000">
            <v:stroke dashstyle="solid"/>
            <w10:wrap type="none"/>
          </v:line>
        </w:pict>
      </w:r>
      <w:r>
        <w:rPr>
          <w:sz w:val="12"/>
        </w:rPr>
        <w:t>14</w:t>
      </w:r>
    </w:p>
    <w:p>
      <w:pPr>
        <w:pStyle w:val="BodyText"/>
        <w:rPr>
          <w:sz w:val="12"/>
        </w:rPr>
      </w:pPr>
    </w:p>
    <w:p>
      <w:pPr>
        <w:pStyle w:val="BodyText"/>
        <w:spacing w:before="3"/>
        <w:rPr>
          <w:sz w:val="14"/>
        </w:rPr>
      </w:pPr>
    </w:p>
    <w:p>
      <w:pPr>
        <w:spacing w:before="0"/>
        <w:ind w:left="0" w:right="149" w:firstLine="0"/>
        <w:jc w:val="right"/>
        <w:rPr>
          <w:sz w:val="12"/>
        </w:rPr>
      </w:pPr>
      <w:r>
        <w:rPr>
          <w:sz w:val="12"/>
        </w:rPr>
        <w:t>12</w:t>
      </w:r>
    </w:p>
    <w:p>
      <w:pPr>
        <w:pStyle w:val="BodyText"/>
        <w:rPr>
          <w:sz w:val="12"/>
        </w:rPr>
      </w:pPr>
    </w:p>
    <w:p>
      <w:pPr>
        <w:pStyle w:val="BodyText"/>
        <w:spacing w:before="6"/>
        <w:rPr>
          <w:sz w:val="12"/>
        </w:rPr>
      </w:pPr>
    </w:p>
    <w:p>
      <w:pPr>
        <w:spacing w:before="0"/>
        <w:ind w:left="0" w:right="149" w:firstLine="0"/>
        <w:jc w:val="right"/>
        <w:rPr>
          <w:sz w:val="12"/>
        </w:rPr>
      </w:pPr>
      <w:r>
        <w:rPr>
          <w:sz w:val="12"/>
        </w:rPr>
        <w:t>10</w:t>
      </w:r>
    </w:p>
    <w:p>
      <w:pPr>
        <w:pStyle w:val="BodyText"/>
        <w:rPr>
          <w:sz w:val="12"/>
        </w:rPr>
      </w:pPr>
    </w:p>
    <w:p>
      <w:pPr>
        <w:pStyle w:val="BodyText"/>
        <w:spacing w:before="3"/>
        <w:rPr>
          <w:sz w:val="14"/>
        </w:rPr>
      </w:pPr>
    </w:p>
    <w:p>
      <w:pPr>
        <w:spacing w:before="0"/>
        <w:ind w:left="0" w:right="149" w:firstLine="0"/>
        <w:jc w:val="right"/>
        <w:rPr>
          <w:sz w:val="12"/>
        </w:rPr>
      </w:pPr>
      <w:r>
        <w:rPr>
          <w:sz w:val="12"/>
        </w:rPr>
        <w:t>8</w:t>
      </w:r>
    </w:p>
    <w:p>
      <w:pPr>
        <w:pStyle w:val="BodyText"/>
        <w:rPr>
          <w:sz w:val="12"/>
        </w:rPr>
      </w:pPr>
    </w:p>
    <w:p>
      <w:pPr>
        <w:pStyle w:val="BodyText"/>
        <w:spacing w:before="6"/>
        <w:rPr>
          <w:sz w:val="12"/>
        </w:rPr>
      </w:pPr>
    </w:p>
    <w:p>
      <w:pPr>
        <w:spacing w:before="0"/>
        <w:ind w:left="0" w:right="149" w:firstLine="0"/>
        <w:jc w:val="right"/>
        <w:rPr>
          <w:sz w:val="12"/>
        </w:rPr>
      </w:pPr>
      <w:r>
        <w:rPr>
          <w:sz w:val="12"/>
        </w:rPr>
        <w:t>6</w:t>
      </w:r>
    </w:p>
    <w:p>
      <w:pPr>
        <w:pStyle w:val="BodyText"/>
        <w:rPr>
          <w:sz w:val="12"/>
        </w:rPr>
      </w:pPr>
    </w:p>
    <w:p>
      <w:pPr>
        <w:pStyle w:val="BodyText"/>
        <w:spacing w:before="6"/>
        <w:rPr>
          <w:sz w:val="12"/>
        </w:rPr>
      </w:pPr>
    </w:p>
    <w:p>
      <w:pPr>
        <w:spacing w:before="0"/>
        <w:ind w:left="0" w:right="149" w:firstLine="0"/>
        <w:jc w:val="right"/>
        <w:rPr>
          <w:sz w:val="12"/>
        </w:rPr>
      </w:pPr>
      <w:r>
        <w:rPr>
          <w:sz w:val="12"/>
        </w:rPr>
        <w:t>4</w:t>
      </w:r>
    </w:p>
    <w:p>
      <w:pPr>
        <w:pStyle w:val="BodyText"/>
        <w:rPr>
          <w:sz w:val="12"/>
        </w:rPr>
      </w:pPr>
    </w:p>
    <w:p>
      <w:pPr>
        <w:pStyle w:val="BodyText"/>
        <w:spacing w:before="3"/>
        <w:rPr>
          <w:sz w:val="14"/>
        </w:rPr>
      </w:pPr>
    </w:p>
    <w:p>
      <w:pPr>
        <w:spacing w:before="0"/>
        <w:ind w:left="0" w:right="149" w:firstLine="0"/>
        <w:jc w:val="right"/>
        <w:rPr>
          <w:sz w:val="12"/>
        </w:rPr>
      </w:pPr>
      <w:r>
        <w:rPr/>
        <w:pict>
          <v:line style="position:absolute;mso-position-horizontal-relative:page;mso-position-vertical-relative:paragraph;z-index:15770624" from="47.111pt,3.101563pt" to="43.111pt,3.101563pt" stroked="true" strokeweight=".5pt" strokecolor="#000000">
            <v:stroke dashstyle="solid"/>
            <w10:wrap type="none"/>
          </v:line>
        </w:pict>
      </w:r>
      <w:r>
        <w:rPr/>
        <w:pict>
          <v:line style="position:absolute;mso-position-horizontal-relative:page;mso-position-vertical-relative:paragraph;z-index:15773184" from="208.757004pt,3.101563pt" to="203.757004pt,3.101563pt" stroked="true" strokeweight=".5pt" strokecolor="#000000">
            <v:stroke dashstyle="solid"/>
            <w10:wrap type="none"/>
          </v:line>
        </w:pict>
      </w:r>
      <w:r>
        <w:rPr>
          <w:sz w:val="12"/>
        </w:rPr>
        <w:t>2</w:t>
      </w:r>
    </w:p>
    <w:p>
      <w:pPr>
        <w:pStyle w:val="BodyText"/>
        <w:rPr>
          <w:sz w:val="12"/>
        </w:rPr>
      </w:pPr>
    </w:p>
    <w:p>
      <w:pPr>
        <w:pStyle w:val="BodyText"/>
        <w:spacing w:before="6"/>
        <w:rPr>
          <w:sz w:val="12"/>
        </w:rPr>
      </w:pPr>
    </w:p>
    <w:p>
      <w:pPr>
        <w:spacing w:line="129" w:lineRule="exact" w:before="0"/>
        <w:ind w:left="3658" w:right="0" w:firstLine="0"/>
        <w:jc w:val="left"/>
        <w:rPr>
          <w:sz w:val="12"/>
        </w:rPr>
      </w:pPr>
      <w:r>
        <w:rPr/>
        <w:pict>
          <v:shape style="position:absolute;margin-left:43.111pt;margin-top:-.898438pt;width:165.65pt;height:5pt;mso-position-horizontal-relative:page;mso-position-vertical-relative:paragraph;z-index:15770112" coordorigin="862,-18" coordsize="3313,100" path="m3652,82l3652,-18m2772,82l2772,-18m1892,82l1892,-18m1012,82l1012,-18m942,82l862,82m1012,82l4012,82m1085,82l1085,22m1158,82l1158,22m1232,82l1232,22m1305,82l1305,22m1378,82l1378,22m1452,82l1452,22m1525,82l1525,22m1598,82l1598,22m1672,82l1672,22m1745,82l1745,22m1818,82l1818,22m1965,82l1965,22m2038,82l2038,22m2112,82l2112,22m2185,82l2185,22m2258,82l2258,22m2332,82l2332,22m2405,82l2405,22m2478,82l2478,22m2552,82l2552,22m2625,82l2625,22m2698,82l2698,22m2845,82l2845,22m2918,82l2918,22m2992,82l2992,22m3065,82l3065,22m3138,82l3138,22m3212,82l3212,22m3285,82l3285,22m3358,82l3358,22m3432,82l3432,22m3505,82l3505,22m3578,82l3578,22m3724,82l3724,22m3796,82l3796,22m3868,82l3868,22m3940,82l3940,22m4012,82l4012,22m4175,82l4075,82e" filled="false" stroked="true" strokeweight=".5pt" strokecolor="#000000">
            <v:path arrowok="t"/>
            <v:stroke dashstyle="solid"/>
            <w10:wrap type="none"/>
          </v:shape>
        </w:pict>
      </w:r>
      <w:r>
        <w:rPr>
          <w:sz w:val="12"/>
        </w:rPr>
        <w:t>0</w:t>
      </w:r>
    </w:p>
    <w:p>
      <w:pPr>
        <w:tabs>
          <w:tab w:pos="1681" w:val="left" w:leader="none"/>
          <w:tab w:pos="2561" w:val="left" w:leader="none"/>
          <w:tab w:pos="3161" w:val="left" w:leader="none"/>
        </w:tabs>
        <w:spacing w:line="129" w:lineRule="exact" w:before="0"/>
        <w:ind w:left="681" w:right="0" w:firstLine="0"/>
        <w:jc w:val="left"/>
        <w:rPr>
          <w:sz w:val="12"/>
        </w:rPr>
      </w:pPr>
      <w:r>
        <w:rPr>
          <w:sz w:val="12"/>
        </w:rPr>
        <w:t>1995</w:t>
        <w:tab/>
        <w:t>96</w:t>
        <w:tab/>
        <w:t>97</w:t>
        <w:tab/>
        <w:t>98</w:t>
      </w:r>
    </w:p>
    <w:p>
      <w:pPr>
        <w:spacing w:before="6"/>
        <w:ind w:left="181" w:right="0" w:firstLine="0"/>
        <w:jc w:val="left"/>
        <w:rPr>
          <w:sz w:val="12"/>
        </w:rPr>
      </w:pPr>
      <w:r>
        <w:rPr>
          <w:color w:val="231F20"/>
          <w:sz w:val="12"/>
        </w:rPr>
        <w:t>Source: Bank of England.</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8"/>
        <w:rPr>
          <w:sz w:val="12"/>
        </w:rPr>
      </w:pPr>
    </w:p>
    <w:p>
      <w:pPr>
        <w:pStyle w:val="Heading8"/>
        <w:spacing w:before="0"/>
        <w:ind w:left="169"/>
      </w:pPr>
      <w:r>
        <w:rPr>
          <w:color w:val="0093C1"/>
        </w:rPr>
        <w:t>Table 1.B</w:t>
      </w:r>
    </w:p>
    <w:p>
      <w:pPr>
        <w:spacing w:before="10"/>
        <w:ind w:left="169" w:right="0" w:firstLine="0"/>
        <w:jc w:val="left"/>
        <w:rPr>
          <w:b/>
          <w:sz w:val="20"/>
        </w:rPr>
      </w:pPr>
      <w:r>
        <w:rPr>
          <w:b/>
          <w:color w:val="0093C1"/>
          <w:sz w:val="20"/>
        </w:rPr>
        <w:t>Annual growth rates of Divisia and M4</w:t>
      </w:r>
    </w:p>
    <w:p>
      <w:pPr>
        <w:spacing w:before="106"/>
        <w:ind w:left="169" w:right="0" w:firstLine="0"/>
        <w:jc w:val="left"/>
        <w:rPr>
          <w:sz w:val="14"/>
        </w:rPr>
      </w:pPr>
      <w:r>
        <w:rPr>
          <w:color w:val="231F20"/>
          <w:sz w:val="14"/>
        </w:rPr>
        <w:t>Percentage changes on a year earlier</w:t>
      </w:r>
    </w:p>
    <w:p>
      <w:pPr>
        <w:pStyle w:val="BodyText"/>
        <w:spacing w:before="10"/>
        <w:rPr>
          <w:sz w:val="10"/>
        </w:rPr>
      </w:pPr>
    </w:p>
    <w:tbl>
      <w:tblPr>
        <w:tblW w:w="0" w:type="auto"/>
        <w:jc w:val="left"/>
        <w:tblInd w:w="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2"/>
        <w:gridCol w:w="1408"/>
        <w:gridCol w:w="1000"/>
      </w:tblGrid>
      <w:tr>
        <w:trPr>
          <w:trHeight w:val="167" w:hRule="atLeast"/>
        </w:trPr>
        <w:tc>
          <w:tcPr>
            <w:tcW w:w="782" w:type="dxa"/>
            <w:vMerge w:val="restart"/>
          </w:tcPr>
          <w:p>
            <w:pPr>
              <w:pStyle w:val="TableParagraph"/>
              <w:rPr>
                <w:sz w:val="22"/>
              </w:rPr>
            </w:pPr>
          </w:p>
        </w:tc>
        <w:tc>
          <w:tcPr>
            <w:tcW w:w="1408" w:type="dxa"/>
          </w:tcPr>
          <w:p>
            <w:pPr>
              <w:pStyle w:val="TableParagraph"/>
              <w:tabs>
                <w:tab w:pos="1278" w:val="left" w:leader="none"/>
              </w:tabs>
              <w:spacing w:line="148" w:lineRule="exact"/>
              <w:ind w:left="327"/>
              <w:rPr>
                <w:sz w:val="14"/>
              </w:rPr>
            </w:pPr>
            <w:r>
              <w:rPr>
                <w:color w:val="231F20"/>
                <w:sz w:val="14"/>
                <w:u w:val="single" w:color="231F20"/>
              </w:rPr>
              <w:t>1997</w:t>
              <w:tab/>
            </w:r>
          </w:p>
        </w:tc>
        <w:tc>
          <w:tcPr>
            <w:tcW w:w="1000" w:type="dxa"/>
          </w:tcPr>
          <w:p>
            <w:pPr>
              <w:pStyle w:val="TableParagraph"/>
              <w:tabs>
                <w:tab w:pos="881" w:val="left" w:leader="none"/>
              </w:tabs>
              <w:spacing w:line="148" w:lineRule="exact"/>
              <w:ind w:left="60"/>
              <w:jc w:val="center"/>
              <w:rPr>
                <w:sz w:val="14"/>
              </w:rPr>
            </w:pPr>
            <w:r>
              <w:rPr>
                <w:color w:val="231F20"/>
                <w:sz w:val="14"/>
                <w:u w:val="single" w:color="231F20"/>
              </w:rPr>
              <w:t>1998</w:t>
              <w:tab/>
            </w:r>
          </w:p>
        </w:tc>
      </w:tr>
      <w:tr>
        <w:trPr>
          <w:trHeight w:val="229" w:hRule="atLeast"/>
        </w:trPr>
        <w:tc>
          <w:tcPr>
            <w:tcW w:w="782" w:type="dxa"/>
            <w:vMerge/>
            <w:tcBorders>
              <w:top w:val="nil"/>
            </w:tcBorders>
          </w:tcPr>
          <w:p>
            <w:pPr>
              <w:rPr>
                <w:sz w:val="2"/>
                <w:szCs w:val="2"/>
              </w:rPr>
            </w:pPr>
          </w:p>
        </w:tc>
        <w:tc>
          <w:tcPr>
            <w:tcW w:w="1408" w:type="dxa"/>
          </w:tcPr>
          <w:p>
            <w:pPr>
              <w:pStyle w:val="TableParagraph"/>
              <w:tabs>
                <w:tab w:pos="947" w:val="left" w:leader="none"/>
              </w:tabs>
              <w:spacing w:before="6"/>
              <w:ind w:left="327"/>
              <w:rPr>
                <w:sz w:val="14"/>
              </w:rPr>
            </w:pPr>
            <w:r>
              <w:rPr>
                <w:color w:val="231F20"/>
                <w:sz w:val="14"/>
                <w:u w:val="single" w:color="231F20"/>
              </w:rPr>
              <w:t>Q3</w:t>
            </w:r>
            <w:r>
              <w:rPr>
                <w:color w:val="231F20"/>
                <w:sz w:val="14"/>
              </w:rPr>
              <w:tab/>
            </w:r>
            <w:r>
              <w:rPr>
                <w:color w:val="231F20"/>
                <w:sz w:val="14"/>
                <w:u w:val="single" w:color="231F20"/>
              </w:rPr>
              <w:t>Q4</w:t>
            </w:r>
            <w:r>
              <w:rPr>
                <w:color w:val="231F20"/>
                <w:spacing w:val="-5"/>
                <w:sz w:val="14"/>
                <w:u w:val="single" w:color="231F20"/>
              </w:rPr>
              <w:t> </w:t>
            </w:r>
          </w:p>
        </w:tc>
        <w:tc>
          <w:tcPr>
            <w:tcW w:w="1000" w:type="dxa"/>
          </w:tcPr>
          <w:p>
            <w:pPr>
              <w:pStyle w:val="TableParagraph"/>
              <w:tabs>
                <w:tab w:pos="661" w:val="left" w:leader="none"/>
              </w:tabs>
              <w:spacing w:before="6"/>
              <w:ind w:left="70"/>
              <w:jc w:val="center"/>
              <w:rPr>
                <w:sz w:val="14"/>
              </w:rPr>
            </w:pPr>
            <w:r>
              <w:rPr>
                <w:color w:val="231F20"/>
                <w:sz w:val="14"/>
                <w:u w:val="single" w:color="231F20"/>
              </w:rPr>
              <w:t>Q1</w:t>
            </w:r>
            <w:r>
              <w:rPr>
                <w:color w:val="231F20"/>
                <w:sz w:val="14"/>
              </w:rPr>
              <w:tab/>
            </w:r>
            <w:r>
              <w:rPr>
                <w:color w:val="231F20"/>
                <w:sz w:val="14"/>
                <w:u w:val="single" w:color="231F20"/>
              </w:rPr>
              <w:t> Q2</w:t>
            </w:r>
            <w:r>
              <w:rPr>
                <w:color w:val="231F20"/>
                <w:spacing w:val="5"/>
                <w:sz w:val="14"/>
                <w:u w:val="single" w:color="231F20"/>
              </w:rPr>
              <w:t> </w:t>
            </w:r>
          </w:p>
        </w:tc>
      </w:tr>
      <w:tr>
        <w:trPr>
          <w:trHeight w:val="210" w:hRule="atLeast"/>
        </w:trPr>
        <w:tc>
          <w:tcPr>
            <w:tcW w:w="782" w:type="dxa"/>
          </w:tcPr>
          <w:p>
            <w:pPr>
              <w:pStyle w:val="TableParagraph"/>
              <w:spacing w:line="133" w:lineRule="exact" w:before="56"/>
              <w:ind w:left="50"/>
              <w:rPr>
                <w:sz w:val="14"/>
              </w:rPr>
            </w:pPr>
            <w:r>
              <w:rPr>
                <w:color w:val="231F20"/>
                <w:sz w:val="14"/>
              </w:rPr>
              <w:t>M4</w:t>
            </w:r>
          </w:p>
        </w:tc>
        <w:tc>
          <w:tcPr>
            <w:tcW w:w="1408" w:type="dxa"/>
          </w:tcPr>
          <w:p>
            <w:pPr>
              <w:pStyle w:val="TableParagraph"/>
              <w:tabs>
                <w:tab w:pos="958" w:val="left" w:leader="none"/>
              </w:tabs>
              <w:spacing w:line="133" w:lineRule="exact" w:before="56"/>
              <w:ind w:left="328"/>
              <w:rPr>
                <w:sz w:val="14"/>
              </w:rPr>
            </w:pPr>
            <w:r>
              <w:rPr>
                <w:color w:val="231F20"/>
                <w:sz w:val="14"/>
              </w:rPr>
              <w:t>11.6</w:t>
              <w:tab/>
              <w:t>11.7</w:t>
            </w:r>
          </w:p>
        </w:tc>
        <w:tc>
          <w:tcPr>
            <w:tcW w:w="1000" w:type="dxa"/>
          </w:tcPr>
          <w:p>
            <w:pPr>
              <w:pStyle w:val="TableParagraph"/>
              <w:tabs>
                <w:tab w:pos="615" w:val="left" w:leader="none"/>
              </w:tabs>
              <w:spacing w:line="133" w:lineRule="exact" w:before="56"/>
              <w:ind w:left="35"/>
              <w:jc w:val="center"/>
              <w:rPr>
                <w:sz w:val="14"/>
              </w:rPr>
            </w:pPr>
            <w:r>
              <w:rPr>
                <w:color w:val="231F20"/>
                <w:sz w:val="14"/>
              </w:rPr>
              <w:t>9.6</w:t>
              <w:tab/>
              <w:t>9.0</w:t>
            </w:r>
          </w:p>
        </w:tc>
      </w:tr>
      <w:tr>
        <w:trPr>
          <w:trHeight w:val="147" w:hRule="atLeast"/>
        </w:trPr>
        <w:tc>
          <w:tcPr>
            <w:tcW w:w="782" w:type="dxa"/>
          </w:tcPr>
          <w:p>
            <w:pPr>
              <w:pStyle w:val="TableParagraph"/>
              <w:spacing w:line="128" w:lineRule="exact"/>
              <w:ind w:left="50"/>
              <w:rPr>
                <w:sz w:val="14"/>
              </w:rPr>
            </w:pPr>
            <w:r>
              <w:rPr>
                <w:color w:val="231F20"/>
                <w:sz w:val="14"/>
              </w:rPr>
              <w:t>Divisia</w:t>
            </w:r>
          </w:p>
        </w:tc>
        <w:tc>
          <w:tcPr>
            <w:tcW w:w="1408" w:type="dxa"/>
          </w:tcPr>
          <w:p>
            <w:pPr>
              <w:pStyle w:val="TableParagraph"/>
              <w:tabs>
                <w:tab w:pos="957" w:val="left" w:leader="none"/>
              </w:tabs>
              <w:spacing w:line="128" w:lineRule="exact"/>
              <w:ind w:left="328"/>
              <w:rPr>
                <w:sz w:val="14"/>
              </w:rPr>
            </w:pPr>
            <w:r>
              <w:rPr>
                <w:color w:val="231F20"/>
                <w:sz w:val="14"/>
              </w:rPr>
              <w:t>10.0</w:t>
              <w:tab/>
              <w:t>10.8</w:t>
            </w:r>
          </w:p>
        </w:tc>
        <w:tc>
          <w:tcPr>
            <w:tcW w:w="1000" w:type="dxa"/>
          </w:tcPr>
          <w:p>
            <w:pPr>
              <w:pStyle w:val="TableParagraph"/>
              <w:tabs>
                <w:tab w:pos="614" w:val="left" w:leader="none"/>
              </w:tabs>
              <w:spacing w:line="128" w:lineRule="exact"/>
              <w:ind w:left="35"/>
              <w:jc w:val="center"/>
              <w:rPr>
                <w:sz w:val="14"/>
              </w:rPr>
            </w:pPr>
            <w:r>
              <w:rPr>
                <w:color w:val="231F20"/>
                <w:sz w:val="14"/>
              </w:rPr>
              <w:t>8.6</w:t>
              <w:tab/>
              <w:t>7.9</w:t>
            </w:r>
          </w:p>
        </w:tc>
      </w:tr>
    </w:tbl>
    <w:p>
      <w:pPr>
        <w:spacing w:before="117"/>
        <w:ind w:left="169" w:right="0" w:firstLine="0"/>
        <w:jc w:val="left"/>
        <w:rPr>
          <w:sz w:val="12"/>
        </w:rPr>
      </w:pPr>
      <w:r>
        <w:rPr>
          <w:color w:val="231F20"/>
          <w:sz w:val="12"/>
        </w:rPr>
        <w:t>Source: Bank of England.</w:t>
      </w:r>
    </w:p>
    <w:p>
      <w:pPr>
        <w:spacing w:before="90"/>
        <w:ind w:left="168" w:right="0" w:firstLine="0"/>
        <w:jc w:val="left"/>
        <w:rPr>
          <w:i/>
          <w:sz w:val="24"/>
        </w:rPr>
      </w:pPr>
      <w:r>
        <w:rPr/>
        <w:br w:type="column"/>
      </w:r>
      <w:r>
        <w:rPr>
          <w:i/>
          <w:color w:val="009483"/>
          <w:sz w:val="24"/>
        </w:rPr>
        <w:t>Personal sector</w:t>
      </w:r>
    </w:p>
    <w:p>
      <w:pPr>
        <w:spacing w:line="242" w:lineRule="auto" w:before="164"/>
        <w:ind w:left="168" w:right="240" w:firstLine="0"/>
        <w:jc w:val="left"/>
        <w:rPr>
          <w:sz w:val="24"/>
        </w:rPr>
      </w:pPr>
      <w:r>
        <w:rPr>
          <w:color w:val="231F20"/>
          <w:sz w:val="24"/>
        </w:rPr>
        <w:t>Personal sector M4 grew at an annual rate of 6.2% in 1998 Q2, compared with 6.4% in Q1 and an average annual growth rate of 7.8% during 1997. Some of the continuing growth in personal sector M4 may have reflected speculation about future building society demutualisations. Retail building society deposits have been growing more rapidly than retail bank deposits since last summer (see Chart 1.5). But at least part of this probably reflects reallocations within personal sector M4, rather than transfers from other forms of saving.</w:t>
      </w:r>
    </w:p>
    <w:p>
      <w:pPr>
        <w:pStyle w:val="BodyText"/>
        <w:spacing w:before="6"/>
        <w:rPr>
          <w:sz w:val="25"/>
        </w:rPr>
      </w:pPr>
    </w:p>
    <w:p>
      <w:pPr>
        <w:spacing w:before="0"/>
        <w:ind w:left="168" w:right="0" w:firstLine="0"/>
        <w:jc w:val="left"/>
        <w:rPr>
          <w:i/>
          <w:sz w:val="24"/>
        </w:rPr>
      </w:pPr>
      <w:r>
        <w:rPr>
          <w:i/>
          <w:color w:val="009483"/>
          <w:sz w:val="24"/>
        </w:rPr>
        <w:t>Industrial and commercial companies (ICCs)</w:t>
      </w:r>
    </w:p>
    <w:p>
      <w:pPr>
        <w:spacing w:line="242" w:lineRule="auto" w:before="164"/>
        <w:ind w:left="168" w:right="240" w:firstLine="0"/>
        <w:jc w:val="left"/>
        <w:rPr>
          <w:sz w:val="24"/>
        </w:rPr>
      </w:pPr>
      <w:r>
        <w:rPr>
          <w:color w:val="231F20"/>
          <w:sz w:val="24"/>
        </w:rPr>
        <w:t>The growth of ICCs’ money holdings has been moderating since the second half of 1996</w:t>
      </w:r>
    </w:p>
    <w:p>
      <w:pPr>
        <w:spacing w:line="242" w:lineRule="auto" w:before="3"/>
        <w:ind w:left="168" w:right="211" w:firstLine="0"/>
        <w:jc w:val="left"/>
        <w:rPr>
          <w:sz w:val="24"/>
        </w:rPr>
      </w:pPr>
      <w:r>
        <w:rPr>
          <w:color w:val="231F20"/>
          <w:sz w:val="24"/>
        </w:rPr>
        <w:t>(see Chart 1.3). The twelve-month growth rate of ICCs’ M4 fell to 5.3% in 1998 Q2, compared with 5.8% in 1998 Q1 and an average of 7.5% in 1997. Money growth at this rate is consistent with slowing nominal investment growth during the rest of 1998. Part of the fall may also reflect portfolio reallocation in response to changes in relative asset prices: ICCs’ deposits </w:t>
      </w:r>
      <w:r>
        <w:rPr>
          <w:color w:val="231F20"/>
          <w:spacing w:val="-3"/>
          <w:sz w:val="24"/>
        </w:rPr>
        <w:t>have </w:t>
      </w:r>
      <w:r>
        <w:rPr>
          <w:color w:val="231F20"/>
          <w:sz w:val="24"/>
        </w:rPr>
        <w:t>fallen as a proportion of their gross financial assets </w:t>
      </w:r>
      <w:r>
        <w:rPr>
          <w:color w:val="231F20"/>
          <w:spacing w:val="-4"/>
          <w:sz w:val="24"/>
        </w:rPr>
        <w:t>since </w:t>
      </w:r>
      <w:r>
        <w:rPr>
          <w:color w:val="231F20"/>
          <w:sz w:val="24"/>
        </w:rPr>
        <w:t>1997 Q2.</w:t>
      </w:r>
    </w:p>
    <w:p>
      <w:pPr>
        <w:pStyle w:val="BodyText"/>
        <w:spacing w:before="6"/>
        <w:rPr>
          <w:sz w:val="23"/>
        </w:rPr>
      </w:pPr>
    </w:p>
    <w:p>
      <w:pPr>
        <w:spacing w:before="1"/>
        <w:ind w:left="168" w:right="0" w:firstLine="0"/>
        <w:jc w:val="left"/>
        <w:rPr>
          <w:i/>
          <w:sz w:val="24"/>
        </w:rPr>
      </w:pPr>
      <w:r>
        <w:rPr>
          <w:i/>
          <w:color w:val="009483"/>
          <w:sz w:val="24"/>
        </w:rPr>
        <w:t>Divisia money</w:t>
      </w:r>
    </w:p>
    <w:p>
      <w:pPr>
        <w:spacing w:line="242" w:lineRule="auto" w:before="164"/>
        <w:ind w:left="168" w:right="169" w:firstLine="0"/>
        <w:jc w:val="left"/>
        <w:rPr>
          <w:sz w:val="24"/>
        </w:rPr>
      </w:pPr>
      <w:r>
        <w:rPr>
          <w:color w:val="231F20"/>
          <w:sz w:val="24"/>
        </w:rPr>
        <w:t>One way of gauging the importance of the demand for money as a store of portfolio wealth is to compare the growth in M4 with growth in Divisia </w:t>
      </w:r>
      <w:r>
        <w:rPr>
          <w:color w:val="231F20"/>
          <w:spacing w:val="-4"/>
          <w:sz w:val="24"/>
        </w:rPr>
        <w:t>money, </w:t>
      </w:r>
      <w:r>
        <w:rPr>
          <w:color w:val="231F20"/>
          <w:sz w:val="24"/>
        </w:rPr>
        <w:t>which weights the components of M4 according to their liquidity (proxied by the inverse of their relative interest rates). Liquid deposits are more likely to be held for transactions purposes. </w:t>
      </w:r>
      <w:r>
        <w:rPr>
          <w:color w:val="231F20"/>
          <w:spacing w:val="-4"/>
          <w:sz w:val="24"/>
        </w:rPr>
        <w:t>Table </w:t>
      </w:r>
      <w:r>
        <w:rPr>
          <w:color w:val="231F20"/>
          <w:sz w:val="24"/>
        </w:rPr>
        <w:t>1.B suggests that, although the demand for money as a store of wealth has accounted for some of the recent broad money growth, growth in the demand for liquid balances as measured </w:t>
      </w:r>
      <w:r>
        <w:rPr>
          <w:color w:val="231F20"/>
          <w:spacing w:val="-9"/>
          <w:sz w:val="24"/>
        </w:rPr>
        <w:t>by </w:t>
      </w:r>
      <w:r>
        <w:rPr>
          <w:color w:val="231F20"/>
          <w:sz w:val="24"/>
        </w:rPr>
        <w:t>Divisia has also been strong but</w:t>
      </w:r>
      <w:r>
        <w:rPr>
          <w:color w:val="231F20"/>
          <w:spacing w:val="-3"/>
          <w:sz w:val="24"/>
        </w:rPr>
        <w:t> </w:t>
      </w:r>
      <w:r>
        <w:rPr>
          <w:color w:val="231F20"/>
          <w:sz w:val="24"/>
        </w:rPr>
        <w:t>moderating.</w:t>
      </w:r>
    </w:p>
    <w:p>
      <w:pPr>
        <w:spacing w:after="0" w:line="242" w:lineRule="auto"/>
        <w:jc w:val="left"/>
        <w:rPr>
          <w:sz w:val="24"/>
        </w:rPr>
        <w:sectPr>
          <w:type w:val="continuous"/>
          <w:pgSz w:w="11900" w:h="16840"/>
          <w:pgMar w:top="1220" w:bottom="280" w:left="620" w:right="640"/>
          <w:cols w:num="2" w:equalWidth="0">
            <w:col w:w="3870" w:space="950"/>
            <w:col w:w="5820"/>
          </w:cols>
        </w:sectPr>
      </w:pPr>
    </w:p>
    <w:p>
      <w:pPr>
        <w:pStyle w:val="BodyText"/>
        <w:rPr>
          <w:sz w:val="20"/>
        </w:rPr>
      </w:pPr>
    </w:p>
    <w:p>
      <w:pPr>
        <w:spacing w:before="227"/>
        <w:ind w:left="4994" w:right="0" w:firstLine="0"/>
        <w:jc w:val="left"/>
        <w:rPr>
          <w:i/>
          <w:sz w:val="24"/>
        </w:rPr>
      </w:pPr>
      <w:bookmarkStart w:name="Narrow money" w:id="14"/>
      <w:bookmarkEnd w:id="14"/>
      <w:r>
        <w:rPr/>
      </w:r>
      <w:bookmarkStart w:name="Credit" w:id="15"/>
      <w:bookmarkEnd w:id="15"/>
      <w:r>
        <w:rPr/>
      </w:r>
      <w:bookmarkStart w:name="Personal sector" w:id="16"/>
      <w:bookmarkEnd w:id="16"/>
      <w:r>
        <w:rPr/>
      </w:r>
      <w:bookmarkStart w:name="_bookmark4" w:id="17"/>
      <w:bookmarkEnd w:id="17"/>
      <w:r>
        <w:rPr/>
      </w:r>
      <w:bookmarkStart w:name="_bookmark5" w:id="18"/>
      <w:bookmarkEnd w:id="18"/>
      <w:r>
        <w:rPr/>
      </w:r>
      <w:r>
        <w:rPr>
          <w:i/>
          <w:color w:val="009483"/>
          <w:sz w:val="24"/>
        </w:rPr>
        <w:t>Narrow money</w:t>
      </w:r>
    </w:p>
    <w:p>
      <w:pPr>
        <w:spacing w:line="242" w:lineRule="auto" w:before="164"/>
        <w:ind w:left="4994" w:right="174" w:firstLine="0"/>
        <w:jc w:val="left"/>
        <w:rPr>
          <w:sz w:val="24"/>
        </w:rPr>
      </w:pPr>
      <w:r>
        <w:rPr>
          <w:color w:val="231F20"/>
          <w:sz w:val="24"/>
        </w:rPr>
        <w:t>Narrow money growth has slowed during 1998. Annual growth in notes and coin fell from a twelve-month high of 7.0% in February to 5.8% in July.</w:t>
      </w:r>
      <w:r>
        <w:rPr>
          <w:color w:val="231F20"/>
          <w:position w:val="5"/>
          <w:sz w:val="16"/>
        </w:rPr>
        <w:t>(1) </w:t>
      </w:r>
      <w:r>
        <w:rPr>
          <w:color w:val="231F20"/>
          <w:sz w:val="24"/>
        </w:rPr>
        <w:t>Slower growth in notes and coin is consistent with weaker nominal retail sales. To a lesser degree, it probably also reflects attempts to economise on cash as higher interest rates have raised the opportunity cost of holding non interest bearing balances.</w:t>
      </w:r>
    </w:p>
    <w:p>
      <w:pPr>
        <w:pStyle w:val="BodyText"/>
        <w:spacing w:before="5"/>
        <w:rPr>
          <w:sz w:val="25"/>
        </w:rPr>
      </w:pPr>
    </w:p>
    <w:p>
      <w:pPr>
        <w:pStyle w:val="ListParagraph"/>
        <w:numPr>
          <w:ilvl w:val="1"/>
          <w:numId w:val="4"/>
        </w:numPr>
        <w:tabs>
          <w:tab w:pos="9502" w:val="left" w:leader="none"/>
          <w:tab w:pos="9503" w:val="left" w:leader="none"/>
          <w:tab w:pos="10489" w:val="left" w:leader="none"/>
        </w:tabs>
        <w:spacing w:line="240" w:lineRule="auto" w:before="0" w:after="0"/>
        <w:ind w:left="9502" w:right="0" w:hanging="4509"/>
        <w:jc w:val="left"/>
        <w:rPr>
          <w:b/>
          <w:sz w:val="28"/>
        </w:rPr>
      </w:pPr>
      <w:r>
        <w:rPr>
          <w:b/>
          <w:color w:val="009483"/>
          <w:sz w:val="28"/>
          <w:u w:val="thick" w:color="0093C1"/>
        </w:rPr>
        <w:t>Credit</w:t>
        <w:tab/>
      </w:r>
    </w:p>
    <w:p>
      <w:pPr>
        <w:pStyle w:val="BodyText"/>
        <w:spacing w:before="2"/>
        <w:rPr>
          <w:b/>
          <w:sz w:val="15"/>
        </w:rPr>
      </w:pPr>
    </w:p>
    <w:p>
      <w:pPr>
        <w:spacing w:after="0"/>
        <w:rPr>
          <w:sz w:val="15"/>
        </w:rPr>
        <w:sectPr>
          <w:pgSz w:w="11900" w:h="16840"/>
          <w:pgMar w:header="566" w:footer="597" w:top="760" w:bottom="780" w:left="620" w:right="640"/>
        </w:sectPr>
      </w:pPr>
    </w:p>
    <w:p>
      <w:pPr>
        <w:pStyle w:val="BodyText"/>
        <w:spacing w:before="4"/>
        <w:rPr>
          <w:b/>
          <w:sz w:val="24"/>
        </w:rPr>
      </w:pPr>
    </w:p>
    <w:p>
      <w:pPr>
        <w:pStyle w:val="Heading8"/>
        <w:spacing w:before="1"/>
        <w:ind w:left="179"/>
      </w:pPr>
      <w:r>
        <w:rPr>
          <w:color w:val="0093C1"/>
        </w:rPr>
        <w:t>Table 1.C</w:t>
      </w:r>
    </w:p>
    <w:p>
      <w:pPr>
        <w:spacing w:before="10"/>
        <w:ind w:left="179" w:right="0" w:firstLine="0"/>
        <w:jc w:val="left"/>
        <w:rPr>
          <w:sz w:val="12"/>
        </w:rPr>
      </w:pPr>
      <w:r>
        <w:rPr>
          <w:b/>
          <w:color w:val="0093C1"/>
          <w:sz w:val="20"/>
        </w:rPr>
        <w:t>Large British banks: profits and capital</w:t>
      </w:r>
      <w:r>
        <w:rPr>
          <w:color w:val="231F20"/>
          <w:position w:val="4"/>
          <w:sz w:val="12"/>
        </w:rPr>
        <w:t>(a)</w:t>
      </w:r>
    </w:p>
    <w:p>
      <w:pPr>
        <w:spacing w:before="106"/>
        <w:ind w:left="179" w:right="0" w:firstLine="0"/>
        <w:jc w:val="left"/>
        <w:rPr>
          <w:sz w:val="14"/>
        </w:rPr>
      </w:pPr>
      <w:r>
        <w:rPr>
          <w:color w:val="231F20"/>
          <w:sz w:val="14"/>
        </w:rPr>
        <w:t>£ billions, unless otherwise stated</w:t>
      </w:r>
    </w:p>
    <w:p>
      <w:pPr>
        <w:pStyle w:val="BodyText"/>
        <w:spacing w:before="9" w:after="1"/>
        <w:rPr>
          <w:sz w:val="10"/>
        </w:rPr>
      </w:pPr>
    </w:p>
    <w:tbl>
      <w:tblPr>
        <w:tblW w:w="0" w:type="auto"/>
        <w:jc w:val="left"/>
        <w:tblInd w:w="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0"/>
        <w:gridCol w:w="385"/>
        <w:gridCol w:w="390"/>
        <w:gridCol w:w="390"/>
        <w:gridCol w:w="395"/>
        <w:gridCol w:w="373"/>
        <w:gridCol w:w="378"/>
      </w:tblGrid>
      <w:tr>
        <w:trPr>
          <w:trHeight w:val="155" w:hRule="atLeast"/>
        </w:trPr>
        <w:tc>
          <w:tcPr>
            <w:tcW w:w="2425" w:type="dxa"/>
            <w:gridSpan w:val="2"/>
          </w:tcPr>
          <w:p>
            <w:pPr>
              <w:pStyle w:val="TableParagraph"/>
              <w:spacing w:line="135" w:lineRule="exact"/>
              <w:ind w:right="53"/>
              <w:jc w:val="right"/>
              <w:rPr>
                <w:sz w:val="14"/>
              </w:rPr>
            </w:pPr>
            <w:r>
              <w:rPr>
                <w:color w:val="231F20"/>
                <w:sz w:val="14"/>
                <w:u w:val="single" w:color="231F20"/>
              </w:rPr>
              <w:t>1992</w:t>
            </w:r>
          </w:p>
        </w:tc>
        <w:tc>
          <w:tcPr>
            <w:tcW w:w="390" w:type="dxa"/>
          </w:tcPr>
          <w:p>
            <w:pPr>
              <w:pStyle w:val="TableParagraph"/>
              <w:spacing w:line="135" w:lineRule="exact"/>
              <w:ind w:right="52"/>
              <w:jc w:val="right"/>
              <w:rPr>
                <w:sz w:val="14"/>
              </w:rPr>
            </w:pPr>
            <w:r>
              <w:rPr>
                <w:color w:val="231F20"/>
                <w:sz w:val="14"/>
                <w:u w:val="single" w:color="231F20"/>
              </w:rPr>
              <w:t>1993</w:t>
            </w:r>
          </w:p>
        </w:tc>
        <w:tc>
          <w:tcPr>
            <w:tcW w:w="390" w:type="dxa"/>
          </w:tcPr>
          <w:p>
            <w:pPr>
              <w:pStyle w:val="TableParagraph"/>
              <w:spacing w:line="135" w:lineRule="exact"/>
              <w:ind w:right="52"/>
              <w:jc w:val="right"/>
              <w:rPr>
                <w:sz w:val="14"/>
              </w:rPr>
            </w:pPr>
            <w:r>
              <w:rPr>
                <w:color w:val="231F20"/>
                <w:sz w:val="14"/>
                <w:u w:val="single" w:color="231F20"/>
              </w:rPr>
              <w:t>1994</w:t>
            </w:r>
          </w:p>
        </w:tc>
        <w:tc>
          <w:tcPr>
            <w:tcW w:w="395" w:type="dxa"/>
          </w:tcPr>
          <w:p>
            <w:pPr>
              <w:pStyle w:val="TableParagraph"/>
              <w:spacing w:line="135" w:lineRule="exact"/>
              <w:ind w:left="36" w:right="38"/>
              <w:jc w:val="center"/>
              <w:rPr>
                <w:sz w:val="14"/>
              </w:rPr>
            </w:pPr>
            <w:r>
              <w:rPr>
                <w:color w:val="231F20"/>
                <w:sz w:val="14"/>
                <w:u w:val="single" w:color="231F20"/>
              </w:rPr>
              <w:t>1995</w:t>
            </w:r>
          </w:p>
        </w:tc>
        <w:tc>
          <w:tcPr>
            <w:tcW w:w="751" w:type="dxa"/>
            <w:gridSpan w:val="2"/>
          </w:tcPr>
          <w:p>
            <w:pPr>
              <w:pStyle w:val="TableParagraph"/>
              <w:spacing w:line="135" w:lineRule="exact"/>
              <w:ind w:left="60"/>
              <w:rPr>
                <w:sz w:val="14"/>
              </w:rPr>
            </w:pPr>
            <w:r>
              <w:rPr>
                <w:color w:val="231F20"/>
                <w:sz w:val="14"/>
                <w:u w:val="single" w:color="231F20"/>
              </w:rPr>
              <w:t>1996</w:t>
            </w:r>
            <w:r>
              <w:rPr>
                <w:color w:val="231F20"/>
                <w:sz w:val="14"/>
              </w:rPr>
              <w:t> </w:t>
            </w:r>
            <w:r>
              <w:rPr>
                <w:color w:val="231F20"/>
                <w:sz w:val="14"/>
                <w:u w:val="single" w:color="231F20"/>
              </w:rPr>
              <w:t>1997</w:t>
            </w:r>
          </w:p>
        </w:tc>
      </w:tr>
      <w:tr>
        <w:trPr>
          <w:trHeight w:val="272" w:hRule="atLeast"/>
        </w:trPr>
        <w:tc>
          <w:tcPr>
            <w:tcW w:w="2040" w:type="dxa"/>
          </w:tcPr>
          <w:p>
            <w:pPr>
              <w:pStyle w:val="TableParagraph"/>
              <w:spacing w:line="133" w:lineRule="exact" w:before="119"/>
              <w:ind w:left="50"/>
              <w:rPr>
                <w:sz w:val="14"/>
              </w:rPr>
            </w:pPr>
            <w:r>
              <w:rPr>
                <w:color w:val="231F20"/>
                <w:sz w:val="14"/>
              </w:rPr>
              <w:t>Operating profits before bad debts</w:t>
            </w:r>
          </w:p>
        </w:tc>
        <w:tc>
          <w:tcPr>
            <w:tcW w:w="385" w:type="dxa"/>
          </w:tcPr>
          <w:p>
            <w:pPr>
              <w:pStyle w:val="TableParagraph"/>
              <w:spacing w:line="133" w:lineRule="exact" w:before="119"/>
              <w:ind w:left="108" w:right="58"/>
              <w:jc w:val="center"/>
              <w:rPr>
                <w:sz w:val="14"/>
              </w:rPr>
            </w:pPr>
            <w:r>
              <w:rPr>
                <w:color w:val="231F20"/>
                <w:sz w:val="14"/>
              </w:rPr>
              <w:t>8.9</w:t>
            </w:r>
          </w:p>
        </w:tc>
        <w:tc>
          <w:tcPr>
            <w:tcW w:w="390" w:type="dxa"/>
          </w:tcPr>
          <w:p>
            <w:pPr>
              <w:pStyle w:val="TableParagraph"/>
              <w:spacing w:line="133" w:lineRule="exact" w:before="119"/>
              <w:ind w:right="67"/>
              <w:jc w:val="right"/>
              <w:rPr>
                <w:sz w:val="14"/>
              </w:rPr>
            </w:pPr>
            <w:r>
              <w:rPr>
                <w:color w:val="231F20"/>
                <w:sz w:val="14"/>
              </w:rPr>
              <w:t>10.8</w:t>
            </w:r>
          </w:p>
        </w:tc>
        <w:tc>
          <w:tcPr>
            <w:tcW w:w="390" w:type="dxa"/>
          </w:tcPr>
          <w:p>
            <w:pPr>
              <w:pStyle w:val="TableParagraph"/>
              <w:spacing w:line="133" w:lineRule="exact" w:before="119"/>
              <w:ind w:right="87"/>
              <w:jc w:val="right"/>
              <w:rPr>
                <w:sz w:val="14"/>
              </w:rPr>
            </w:pPr>
            <w:r>
              <w:rPr>
                <w:color w:val="231F20"/>
                <w:sz w:val="14"/>
              </w:rPr>
              <w:t>10.1</w:t>
            </w:r>
          </w:p>
        </w:tc>
        <w:tc>
          <w:tcPr>
            <w:tcW w:w="395" w:type="dxa"/>
          </w:tcPr>
          <w:p>
            <w:pPr>
              <w:pStyle w:val="TableParagraph"/>
              <w:spacing w:line="133" w:lineRule="exact" w:before="119"/>
              <w:ind w:left="1" w:right="38"/>
              <w:jc w:val="center"/>
              <w:rPr>
                <w:sz w:val="14"/>
              </w:rPr>
            </w:pPr>
            <w:r>
              <w:rPr>
                <w:color w:val="231F20"/>
                <w:sz w:val="14"/>
              </w:rPr>
              <w:t>11.8</w:t>
            </w:r>
          </w:p>
        </w:tc>
        <w:tc>
          <w:tcPr>
            <w:tcW w:w="373" w:type="dxa"/>
          </w:tcPr>
          <w:p>
            <w:pPr>
              <w:pStyle w:val="TableParagraph"/>
              <w:spacing w:line="133" w:lineRule="exact" w:before="119"/>
              <w:ind w:left="41" w:right="46"/>
              <w:jc w:val="center"/>
              <w:rPr>
                <w:sz w:val="14"/>
              </w:rPr>
            </w:pPr>
            <w:r>
              <w:rPr>
                <w:color w:val="231F20"/>
                <w:sz w:val="14"/>
              </w:rPr>
              <w:t>13.5</w:t>
            </w:r>
          </w:p>
        </w:tc>
        <w:tc>
          <w:tcPr>
            <w:tcW w:w="378" w:type="dxa"/>
          </w:tcPr>
          <w:p>
            <w:pPr>
              <w:pStyle w:val="TableParagraph"/>
              <w:spacing w:line="133" w:lineRule="exact" w:before="119"/>
              <w:ind w:left="47" w:right="46"/>
              <w:jc w:val="center"/>
              <w:rPr>
                <w:sz w:val="14"/>
              </w:rPr>
            </w:pPr>
            <w:r>
              <w:rPr>
                <w:color w:val="231F20"/>
                <w:sz w:val="14"/>
              </w:rPr>
              <w:t>14.3</w:t>
            </w:r>
          </w:p>
        </w:tc>
      </w:tr>
      <w:tr>
        <w:trPr>
          <w:trHeight w:val="140" w:hRule="atLeast"/>
        </w:trPr>
        <w:tc>
          <w:tcPr>
            <w:tcW w:w="2040" w:type="dxa"/>
          </w:tcPr>
          <w:p>
            <w:pPr>
              <w:pStyle w:val="TableParagraph"/>
              <w:spacing w:line="120" w:lineRule="exact"/>
              <w:ind w:left="50"/>
              <w:rPr>
                <w:sz w:val="14"/>
              </w:rPr>
            </w:pPr>
            <w:r>
              <w:rPr>
                <w:color w:val="231F20"/>
                <w:sz w:val="14"/>
              </w:rPr>
              <w:t>Charge for bad and doubtful debts</w:t>
            </w:r>
          </w:p>
        </w:tc>
        <w:tc>
          <w:tcPr>
            <w:tcW w:w="385" w:type="dxa"/>
          </w:tcPr>
          <w:p>
            <w:pPr>
              <w:pStyle w:val="TableParagraph"/>
              <w:spacing w:line="120" w:lineRule="exact"/>
              <w:ind w:left="108" w:right="58"/>
              <w:jc w:val="center"/>
              <w:rPr>
                <w:sz w:val="14"/>
              </w:rPr>
            </w:pPr>
            <w:r>
              <w:rPr>
                <w:color w:val="231F20"/>
                <w:sz w:val="14"/>
              </w:rPr>
              <w:t>6.7</w:t>
            </w:r>
          </w:p>
        </w:tc>
        <w:tc>
          <w:tcPr>
            <w:tcW w:w="390" w:type="dxa"/>
          </w:tcPr>
          <w:p>
            <w:pPr>
              <w:pStyle w:val="TableParagraph"/>
              <w:spacing w:line="120" w:lineRule="exact"/>
              <w:ind w:right="67"/>
              <w:jc w:val="right"/>
              <w:rPr>
                <w:sz w:val="14"/>
              </w:rPr>
            </w:pPr>
            <w:r>
              <w:rPr>
                <w:color w:val="231F20"/>
                <w:sz w:val="14"/>
              </w:rPr>
              <w:t>5.4</w:t>
            </w:r>
          </w:p>
        </w:tc>
        <w:tc>
          <w:tcPr>
            <w:tcW w:w="390" w:type="dxa"/>
          </w:tcPr>
          <w:p>
            <w:pPr>
              <w:pStyle w:val="TableParagraph"/>
              <w:spacing w:line="120" w:lineRule="exact"/>
              <w:ind w:right="87"/>
              <w:jc w:val="right"/>
              <w:rPr>
                <w:sz w:val="14"/>
              </w:rPr>
            </w:pPr>
            <w:r>
              <w:rPr>
                <w:color w:val="231F20"/>
                <w:sz w:val="14"/>
              </w:rPr>
              <w:t>2.1</w:t>
            </w:r>
          </w:p>
        </w:tc>
        <w:tc>
          <w:tcPr>
            <w:tcW w:w="395" w:type="dxa"/>
          </w:tcPr>
          <w:p>
            <w:pPr>
              <w:pStyle w:val="TableParagraph"/>
              <w:spacing w:line="120" w:lineRule="exact"/>
              <w:ind w:left="36" w:right="6"/>
              <w:jc w:val="center"/>
              <w:rPr>
                <w:sz w:val="14"/>
              </w:rPr>
            </w:pPr>
            <w:r>
              <w:rPr>
                <w:color w:val="231F20"/>
                <w:sz w:val="14"/>
              </w:rPr>
              <w:t>2.2</w:t>
            </w:r>
          </w:p>
        </w:tc>
        <w:tc>
          <w:tcPr>
            <w:tcW w:w="373" w:type="dxa"/>
          </w:tcPr>
          <w:p>
            <w:pPr>
              <w:pStyle w:val="TableParagraph"/>
              <w:spacing w:line="120" w:lineRule="exact"/>
              <w:ind w:left="108" w:right="46"/>
              <w:jc w:val="center"/>
              <w:rPr>
                <w:sz w:val="14"/>
              </w:rPr>
            </w:pPr>
            <w:r>
              <w:rPr>
                <w:color w:val="231F20"/>
                <w:sz w:val="14"/>
              </w:rPr>
              <w:t>1.8</w:t>
            </w:r>
          </w:p>
        </w:tc>
        <w:tc>
          <w:tcPr>
            <w:tcW w:w="378" w:type="dxa"/>
          </w:tcPr>
          <w:p>
            <w:pPr>
              <w:pStyle w:val="TableParagraph"/>
              <w:spacing w:line="120" w:lineRule="exact"/>
              <w:ind w:left="117" w:right="46"/>
              <w:jc w:val="center"/>
              <w:rPr>
                <w:sz w:val="14"/>
              </w:rPr>
            </w:pPr>
            <w:r>
              <w:rPr>
                <w:color w:val="231F20"/>
                <w:sz w:val="14"/>
              </w:rPr>
              <w:t>2.0</w:t>
            </w:r>
          </w:p>
        </w:tc>
      </w:tr>
      <w:tr>
        <w:trPr>
          <w:trHeight w:val="140" w:hRule="atLeast"/>
        </w:trPr>
        <w:tc>
          <w:tcPr>
            <w:tcW w:w="2040" w:type="dxa"/>
          </w:tcPr>
          <w:p>
            <w:pPr>
              <w:pStyle w:val="TableParagraph"/>
              <w:spacing w:line="120" w:lineRule="exact"/>
              <w:ind w:left="50"/>
              <w:rPr>
                <w:sz w:val="14"/>
              </w:rPr>
            </w:pPr>
            <w:r>
              <w:rPr>
                <w:color w:val="231F20"/>
                <w:sz w:val="14"/>
              </w:rPr>
              <w:t>Operating profits after bad debts</w:t>
            </w:r>
          </w:p>
        </w:tc>
        <w:tc>
          <w:tcPr>
            <w:tcW w:w="385" w:type="dxa"/>
          </w:tcPr>
          <w:p>
            <w:pPr>
              <w:pStyle w:val="TableParagraph"/>
              <w:spacing w:line="120" w:lineRule="exact"/>
              <w:ind w:left="108" w:right="58"/>
              <w:jc w:val="center"/>
              <w:rPr>
                <w:sz w:val="14"/>
              </w:rPr>
            </w:pPr>
            <w:r>
              <w:rPr>
                <w:color w:val="231F20"/>
                <w:sz w:val="14"/>
              </w:rPr>
              <w:t>2.2</w:t>
            </w:r>
          </w:p>
        </w:tc>
        <w:tc>
          <w:tcPr>
            <w:tcW w:w="390" w:type="dxa"/>
          </w:tcPr>
          <w:p>
            <w:pPr>
              <w:pStyle w:val="TableParagraph"/>
              <w:spacing w:line="120" w:lineRule="exact"/>
              <w:ind w:right="67"/>
              <w:jc w:val="right"/>
              <w:rPr>
                <w:sz w:val="14"/>
              </w:rPr>
            </w:pPr>
            <w:r>
              <w:rPr>
                <w:color w:val="231F20"/>
                <w:sz w:val="14"/>
              </w:rPr>
              <w:t>5.4</w:t>
            </w:r>
          </w:p>
        </w:tc>
        <w:tc>
          <w:tcPr>
            <w:tcW w:w="390" w:type="dxa"/>
          </w:tcPr>
          <w:p>
            <w:pPr>
              <w:pStyle w:val="TableParagraph"/>
              <w:spacing w:line="120" w:lineRule="exact"/>
              <w:ind w:right="87"/>
              <w:jc w:val="right"/>
              <w:rPr>
                <w:sz w:val="14"/>
              </w:rPr>
            </w:pPr>
            <w:r>
              <w:rPr>
                <w:color w:val="231F20"/>
                <w:sz w:val="14"/>
              </w:rPr>
              <w:t>8.0</w:t>
            </w:r>
          </w:p>
        </w:tc>
        <w:tc>
          <w:tcPr>
            <w:tcW w:w="395" w:type="dxa"/>
          </w:tcPr>
          <w:p>
            <w:pPr>
              <w:pStyle w:val="TableParagraph"/>
              <w:spacing w:line="120" w:lineRule="exact"/>
              <w:ind w:left="36" w:right="6"/>
              <w:jc w:val="center"/>
              <w:rPr>
                <w:sz w:val="14"/>
              </w:rPr>
            </w:pPr>
            <w:r>
              <w:rPr>
                <w:color w:val="231F20"/>
                <w:sz w:val="14"/>
              </w:rPr>
              <w:t>9.6</w:t>
            </w:r>
          </w:p>
        </w:tc>
        <w:tc>
          <w:tcPr>
            <w:tcW w:w="373" w:type="dxa"/>
          </w:tcPr>
          <w:p>
            <w:pPr>
              <w:pStyle w:val="TableParagraph"/>
              <w:spacing w:line="120" w:lineRule="exact"/>
              <w:ind w:left="41" w:right="46"/>
              <w:jc w:val="center"/>
              <w:rPr>
                <w:sz w:val="14"/>
              </w:rPr>
            </w:pPr>
            <w:r>
              <w:rPr>
                <w:color w:val="231F20"/>
                <w:sz w:val="14"/>
              </w:rPr>
              <w:t>11.8</w:t>
            </w:r>
          </w:p>
        </w:tc>
        <w:tc>
          <w:tcPr>
            <w:tcW w:w="378" w:type="dxa"/>
          </w:tcPr>
          <w:p>
            <w:pPr>
              <w:pStyle w:val="TableParagraph"/>
              <w:spacing w:line="120" w:lineRule="exact"/>
              <w:ind w:left="47" w:right="46"/>
              <w:jc w:val="center"/>
              <w:rPr>
                <w:sz w:val="14"/>
              </w:rPr>
            </w:pPr>
            <w:r>
              <w:rPr>
                <w:color w:val="231F20"/>
                <w:sz w:val="14"/>
              </w:rPr>
              <w:t>12.3</w:t>
            </w:r>
          </w:p>
        </w:tc>
      </w:tr>
      <w:tr>
        <w:trPr>
          <w:trHeight w:val="140" w:hRule="atLeast"/>
        </w:trPr>
        <w:tc>
          <w:tcPr>
            <w:tcW w:w="2040" w:type="dxa"/>
          </w:tcPr>
          <w:p>
            <w:pPr>
              <w:pStyle w:val="TableParagraph"/>
              <w:spacing w:line="120" w:lineRule="exact"/>
              <w:ind w:left="50"/>
              <w:rPr>
                <w:sz w:val="14"/>
              </w:rPr>
            </w:pPr>
            <w:r>
              <w:rPr>
                <w:color w:val="231F20"/>
                <w:sz w:val="14"/>
              </w:rPr>
              <w:t>Total net capital</w:t>
            </w:r>
          </w:p>
        </w:tc>
        <w:tc>
          <w:tcPr>
            <w:tcW w:w="385" w:type="dxa"/>
          </w:tcPr>
          <w:p>
            <w:pPr>
              <w:pStyle w:val="TableParagraph"/>
              <w:spacing w:line="120" w:lineRule="exact"/>
              <w:ind w:left="41" w:right="58"/>
              <w:jc w:val="center"/>
              <w:rPr>
                <w:sz w:val="14"/>
              </w:rPr>
            </w:pPr>
            <w:r>
              <w:rPr>
                <w:color w:val="231F20"/>
                <w:sz w:val="14"/>
              </w:rPr>
              <w:t>39.5</w:t>
            </w:r>
          </w:p>
        </w:tc>
        <w:tc>
          <w:tcPr>
            <w:tcW w:w="390" w:type="dxa"/>
          </w:tcPr>
          <w:p>
            <w:pPr>
              <w:pStyle w:val="TableParagraph"/>
              <w:spacing w:line="120" w:lineRule="exact"/>
              <w:ind w:right="69"/>
              <w:jc w:val="right"/>
              <w:rPr>
                <w:sz w:val="14"/>
              </w:rPr>
            </w:pPr>
            <w:r>
              <w:rPr>
                <w:color w:val="231F20"/>
                <w:sz w:val="14"/>
              </w:rPr>
              <w:t>43.3</w:t>
            </w:r>
          </w:p>
        </w:tc>
        <w:tc>
          <w:tcPr>
            <w:tcW w:w="390" w:type="dxa"/>
          </w:tcPr>
          <w:p>
            <w:pPr>
              <w:pStyle w:val="TableParagraph"/>
              <w:spacing w:line="120" w:lineRule="exact"/>
              <w:ind w:right="87"/>
              <w:jc w:val="right"/>
              <w:rPr>
                <w:sz w:val="14"/>
              </w:rPr>
            </w:pPr>
            <w:r>
              <w:rPr>
                <w:color w:val="231F20"/>
                <w:sz w:val="14"/>
              </w:rPr>
              <w:t>46.3</w:t>
            </w:r>
          </w:p>
        </w:tc>
        <w:tc>
          <w:tcPr>
            <w:tcW w:w="395" w:type="dxa"/>
          </w:tcPr>
          <w:p>
            <w:pPr>
              <w:pStyle w:val="TableParagraph"/>
              <w:spacing w:line="120" w:lineRule="exact"/>
              <w:ind w:left="1" w:right="38"/>
              <w:jc w:val="center"/>
              <w:rPr>
                <w:sz w:val="14"/>
              </w:rPr>
            </w:pPr>
            <w:r>
              <w:rPr>
                <w:color w:val="231F20"/>
                <w:sz w:val="14"/>
              </w:rPr>
              <w:t>51.6</w:t>
            </w:r>
          </w:p>
        </w:tc>
        <w:tc>
          <w:tcPr>
            <w:tcW w:w="373" w:type="dxa"/>
          </w:tcPr>
          <w:p>
            <w:pPr>
              <w:pStyle w:val="TableParagraph"/>
              <w:spacing w:line="120" w:lineRule="exact"/>
              <w:ind w:left="41" w:right="46"/>
              <w:jc w:val="center"/>
              <w:rPr>
                <w:sz w:val="14"/>
              </w:rPr>
            </w:pPr>
            <w:r>
              <w:rPr>
                <w:color w:val="231F20"/>
                <w:sz w:val="14"/>
              </w:rPr>
              <w:t>54.5</w:t>
            </w:r>
          </w:p>
        </w:tc>
        <w:tc>
          <w:tcPr>
            <w:tcW w:w="378" w:type="dxa"/>
          </w:tcPr>
          <w:p>
            <w:pPr>
              <w:pStyle w:val="TableParagraph"/>
              <w:spacing w:line="120" w:lineRule="exact"/>
              <w:ind w:left="47" w:right="46"/>
              <w:jc w:val="center"/>
              <w:rPr>
                <w:sz w:val="14"/>
              </w:rPr>
            </w:pPr>
            <w:r>
              <w:rPr>
                <w:color w:val="231F20"/>
                <w:sz w:val="14"/>
              </w:rPr>
              <w:t>59.5</w:t>
            </w:r>
          </w:p>
        </w:tc>
      </w:tr>
      <w:tr>
        <w:trPr>
          <w:trHeight w:val="208" w:hRule="atLeast"/>
        </w:trPr>
        <w:tc>
          <w:tcPr>
            <w:tcW w:w="2040" w:type="dxa"/>
          </w:tcPr>
          <w:p>
            <w:pPr>
              <w:pStyle w:val="TableParagraph"/>
              <w:spacing w:line="148" w:lineRule="exact"/>
              <w:ind w:left="50"/>
              <w:rPr>
                <w:sz w:val="14"/>
              </w:rPr>
            </w:pPr>
            <w:r>
              <w:rPr>
                <w:color w:val="231F20"/>
                <w:sz w:val="14"/>
              </w:rPr>
              <w:t>Risk-asset ratio (per cent)</w:t>
            </w:r>
          </w:p>
        </w:tc>
        <w:tc>
          <w:tcPr>
            <w:tcW w:w="385" w:type="dxa"/>
          </w:tcPr>
          <w:p>
            <w:pPr>
              <w:pStyle w:val="TableParagraph"/>
              <w:spacing w:line="148" w:lineRule="exact"/>
              <w:ind w:left="108" w:right="58"/>
              <w:jc w:val="center"/>
              <w:rPr>
                <w:sz w:val="14"/>
              </w:rPr>
            </w:pPr>
            <w:r>
              <w:rPr>
                <w:color w:val="231F20"/>
                <w:sz w:val="14"/>
              </w:rPr>
              <w:t>9.9</w:t>
            </w:r>
          </w:p>
        </w:tc>
        <w:tc>
          <w:tcPr>
            <w:tcW w:w="390" w:type="dxa"/>
          </w:tcPr>
          <w:p>
            <w:pPr>
              <w:pStyle w:val="TableParagraph"/>
              <w:spacing w:line="148" w:lineRule="exact"/>
              <w:ind w:right="67"/>
              <w:jc w:val="right"/>
              <w:rPr>
                <w:sz w:val="14"/>
              </w:rPr>
            </w:pPr>
            <w:r>
              <w:rPr>
                <w:color w:val="231F20"/>
                <w:sz w:val="14"/>
              </w:rPr>
              <w:t>10.8</w:t>
            </w:r>
          </w:p>
        </w:tc>
        <w:tc>
          <w:tcPr>
            <w:tcW w:w="390" w:type="dxa"/>
          </w:tcPr>
          <w:p>
            <w:pPr>
              <w:pStyle w:val="TableParagraph"/>
              <w:spacing w:line="148" w:lineRule="exact"/>
              <w:ind w:right="87"/>
              <w:jc w:val="right"/>
              <w:rPr>
                <w:sz w:val="14"/>
              </w:rPr>
            </w:pPr>
            <w:r>
              <w:rPr>
                <w:color w:val="231F20"/>
                <w:sz w:val="14"/>
              </w:rPr>
              <w:t>11.3</w:t>
            </w:r>
          </w:p>
        </w:tc>
        <w:tc>
          <w:tcPr>
            <w:tcW w:w="395" w:type="dxa"/>
          </w:tcPr>
          <w:p>
            <w:pPr>
              <w:pStyle w:val="TableParagraph"/>
              <w:spacing w:line="148" w:lineRule="exact"/>
              <w:ind w:left="1" w:right="38"/>
              <w:jc w:val="center"/>
              <w:rPr>
                <w:sz w:val="14"/>
              </w:rPr>
            </w:pPr>
            <w:r>
              <w:rPr>
                <w:color w:val="231F20"/>
                <w:sz w:val="14"/>
              </w:rPr>
              <w:t>10.8</w:t>
            </w:r>
          </w:p>
        </w:tc>
        <w:tc>
          <w:tcPr>
            <w:tcW w:w="373" w:type="dxa"/>
          </w:tcPr>
          <w:p>
            <w:pPr>
              <w:pStyle w:val="TableParagraph"/>
              <w:spacing w:line="148" w:lineRule="exact"/>
              <w:ind w:left="41" w:right="46"/>
              <w:jc w:val="center"/>
              <w:rPr>
                <w:sz w:val="14"/>
              </w:rPr>
            </w:pPr>
            <w:r>
              <w:rPr>
                <w:color w:val="231F20"/>
                <w:sz w:val="14"/>
              </w:rPr>
              <w:t>10.9</w:t>
            </w:r>
          </w:p>
        </w:tc>
        <w:tc>
          <w:tcPr>
            <w:tcW w:w="378" w:type="dxa"/>
          </w:tcPr>
          <w:p>
            <w:pPr>
              <w:pStyle w:val="TableParagraph"/>
              <w:spacing w:line="148" w:lineRule="exact"/>
              <w:ind w:left="47" w:right="46"/>
              <w:jc w:val="center"/>
              <w:rPr>
                <w:sz w:val="14"/>
              </w:rPr>
            </w:pPr>
            <w:r>
              <w:rPr>
                <w:color w:val="231F20"/>
                <w:sz w:val="14"/>
              </w:rPr>
              <w:t>11.1</w:t>
            </w:r>
          </w:p>
        </w:tc>
      </w:tr>
      <w:tr>
        <w:trPr>
          <w:trHeight w:val="247" w:hRule="atLeast"/>
        </w:trPr>
        <w:tc>
          <w:tcPr>
            <w:tcW w:w="2040" w:type="dxa"/>
          </w:tcPr>
          <w:p>
            <w:pPr>
              <w:pStyle w:val="TableParagraph"/>
              <w:spacing w:before="56"/>
              <w:ind w:left="50"/>
              <w:rPr>
                <w:sz w:val="12"/>
              </w:rPr>
            </w:pPr>
            <w:r>
              <w:rPr>
                <w:color w:val="231F20"/>
                <w:sz w:val="12"/>
              </w:rPr>
              <w:t>Note: Figures subject to rounding.</w:t>
            </w:r>
          </w:p>
        </w:tc>
        <w:tc>
          <w:tcPr>
            <w:tcW w:w="385" w:type="dxa"/>
          </w:tcPr>
          <w:p>
            <w:pPr>
              <w:pStyle w:val="TableParagraph"/>
              <w:rPr>
                <w:sz w:val="18"/>
              </w:rPr>
            </w:pPr>
          </w:p>
        </w:tc>
        <w:tc>
          <w:tcPr>
            <w:tcW w:w="390" w:type="dxa"/>
          </w:tcPr>
          <w:p>
            <w:pPr>
              <w:pStyle w:val="TableParagraph"/>
              <w:rPr>
                <w:sz w:val="18"/>
              </w:rPr>
            </w:pPr>
          </w:p>
        </w:tc>
        <w:tc>
          <w:tcPr>
            <w:tcW w:w="390" w:type="dxa"/>
          </w:tcPr>
          <w:p>
            <w:pPr>
              <w:pStyle w:val="TableParagraph"/>
              <w:rPr>
                <w:sz w:val="18"/>
              </w:rPr>
            </w:pPr>
          </w:p>
        </w:tc>
        <w:tc>
          <w:tcPr>
            <w:tcW w:w="395" w:type="dxa"/>
          </w:tcPr>
          <w:p>
            <w:pPr>
              <w:pStyle w:val="TableParagraph"/>
              <w:rPr>
                <w:sz w:val="18"/>
              </w:rPr>
            </w:pPr>
          </w:p>
        </w:tc>
        <w:tc>
          <w:tcPr>
            <w:tcW w:w="373" w:type="dxa"/>
          </w:tcPr>
          <w:p>
            <w:pPr>
              <w:pStyle w:val="TableParagraph"/>
              <w:rPr>
                <w:sz w:val="18"/>
              </w:rPr>
            </w:pPr>
          </w:p>
        </w:tc>
        <w:tc>
          <w:tcPr>
            <w:tcW w:w="378" w:type="dxa"/>
          </w:tcPr>
          <w:p>
            <w:pPr>
              <w:pStyle w:val="TableParagraph"/>
              <w:rPr>
                <w:sz w:val="18"/>
              </w:rPr>
            </w:pPr>
          </w:p>
        </w:tc>
      </w:tr>
      <w:tr>
        <w:trPr>
          <w:trHeight w:val="186" w:hRule="atLeast"/>
        </w:trPr>
        <w:tc>
          <w:tcPr>
            <w:tcW w:w="2040" w:type="dxa"/>
          </w:tcPr>
          <w:p>
            <w:pPr>
              <w:pStyle w:val="TableParagraph"/>
              <w:spacing w:line="118" w:lineRule="exact" w:before="48"/>
              <w:ind w:left="50"/>
              <w:rPr>
                <w:sz w:val="12"/>
              </w:rPr>
            </w:pPr>
            <w:r>
              <w:rPr>
                <w:color w:val="231F20"/>
                <w:sz w:val="12"/>
              </w:rPr>
              <w:t>Source: Based on published accounts.</w:t>
            </w:r>
          </w:p>
        </w:tc>
        <w:tc>
          <w:tcPr>
            <w:tcW w:w="385" w:type="dxa"/>
          </w:tcPr>
          <w:p>
            <w:pPr>
              <w:pStyle w:val="TableParagraph"/>
              <w:rPr>
                <w:sz w:val="12"/>
              </w:rPr>
            </w:pPr>
          </w:p>
        </w:tc>
        <w:tc>
          <w:tcPr>
            <w:tcW w:w="390" w:type="dxa"/>
          </w:tcPr>
          <w:p>
            <w:pPr>
              <w:pStyle w:val="TableParagraph"/>
              <w:rPr>
                <w:sz w:val="12"/>
              </w:rPr>
            </w:pPr>
          </w:p>
        </w:tc>
        <w:tc>
          <w:tcPr>
            <w:tcW w:w="390" w:type="dxa"/>
          </w:tcPr>
          <w:p>
            <w:pPr>
              <w:pStyle w:val="TableParagraph"/>
              <w:rPr>
                <w:sz w:val="12"/>
              </w:rPr>
            </w:pPr>
          </w:p>
        </w:tc>
        <w:tc>
          <w:tcPr>
            <w:tcW w:w="395" w:type="dxa"/>
          </w:tcPr>
          <w:p>
            <w:pPr>
              <w:pStyle w:val="TableParagraph"/>
              <w:rPr>
                <w:sz w:val="12"/>
              </w:rPr>
            </w:pPr>
          </w:p>
        </w:tc>
        <w:tc>
          <w:tcPr>
            <w:tcW w:w="373" w:type="dxa"/>
          </w:tcPr>
          <w:p>
            <w:pPr>
              <w:pStyle w:val="TableParagraph"/>
              <w:rPr>
                <w:sz w:val="12"/>
              </w:rPr>
            </w:pPr>
          </w:p>
        </w:tc>
        <w:tc>
          <w:tcPr>
            <w:tcW w:w="378" w:type="dxa"/>
          </w:tcPr>
          <w:p>
            <w:pPr>
              <w:pStyle w:val="TableParagraph"/>
              <w:rPr>
                <w:sz w:val="12"/>
              </w:rPr>
            </w:pPr>
          </w:p>
        </w:tc>
      </w:tr>
    </w:tbl>
    <w:p>
      <w:pPr>
        <w:spacing w:line="208" w:lineRule="auto" w:before="116"/>
        <w:ind w:left="419" w:right="38" w:hanging="240"/>
        <w:jc w:val="left"/>
        <w:rPr>
          <w:sz w:val="12"/>
        </w:rPr>
      </w:pPr>
      <w:r>
        <w:rPr>
          <w:color w:val="231F20"/>
          <w:sz w:val="12"/>
        </w:rPr>
        <w:t>(a) Barclays, Lloyds-TSB, Midland, National Westminster, Abbey National, Bank of Scotland, The Royal Bank of Scotland and Standard Chartered. All data for these banks are consolidated. Calendar year-end information except for Bank of Scotland (end-February 1998) and the Royal Bank of Scotland (end-September 1997).</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Heading8"/>
        <w:spacing w:before="95"/>
      </w:pPr>
      <w:r>
        <w:rPr>
          <w:color w:val="0093C1"/>
        </w:rPr>
        <w:t>Chart 1.6</w:t>
      </w:r>
    </w:p>
    <w:p>
      <w:pPr>
        <w:spacing w:line="249" w:lineRule="auto" w:before="10"/>
        <w:ind w:left="200" w:right="394" w:firstLine="0"/>
        <w:jc w:val="left"/>
        <w:rPr>
          <w:sz w:val="12"/>
        </w:rPr>
      </w:pPr>
      <w:r>
        <w:rPr/>
        <w:pict>
          <v:group style="position:absolute;margin-left:51.16724pt;margin-top:32.587948pt;width:154.450pt;height:175.9pt;mso-position-horizontal-relative:page;mso-position-vertical-relative:paragraph;z-index:15776768" coordorigin="1023,652" coordsize="3089,3518">
            <v:shape style="position:absolute;left:1069;top:975;width:1325;height:1365" coordorigin="1069,976" coordsize="1325,1365" path="m2393,976l2315,978,2237,984,2161,995,2086,1010,2013,1029,1941,1051,1871,1077,1803,1108,1737,1141,1673,1178,1611,1219,1552,1263,1495,1310,1440,1360,1389,1413,1340,1469,1294,1528,1252,1590,1213,1654,1177,1720,1144,1790,1116,1861,1091,1935,1069,2010,2393,2340,2393,976xe" filled="true" fillcolor="#9aca3c" stroked="false">
              <v:path arrowok="t"/>
              <v:fill type="solid"/>
            </v:shape>
            <v:shape style="position:absolute;left:1069;top:975;width:1325;height:1365" coordorigin="1069,976" coordsize="1325,1365" path="m2393,976l2315,978,2237,984,2161,995,2086,1010,2013,1029,1941,1051,1871,1077,1803,1108,1737,1141,1673,1178,1611,1219,1552,1263,1495,1310,1440,1360,1389,1413,1340,1469,1294,1528,1252,1590,1213,1654,1177,1720,1144,1790,1116,1861,1091,1935,1069,2010,2393,2340,2393,976xe" filled="false" stroked="true" strokeweight=".475pt" strokecolor="#000000">
              <v:path arrowok="t"/>
              <v:stroke dashstyle="solid"/>
            </v:shape>
            <v:shape style="position:absolute;left:1028;top:2010;width:1366;height:1535" coordorigin="1028,2010" coordsize="1366,1535" path="m1069,2010l1053,2087,1040,2164,1032,2240,1028,2317,1028,2392,1033,2467,1042,2542,1054,2615,1071,2688,1092,2759,1116,2828,1144,2897,1176,2963,1212,3028,1251,3091,1293,3152,1339,3210,1389,3266,1442,3320,1498,3371,1557,3419,1619,3464,1684,3506,1753,3545,2393,2340,1069,2010xe" filled="true" fillcolor="#952e40" stroked="false">
              <v:path arrowok="t"/>
              <v:fill type="solid"/>
            </v:shape>
            <v:shape style="position:absolute;left:1028;top:2010;width:1366;height:1535" coordorigin="1028,2010" coordsize="1366,1535" path="m1069,2010l1053,2087,1040,2164,1032,2240,1028,2317,1028,2392,1033,2467,1042,2542,1054,2615,1071,2688,1092,2759,1116,2828,1144,2897,1176,2963,1212,3028,1251,3091,1293,3152,1339,3210,1389,3266,1442,3320,1498,3371,1557,3419,1619,3464,1684,3506,1753,3545,2393,2340,1069,2010xe" filled="false" stroked="true" strokeweight=".475pt" strokecolor="#000000">
              <v:path arrowok="t"/>
              <v:stroke dashstyle="solid"/>
            </v:shape>
            <v:shape style="position:absolute;left:1752;top:2340;width:641;height:1274" coordorigin="1753,2340" coordsize="641,1274" path="m2394,2340l1753,3545,1791,3565,1828,3582,1865,3598,1904,3614,2394,2340xe" filled="true" fillcolor="#ffc40c" stroked="false">
              <v:path arrowok="t"/>
              <v:fill type="solid"/>
            </v:shape>
            <v:shape style="position:absolute;left:1752;top:2340;width:641;height:1274" coordorigin="1753,2340" coordsize="641,1274" path="m1753,3545l1791,3565,1828,3582,1865,3598,1904,3614,2394,2340,1753,3545xe" filled="false" stroked="true" strokeweight=".475pt" strokecolor="#000000">
              <v:path arrowok="t"/>
              <v:stroke dashstyle="solid"/>
            </v:shape>
            <v:shape style="position:absolute;left:1904;top:2340;width:679;height:1366" coordorigin="1904,2340" coordsize="679,1366" path="m2393,2340l1904,3614,1979,3641,2053,3663,2127,3680,2202,3693,2276,3702,2351,3706,2427,3705,2505,3701,2583,3692,2393,2340xe" filled="true" fillcolor="#df6f1d" stroked="false">
              <v:path arrowok="t"/>
              <v:fill type="solid"/>
            </v:shape>
            <v:shape style="position:absolute;left:1904;top:2340;width:679;height:1366" coordorigin="1904,2340" coordsize="679,1366" path="m1904,3614l1979,3641,2053,3663,2127,3680,2202,3693,2276,3702,2351,3706,2427,3705,2505,3701,2583,3692,2393,2340,1904,3614xe" filled="false" stroked="true" strokeweight=".475pt" strokecolor="#000000">
              <v:path arrowok="t"/>
              <v:stroke dashstyle="solid"/>
            </v:shape>
            <v:shape style="position:absolute;left:2393;top:975;width:1365;height:2716" coordorigin="2393,976" coordsize="1365,2716" path="m2393,976l2393,2340,2583,3692,2659,3679,2733,3663,2805,3643,2875,3619,2943,3592,3009,3562,3072,3529,3134,3492,3193,3453,3250,3410,3304,3365,3356,3317,3405,3266,3451,3213,3494,3157,3535,3100,3572,3040,3606,2977,3637,2913,3665,2847,3689,2779,3710,2710,3727,2639,3740,2566,3750,2492,3756,2417,3758,2340,3756,2266,3750,2192,3740,2119,3727,2048,3709,1978,3689,1909,3664,1842,3637,1777,3606,1713,3572,1652,3535,1592,3495,1535,3452,1479,3407,1426,3358,1376,3308,1327,3255,1282,3199,1239,3142,1199,3082,1162,3021,1128,2957,1097,2892,1070,2825,1045,2756,1025,2686,1007,2615,994,2542,984,2468,978,2393,976xe" filled="true" fillcolor="#522e91" stroked="false">
              <v:path arrowok="t"/>
              <v:fill type="solid"/>
            </v:shape>
            <v:shape style="position:absolute;left:2393;top:975;width:1365;height:2716" coordorigin="2393,976" coordsize="1365,2716" path="m2583,3692l2659,3679,2733,3663,2805,3643,2875,3619,2943,3592,3009,3562,3072,3529,3134,3492,3193,3453,3250,3410,3304,3365,3356,3317,3405,3266,3451,3213,3494,3157,3535,3100,3572,3040,3606,2977,3637,2913,3665,2847,3689,2779,3710,2710,3727,2639,3740,2566,3750,2492,3756,2417,3758,2340,3756,2266,3750,2192,3740,2119,3727,2048,3709,1978,3689,1909,3664,1842,3637,1777,3606,1713,3572,1652,3535,1592,3495,1535,3452,1479,3407,1426,3358,1376,3308,1327,3255,1282,3199,1239,3142,1199,3082,1162,3021,1128,2957,1097,2892,1070,2825,1045,2756,1025,2686,1007,2615,994,2542,984,2468,978,2393,976,2393,2340,2583,3692xe" filled="false" stroked="true" strokeweight=".475pt" strokecolor="#231f20">
              <v:path arrowok="t"/>
              <v:stroke dashstyle="solid"/>
            </v:shape>
            <v:shape style="position:absolute;left:1676;top:672;width:2431;height:3492" coordorigin="1677,672" coordsize="2431,3492" path="m1677,4026l1748,4054,1820,4080,1893,4102,1968,4120,2044,4136,2121,4148,2199,4157,2278,4162,2359,4164,2434,4163,2509,4158,2584,4150,2657,4139,2729,4125,2800,4108,2870,4088,2939,4066,3006,4040,3072,4013,3137,3982,3200,3949,3261,3913,3321,3875,3380,3835,3436,3793,3491,3748,3544,3701,3595,3652,3644,3601,3691,3548,3735,3493,3778,3437,3818,3379,3856,3319,3892,3257,3925,3194,3955,3129,3983,3063,4009,2996,4031,2927,4051,2857,4068,2786,4082,2714,4093,2641,4101,2567,4105,2492,4107,2416,4105,2339,4101,2264,4092,2189,4081,2116,4067,2043,4050,1971,4030,1901,4007,1832,3982,1764,3953,1698,3922,1633,3889,1569,3853,1507,3814,1447,3774,1388,3730,1332,3685,1277,3638,1224,3588,1173,3536,1124,3483,1077,3427,1032,3370,990,3311,949,3250,912,3188,876,3124,843,3059,813,2992,786,2924,761,2854,739,2784,719,2712,703,2639,690,2565,679,2490,672e" filled="false" stroked="true" strokeweight=".475pt" strokecolor="#231f20">
              <v:path arrowok="t"/>
              <v:stroke dashstyle="solid"/>
            </v:shape>
            <v:shape style="position:absolute;left:1623;top:651;width:883;height:3401" coordorigin="1624,652" coordsize="883,3401" path="m1699,4012l1694,4012,1676,4012,1646,4009,1632,4006,1624,4004,1631,4008,1643,4016,1666,4036,1682,4052,1699,4012xm2506,652l2502,653,2485,659,2455,665,2441,667,2432,668,2441,670,2455,674,2483,685,2503,695,2506,652xe" filled="true" fillcolor="#231f20" stroked="false">
              <v:path arrowok="t"/>
              <v:fill type="solid"/>
            </v:shape>
            <v:shape style="position:absolute;left:1638;top:1678;width:633;height:127" type="#_x0000_t202" filled="false" stroked="false">
              <v:textbox inset="0,0,0,0">
                <w:txbxContent>
                  <w:p>
                    <w:pPr>
                      <w:spacing w:line="125" w:lineRule="exact" w:before="0"/>
                      <w:ind w:left="0" w:right="0" w:firstLine="0"/>
                      <w:jc w:val="left"/>
                      <w:rPr>
                        <w:sz w:val="11"/>
                      </w:rPr>
                    </w:pPr>
                    <w:r>
                      <w:rPr>
                        <w:color w:val="231F20"/>
                        <w:w w:val="103"/>
                        <w:sz w:val="11"/>
                        <w:shd w:fill="FFFFFF" w:color="auto" w:val="clear"/>
                      </w:rPr>
                      <w:t> </w:t>
                    </w:r>
                    <w:r>
                      <w:rPr>
                        <w:color w:val="231F20"/>
                        <w:w w:val="105"/>
                        <w:sz w:val="11"/>
                        <w:shd w:fill="FFFFFF" w:color="auto" w:val="clear"/>
                      </w:rPr>
                      <w:t>OFIs (21%)</w:t>
                    </w:r>
                    <w:r>
                      <w:rPr>
                        <w:color w:val="231F20"/>
                        <w:sz w:val="11"/>
                        <w:shd w:fill="FFFFFF" w:color="auto" w:val="clear"/>
                      </w:rPr>
                      <w:t> </w:t>
                    </w:r>
                  </w:p>
                </w:txbxContent>
              </v:textbox>
              <w10:wrap type="none"/>
            </v:shape>
            <v:shape style="position:absolute;left:1305;top:2533;width:652;height:127" type="#_x0000_t202" filled="false" stroked="false">
              <v:textbox inset="0,0,0,0">
                <w:txbxContent>
                  <w:p>
                    <w:pPr>
                      <w:spacing w:line="125" w:lineRule="exact" w:before="0"/>
                      <w:ind w:left="0" w:right="0" w:firstLine="0"/>
                      <w:jc w:val="left"/>
                      <w:rPr>
                        <w:sz w:val="11"/>
                      </w:rPr>
                    </w:pPr>
                    <w:r>
                      <w:rPr>
                        <w:color w:val="231F20"/>
                        <w:w w:val="103"/>
                        <w:sz w:val="11"/>
                        <w:shd w:fill="FFFFFF" w:color="auto" w:val="clear"/>
                      </w:rPr>
                      <w:t> </w:t>
                    </w:r>
                    <w:r>
                      <w:rPr>
                        <w:color w:val="231F20"/>
                        <w:w w:val="105"/>
                        <w:sz w:val="11"/>
                        <w:shd w:fill="FFFFFF" w:color="auto" w:val="clear"/>
                      </w:rPr>
                      <w:t>ICCs (21%)</w:t>
                    </w:r>
                    <w:r>
                      <w:rPr>
                        <w:color w:val="231F20"/>
                        <w:sz w:val="11"/>
                        <w:shd w:fill="FFFFFF" w:color="auto" w:val="clear"/>
                      </w:rPr>
                      <w:t> </w:t>
                    </w:r>
                  </w:p>
                </w:txbxContent>
              </v:textbox>
              <w10:wrap type="none"/>
            </v:shape>
            <v:shape style="position:absolute;left:1130;top:3606;width:1458;height:393" type="#_x0000_t202" filled="false" stroked="false">
              <v:textbox inset="0,0,0,0">
                <w:txbxContent>
                  <w:p>
                    <w:pPr>
                      <w:spacing w:line="125" w:lineRule="exact" w:before="0"/>
                      <w:ind w:left="0" w:right="0" w:firstLine="0"/>
                      <w:jc w:val="left"/>
                      <w:rPr>
                        <w:sz w:val="11"/>
                      </w:rPr>
                    </w:pPr>
                    <w:r>
                      <w:rPr>
                        <w:color w:val="231F20"/>
                        <w:w w:val="105"/>
                        <w:sz w:val="11"/>
                      </w:rPr>
                      <w:t>Unincorporated</w:t>
                    </w:r>
                  </w:p>
                  <w:p>
                    <w:pPr>
                      <w:spacing w:before="6"/>
                      <w:ind w:left="0" w:right="65" w:firstLine="0"/>
                      <w:jc w:val="right"/>
                      <w:rPr>
                        <w:sz w:val="11"/>
                      </w:rPr>
                    </w:pPr>
                    <w:r>
                      <w:rPr>
                        <w:color w:val="231F20"/>
                        <w:w w:val="105"/>
                        <w:sz w:val="11"/>
                      </w:rPr>
                      <w:t>businesses (2%)      </w:t>
                    </w:r>
                    <w:r>
                      <w:rPr>
                        <w:color w:val="231F20"/>
                        <w:spacing w:val="-3"/>
                        <w:w w:val="105"/>
                        <w:sz w:val="11"/>
                      </w:rPr>
                      <w:t>Consumer</w:t>
                    </w:r>
                  </w:p>
                  <w:p>
                    <w:pPr>
                      <w:spacing w:before="7"/>
                      <w:ind w:left="0" w:right="18" w:firstLine="0"/>
                      <w:jc w:val="right"/>
                      <w:rPr>
                        <w:sz w:val="11"/>
                      </w:rPr>
                    </w:pPr>
                    <w:r>
                      <w:rPr>
                        <w:color w:val="231F20"/>
                        <w:w w:val="105"/>
                        <w:sz w:val="11"/>
                      </w:rPr>
                      <w:t>credit</w:t>
                    </w:r>
                    <w:r>
                      <w:rPr>
                        <w:color w:val="231F20"/>
                        <w:spacing w:val="-7"/>
                        <w:w w:val="105"/>
                        <w:sz w:val="11"/>
                      </w:rPr>
                      <w:t> </w:t>
                    </w:r>
                    <w:r>
                      <w:rPr>
                        <w:color w:val="231F20"/>
                        <w:w w:val="105"/>
                        <w:sz w:val="11"/>
                      </w:rPr>
                      <w:t>(8%)</w:t>
                    </w:r>
                  </w:p>
                </w:txbxContent>
              </v:textbox>
              <w10:wrap type="none"/>
            </v:shape>
            <v:shape style="position:absolute;left:2650;top:2140;width:865;height:295" type="#_x0000_t202" filled="true" fillcolor="#ffffff" stroked="false">
              <v:textbox inset="0,0,0,0">
                <w:txbxContent>
                  <w:p>
                    <w:pPr>
                      <w:spacing w:line="252" w:lineRule="auto" w:before="16"/>
                      <w:ind w:left="61" w:right="17" w:firstLine="0"/>
                      <w:jc w:val="left"/>
                      <w:rPr>
                        <w:sz w:val="11"/>
                      </w:rPr>
                    </w:pPr>
                    <w:r>
                      <w:rPr>
                        <w:color w:val="231F20"/>
                        <w:w w:val="105"/>
                        <w:sz w:val="11"/>
                      </w:rPr>
                      <w:t>Secured on dwellings (48%)</w:t>
                    </w:r>
                  </w:p>
                </w:txbxContent>
              </v:textbox>
              <v:fill type="solid"/>
              <w10:wrap type="none"/>
            </v:shape>
            <w10:wrap type="none"/>
          </v:group>
        </w:pict>
      </w:r>
      <w:r>
        <w:rPr>
          <w:b/>
          <w:color w:val="0093C1"/>
          <w:sz w:val="20"/>
        </w:rPr>
        <w:t>Sectoral composition of the stock of bank and building society lending</w:t>
      </w:r>
      <w:r>
        <w:rPr>
          <w:color w:val="231F20"/>
          <w:position w:val="4"/>
          <w:sz w:val="12"/>
        </w:rPr>
        <w:t>(a)</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spacing w:before="149"/>
        <w:ind w:left="0" w:right="214" w:firstLine="0"/>
        <w:jc w:val="right"/>
        <w:rPr>
          <w:sz w:val="11"/>
        </w:rPr>
      </w:pPr>
      <w:r>
        <w:rPr>
          <w:color w:val="231F20"/>
          <w:w w:val="105"/>
          <w:sz w:val="11"/>
        </w:rPr>
        <w:t>Personal sector</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
        <w:rPr>
          <w:sz w:val="11"/>
        </w:rPr>
      </w:pPr>
    </w:p>
    <w:p>
      <w:pPr>
        <w:spacing w:before="1"/>
        <w:ind w:left="200" w:right="0" w:firstLine="0"/>
        <w:jc w:val="left"/>
        <w:rPr>
          <w:sz w:val="12"/>
        </w:rPr>
      </w:pPr>
      <w:r>
        <w:rPr>
          <w:color w:val="231F20"/>
          <w:sz w:val="12"/>
        </w:rPr>
        <w:t>Source: Bank of England.</w:t>
      </w:r>
    </w:p>
    <w:p>
      <w:pPr>
        <w:pStyle w:val="ListParagraph"/>
        <w:numPr>
          <w:ilvl w:val="0"/>
          <w:numId w:val="5"/>
        </w:numPr>
        <w:tabs>
          <w:tab w:pos="440" w:val="left" w:leader="none"/>
        </w:tabs>
        <w:spacing w:line="129" w:lineRule="exact" w:before="102" w:after="0"/>
        <w:ind w:left="439" w:right="0" w:hanging="240"/>
        <w:jc w:val="left"/>
        <w:rPr>
          <w:sz w:val="12"/>
        </w:rPr>
      </w:pPr>
      <w:r>
        <w:rPr>
          <w:color w:val="231F20"/>
          <w:sz w:val="12"/>
        </w:rPr>
        <w:t>As at 1998 Q1 (seasonally adjusted).</w:t>
      </w:r>
    </w:p>
    <w:p>
      <w:pPr>
        <w:spacing w:line="129" w:lineRule="exact" w:before="0"/>
        <w:ind w:left="440" w:right="0" w:firstLine="0"/>
        <w:jc w:val="left"/>
        <w:rPr>
          <w:sz w:val="12"/>
        </w:rPr>
      </w:pPr>
      <w:r>
        <w:rPr>
          <w:color w:val="231F20"/>
          <w:sz w:val="12"/>
        </w:rPr>
        <w:t>Total: £869 billion (107% of annualised nominal GDP at market prices).</w:t>
      </w:r>
    </w:p>
    <w:p>
      <w:pPr>
        <w:pStyle w:val="Heading4"/>
        <w:spacing w:line="242" w:lineRule="auto" w:before="90"/>
        <w:ind w:left="178" w:right="148"/>
      </w:pPr>
      <w:r>
        <w:rPr/>
        <w:br w:type="column"/>
      </w:r>
      <w:r>
        <w:rPr>
          <w:color w:val="231F20"/>
        </w:rPr>
        <w:t>Annual growth in bank and building society lending to the rest of the private sector (M4 lending) has slowed since last year. M4 lending grew by 7.6% in the year to June, below its average annual growth rate of around 9% during 1997. Much of this fall reflects lower growth in borrowing by other financial institutions (OFIs).</w:t>
      </w:r>
    </w:p>
    <w:p>
      <w:pPr>
        <w:spacing w:line="242" w:lineRule="auto" w:before="7"/>
        <w:ind w:left="178" w:right="148" w:firstLine="0"/>
        <w:jc w:val="left"/>
        <w:rPr>
          <w:sz w:val="24"/>
        </w:rPr>
      </w:pPr>
      <w:r>
        <w:rPr>
          <w:color w:val="231F20"/>
          <w:sz w:val="24"/>
        </w:rPr>
        <w:t>Lending growth to industrial and commercial companies has picked up since the end of last year, and growth in personal sector borrowing remains steady.</w:t>
      </w:r>
    </w:p>
    <w:p>
      <w:pPr>
        <w:pStyle w:val="BodyText"/>
        <w:spacing w:before="8"/>
        <w:rPr>
          <w:sz w:val="24"/>
        </w:rPr>
      </w:pPr>
    </w:p>
    <w:p>
      <w:pPr>
        <w:spacing w:line="242" w:lineRule="auto" w:before="0"/>
        <w:ind w:left="178" w:right="148" w:firstLine="0"/>
        <w:jc w:val="left"/>
        <w:rPr>
          <w:sz w:val="24"/>
        </w:rPr>
      </w:pPr>
      <w:r>
        <w:rPr>
          <w:color w:val="231F20"/>
          <w:sz w:val="24"/>
        </w:rPr>
        <w:t>The amount of credit, and the rates of interest charged, depend on the interaction between supply and demand. In recent years, the spread between credit rates and official rates has narrowed.</w:t>
      </w:r>
      <w:r>
        <w:rPr>
          <w:color w:val="231F20"/>
          <w:position w:val="5"/>
          <w:sz w:val="16"/>
        </w:rPr>
        <w:t>(2) </w:t>
      </w:r>
      <w:r>
        <w:rPr>
          <w:color w:val="231F20"/>
          <w:sz w:val="24"/>
        </w:rPr>
        <w:t>A number of factors might account for this. First, lenders’ balance sheets </w:t>
      </w:r>
      <w:r>
        <w:rPr>
          <w:color w:val="231F20"/>
          <w:spacing w:val="-3"/>
          <w:sz w:val="24"/>
        </w:rPr>
        <w:t>have </w:t>
      </w:r>
      <w:r>
        <w:rPr>
          <w:color w:val="231F20"/>
          <w:sz w:val="24"/>
        </w:rPr>
        <w:t>strengthened. The net capital of the major British banks grew at an average annual rate of 8.5% between</w:t>
      </w:r>
      <w:r>
        <w:rPr>
          <w:color w:val="231F20"/>
          <w:spacing w:val="-16"/>
          <w:sz w:val="24"/>
        </w:rPr>
        <w:t> </w:t>
      </w:r>
      <w:r>
        <w:rPr>
          <w:color w:val="231F20"/>
          <w:sz w:val="24"/>
        </w:rPr>
        <w:t>1992–97 (see </w:t>
      </w:r>
      <w:r>
        <w:rPr>
          <w:color w:val="231F20"/>
          <w:spacing w:val="-4"/>
          <w:sz w:val="24"/>
        </w:rPr>
        <w:t>Table </w:t>
      </w:r>
      <w:r>
        <w:rPr>
          <w:color w:val="231F20"/>
          <w:sz w:val="24"/>
        </w:rPr>
        <w:t>1.C), well above the average annual nominal GDP growth of 5.5% in this period. Second, higher profits </w:t>
      </w:r>
      <w:r>
        <w:rPr>
          <w:color w:val="231F20"/>
          <w:spacing w:val="-3"/>
          <w:sz w:val="24"/>
        </w:rPr>
        <w:t>have </w:t>
      </w:r>
      <w:r>
        <w:rPr>
          <w:color w:val="231F20"/>
          <w:sz w:val="24"/>
        </w:rPr>
        <w:t>attracted market entrants, raising the level of competition for lending business. And third, the perceived risk of default by borrowers may </w:t>
      </w:r>
      <w:r>
        <w:rPr>
          <w:color w:val="231F20"/>
          <w:spacing w:val="-3"/>
          <w:sz w:val="24"/>
        </w:rPr>
        <w:t>have </w:t>
      </w:r>
      <w:r>
        <w:rPr>
          <w:color w:val="231F20"/>
          <w:sz w:val="24"/>
        </w:rPr>
        <w:t>fallen since the early 1990s. It is possible that this last effect has now stabilised: the major banks’ charges for bad </w:t>
      </w:r>
      <w:r>
        <w:rPr>
          <w:color w:val="231F20"/>
          <w:spacing w:val="-6"/>
          <w:sz w:val="24"/>
        </w:rPr>
        <w:t>and </w:t>
      </w:r>
      <w:r>
        <w:rPr>
          <w:color w:val="231F20"/>
          <w:sz w:val="24"/>
        </w:rPr>
        <w:t>doubtful debts rose very slightly in 1997 (see </w:t>
      </w:r>
      <w:r>
        <w:rPr>
          <w:color w:val="231F20"/>
          <w:spacing w:val="-4"/>
          <w:sz w:val="24"/>
        </w:rPr>
        <w:t>Table </w:t>
      </w:r>
      <w:r>
        <w:rPr>
          <w:color w:val="231F20"/>
          <w:sz w:val="24"/>
        </w:rPr>
        <w:t>1.C).</w:t>
      </w:r>
    </w:p>
    <w:p>
      <w:pPr>
        <w:pStyle w:val="BodyText"/>
        <w:rPr>
          <w:sz w:val="26"/>
        </w:rPr>
      </w:pPr>
    </w:p>
    <w:p>
      <w:pPr>
        <w:spacing w:before="0"/>
        <w:ind w:left="178" w:right="0" w:firstLine="0"/>
        <w:jc w:val="left"/>
        <w:rPr>
          <w:i/>
          <w:sz w:val="24"/>
        </w:rPr>
      </w:pPr>
      <w:r>
        <w:rPr>
          <w:i/>
          <w:color w:val="009483"/>
          <w:sz w:val="24"/>
        </w:rPr>
        <w:t>Personal sector</w:t>
      </w:r>
    </w:p>
    <w:p>
      <w:pPr>
        <w:spacing w:line="242" w:lineRule="auto" w:before="164"/>
        <w:ind w:left="178" w:right="209" w:firstLine="0"/>
        <w:jc w:val="left"/>
        <w:rPr>
          <w:sz w:val="24"/>
        </w:rPr>
      </w:pPr>
      <w:r>
        <w:rPr>
          <w:color w:val="231F20"/>
          <w:sz w:val="24"/>
        </w:rPr>
        <w:t>The personal sector consists mainly of individuals, and accounts for nearly 60% of the total stock of M4 </w:t>
      </w:r>
      <w:r>
        <w:rPr>
          <w:color w:val="231F20"/>
          <w:spacing w:val="-3"/>
          <w:sz w:val="24"/>
        </w:rPr>
        <w:t>lending </w:t>
      </w:r>
      <w:r>
        <w:rPr>
          <w:color w:val="231F20"/>
          <w:sz w:val="24"/>
        </w:rPr>
        <w:t>(see Chart 1.6). In contrast with personal sector deposits, personal sector credit growth has shown little sign of slowing. Annual growth in total lending to individuals, including lending by institutions other</w:t>
      </w:r>
      <w:r>
        <w:rPr>
          <w:color w:val="231F20"/>
          <w:spacing w:val="-5"/>
          <w:sz w:val="24"/>
        </w:rPr>
        <w:t> </w:t>
      </w:r>
      <w:r>
        <w:rPr>
          <w:color w:val="231F20"/>
          <w:sz w:val="24"/>
        </w:rPr>
        <w:t>than</w:t>
      </w:r>
    </w:p>
    <w:p>
      <w:pPr>
        <w:spacing w:after="0" w:line="242" w:lineRule="auto"/>
        <w:jc w:val="left"/>
        <w:rPr>
          <w:sz w:val="24"/>
        </w:rPr>
        <w:sectPr>
          <w:type w:val="continuous"/>
          <w:pgSz w:w="11900" w:h="16840"/>
          <w:pgMar w:top="1220" w:bottom="280" w:left="620" w:right="640"/>
          <w:cols w:num="2" w:equalWidth="0">
            <w:col w:w="4498" w:space="317"/>
            <w:col w:w="5825"/>
          </w:cols>
        </w:sectPr>
      </w:pPr>
    </w:p>
    <w:p>
      <w:pPr>
        <w:pStyle w:val="BodyText"/>
        <w:spacing w:before="7" w:after="1"/>
        <w:rPr>
          <w:sz w:val="24"/>
        </w:rPr>
      </w:pPr>
    </w:p>
    <w:p>
      <w:pPr>
        <w:pStyle w:val="BodyText"/>
        <w:spacing w:line="20" w:lineRule="exact"/>
        <w:ind w:left="4958"/>
        <w:rPr>
          <w:sz w:val="2"/>
        </w:rPr>
      </w:pPr>
      <w:r>
        <w:rPr>
          <w:sz w:val="2"/>
        </w:rPr>
        <w:pict>
          <v:group style="width:277pt;height:.15pt;mso-position-horizontal-relative:char;mso-position-vertical-relative:line" coordorigin="0,0" coordsize="5540,3">
            <v:line style="position:absolute" from="0,1" to="5540,1" stroked="true" strokeweight=".125pt" strokecolor="#231f20">
              <v:stroke dashstyle="solid"/>
            </v:line>
          </v:group>
        </w:pict>
      </w:r>
      <w:r>
        <w:rPr>
          <w:sz w:val="2"/>
        </w:rPr>
      </w:r>
    </w:p>
    <w:p>
      <w:pPr>
        <w:pStyle w:val="ListParagraph"/>
        <w:numPr>
          <w:ilvl w:val="1"/>
          <w:numId w:val="5"/>
        </w:numPr>
        <w:tabs>
          <w:tab w:pos="5288" w:val="left" w:leader="none"/>
        </w:tabs>
        <w:spacing w:line="208" w:lineRule="auto" w:before="14" w:after="0"/>
        <w:ind w:left="5286" w:right="787" w:hanging="288"/>
        <w:jc w:val="left"/>
        <w:rPr>
          <w:sz w:val="16"/>
        </w:rPr>
      </w:pPr>
      <w:r>
        <w:rPr>
          <w:color w:val="231F20"/>
          <w:sz w:val="16"/>
        </w:rPr>
        <w:t>The combined effect of the new £2 and 50p coins on the annual </w:t>
      </w:r>
      <w:r>
        <w:rPr>
          <w:color w:val="231F20"/>
          <w:spacing w:val="-3"/>
          <w:sz w:val="16"/>
        </w:rPr>
        <w:t>growth </w:t>
      </w:r>
      <w:r>
        <w:rPr>
          <w:color w:val="231F20"/>
          <w:sz w:val="16"/>
        </w:rPr>
        <w:t>rate of notes and coin is estimated to have been negligible in 1998 Q2.</w:t>
      </w:r>
    </w:p>
    <w:p>
      <w:pPr>
        <w:pStyle w:val="ListParagraph"/>
        <w:numPr>
          <w:ilvl w:val="1"/>
          <w:numId w:val="5"/>
        </w:numPr>
        <w:tabs>
          <w:tab w:pos="5288" w:val="left" w:leader="none"/>
        </w:tabs>
        <w:spacing w:line="208" w:lineRule="auto" w:before="0" w:after="0"/>
        <w:ind w:left="5286" w:right="907" w:hanging="288"/>
        <w:jc w:val="left"/>
        <w:rPr>
          <w:sz w:val="16"/>
        </w:rPr>
      </w:pPr>
      <w:r>
        <w:rPr>
          <w:color w:val="231F20"/>
          <w:sz w:val="16"/>
        </w:rPr>
        <w:t>For a more detailed discussion of this and other indicators of credit market conditions, see Hoggarth, G and Chrystal, A (1998), ‘The </w:t>
      </w:r>
      <w:r>
        <w:rPr>
          <w:color w:val="231F20"/>
          <w:spacing w:val="-9"/>
          <w:sz w:val="16"/>
        </w:rPr>
        <w:t>UK </w:t>
      </w:r>
      <w:r>
        <w:rPr>
          <w:color w:val="231F20"/>
          <w:sz w:val="16"/>
        </w:rPr>
        <w:t>personal and corporate sectors during the 1980s and 1990s: a comparison of key financial indicators’, Bank of England </w:t>
      </w:r>
      <w:r>
        <w:rPr>
          <w:i/>
          <w:color w:val="231F20"/>
          <w:sz w:val="16"/>
        </w:rPr>
        <w:t>Quarterly </w:t>
      </w:r>
      <w:r>
        <w:rPr>
          <w:i/>
          <w:color w:val="231F20"/>
          <w:sz w:val="16"/>
        </w:rPr>
        <w:t>Bulletin</w:t>
      </w:r>
      <w:r>
        <w:rPr>
          <w:color w:val="231F20"/>
          <w:sz w:val="16"/>
        </w:rPr>
        <w:t>, August, pages 220–32.</w:t>
      </w:r>
    </w:p>
    <w:p>
      <w:pPr>
        <w:spacing w:after="0" w:line="208" w:lineRule="auto"/>
        <w:jc w:val="left"/>
        <w:rPr>
          <w:sz w:val="16"/>
        </w:rPr>
        <w:sectPr>
          <w:type w:val="continuous"/>
          <w:pgSz w:w="11900" w:h="16840"/>
          <w:pgMar w:top="1220" w:bottom="280" w:left="620" w:right="640"/>
        </w:sectPr>
      </w:pPr>
    </w:p>
    <w:p>
      <w:pPr>
        <w:pStyle w:val="BodyText"/>
        <w:rPr>
          <w:sz w:val="20"/>
        </w:rPr>
      </w:pPr>
    </w:p>
    <w:p>
      <w:pPr>
        <w:spacing w:after="0"/>
        <w:rPr>
          <w:sz w:val="20"/>
        </w:rPr>
        <w:sectPr>
          <w:pgSz w:w="11900" w:h="16840"/>
          <w:pgMar w:header="566" w:footer="597" w:top="760" w:bottom="780" w:left="620" w:right="64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8"/>
        <w:spacing w:line="249" w:lineRule="auto" w:before="170"/>
        <w:ind w:left="154" w:right="20"/>
      </w:pPr>
      <w:bookmarkStart w:name="Industrial and commercial companies (ICC" w:id="19"/>
      <w:bookmarkEnd w:id="19"/>
      <w:r>
        <w:rPr>
          <w:b w:val="0"/>
        </w:rPr>
      </w:r>
      <w:bookmarkStart w:name="_bookmark6" w:id="20"/>
      <w:bookmarkEnd w:id="20"/>
      <w:r>
        <w:rPr>
          <w:b w:val="0"/>
        </w:rPr>
      </w:r>
      <w:r>
        <w:rPr>
          <w:color w:val="0093C1"/>
        </w:rPr>
        <w:t>Chart 1.7 Income gearing</w:t>
      </w:r>
    </w:p>
    <w:p>
      <w:pPr>
        <w:pStyle w:val="BodyText"/>
        <w:spacing w:before="10" w:after="39"/>
        <w:rPr>
          <w:b/>
          <w:sz w:val="16"/>
        </w:rPr>
      </w:pPr>
    </w:p>
    <w:p>
      <w:pPr>
        <w:pStyle w:val="BodyText"/>
        <w:spacing w:line="20" w:lineRule="exact"/>
        <w:ind w:left="259"/>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rPr>
          <w:b/>
          <w:sz w:val="20"/>
        </w:rPr>
      </w:pPr>
    </w:p>
    <w:p>
      <w:pPr>
        <w:pStyle w:val="BodyText"/>
        <w:spacing w:before="1"/>
        <w:rPr>
          <w:b/>
          <w:sz w:val="13"/>
        </w:rPr>
      </w:pPr>
      <w:r>
        <w:rPr/>
        <w:pict>
          <v:shape style="position:absolute;margin-left:44.220001pt;margin-top:9.750977pt;width:5pt;height:.1pt;mso-position-horizontal-relative:page;mso-position-vertical-relative:paragraph;z-index:-15679488;mso-wrap-distance-left:0;mso-wrap-distance-right:0" coordorigin="884,195" coordsize="100,0" path="m984,195l884,195e" filled="false" stroked="true" strokeweight=".5pt" strokecolor="#000000">
            <v:path arrowok="t"/>
            <v:stroke dashstyle="solid"/>
            <w10:wrap type="topAndBottom"/>
          </v:shape>
        </w:pict>
      </w:r>
      <w:r>
        <w:rPr/>
        <w:pict>
          <v:shape style="position:absolute;margin-left:44.220001pt;margin-top:30.750977pt;width:5pt;height:.1pt;mso-position-horizontal-relative:page;mso-position-vertical-relative:paragraph;z-index:-15678976;mso-wrap-distance-left:0;mso-wrap-distance-right:0" coordorigin="884,615" coordsize="100,0" path="m984,615l884,615e" filled="false" stroked="true" strokeweight=".5pt" strokecolor="#000000">
            <v:path arrowok="t"/>
            <v:stroke dashstyle="solid"/>
            <w10:wrap type="topAndBottom"/>
          </v:shape>
        </w:pict>
      </w:r>
    </w:p>
    <w:p>
      <w:pPr>
        <w:pStyle w:val="BodyText"/>
        <w:spacing w:before="8"/>
        <w:rPr>
          <w:b/>
          <w:sz w:val="29"/>
        </w:rPr>
      </w:pPr>
    </w:p>
    <w:p>
      <w:pPr>
        <w:pStyle w:val="BodyText"/>
        <w:rPr>
          <w:b/>
          <w:sz w:val="20"/>
        </w:rPr>
      </w:pPr>
    </w:p>
    <w:p>
      <w:pPr>
        <w:pStyle w:val="BodyText"/>
        <w:spacing w:before="5"/>
        <w:rPr>
          <w:b/>
          <w:sz w:val="11"/>
        </w:rPr>
      </w:pPr>
      <w:r>
        <w:rPr/>
        <w:pict>
          <v:shape style="position:absolute;margin-left:44.220001pt;margin-top:8.800977pt;width:5pt;height:.1pt;mso-position-horizontal-relative:page;mso-position-vertical-relative:paragraph;z-index:-15678464;mso-wrap-distance-left:0;mso-wrap-distance-right:0" coordorigin="884,176" coordsize="100,0" path="m984,176l884,176e" filled="false" stroked="true" strokeweight=".5pt" strokecolor="#000000">
            <v:path arrowok="t"/>
            <v:stroke dashstyle="solid"/>
            <w10:wrap type="topAndBottom"/>
          </v:shape>
        </w:pict>
      </w:r>
      <w:r>
        <w:rPr/>
        <w:pict>
          <v:shape style="position:absolute;margin-left:44.220001pt;margin-top:29.800976pt;width:5pt;height:.1pt;mso-position-horizontal-relative:page;mso-position-vertical-relative:paragraph;z-index:-15677952;mso-wrap-distance-left:0;mso-wrap-distance-right:0" coordorigin="884,596" coordsize="100,0" path="m984,596l884,596e" filled="false" stroked="true" strokeweight=".5pt" strokecolor="#000000">
            <v:path arrowok="t"/>
            <v:stroke dashstyle="solid"/>
            <w10:wrap type="topAndBottom"/>
          </v:shape>
        </w:pict>
      </w:r>
      <w:r>
        <w:rPr/>
        <w:pict>
          <v:shape style="position:absolute;margin-left:44.220001pt;margin-top:50.800976pt;width:5pt;height:.1pt;mso-position-horizontal-relative:page;mso-position-vertical-relative:paragraph;z-index:-15677440;mso-wrap-distance-left:0;mso-wrap-distance-right:0" coordorigin="884,1016" coordsize="100,0" path="m984,1016l884,1016e" filled="false" stroked="true" strokeweight=".5pt" strokecolor="#000000">
            <v:path arrowok="t"/>
            <v:stroke dashstyle="solid"/>
            <w10:wrap type="topAndBottom"/>
          </v:shape>
        </w:pict>
      </w:r>
    </w:p>
    <w:p>
      <w:pPr>
        <w:pStyle w:val="BodyText"/>
        <w:spacing w:before="8"/>
        <w:rPr>
          <w:b/>
          <w:sz w:val="29"/>
        </w:rPr>
      </w:pPr>
    </w:p>
    <w:p>
      <w:pPr>
        <w:pStyle w:val="BodyText"/>
        <w:spacing w:before="8"/>
        <w:rPr>
          <w:b/>
          <w:sz w:val="29"/>
        </w:rPr>
      </w:pPr>
    </w:p>
    <w:p>
      <w:pPr>
        <w:pStyle w:val="BodyText"/>
        <w:rPr>
          <w:b/>
          <w:sz w:val="20"/>
        </w:rPr>
      </w:pPr>
    </w:p>
    <w:p>
      <w:pPr>
        <w:pStyle w:val="BodyText"/>
        <w:spacing w:before="5"/>
        <w:rPr>
          <w:b/>
          <w:sz w:val="11"/>
        </w:rPr>
      </w:pPr>
      <w:r>
        <w:rPr/>
        <w:pict>
          <v:shape style="position:absolute;margin-left:44.220001pt;margin-top:8.800977pt;width:5pt;height:.1pt;mso-position-horizontal-relative:page;mso-position-vertical-relative:paragraph;z-index:-15676928;mso-wrap-distance-left:0;mso-wrap-distance-right:0" coordorigin="884,176" coordsize="100,0" path="m984,176l884,176e" filled="false" stroked="true" strokeweight=".5pt" strokecolor="#000000">
            <v:path arrowok="t"/>
            <v:stroke dashstyle="solid"/>
            <w10:wrap type="topAndBottom"/>
          </v:shape>
        </w:pict>
      </w:r>
      <w:r>
        <w:rPr/>
        <w:pict>
          <v:shape style="position:absolute;margin-left:44.220001pt;margin-top:29.800976pt;width:5pt;height:.1pt;mso-position-horizontal-relative:page;mso-position-vertical-relative:paragraph;z-index:-15676416;mso-wrap-distance-left:0;mso-wrap-distance-right:0" coordorigin="884,596" coordsize="100,0" path="m984,596l884,596e" filled="false" stroked="true" strokeweight=".5pt" strokecolor="#000000">
            <v:path arrowok="t"/>
            <v:stroke dashstyle="solid"/>
            <w10:wrap type="topAndBottom"/>
          </v:shape>
        </w:pict>
      </w:r>
    </w:p>
    <w:p>
      <w:pPr>
        <w:pStyle w:val="BodyText"/>
        <w:spacing w:before="8"/>
        <w:rPr>
          <w:b/>
          <w:sz w:val="29"/>
        </w:rPr>
      </w:pPr>
    </w:p>
    <w:p>
      <w:pPr>
        <w:pStyle w:val="BodyText"/>
        <w:rPr>
          <w:b/>
          <w:sz w:val="20"/>
        </w:rPr>
      </w:pPr>
      <w:r>
        <w:rPr/>
        <w:br w:type="column"/>
      </w:r>
      <w:r>
        <w:rPr>
          <w:b/>
          <w:sz w:val="20"/>
        </w:rPr>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7"/>
        <w:rPr>
          <w:b/>
          <w:sz w:val="21"/>
        </w:rPr>
      </w:pPr>
    </w:p>
    <w:p>
      <w:pPr>
        <w:spacing w:before="0"/>
        <w:ind w:left="154" w:right="0" w:firstLine="0"/>
        <w:jc w:val="left"/>
        <w:rPr>
          <w:sz w:val="12"/>
        </w:rPr>
      </w:pPr>
      <w:r>
        <w:rPr>
          <w:sz w:val="12"/>
        </w:rPr>
        <w:t>Per ce</w:t>
      </w:r>
      <w:r>
        <w:rPr>
          <w:sz w:val="12"/>
          <w:u w:val="single"/>
        </w:rPr>
        <w:t>n</w:t>
      </w:r>
      <w:r>
        <w:rPr>
          <w:sz w:val="12"/>
        </w:rPr>
        <w:t>t</w:t>
      </w:r>
      <w:r>
        <w:rPr>
          <w:spacing w:val="-7"/>
          <w:sz w:val="12"/>
        </w:rPr>
        <w:t> </w:t>
      </w:r>
      <w:r>
        <w:rPr>
          <w:position w:val="-7"/>
          <w:sz w:val="12"/>
        </w:rPr>
        <w:t>35</w:t>
      </w:r>
    </w:p>
    <w:p>
      <w:pPr>
        <w:pStyle w:val="BodyText"/>
        <w:spacing w:before="6"/>
        <w:rPr>
          <w:sz w:val="24"/>
        </w:rPr>
      </w:pPr>
    </w:p>
    <w:p>
      <w:pPr>
        <w:spacing w:before="0"/>
        <w:ind w:left="0" w:right="38" w:firstLine="0"/>
        <w:jc w:val="right"/>
        <w:rPr>
          <w:sz w:val="12"/>
        </w:rPr>
      </w:pPr>
      <w:r>
        <w:rPr/>
        <w:pict>
          <v:group style="position:absolute;margin-left:53.720001pt;margin-top:-14.731445pt;width:160.5pt;height:118pt;mso-position-horizontal-relative:page;mso-position-vertical-relative:paragraph;z-index:15784960" coordorigin="1074,-295" coordsize="3210,2360">
            <v:shape style="position:absolute;left:1084;top:-285;width:3020;height:1700" coordorigin="1084,-285" coordsize="3020,1700" path="m1084,1175l1144,1135,1204,955,1244,1215,1304,955,1364,1175,1404,1155,1464,1115,1524,1035,1564,975,1624,1215,1684,1035,1724,1195,1784,1255,1844,1155,1904,1115,1944,1275,2064,915,2104,755,2164,575,2224,535,2264,175,2324,-85,2384,-285,2424,-245,2484,-125,2544,-45,2604,-165,2644,75,2704,195,2764,255,2804,135,2864,375,2924,475,2964,555,3024,835,3084,1015,3124,1055,3184,1195,3244,1235,3284,1215,3344,1255,3404,1255,3464,1175,3504,1115,3564,1175,3624,1195,3664,1275,3724,1415,3784,1275,3824,1295,3884,1335,3944,1295,3984,1335,4044,895,4104,1115e" filled="false" stroked="true" strokeweight="1pt" strokecolor="#0099d8">
              <v:path arrowok="t"/>
              <v:stroke dashstyle="solid"/>
            </v:shape>
            <v:shape style="position:absolute;left:1084;top:1375;width:3020;height:680" coordorigin="1084,1375" coordsize="3020,680" path="m1084,2055l1144,2035,1244,1935,1364,1855,1404,1835,1464,1855,1524,1835,1564,1875,1624,1875,1684,1835,1724,1815,1784,1855,1904,1855,1944,1895,2004,1895,2064,1815,2104,1695,2224,1575,2264,1555,2384,1435,2424,1375,2484,1375,2544,1395,2604,1435,2644,1535,2704,1615,2764,1655,2804,1655,2864,1715,2924,1735,2964,1795,3024,1935,3084,1975,3184,1975,3244,1995,3284,1955,3344,1995,3404,1975,3464,1975,3504,1955,3564,1955,3624,1995,3664,1995,3784,2035,3824,2035,3884,2015,3944,2035,3984,1995,4104,1915e" filled="false" stroked="true" strokeweight="1pt" strokecolor="#faab54">
              <v:path arrowok="t"/>
              <v:stroke dashstyle="solid"/>
            </v:shape>
            <v:shape style="position:absolute;left:4184;top:95;width:100;height:1700" coordorigin="4184,95" coordsize="100,1700" path="m4284,1795l4184,1795m4284,1375l4184,1375m4284,955l4184,955m4284,515l4184,515m4284,95l4184,95e" filled="false" stroked="true" strokeweight=".5pt" strokecolor="#000000">
              <v:path arrowok="t"/>
              <v:stroke dashstyle="solid"/>
            </v:shape>
            <v:shape style="position:absolute;left:2914;top:278;width:980;height:133" type="#_x0000_t202" filled="false" stroked="false">
              <v:textbox inset="0,0,0,0">
                <w:txbxContent>
                  <w:p>
                    <w:pPr>
                      <w:spacing w:line="133" w:lineRule="exact" w:before="0"/>
                      <w:ind w:left="0" w:right="0" w:firstLine="0"/>
                      <w:jc w:val="left"/>
                      <w:rPr>
                        <w:sz w:val="12"/>
                      </w:rPr>
                    </w:pPr>
                    <w:r>
                      <w:rPr>
                        <w:sz w:val="12"/>
                      </w:rPr>
                      <w:t>Corporate sector (a)</w:t>
                    </w:r>
                  </w:p>
                </w:txbxContent>
              </v:textbox>
              <w10:wrap type="none"/>
            </v:shape>
            <v:shape style="position:absolute;left:2774;top:1478;width:920;height:133" type="#_x0000_t202" filled="false" stroked="false">
              <v:textbox inset="0,0,0,0">
                <w:txbxContent>
                  <w:p>
                    <w:pPr>
                      <w:spacing w:line="133" w:lineRule="exact" w:before="0"/>
                      <w:ind w:left="0" w:right="0" w:firstLine="0"/>
                      <w:jc w:val="left"/>
                      <w:rPr>
                        <w:sz w:val="12"/>
                      </w:rPr>
                    </w:pPr>
                    <w:r>
                      <w:rPr>
                        <w:sz w:val="12"/>
                      </w:rPr>
                      <w:t>Personal sector (b)</w:t>
                    </w:r>
                  </w:p>
                </w:txbxContent>
              </v:textbox>
              <w10:wrap type="none"/>
            </v:shape>
            <w10:wrap type="none"/>
          </v:group>
        </w:pict>
      </w:r>
      <w:r>
        <w:rPr>
          <w:sz w:val="12"/>
        </w:rPr>
        <w:t>30</w:t>
      </w:r>
    </w:p>
    <w:p>
      <w:pPr>
        <w:pStyle w:val="BodyText"/>
        <w:rPr>
          <w:sz w:val="12"/>
        </w:rPr>
      </w:pPr>
    </w:p>
    <w:p>
      <w:pPr>
        <w:pStyle w:val="BodyText"/>
        <w:spacing w:before="3"/>
        <w:rPr>
          <w:sz w:val="14"/>
        </w:rPr>
      </w:pPr>
    </w:p>
    <w:p>
      <w:pPr>
        <w:spacing w:before="0"/>
        <w:ind w:left="0" w:right="38" w:firstLine="0"/>
        <w:jc w:val="right"/>
        <w:rPr>
          <w:sz w:val="12"/>
        </w:rPr>
      </w:pPr>
      <w:r>
        <w:rPr>
          <w:sz w:val="12"/>
        </w:rPr>
        <w:t>25</w:t>
      </w:r>
    </w:p>
    <w:p>
      <w:pPr>
        <w:pStyle w:val="BodyText"/>
        <w:rPr>
          <w:sz w:val="12"/>
        </w:rPr>
      </w:pPr>
    </w:p>
    <w:p>
      <w:pPr>
        <w:pStyle w:val="BodyText"/>
        <w:spacing w:before="3"/>
        <w:rPr>
          <w:sz w:val="14"/>
        </w:rPr>
      </w:pPr>
    </w:p>
    <w:p>
      <w:pPr>
        <w:spacing w:before="0"/>
        <w:ind w:left="0" w:right="38" w:firstLine="0"/>
        <w:jc w:val="right"/>
        <w:rPr>
          <w:sz w:val="12"/>
        </w:rPr>
      </w:pPr>
      <w:r>
        <w:rPr>
          <w:sz w:val="12"/>
        </w:rPr>
        <w:t>20</w:t>
      </w:r>
    </w:p>
    <w:p>
      <w:pPr>
        <w:pStyle w:val="BodyText"/>
        <w:rPr>
          <w:sz w:val="12"/>
        </w:rPr>
      </w:pPr>
    </w:p>
    <w:p>
      <w:pPr>
        <w:pStyle w:val="BodyText"/>
        <w:spacing w:before="6"/>
        <w:rPr>
          <w:sz w:val="12"/>
        </w:rPr>
      </w:pPr>
    </w:p>
    <w:p>
      <w:pPr>
        <w:spacing w:before="0"/>
        <w:ind w:left="0" w:right="38" w:firstLine="0"/>
        <w:jc w:val="right"/>
        <w:rPr>
          <w:sz w:val="12"/>
        </w:rPr>
      </w:pPr>
      <w:r>
        <w:rPr>
          <w:sz w:val="12"/>
        </w:rPr>
        <w:t>15</w:t>
      </w:r>
    </w:p>
    <w:p>
      <w:pPr>
        <w:pStyle w:val="BodyText"/>
        <w:rPr>
          <w:sz w:val="12"/>
        </w:rPr>
      </w:pPr>
    </w:p>
    <w:p>
      <w:pPr>
        <w:pStyle w:val="BodyText"/>
        <w:spacing w:before="6"/>
        <w:rPr>
          <w:sz w:val="12"/>
        </w:rPr>
      </w:pPr>
    </w:p>
    <w:p>
      <w:pPr>
        <w:spacing w:before="0"/>
        <w:ind w:left="0" w:right="38" w:firstLine="0"/>
        <w:jc w:val="right"/>
        <w:rPr>
          <w:sz w:val="12"/>
        </w:rPr>
      </w:pPr>
      <w:r>
        <w:rPr>
          <w:sz w:val="12"/>
        </w:rPr>
        <w:t>10</w:t>
      </w:r>
    </w:p>
    <w:p>
      <w:pPr>
        <w:pStyle w:val="BodyText"/>
        <w:rPr>
          <w:sz w:val="12"/>
        </w:rPr>
      </w:pPr>
    </w:p>
    <w:p>
      <w:pPr>
        <w:pStyle w:val="BodyText"/>
        <w:spacing w:before="3"/>
        <w:rPr>
          <w:sz w:val="14"/>
        </w:rPr>
      </w:pPr>
    </w:p>
    <w:p>
      <w:pPr>
        <w:spacing w:before="0"/>
        <w:ind w:left="0" w:right="38" w:firstLine="0"/>
        <w:jc w:val="right"/>
        <w:rPr>
          <w:sz w:val="12"/>
        </w:rPr>
      </w:pPr>
      <w:r>
        <w:rPr/>
        <w:pict>
          <v:line style="position:absolute;mso-position-horizontal-relative:page;mso-position-vertical-relative:paragraph;z-index:15785472" from="214.220001pt,3.768555pt" to="209.220001pt,3.768555pt" stroked="true" strokeweight=".5pt" strokecolor="#000000">
            <v:stroke dashstyle="solid"/>
            <w10:wrap type="none"/>
          </v:line>
        </w:pict>
      </w:r>
      <w:r>
        <w:rPr>
          <w:sz w:val="12"/>
        </w:rPr>
        <w:t>5</w:t>
      </w:r>
    </w:p>
    <w:p>
      <w:pPr>
        <w:pStyle w:val="BodyText"/>
        <w:rPr>
          <w:sz w:val="12"/>
        </w:rPr>
      </w:pPr>
    </w:p>
    <w:p>
      <w:pPr>
        <w:pStyle w:val="BodyText"/>
        <w:spacing w:before="6"/>
        <w:rPr>
          <w:sz w:val="12"/>
        </w:rPr>
      </w:pPr>
    </w:p>
    <w:p>
      <w:pPr>
        <w:spacing w:line="49" w:lineRule="exact" w:before="0"/>
        <w:ind w:left="0" w:right="38" w:firstLine="0"/>
        <w:jc w:val="right"/>
        <w:rPr>
          <w:sz w:val="12"/>
        </w:rPr>
      </w:pPr>
      <w:r>
        <w:rPr/>
        <w:pict>
          <v:shape style="position:absolute;margin-left:54.220001pt;margin-top:-.231445pt;width:151pt;height:4pt;mso-position-horizontal-relative:page;mso-position-vertical-relative:paragraph;z-index:15783424" coordorigin="1084,-5" coordsize="3020,80" path="m4104,75l4104,-5m3884,75l3884,-5m3664,75l3664,-5m3444,75l3444,-5m3244,75l3244,-5m3024,75l3024,-5m2804,75l2804,-5m2604,75l2604,-5m2384,75l2384,-5m2164,75l2164,-5m1724,75l1724,-5m1524,75l1524,-5m1304,75l1304,-5m1084,75l1084,-5m1084,75l4104,75m1139,75l1139,35m1194,75l1194,35m1249,75l1249,35m1359,75l1359,35m1414,75l1414,35m1469,75l1469,35m1574,75l1574,35m1624,75l1624,35m1674,75l1674,35m1779,75l1779,35m1834,75l1834,35m1889,75l1889,35m1999,75l1999,35m2054,75l2054,35m2109,75l2109,35m2219,75l2219,35m2274,75l2274,35m2329,75l2329,35m2439,75l2439,35m2494,75l2494,35m2549,75l2549,35m2654,75l2654,35m2704,75l2704,35m2754,75l2754,35m2859,75l2859,35m2914,75l2914,35m2969,75l2969,35m3079,75l3079,35m3134,75l3134,35m3189,75l3189,35m3294,75l3294,35m3344,75l3344,35m3394,75l3394,35m3499,75l3499,35m3554,75l3554,35m3609,75l3609,35m3719,75l3719,35m3774,75l3774,35m3829,75l3829,35m3939,75l3939,35m3994,75l3994,35m4049,75l4049,35m1944,75l1944,-5e" filled="false" stroked="true" strokeweight=".5pt" strokecolor="#000000">
            <v:path arrowok="t"/>
            <v:stroke dashstyle="solid"/>
            <w10:wrap type="none"/>
          </v:shape>
        </w:pict>
      </w:r>
      <w:r>
        <w:rPr>
          <w:sz w:val="12"/>
        </w:rPr>
        <w:t>0</w:t>
      </w:r>
    </w:p>
    <w:p>
      <w:pPr>
        <w:pStyle w:val="BodyText"/>
        <w:spacing w:line="20" w:lineRule="exact"/>
        <w:ind w:left="432"/>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Heading4"/>
        <w:spacing w:before="207"/>
        <w:ind w:left="154"/>
      </w:pPr>
      <w:r>
        <w:rPr/>
        <w:br w:type="column"/>
      </w:r>
      <w:r>
        <w:rPr>
          <w:color w:val="231F20"/>
        </w:rPr>
        <w:t>banks and building societies,</w:t>
      </w:r>
      <w:r>
        <w:rPr>
          <w:color w:val="231F20"/>
          <w:position w:val="5"/>
          <w:sz w:val="16"/>
        </w:rPr>
        <w:t>(1) </w:t>
      </w:r>
      <w:r>
        <w:rPr>
          <w:color w:val="231F20"/>
        </w:rPr>
        <w:t>has been within</w:t>
      </w:r>
    </w:p>
    <w:p>
      <w:pPr>
        <w:spacing w:line="242" w:lineRule="auto" w:before="4"/>
        <w:ind w:left="154" w:right="166" w:firstLine="0"/>
        <w:jc w:val="left"/>
        <w:rPr>
          <w:sz w:val="24"/>
        </w:rPr>
      </w:pPr>
      <w:r>
        <w:rPr>
          <w:color w:val="231F20"/>
          <w:sz w:val="24"/>
        </w:rPr>
        <w:t>0.1 percentage points of 7.4% since June last year. Within the total, consumer credit has remained robust, growing by 16.3% in the year to June. Net mortgage borrowing has moderated slightly, growing by 5.6% in the year to June, compared with an average annual growth rate of 5.8% during the second half of 1997.</w:t>
      </w:r>
    </w:p>
    <w:p>
      <w:pPr>
        <w:pStyle w:val="BodyText"/>
        <w:spacing w:before="6"/>
        <w:rPr>
          <w:sz w:val="28"/>
        </w:rPr>
      </w:pPr>
    </w:p>
    <w:p>
      <w:pPr>
        <w:spacing w:line="242" w:lineRule="auto" w:before="0"/>
        <w:ind w:left="154" w:right="166" w:firstLine="0"/>
        <w:jc w:val="left"/>
        <w:rPr>
          <w:sz w:val="24"/>
        </w:rPr>
      </w:pPr>
      <w:r>
        <w:rPr>
          <w:color w:val="231F20"/>
          <w:sz w:val="24"/>
        </w:rPr>
        <w:t>Strong growth in personal incomes and wealth has allowed individuals to service and collateralise higher levels of borrowing, supporting the demand for credit. Personal sector income gearing levels remain considerably lower than in the late 1980s (see Chart </w:t>
      </w:r>
      <w:r>
        <w:rPr>
          <w:color w:val="231F20"/>
          <w:spacing w:val="-4"/>
          <w:sz w:val="24"/>
        </w:rPr>
        <w:t>1.7). </w:t>
      </w:r>
      <w:r>
        <w:rPr>
          <w:color w:val="231F20"/>
          <w:sz w:val="24"/>
        </w:rPr>
        <w:t>The continuing growth in personal sector borrowing probably also reflects loan supply factors, which </w:t>
      </w:r>
      <w:r>
        <w:rPr>
          <w:color w:val="231F20"/>
          <w:spacing w:val="-3"/>
          <w:sz w:val="24"/>
        </w:rPr>
        <w:t>have </w:t>
      </w:r>
      <w:r>
        <w:rPr>
          <w:color w:val="231F20"/>
          <w:sz w:val="24"/>
        </w:rPr>
        <w:t>limited the pass-through of higher official interest rates to new borrowing rates during the past 15 months.</w:t>
      </w:r>
    </w:p>
    <w:p>
      <w:pPr>
        <w:spacing w:line="242" w:lineRule="auto" w:before="11"/>
        <w:ind w:left="154" w:right="227" w:firstLine="0"/>
        <w:jc w:val="left"/>
        <w:rPr>
          <w:sz w:val="24"/>
        </w:rPr>
      </w:pPr>
      <w:r>
        <w:rPr>
          <w:color w:val="231F20"/>
          <w:sz w:val="24"/>
        </w:rPr>
        <w:t>Advertised rates available for new unsecured credit card borrowing, personal loans and authorised overdrafts have in many cases stayed constant or fallen, in part reflecting increased competition and lower perceived</w:t>
      </w:r>
    </w:p>
    <w:p>
      <w:pPr>
        <w:spacing w:after="0" w:line="242" w:lineRule="auto"/>
        <w:jc w:val="left"/>
        <w:rPr>
          <w:sz w:val="24"/>
        </w:rPr>
        <w:sectPr>
          <w:type w:val="continuous"/>
          <w:pgSz w:w="11900" w:h="16840"/>
          <w:pgMar w:top="1220" w:bottom="280" w:left="620" w:right="640"/>
          <w:cols w:num="3" w:equalWidth="0">
            <w:col w:w="1522" w:space="1604"/>
            <w:col w:w="728" w:space="980"/>
            <w:col w:w="5806"/>
          </w:cols>
        </w:sectPr>
      </w:pPr>
    </w:p>
    <w:p>
      <w:pPr>
        <w:tabs>
          <w:tab w:pos="894" w:val="left" w:leader="none"/>
          <w:tab w:pos="1294" w:val="left" w:leader="none"/>
          <w:tab w:pos="1734" w:val="left" w:leader="none"/>
          <w:tab w:pos="2174" w:val="left" w:leader="none"/>
          <w:tab w:pos="2610" w:val="left" w:leader="none"/>
          <w:tab w:pos="3030" w:val="left" w:leader="none"/>
          <w:tab w:pos="3447" w:val="left" w:leader="none"/>
        </w:tabs>
        <w:spacing w:line="119" w:lineRule="exact" w:before="0"/>
        <w:ind w:left="361" w:right="0" w:firstLine="0"/>
        <w:jc w:val="left"/>
        <w:rPr>
          <w:sz w:val="12"/>
        </w:rPr>
      </w:pPr>
      <w:r>
        <w:rPr>
          <w:sz w:val="12"/>
        </w:rPr>
        <w:t>1984</w:t>
        <w:tab/>
        <w:t>86</w:t>
        <w:tab/>
        <w:t>88</w:t>
        <w:tab/>
        <w:t>90</w:t>
        <w:tab/>
        <w:t>92</w:t>
        <w:tab/>
        <w:t>94</w:t>
        <w:tab/>
        <w:t>96</w:t>
        <w:tab/>
        <w:t>98</w:t>
      </w:r>
    </w:p>
    <w:p>
      <w:pPr>
        <w:pStyle w:val="BodyText"/>
        <w:spacing w:before="5"/>
        <w:rPr>
          <w:sz w:val="9"/>
        </w:rPr>
      </w:pPr>
    </w:p>
    <w:p>
      <w:pPr>
        <w:pStyle w:val="ListParagraph"/>
        <w:numPr>
          <w:ilvl w:val="0"/>
          <w:numId w:val="6"/>
        </w:numPr>
        <w:tabs>
          <w:tab w:pos="405" w:val="left" w:leader="none"/>
        </w:tabs>
        <w:spacing w:line="129" w:lineRule="exact" w:before="0" w:after="0"/>
        <w:ind w:left="404" w:right="0" w:hanging="241"/>
        <w:jc w:val="left"/>
        <w:rPr>
          <w:sz w:val="12"/>
        </w:rPr>
      </w:pPr>
      <w:r>
        <w:rPr>
          <w:color w:val="231F20"/>
          <w:sz w:val="12"/>
        </w:rPr>
        <w:t>Interest payments as a proportion of post-tax profits.</w:t>
      </w:r>
    </w:p>
    <w:p>
      <w:pPr>
        <w:pStyle w:val="ListParagraph"/>
        <w:numPr>
          <w:ilvl w:val="0"/>
          <w:numId w:val="6"/>
        </w:numPr>
        <w:tabs>
          <w:tab w:pos="405" w:val="left" w:leader="none"/>
        </w:tabs>
        <w:spacing w:line="129" w:lineRule="exact" w:before="0" w:after="0"/>
        <w:ind w:left="404" w:right="0" w:hanging="241"/>
        <w:jc w:val="left"/>
        <w:rPr>
          <w:sz w:val="12"/>
        </w:rPr>
      </w:pPr>
      <w:r>
        <w:rPr>
          <w:color w:val="231F20"/>
          <w:sz w:val="12"/>
        </w:rPr>
        <w:t>Interest payments as a proportion of personal disposable income.</w:t>
      </w:r>
    </w:p>
    <w:p>
      <w:pPr>
        <w:pStyle w:val="BodyText"/>
        <w:rPr>
          <w:sz w:val="12"/>
        </w:rPr>
      </w:pPr>
    </w:p>
    <w:p>
      <w:pPr>
        <w:pStyle w:val="BodyText"/>
        <w:rPr>
          <w:sz w:val="12"/>
        </w:rPr>
      </w:pPr>
    </w:p>
    <w:p>
      <w:pPr>
        <w:pStyle w:val="BodyText"/>
        <w:rPr>
          <w:sz w:val="12"/>
        </w:rPr>
      </w:pPr>
    </w:p>
    <w:p>
      <w:pPr>
        <w:pStyle w:val="BodyText"/>
        <w:rPr>
          <w:sz w:val="12"/>
        </w:rPr>
      </w:pPr>
    </w:p>
    <w:p>
      <w:pPr>
        <w:pStyle w:val="Heading8"/>
        <w:spacing w:before="87"/>
        <w:ind w:left="196"/>
      </w:pPr>
      <w:r>
        <w:rPr>
          <w:color w:val="0093C1"/>
        </w:rPr>
        <w:t>Table 1.D</w:t>
      </w:r>
    </w:p>
    <w:p>
      <w:pPr>
        <w:spacing w:line="249" w:lineRule="auto" w:before="10"/>
        <w:ind w:left="196" w:right="20" w:firstLine="0"/>
        <w:jc w:val="left"/>
        <w:rPr>
          <w:sz w:val="12"/>
        </w:rPr>
      </w:pPr>
      <w:r>
        <w:rPr>
          <w:b/>
          <w:color w:val="0093C1"/>
          <w:sz w:val="20"/>
        </w:rPr>
        <w:t>Indicative changes in average advertised personal mortgage rates (3 April 1997 to 2 July 1998)</w:t>
      </w:r>
      <w:r>
        <w:rPr>
          <w:color w:val="231F20"/>
          <w:position w:val="4"/>
          <w:sz w:val="12"/>
        </w:rPr>
        <w:t>(a)</w:t>
      </w:r>
    </w:p>
    <w:p>
      <w:pPr>
        <w:spacing w:before="97"/>
        <w:ind w:left="196" w:right="0" w:firstLine="0"/>
        <w:jc w:val="left"/>
        <w:rPr>
          <w:sz w:val="14"/>
        </w:rPr>
      </w:pPr>
      <w:r>
        <w:rPr>
          <w:color w:val="231F20"/>
          <w:sz w:val="14"/>
        </w:rPr>
        <w:t>Percentage points</w:t>
      </w:r>
    </w:p>
    <w:p>
      <w:pPr>
        <w:tabs>
          <w:tab w:pos="3076" w:val="left" w:leader="none"/>
        </w:tabs>
        <w:spacing w:line="150" w:lineRule="exact" w:before="119"/>
        <w:ind w:left="1906" w:right="0" w:firstLine="0"/>
        <w:jc w:val="left"/>
        <w:rPr>
          <w:sz w:val="14"/>
        </w:rPr>
      </w:pPr>
      <w:r>
        <w:rPr>
          <w:color w:val="231F20"/>
          <w:sz w:val="14"/>
        </w:rPr>
        <w:t>Changes in rates</w:t>
        <w:tab/>
        <w:t>Changes in equivalent</w:t>
      </w:r>
    </w:p>
    <w:p>
      <w:pPr>
        <w:spacing w:line="150" w:lineRule="exact" w:before="0"/>
        <w:ind w:left="3076" w:right="0" w:firstLine="0"/>
        <w:jc w:val="left"/>
        <w:rPr>
          <w:sz w:val="12"/>
        </w:rPr>
      </w:pPr>
      <w:r>
        <w:rPr>
          <w:color w:val="231F20"/>
          <w:sz w:val="14"/>
        </w:rPr>
        <w:t>gilt yields</w:t>
      </w:r>
      <w:r>
        <w:rPr>
          <w:color w:val="231F20"/>
          <w:spacing w:val="-4"/>
          <w:sz w:val="14"/>
        </w:rPr>
        <w:t> </w:t>
      </w:r>
      <w:r>
        <w:rPr>
          <w:color w:val="231F20"/>
          <w:sz w:val="12"/>
        </w:rPr>
        <w:t>(b)</w:t>
      </w:r>
    </w:p>
    <w:p>
      <w:pPr>
        <w:pStyle w:val="BodyText"/>
        <w:spacing w:before="5"/>
        <w:rPr>
          <w:sz w:val="2"/>
        </w:rPr>
      </w:pPr>
    </w:p>
    <w:p>
      <w:pPr>
        <w:tabs>
          <w:tab w:pos="3113" w:val="left" w:leader="none"/>
        </w:tabs>
        <w:spacing w:line="20" w:lineRule="exact"/>
        <w:ind w:left="1913" w:right="0" w:firstLine="0"/>
        <w:rPr>
          <w:sz w:val="2"/>
        </w:rPr>
      </w:pPr>
      <w:r>
        <w:rPr>
          <w:sz w:val="2"/>
        </w:rPr>
        <w:pict>
          <v:group style="width:46.5pt;height:.15pt;mso-position-horizontal-relative:char;mso-position-vertical-relative:line" coordorigin="0,0" coordsize="930,3">
            <v:line style="position:absolute" from="0,1" to="930,1" stroked="true" strokeweight=".125pt" strokecolor="#231f20">
              <v:stroke dashstyle="solid"/>
            </v:line>
          </v:group>
        </w:pict>
      </w:r>
      <w:r>
        <w:rPr>
          <w:sz w:val="2"/>
        </w:rPr>
      </w:r>
      <w:r>
        <w:rPr>
          <w:sz w:val="2"/>
        </w:rPr>
        <w:tab/>
      </w:r>
      <w:r>
        <w:rPr>
          <w:sz w:val="2"/>
        </w:rPr>
        <w:pict>
          <v:group style="width:63pt;height:.15pt;mso-position-horizontal-relative:char;mso-position-vertical-relative:line" coordorigin="0,0" coordsize="1260,3">
            <v:line style="position:absolute" from="0,1" to="1260,1" stroked="true" strokeweight=".125pt" strokecolor="#231f20">
              <v:stroke dashstyle="solid"/>
            </v:line>
          </v:group>
        </w:pict>
      </w:r>
      <w:r>
        <w:rPr>
          <w:sz w:val="2"/>
        </w:rPr>
      </w:r>
    </w:p>
    <w:p>
      <w:pPr>
        <w:tabs>
          <w:tab w:pos="2177" w:val="left" w:leader="none"/>
          <w:tab w:pos="3546" w:val="left" w:leader="none"/>
        </w:tabs>
        <w:spacing w:before="71"/>
        <w:ind w:left="196" w:right="0" w:firstLine="0"/>
        <w:jc w:val="left"/>
        <w:rPr>
          <w:sz w:val="14"/>
        </w:rPr>
      </w:pPr>
      <w:r>
        <w:rPr>
          <w:color w:val="231F20"/>
          <w:sz w:val="14"/>
        </w:rPr>
        <w:t>Official interest rate</w:t>
        <w:tab/>
        <w:t>+1.50</w:t>
        <w:tab/>
        <w:t>n.a.</w:t>
      </w:r>
    </w:p>
    <w:p>
      <w:pPr>
        <w:tabs>
          <w:tab w:pos="3546" w:val="left" w:leader="none"/>
        </w:tabs>
        <w:spacing w:line="150" w:lineRule="exact" w:before="119"/>
        <w:ind w:left="196" w:right="0" w:firstLine="0"/>
        <w:jc w:val="left"/>
        <w:rPr>
          <w:sz w:val="14"/>
        </w:rPr>
      </w:pPr>
      <w:r>
        <w:rPr>
          <w:color w:val="231F20"/>
          <w:sz w:val="14"/>
        </w:rPr>
        <w:t>Standard variable-rate mortgage    </w:t>
      </w:r>
      <w:r>
        <w:rPr>
          <w:color w:val="231F20"/>
          <w:spacing w:val="2"/>
          <w:sz w:val="14"/>
        </w:rPr>
        <w:t> </w:t>
      </w:r>
      <w:r>
        <w:rPr>
          <w:color w:val="231F20"/>
          <w:sz w:val="14"/>
        </w:rPr>
        <w:t>+1.62</w:t>
        <w:tab/>
        <w:t>n.a.</w:t>
      </w:r>
    </w:p>
    <w:p>
      <w:pPr>
        <w:tabs>
          <w:tab w:pos="2209" w:val="left" w:leader="none"/>
          <w:tab w:pos="3499" w:val="left" w:leader="none"/>
        </w:tabs>
        <w:spacing w:line="140" w:lineRule="exact" w:before="0"/>
        <w:ind w:left="196" w:right="0" w:firstLine="0"/>
        <w:jc w:val="left"/>
        <w:rPr>
          <w:sz w:val="14"/>
        </w:rPr>
      </w:pPr>
      <w:r>
        <w:rPr>
          <w:color w:val="231F20"/>
          <w:sz w:val="14"/>
        </w:rPr>
        <w:t>Two-year fixed-rate mortgage</w:t>
        <w:tab/>
        <w:t>-0.02</w:t>
        <w:tab/>
        <w:t>-0.01</w:t>
      </w:r>
    </w:p>
    <w:p>
      <w:pPr>
        <w:tabs>
          <w:tab w:pos="2209" w:val="left" w:leader="none"/>
          <w:tab w:pos="3499" w:val="left" w:leader="none"/>
        </w:tabs>
        <w:spacing w:line="140" w:lineRule="exact" w:before="0"/>
        <w:ind w:left="196" w:right="0" w:firstLine="0"/>
        <w:jc w:val="left"/>
        <w:rPr>
          <w:sz w:val="14"/>
        </w:rPr>
      </w:pPr>
      <w:r>
        <w:rPr>
          <w:color w:val="231F20"/>
          <w:sz w:val="14"/>
        </w:rPr>
        <w:t>Five-year fixed-rate mortgage</w:t>
        <w:tab/>
        <w:t>-0.88</w:t>
        <w:tab/>
        <w:t>-1.16</w:t>
      </w:r>
    </w:p>
    <w:p>
      <w:pPr>
        <w:tabs>
          <w:tab w:pos="2209" w:val="left" w:leader="none"/>
          <w:tab w:pos="3499" w:val="left" w:leader="none"/>
        </w:tabs>
        <w:spacing w:line="150" w:lineRule="exact" w:before="0"/>
        <w:ind w:left="196" w:right="0" w:firstLine="0"/>
        <w:jc w:val="left"/>
        <w:rPr>
          <w:sz w:val="14"/>
        </w:rPr>
      </w:pPr>
      <w:r>
        <w:rPr>
          <w:color w:val="231F20"/>
          <w:sz w:val="14"/>
        </w:rPr>
        <w:t>Ten-year fixed-rate mortgage</w:t>
        <w:tab/>
        <w:t>-1.58</w:t>
        <w:tab/>
        <w:t>-1.87</w:t>
      </w:r>
    </w:p>
    <w:p>
      <w:pPr>
        <w:spacing w:before="118"/>
        <w:ind w:left="196" w:right="0" w:firstLine="0"/>
        <w:jc w:val="left"/>
        <w:rPr>
          <w:sz w:val="12"/>
        </w:rPr>
      </w:pPr>
      <w:r>
        <w:rPr>
          <w:color w:val="231F20"/>
          <w:sz w:val="12"/>
        </w:rPr>
        <w:t>Sources: </w:t>
      </w:r>
      <w:r>
        <w:rPr>
          <w:i/>
          <w:color w:val="231F20"/>
          <w:sz w:val="12"/>
        </w:rPr>
        <w:t>Moneyfacts </w:t>
      </w:r>
      <w:r>
        <w:rPr>
          <w:color w:val="231F20"/>
          <w:sz w:val="12"/>
        </w:rPr>
        <w:t>and Bank of England.</w:t>
      </w:r>
    </w:p>
    <w:p>
      <w:pPr>
        <w:pStyle w:val="BodyText"/>
        <w:spacing w:before="2"/>
        <w:rPr>
          <w:sz w:val="10"/>
        </w:rPr>
      </w:pPr>
    </w:p>
    <w:p>
      <w:pPr>
        <w:pStyle w:val="ListParagraph"/>
        <w:numPr>
          <w:ilvl w:val="0"/>
          <w:numId w:val="7"/>
        </w:numPr>
        <w:tabs>
          <w:tab w:pos="437" w:val="left" w:leader="none"/>
        </w:tabs>
        <w:spacing w:line="208" w:lineRule="auto" w:before="0" w:after="0"/>
        <w:ind w:left="436" w:right="108" w:hanging="240"/>
        <w:jc w:val="left"/>
        <w:rPr>
          <w:sz w:val="12"/>
        </w:rPr>
      </w:pPr>
      <w:r>
        <w:rPr>
          <w:color w:val="231F20"/>
          <w:sz w:val="12"/>
        </w:rPr>
        <w:t>Changes in unweighted averages of advertised new mortgage rates published in </w:t>
      </w:r>
      <w:r>
        <w:rPr>
          <w:i/>
          <w:color w:val="231F20"/>
          <w:sz w:val="12"/>
        </w:rPr>
        <w:t>Moneyfacts </w:t>
      </w:r>
      <w:r>
        <w:rPr>
          <w:color w:val="231F20"/>
          <w:sz w:val="12"/>
        </w:rPr>
        <w:t>on selected, broadly comparable products offered by larger banks </w:t>
      </w:r>
      <w:r>
        <w:rPr>
          <w:color w:val="231F20"/>
          <w:spacing w:val="-6"/>
          <w:sz w:val="12"/>
        </w:rPr>
        <w:t>and </w:t>
      </w:r>
      <w:r>
        <w:rPr>
          <w:color w:val="231F20"/>
          <w:sz w:val="12"/>
        </w:rPr>
        <w:t>building societies. These data are indicative only, and may not give a full representation of the rates actually paid by borrowers.</w:t>
      </w:r>
    </w:p>
    <w:p>
      <w:pPr>
        <w:pStyle w:val="ListParagraph"/>
        <w:numPr>
          <w:ilvl w:val="0"/>
          <w:numId w:val="7"/>
        </w:numPr>
        <w:tabs>
          <w:tab w:pos="437" w:val="left" w:leader="none"/>
        </w:tabs>
        <w:spacing w:line="208" w:lineRule="auto" w:before="0" w:after="0"/>
        <w:ind w:left="436" w:right="421" w:hanging="240"/>
        <w:jc w:val="left"/>
        <w:rPr>
          <w:sz w:val="12"/>
        </w:rPr>
      </w:pPr>
      <w:r>
        <w:rPr>
          <w:color w:val="231F20"/>
          <w:sz w:val="12"/>
        </w:rPr>
        <w:t>Bank estimates of changes in par gilt yield curve at two, five and ten </w:t>
      </w:r>
      <w:r>
        <w:rPr>
          <w:color w:val="231F20"/>
          <w:spacing w:val="-3"/>
          <w:sz w:val="12"/>
        </w:rPr>
        <w:t>years’ </w:t>
      </w:r>
      <w:r>
        <w:rPr>
          <w:color w:val="231F20"/>
          <w:sz w:val="12"/>
        </w:rPr>
        <w:t>maturity.</w:t>
      </w:r>
    </w:p>
    <w:p>
      <w:pPr>
        <w:pStyle w:val="Heading4"/>
        <w:spacing w:line="206" w:lineRule="exact"/>
        <w:ind w:left="164"/>
      </w:pPr>
      <w:r>
        <w:rPr/>
        <w:br w:type="column"/>
      </w:r>
      <w:r>
        <w:rPr>
          <w:color w:val="231F20"/>
        </w:rPr>
        <w:t>probabilities of default.</w:t>
      </w:r>
    </w:p>
    <w:p>
      <w:pPr>
        <w:pStyle w:val="BodyText"/>
        <w:spacing w:before="2"/>
        <w:rPr>
          <w:sz w:val="28"/>
        </w:rPr>
      </w:pPr>
    </w:p>
    <w:p>
      <w:pPr>
        <w:spacing w:line="242" w:lineRule="auto" w:before="0"/>
        <w:ind w:left="164" w:right="183" w:firstLine="0"/>
        <w:jc w:val="left"/>
        <w:rPr>
          <w:sz w:val="24"/>
        </w:rPr>
      </w:pPr>
      <w:r>
        <w:rPr>
          <w:color w:val="231F20"/>
          <w:sz w:val="24"/>
        </w:rPr>
        <w:t>In the secured market, average advertised rates on new fixed-rate mortgages </w:t>
      </w:r>
      <w:r>
        <w:rPr>
          <w:color w:val="231F20"/>
          <w:spacing w:val="-3"/>
          <w:sz w:val="24"/>
        </w:rPr>
        <w:t>have </w:t>
      </w:r>
      <w:r>
        <w:rPr>
          <w:color w:val="231F20"/>
          <w:sz w:val="24"/>
        </w:rPr>
        <w:t>fallen relative to average advertised rates on new standard variable-rate mortgages, reflecting the increased inversion of the yield curve (see </w:t>
      </w:r>
      <w:r>
        <w:rPr>
          <w:color w:val="231F20"/>
          <w:spacing w:val="-4"/>
          <w:sz w:val="24"/>
        </w:rPr>
        <w:t>Table </w:t>
      </w:r>
      <w:r>
        <w:rPr>
          <w:color w:val="231F20"/>
          <w:sz w:val="24"/>
        </w:rPr>
        <w:t>1.D). Fixed-rate mortgages—mostly of </w:t>
      </w:r>
      <w:r>
        <w:rPr>
          <w:color w:val="231F20"/>
          <w:spacing w:val="-4"/>
          <w:sz w:val="24"/>
        </w:rPr>
        <w:t>five </w:t>
      </w:r>
      <w:r>
        <w:rPr>
          <w:color w:val="231F20"/>
          <w:sz w:val="24"/>
        </w:rPr>
        <w:t>years’ maturity or less—account for about half of gross new lending and about one fifth of the outstanding stock, according to the latest data from the Council of Mortgage Lenders.</w:t>
      </w:r>
      <w:r>
        <w:rPr>
          <w:color w:val="231F20"/>
          <w:position w:val="5"/>
          <w:sz w:val="16"/>
        </w:rPr>
        <w:t>(2) </w:t>
      </w:r>
      <w:r>
        <w:rPr>
          <w:color w:val="231F20"/>
          <w:spacing w:val="-10"/>
          <w:sz w:val="24"/>
        </w:rPr>
        <w:t>To </w:t>
      </w:r>
      <w:r>
        <w:rPr>
          <w:color w:val="231F20"/>
          <w:sz w:val="24"/>
        </w:rPr>
        <w:t>the extent that fixed-rate mortgages insulate household cash flows from the direct effects of higher official interest rates, they may allow credit-constrained households to maintain their consumption plans for longer than would otherwise </w:t>
      </w:r>
      <w:r>
        <w:rPr>
          <w:color w:val="231F20"/>
          <w:spacing w:val="-3"/>
          <w:sz w:val="24"/>
        </w:rPr>
        <w:t>have </w:t>
      </w:r>
      <w:r>
        <w:rPr>
          <w:color w:val="231F20"/>
          <w:sz w:val="24"/>
        </w:rPr>
        <w:t>been possible. They may also affect the consumption behaviour of unconstrained households, by reducing uncertainty about future debt payments. But a shift </w:t>
      </w:r>
      <w:r>
        <w:rPr>
          <w:color w:val="231F20"/>
          <w:spacing w:val="-5"/>
          <w:sz w:val="24"/>
        </w:rPr>
        <w:t>from </w:t>
      </w:r>
      <w:r>
        <w:rPr>
          <w:color w:val="231F20"/>
          <w:sz w:val="24"/>
        </w:rPr>
        <w:t>variable to fixed-rate debt should not by itself reduce the expected total cost of a mortgage, since longer-term </w:t>
      </w:r>
      <w:r>
        <w:rPr>
          <w:color w:val="231F20"/>
          <w:spacing w:val="-3"/>
          <w:sz w:val="24"/>
        </w:rPr>
        <w:t>fixed </w:t>
      </w:r>
      <w:r>
        <w:rPr>
          <w:color w:val="231F20"/>
          <w:sz w:val="24"/>
        </w:rPr>
        <w:t>rates should reflect the expected path of future short-term rates.</w:t>
      </w:r>
    </w:p>
    <w:p>
      <w:pPr>
        <w:pStyle w:val="BodyText"/>
        <w:spacing w:before="8"/>
        <w:rPr>
          <w:sz w:val="31"/>
        </w:rPr>
      </w:pPr>
    </w:p>
    <w:p>
      <w:pPr>
        <w:spacing w:before="0"/>
        <w:ind w:left="164" w:right="0" w:firstLine="0"/>
        <w:jc w:val="left"/>
        <w:rPr>
          <w:i/>
          <w:sz w:val="24"/>
        </w:rPr>
      </w:pPr>
      <w:r>
        <w:rPr>
          <w:i/>
          <w:color w:val="009483"/>
          <w:sz w:val="24"/>
        </w:rPr>
        <w:t>Industrial and commercial companies (ICCs)</w:t>
      </w:r>
    </w:p>
    <w:p>
      <w:pPr>
        <w:spacing w:line="242" w:lineRule="auto" w:before="164"/>
        <w:ind w:left="164" w:right="0" w:firstLine="0"/>
        <w:jc w:val="left"/>
        <w:rPr>
          <w:sz w:val="24"/>
        </w:rPr>
      </w:pPr>
      <w:r>
        <w:rPr>
          <w:color w:val="231F20"/>
          <w:sz w:val="24"/>
        </w:rPr>
        <w:t>Lending to ICCs has picked up since the end of last year. Annual growth in ICCs’ sterling borrowing from banks</w:t>
      </w:r>
    </w:p>
    <w:p>
      <w:pPr>
        <w:spacing w:after="0" w:line="242" w:lineRule="auto"/>
        <w:jc w:val="left"/>
        <w:rPr>
          <w:sz w:val="24"/>
        </w:rPr>
        <w:sectPr>
          <w:type w:val="continuous"/>
          <w:pgSz w:w="11900" w:h="16840"/>
          <w:pgMar w:top="1220" w:bottom="280" w:left="620" w:right="640"/>
          <w:cols w:num="2" w:equalWidth="0">
            <w:col w:w="4475" w:space="349"/>
            <w:col w:w="5816"/>
          </w:cols>
        </w:sectPr>
      </w:pPr>
    </w:p>
    <w:p>
      <w:pPr>
        <w:pStyle w:val="BodyText"/>
        <w:spacing w:before="3"/>
        <w:rPr>
          <w:sz w:val="23"/>
        </w:rPr>
      </w:pPr>
    </w:p>
    <w:p>
      <w:pPr>
        <w:pStyle w:val="BodyText"/>
        <w:spacing w:line="20" w:lineRule="exact"/>
        <w:ind w:left="4948"/>
        <w:rPr>
          <w:sz w:val="2"/>
        </w:rPr>
      </w:pPr>
      <w:r>
        <w:rPr>
          <w:sz w:val="2"/>
        </w:rPr>
        <w:pict>
          <v:group style="width:277pt;height:.15pt;mso-position-horizontal-relative:char;mso-position-vertical-relative:line" coordorigin="0,0" coordsize="5540,3">
            <v:line style="position:absolute" from="0,1" to="5540,1" stroked="true" strokeweight=".125pt" strokecolor="#231f20">
              <v:stroke dashstyle="solid"/>
            </v:line>
          </v:group>
        </w:pict>
      </w:r>
      <w:r>
        <w:rPr>
          <w:sz w:val="2"/>
        </w:rPr>
      </w:r>
    </w:p>
    <w:p>
      <w:pPr>
        <w:pStyle w:val="ListParagraph"/>
        <w:numPr>
          <w:ilvl w:val="1"/>
          <w:numId w:val="7"/>
        </w:numPr>
        <w:tabs>
          <w:tab w:pos="5282" w:val="left" w:leader="none"/>
        </w:tabs>
        <w:spacing w:line="166" w:lineRule="exact" w:before="0" w:after="0"/>
        <w:ind w:left="5281" w:right="0" w:hanging="289"/>
        <w:jc w:val="left"/>
        <w:rPr>
          <w:sz w:val="16"/>
        </w:rPr>
      </w:pPr>
      <w:r>
        <w:rPr>
          <w:color w:val="231F20"/>
          <w:sz w:val="16"/>
        </w:rPr>
        <w:t>Which accounts for about 10% of total borrowing by individuals.</w:t>
      </w:r>
    </w:p>
    <w:p>
      <w:pPr>
        <w:pStyle w:val="ListParagraph"/>
        <w:numPr>
          <w:ilvl w:val="1"/>
          <w:numId w:val="7"/>
        </w:numPr>
        <w:tabs>
          <w:tab w:pos="5282" w:val="left" w:leader="none"/>
        </w:tabs>
        <w:spacing w:line="208" w:lineRule="auto" w:before="7" w:after="0"/>
        <w:ind w:left="5281" w:right="736" w:hanging="288"/>
        <w:jc w:val="left"/>
        <w:rPr>
          <w:sz w:val="16"/>
        </w:rPr>
      </w:pPr>
      <w:r>
        <w:rPr>
          <w:color w:val="231F20"/>
          <w:sz w:val="16"/>
        </w:rPr>
        <w:t>Gross lending data as at 1997 Q4; stock data as at 30 June 1997. </w:t>
      </w:r>
      <w:r>
        <w:rPr>
          <w:color w:val="231F20"/>
          <w:spacing w:val="-3"/>
          <w:sz w:val="16"/>
        </w:rPr>
        <w:t>These </w:t>
      </w:r>
      <w:r>
        <w:rPr>
          <w:color w:val="231F20"/>
          <w:sz w:val="16"/>
        </w:rPr>
        <w:t>figures do not include capped mortgages, which allow the borrower to pay the lower of a given fixed rate or the lender’s standard variable</w:t>
      </w:r>
      <w:r>
        <w:rPr>
          <w:color w:val="231F20"/>
          <w:spacing w:val="2"/>
          <w:sz w:val="16"/>
        </w:rPr>
        <w:t> </w:t>
      </w:r>
      <w:r>
        <w:rPr>
          <w:color w:val="231F20"/>
          <w:spacing w:val="-4"/>
          <w:sz w:val="16"/>
        </w:rPr>
        <w:t>rate.</w:t>
      </w:r>
    </w:p>
    <w:p>
      <w:pPr>
        <w:spacing w:after="0" w:line="208" w:lineRule="auto"/>
        <w:jc w:val="left"/>
        <w:rPr>
          <w:sz w:val="16"/>
        </w:rPr>
        <w:sectPr>
          <w:type w:val="continuous"/>
          <w:pgSz w:w="11900" w:h="16840"/>
          <w:pgMar w:top="1220" w:bottom="280" w:left="620" w:right="640"/>
        </w:sectPr>
      </w:pPr>
    </w:p>
    <w:p>
      <w:pPr>
        <w:pStyle w:val="BodyText"/>
        <w:rPr>
          <w:sz w:val="20"/>
        </w:rPr>
      </w:pPr>
    </w:p>
    <w:p>
      <w:pPr>
        <w:pStyle w:val="Heading4"/>
        <w:spacing w:line="242" w:lineRule="auto" w:before="207"/>
        <w:ind w:left="4974" w:right="366"/>
      </w:pPr>
      <w:r>
        <w:rPr>
          <w:color w:val="231F20"/>
        </w:rPr>
        <w:t>and building societies</w:t>
      </w:r>
      <w:r>
        <w:rPr>
          <w:color w:val="231F20"/>
          <w:position w:val="5"/>
          <w:sz w:val="16"/>
        </w:rPr>
        <w:t>(1) </w:t>
      </w:r>
      <w:r>
        <w:rPr>
          <w:color w:val="231F20"/>
        </w:rPr>
        <w:t>was 5.3% in 1998 Q2, up from</w:t>
      </w:r>
      <w:bookmarkStart w:name="_bookmark7" w:id="21"/>
      <w:bookmarkEnd w:id="21"/>
      <w:r>
        <w:rPr>
          <w:color w:val="231F20"/>
        </w:rPr>
      </w:r>
      <w:r>
        <w:rPr>
          <w:color w:val="231F20"/>
        </w:rPr>
        <w:t> 3.3% in 1997 Q4. Some of the increase in borrowing probably reflects firms’ attempts to smooth their investment and stockbuilding expenditures as internal cash flows decline. ICCs’ undistributed income fell to</w:t>
      </w:r>
    </w:p>
    <w:p>
      <w:pPr>
        <w:spacing w:before="6"/>
        <w:ind w:left="4974" w:right="0" w:firstLine="0"/>
        <w:jc w:val="left"/>
        <w:rPr>
          <w:sz w:val="24"/>
        </w:rPr>
      </w:pPr>
      <w:r>
        <w:rPr>
          <w:color w:val="231F20"/>
          <w:sz w:val="24"/>
        </w:rPr>
        <w:t>£14.5 billion in 1998 Q1 from a quarterly average</w:t>
      </w:r>
      <w:r>
        <w:rPr>
          <w:color w:val="231F20"/>
          <w:spacing w:val="-9"/>
          <w:sz w:val="24"/>
        </w:rPr>
        <w:t> </w:t>
      </w:r>
      <w:r>
        <w:rPr>
          <w:color w:val="231F20"/>
          <w:sz w:val="24"/>
        </w:rPr>
        <w:t>of</w:t>
      </w:r>
    </w:p>
    <w:p>
      <w:pPr>
        <w:spacing w:line="242" w:lineRule="auto" w:before="4"/>
        <w:ind w:left="4974" w:right="275" w:firstLine="0"/>
        <w:jc w:val="left"/>
        <w:rPr>
          <w:sz w:val="24"/>
        </w:rPr>
      </w:pPr>
      <w:r>
        <w:rPr>
          <w:color w:val="231F20"/>
          <w:sz w:val="24"/>
        </w:rPr>
        <w:t>£16.3 billion in 1997, as profits fell and the cost of</w:t>
      </w:r>
      <w:bookmarkStart w:name="Other financial institutions (OFIs)" w:id="22"/>
      <w:bookmarkEnd w:id="22"/>
      <w:r>
        <w:rPr>
          <w:color w:val="231F20"/>
          <w:sz w:val="24"/>
        </w:rPr>
      </w:r>
      <w:r>
        <w:rPr>
          <w:color w:val="231F20"/>
          <w:sz w:val="24"/>
        </w:rPr>
        <w:t> servicing floating-rate debt rose (see Chart 1.7). But some of the increase in bank borrowing may also </w:t>
      </w:r>
      <w:r>
        <w:rPr>
          <w:color w:val="231F20"/>
          <w:spacing w:val="-3"/>
          <w:sz w:val="24"/>
        </w:rPr>
        <w:t>reflect </w:t>
      </w:r>
      <w:r>
        <w:rPr>
          <w:color w:val="231F20"/>
          <w:sz w:val="24"/>
        </w:rPr>
        <w:t>a shift between different sources of external</w:t>
      </w:r>
      <w:r>
        <w:rPr>
          <w:color w:val="231F20"/>
          <w:spacing w:val="-9"/>
          <w:sz w:val="24"/>
        </w:rPr>
        <w:t> </w:t>
      </w:r>
      <w:r>
        <w:rPr>
          <w:color w:val="231F20"/>
          <w:sz w:val="24"/>
        </w:rPr>
        <w:t>finance.</w:t>
      </w:r>
    </w:p>
    <w:p>
      <w:pPr>
        <w:pStyle w:val="BodyText"/>
        <w:spacing w:before="9"/>
      </w:pPr>
    </w:p>
    <w:p>
      <w:pPr>
        <w:spacing w:after="0"/>
        <w:sectPr>
          <w:pgSz w:w="11900" w:h="16840"/>
          <w:pgMar w:header="566" w:footer="597" w:top="760" w:bottom="780" w:left="620" w:right="640"/>
        </w:sectPr>
      </w:pPr>
    </w:p>
    <w:p>
      <w:pPr>
        <w:pStyle w:val="BodyText"/>
        <w:rPr>
          <w:sz w:val="22"/>
        </w:rPr>
      </w:pPr>
    </w:p>
    <w:p>
      <w:pPr>
        <w:pStyle w:val="BodyText"/>
        <w:rPr>
          <w:sz w:val="22"/>
        </w:rPr>
      </w:pPr>
    </w:p>
    <w:p>
      <w:pPr>
        <w:pStyle w:val="BodyText"/>
        <w:spacing w:before="5"/>
        <w:rPr>
          <w:sz w:val="32"/>
        </w:rPr>
      </w:pPr>
    </w:p>
    <w:p>
      <w:pPr>
        <w:pStyle w:val="Heading8"/>
        <w:spacing w:before="0"/>
        <w:ind w:left="214"/>
      </w:pPr>
      <w:r>
        <w:rPr>
          <w:color w:val="0093C1"/>
        </w:rPr>
        <w:t>Chart 1.8</w:t>
      </w:r>
    </w:p>
    <w:p>
      <w:pPr>
        <w:spacing w:line="249" w:lineRule="auto" w:before="10"/>
        <w:ind w:left="214" w:right="107" w:firstLine="0"/>
        <w:jc w:val="left"/>
        <w:rPr>
          <w:sz w:val="12"/>
        </w:rPr>
      </w:pPr>
      <w:r>
        <w:rPr>
          <w:b/>
          <w:color w:val="0093C1"/>
          <w:sz w:val="20"/>
        </w:rPr>
        <w:t>External finance as a proportion of total ICCs’ financing</w:t>
      </w:r>
      <w:r>
        <w:rPr>
          <w:color w:val="231F20"/>
          <w:position w:val="4"/>
          <w:sz w:val="12"/>
        </w:rPr>
        <w:t>(a)</w:t>
      </w:r>
    </w:p>
    <w:p>
      <w:pPr>
        <w:spacing w:before="71"/>
        <w:ind w:left="3194" w:right="0" w:firstLine="0"/>
        <w:jc w:val="left"/>
        <w:rPr>
          <w:sz w:val="12"/>
        </w:rPr>
      </w:pPr>
      <w:r>
        <w:rPr/>
        <w:pict>
          <v:group style="position:absolute;margin-left:44.470001pt;margin-top:16.901562pt;width:165.75pt;height:143.75pt;mso-position-horizontal-relative:page;mso-position-vertical-relative:paragraph;z-index:-21141504" coordorigin="889,338" coordsize="3315,2875">
            <v:shape style="position:absolute;left:889;top:588;width:3155;height:2620" coordorigin="889,588" coordsize="3155,2620" path="m4044,3208l4044,3128m3544,3208l3544,3128m3304,3208l3304,3128m3044,3208l3044,3128m2784,3208l2784,3128m2544,3208l2544,3128m2284,3208l2284,3128m1784,3208l1784,3128m1544,3208l1544,3128m1044,3208l1044,3128m989,3208l889,3208m989,2468l889,2468m989,2088l889,2088m989,1708l889,1708m989,1328l889,1328m989,968l889,968m989,588l889,588e" filled="false" stroked="true" strokeweight=".5pt" strokecolor="#000000">
              <v:path arrowok="t"/>
              <v:stroke dashstyle="solid"/>
            </v:shape>
            <v:shape style="position:absolute;left:1044;top:348;width:3000;height:1620" coordorigin="1044,348" coordsize="3000,1620" path="m1044,1588l1104,1468,1164,1268,1224,1188,1284,1188,1344,1168,1424,1048,1484,1048,1544,848,1604,688,1664,748,1724,628,1784,648,1864,628,1904,468,1984,408,2044,348,2104,428,2164,528,2224,548,2284,588,2344,688,2424,788,2484,948,2604,1388,2664,1648,2724,1748,2784,1968,2864,1608,2924,1428,2984,1568,3044,1488,3104,1828,3164,1888,3224,1828,3304,1728,3364,1628,3424,1428,3484,1108,3544,1068,3604,908,3664,1028,3724,1108,3804,1088,3864,968,3924,768,3984,668,4044,688e" filled="false" stroked="true" strokeweight="1pt" strokecolor="#008256">
              <v:path arrowok="t"/>
              <v:stroke dashstyle="solid"/>
            </v:shape>
            <v:shape style="position:absolute;left:1044;top:1808;width:3000;height:1340" coordorigin="1044,1808" coordsize="3000,1340" path="m1044,2408l1164,2528,1224,2328,1284,2508,1344,2408,1424,2328,1484,2368,1544,2168,1604,2068,1664,2008,1724,1928,1864,1928,1904,1848,1984,1808,2044,1808,2104,1848,2164,2028,2224,2108,2284,2148,2344,2468,2424,2568,2484,2768,2544,2928,2604,2788,2664,2828,2724,2848,2864,2988,2924,3028,2984,3108,3044,3068,3104,3148,3164,3068,3224,2908,3364,2488,3424,2368,3484,2228,3544,2248,3604,2168,3664,2148,3724,2228,3804,2408,3864,2488,3924,2648,3984,2708,4044,2568e" filled="false" stroked="true" strokeweight="1pt" strokecolor="#faab54">
              <v:path arrowok="t"/>
              <v:stroke dashstyle="solid"/>
            </v:shape>
            <v:shape style="position:absolute;left:1044;top:588;width:3160;height:2620" coordorigin="1044,588" coordsize="3160,2620" path="m1044,3208l4044,3208m1104,3208l1104,3168m1164,3208l1164,3168m1224,3208l1224,3168m1349,3208l1349,3168m1414,3208l1414,3168m1479,3208l1479,3168m1604,3208l1604,3168m1664,3208l1664,3168m1724,3208l1724,3168m1849,3208l1849,3168m1914,3208l1914,3168m1979,3208l1979,3168m2104,3208l2104,3168m2164,3208l2164,3168m2224,3208l2224,3168m2349,3208l2349,3168m2414,3208l2414,3168m2479,3208l2479,3168m2604,3208l2604,3168m2664,3208l2664,3168m2724,3208l2724,3168m2849,3208l2849,3168m2914,3208l2914,3168m2979,3208l2979,3168m3109,3208l3109,3168m3174,3208l3174,3168m3239,3208l3239,3168m3364,3208l3364,3168m3424,3208l3424,3168m3484,3208l3484,3168m3609,3208l3609,3168m3674,3208l3674,3168m3739,3208l3739,3168m3864,3208l3864,3168m3924,3208l3924,3168m3984,3208l3984,3168m1284,3208l1284,3128m2044,3208l2044,3128m3804,3208l3804,3128m4204,3208l4104,3208m4204,2468l4104,2468m4204,2088l4104,2088m4204,1708l4104,1708m4204,1328l4104,1328m4204,968l4104,968m4204,588l4104,588e" filled="false" stroked="true" strokeweight=".5pt" strokecolor="#000000">
              <v:path arrowok="t"/>
              <v:stroke dashstyle="solid"/>
            </v:shape>
            <w10:wrap type="none"/>
          </v:group>
        </w:pict>
      </w:r>
      <w:r>
        <w:rPr/>
        <w:pict>
          <v:line style="position:absolute;mso-position-horizontal-relative:page;mso-position-vertical-relative:paragraph;z-index:15787008" from="49.470001pt,10.401563pt" to="44.470001pt,10.401563pt" stroked="true" strokeweight=".5pt" strokecolor="#000000">
            <v:stroke dashstyle="solid"/>
            <w10:wrap type="none"/>
          </v:line>
        </w:pict>
      </w:r>
      <w:r>
        <w:rPr>
          <w:sz w:val="12"/>
        </w:rPr>
        <w:t>Per ce</w:t>
      </w:r>
      <w:r>
        <w:rPr>
          <w:sz w:val="12"/>
          <w:u w:val="single"/>
        </w:rPr>
        <w:t>n</w:t>
      </w:r>
      <w:r>
        <w:rPr>
          <w:sz w:val="12"/>
        </w:rPr>
        <w:t>t </w:t>
      </w:r>
      <w:r>
        <w:rPr>
          <w:position w:val="-5"/>
          <w:sz w:val="12"/>
        </w:rPr>
        <w:t>70</w:t>
      </w:r>
    </w:p>
    <w:p>
      <w:pPr>
        <w:tabs>
          <w:tab w:pos="3734" w:val="right" w:leader="none"/>
        </w:tabs>
        <w:spacing w:before="237"/>
        <w:ind w:left="1794" w:right="0" w:firstLine="0"/>
        <w:jc w:val="left"/>
        <w:rPr>
          <w:sz w:val="12"/>
        </w:rPr>
      </w:pPr>
      <w:r>
        <w:rPr>
          <w:sz w:val="12"/>
        </w:rPr>
        <w:t>Total external finance (b)</w:t>
        <w:tab/>
      </w:r>
      <w:r>
        <w:rPr>
          <w:position w:val="8"/>
          <w:sz w:val="12"/>
        </w:rPr>
        <w:t>60</w:t>
      </w:r>
    </w:p>
    <w:p>
      <w:pPr>
        <w:spacing w:before="162"/>
        <w:ind w:left="0" w:right="38" w:firstLine="0"/>
        <w:jc w:val="right"/>
        <w:rPr>
          <w:sz w:val="12"/>
        </w:rPr>
      </w:pPr>
      <w:r>
        <w:rPr>
          <w:sz w:val="12"/>
        </w:rPr>
        <w:t>50</w:t>
      </w:r>
    </w:p>
    <w:p>
      <w:pPr>
        <w:pStyle w:val="BodyText"/>
        <w:rPr>
          <w:sz w:val="12"/>
        </w:rPr>
      </w:pPr>
    </w:p>
    <w:p>
      <w:pPr>
        <w:spacing w:before="104"/>
        <w:ind w:left="0" w:right="38" w:firstLine="0"/>
        <w:jc w:val="right"/>
        <w:rPr>
          <w:sz w:val="12"/>
        </w:rPr>
      </w:pPr>
      <w:r>
        <w:rPr>
          <w:sz w:val="12"/>
        </w:rPr>
        <w:t>40</w:t>
      </w:r>
    </w:p>
    <w:p>
      <w:pPr>
        <w:pStyle w:val="BodyText"/>
        <w:rPr>
          <w:sz w:val="12"/>
        </w:rPr>
      </w:pPr>
    </w:p>
    <w:p>
      <w:pPr>
        <w:spacing w:before="84"/>
        <w:ind w:left="0" w:right="38" w:firstLine="0"/>
        <w:jc w:val="right"/>
        <w:rPr>
          <w:sz w:val="12"/>
        </w:rPr>
      </w:pPr>
      <w:r>
        <w:rPr>
          <w:sz w:val="12"/>
        </w:rPr>
        <w:t>30</w:t>
      </w:r>
    </w:p>
    <w:p>
      <w:pPr>
        <w:pStyle w:val="BodyText"/>
        <w:rPr>
          <w:sz w:val="12"/>
        </w:rPr>
      </w:pPr>
    </w:p>
    <w:p>
      <w:pPr>
        <w:spacing w:before="105"/>
        <w:ind w:left="0" w:right="38" w:firstLine="0"/>
        <w:jc w:val="right"/>
        <w:rPr>
          <w:sz w:val="12"/>
        </w:rPr>
      </w:pPr>
      <w:r>
        <w:rPr>
          <w:sz w:val="12"/>
        </w:rPr>
        <w:t>20</w:t>
      </w:r>
    </w:p>
    <w:p>
      <w:pPr>
        <w:pStyle w:val="BodyText"/>
        <w:rPr>
          <w:sz w:val="14"/>
        </w:rPr>
      </w:pPr>
    </w:p>
    <w:p>
      <w:pPr>
        <w:tabs>
          <w:tab w:pos="3614" w:val="left" w:leader="none"/>
        </w:tabs>
        <w:spacing w:before="1"/>
        <w:ind w:left="1734" w:right="0" w:firstLine="0"/>
        <w:jc w:val="left"/>
        <w:rPr>
          <w:sz w:val="12"/>
        </w:rPr>
      </w:pPr>
      <w:r>
        <w:rPr>
          <w:sz w:val="12"/>
        </w:rPr>
        <w:t>M4 lending</w:t>
        <w:tab/>
      </w:r>
      <w:r>
        <w:rPr>
          <w:position w:val="-7"/>
          <w:sz w:val="12"/>
        </w:rPr>
        <w:t>10</w:t>
      </w:r>
    </w:p>
    <w:p>
      <w:pPr>
        <w:spacing w:before="38"/>
        <w:ind w:left="3566" w:right="0" w:firstLine="0"/>
        <w:jc w:val="left"/>
        <w:rPr>
          <w:sz w:val="16"/>
        </w:rPr>
      </w:pPr>
      <w:r>
        <w:rPr>
          <w:color w:val="231F20"/>
          <w:sz w:val="16"/>
        </w:rPr>
        <w:t>+</w:t>
      </w:r>
    </w:p>
    <w:p>
      <w:pPr>
        <w:tabs>
          <w:tab w:pos="3424" w:val="left" w:leader="none"/>
        </w:tabs>
        <w:spacing w:line="124" w:lineRule="exact" w:before="20"/>
        <w:ind w:left="269" w:right="0" w:firstLine="0"/>
        <w:jc w:val="left"/>
        <w:rPr>
          <w:sz w:val="12"/>
        </w:rPr>
      </w:pPr>
      <w:r>
        <w:rPr>
          <w:sz w:val="12"/>
          <w:u w:val="single"/>
        </w:rPr>
        <w:t> </w:t>
        <w:tab/>
      </w:r>
      <w:r>
        <w:rPr>
          <w:sz w:val="12"/>
        </w:rPr>
        <w:t>  </w:t>
      </w:r>
      <w:r>
        <w:rPr>
          <w:sz w:val="12"/>
          <w:u w:val="single"/>
        </w:rPr>
        <w:t>  </w:t>
      </w:r>
      <w:r>
        <w:rPr>
          <w:spacing w:val="10"/>
          <w:sz w:val="12"/>
          <w:u w:val="single"/>
        </w:rPr>
        <w:t> </w:t>
      </w:r>
      <w:r>
        <w:rPr>
          <w:sz w:val="12"/>
        </w:rPr>
        <w:t>   0</w:t>
      </w:r>
    </w:p>
    <w:p>
      <w:pPr>
        <w:spacing w:line="170" w:lineRule="exact" w:before="0"/>
        <w:ind w:left="3576" w:right="0" w:firstLine="0"/>
        <w:jc w:val="left"/>
        <w:rPr>
          <w:sz w:val="16"/>
        </w:rPr>
      </w:pPr>
      <w:r>
        <w:rPr>
          <w:color w:val="231F20"/>
          <w:sz w:val="16"/>
        </w:rPr>
        <w:t>–</w:t>
      </w:r>
    </w:p>
    <w:p>
      <w:pPr>
        <w:spacing w:before="86"/>
        <w:ind w:left="394" w:right="0" w:firstLine="0"/>
        <w:jc w:val="left"/>
        <w:rPr>
          <w:sz w:val="12"/>
        </w:rPr>
      </w:pPr>
      <w:r>
        <w:rPr>
          <w:sz w:val="12"/>
        </w:rPr>
        <w:t>1986   87     88    89     90     91    92     93    94     95    96     97 98</w:t>
      </w:r>
      <w:r>
        <w:rPr>
          <w:spacing w:val="8"/>
          <w:sz w:val="12"/>
        </w:rPr>
        <w:t> </w:t>
      </w:r>
      <w:r>
        <w:rPr>
          <w:position w:val="8"/>
          <w:sz w:val="12"/>
        </w:rPr>
        <w:t>10</w:t>
      </w:r>
    </w:p>
    <w:p>
      <w:pPr>
        <w:spacing w:before="56"/>
        <w:ind w:left="204" w:right="0" w:firstLine="0"/>
        <w:jc w:val="left"/>
        <w:rPr>
          <w:sz w:val="12"/>
        </w:rPr>
      </w:pPr>
      <w:r>
        <w:rPr>
          <w:color w:val="231F20"/>
          <w:sz w:val="12"/>
        </w:rPr>
        <w:t>Sources: ONS and Bank of England.</w:t>
      </w:r>
    </w:p>
    <w:p>
      <w:pPr>
        <w:pStyle w:val="ListParagraph"/>
        <w:numPr>
          <w:ilvl w:val="0"/>
          <w:numId w:val="8"/>
        </w:numPr>
        <w:tabs>
          <w:tab w:pos="445" w:val="left" w:leader="none"/>
        </w:tabs>
        <w:spacing w:line="129" w:lineRule="exact" w:before="102" w:after="0"/>
        <w:ind w:left="444" w:right="0" w:hanging="241"/>
        <w:jc w:val="left"/>
        <w:rPr>
          <w:sz w:val="12"/>
        </w:rPr>
      </w:pPr>
      <w:r>
        <w:rPr>
          <w:color w:val="231F20"/>
          <w:sz w:val="12"/>
        </w:rPr>
        <w:t>Four-quarter moving averages.</w:t>
      </w:r>
    </w:p>
    <w:p>
      <w:pPr>
        <w:pStyle w:val="ListParagraph"/>
        <w:numPr>
          <w:ilvl w:val="0"/>
          <w:numId w:val="8"/>
        </w:numPr>
        <w:tabs>
          <w:tab w:pos="445" w:val="left" w:leader="none"/>
        </w:tabs>
        <w:spacing w:line="129" w:lineRule="exact" w:before="0" w:after="0"/>
        <w:ind w:left="444" w:right="0" w:hanging="241"/>
        <w:jc w:val="left"/>
        <w:rPr>
          <w:sz w:val="12"/>
        </w:rPr>
      </w:pPr>
      <w:r>
        <w:rPr>
          <w:color w:val="231F20"/>
          <w:sz w:val="12"/>
        </w:rPr>
        <w:t>Includes bank borrowing, equity and other capital issuance.</w:t>
      </w:r>
    </w:p>
    <w:p>
      <w:pPr>
        <w:pStyle w:val="Heading4"/>
        <w:spacing w:line="242" w:lineRule="auto" w:before="90"/>
        <w:ind w:left="204" w:right="158"/>
      </w:pPr>
      <w:r>
        <w:rPr/>
        <w:br w:type="column"/>
      </w:r>
      <w:r>
        <w:rPr>
          <w:color w:val="231F20"/>
        </w:rPr>
        <w:t>Where internal funds and external borrowing are close substitutes, the composition of firms’ financing is not likely to affect current and future investment plans</w:t>
      </w:r>
      <w:r>
        <w:rPr>
          <w:color w:val="231F20"/>
          <w:spacing w:val="-23"/>
        </w:rPr>
        <w:t> </w:t>
      </w:r>
      <w:r>
        <w:rPr>
          <w:color w:val="231F20"/>
        </w:rPr>
        <w:t>much. As Chart 1.8 shows, ICCs as a whole </w:t>
      </w:r>
      <w:r>
        <w:rPr>
          <w:color w:val="231F20"/>
          <w:spacing w:val="-3"/>
        </w:rPr>
        <w:t>have </w:t>
      </w:r>
      <w:r>
        <w:rPr>
          <w:color w:val="231F20"/>
        </w:rPr>
        <w:t>been raising an increasing proportion of their funds from external sources since 1993. But some industrial sectors rely on specific forms of finance. In particular, borrowers whose risk is harder to measure—such as small firms—may </w:t>
      </w:r>
      <w:r>
        <w:rPr>
          <w:color w:val="231F20"/>
          <w:spacing w:val="-3"/>
        </w:rPr>
        <w:t>have </w:t>
      </w:r>
      <w:r>
        <w:rPr>
          <w:color w:val="231F20"/>
        </w:rPr>
        <w:t>to seek most of their external finance from banks, which specialise in risk assessment. Data from the </w:t>
      </w:r>
      <w:r>
        <w:rPr>
          <w:color w:val="231F20"/>
          <w:spacing w:val="-4"/>
        </w:rPr>
        <w:t>major </w:t>
      </w:r>
      <w:r>
        <w:rPr>
          <w:color w:val="231F20"/>
        </w:rPr>
        <w:t>British banks suggest that the increase in ICCs’ bank borrowing in the first half of 1998 has been concentrated in the non-manufacturing sectors, which </w:t>
      </w:r>
      <w:r>
        <w:rPr>
          <w:color w:val="231F20"/>
          <w:spacing w:val="-3"/>
        </w:rPr>
        <w:t>have </w:t>
      </w:r>
      <w:r>
        <w:rPr>
          <w:color w:val="231F20"/>
        </w:rPr>
        <w:t>a relatively high concentration of smaller firms. Measures of investment intentions and activity in these sectors remain stronger than those in manufacturing. There are few signs that banks’ willingness to lend to ICCs has deteriorated sharply. </w:t>
      </w:r>
      <w:r>
        <w:rPr>
          <w:color w:val="231F20"/>
          <w:spacing w:val="-4"/>
        </w:rPr>
        <w:t>Average </w:t>
      </w:r>
      <w:r>
        <w:rPr>
          <w:color w:val="231F20"/>
        </w:rPr>
        <w:t>spreads over Libor paid by ICCs on loans from international bank syndicates </w:t>
      </w:r>
      <w:r>
        <w:rPr>
          <w:color w:val="231F20"/>
          <w:spacing w:val="-3"/>
        </w:rPr>
        <w:t>have </w:t>
      </w:r>
      <w:r>
        <w:rPr>
          <w:color w:val="231F20"/>
        </w:rPr>
        <w:t>risen slightly since 1995, but remain around half a percentage point lower than in 1990. The outlook for investment is discussed in more detail in Section</w:t>
      </w:r>
      <w:r>
        <w:rPr>
          <w:color w:val="231F20"/>
          <w:spacing w:val="-7"/>
        </w:rPr>
        <w:t> </w:t>
      </w:r>
      <w:r>
        <w:rPr>
          <w:color w:val="231F20"/>
        </w:rPr>
        <w:t>2.</w:t>
      </w:r>
    </w:p>
    <w:p>
      <w:pPr>
        <w:pStyle w:val="BodyText"/>
        <w:spacing w:before="11"/>
        <w:rPr>
          <w:sz w:val="31"/>
        </w:rPr>
      </w:pPr>
    </w:p>
    <w:p>
      <w:pPr>
        <w:spacing w:before="0"/>
        <w:ind w:left="204" w:right="0" w:firstLine="0"/>
        <w:jc w:val="left"/>
        <w:rPr>
          <w:i/>
          <w:sz w:val="24"/>
        </w:rPr>
      </w:pPr>
      <w:r>
        <w:rPr>
          <w:i/>
          <w:color w:val="009483"/>
          <w:sz w:val="24"/>
        </w:rPr>
        <w:t>Other financial institutions (OFIs)</w:t>
      </w:r>
    </w:p>
    <w:p>
      <w:pPr>
        <w:spacing w:line="242" w:lineRule="auto" w:before="164"/>
        <w:ind w:left="204" w:right="233" w:firstLine="0"/>
        <w:jc w:val="left"/>
        <w:rPr>
          <w:sz w:val="24"/>
        </w:rPr>
      </w:pPr>
      <w:r>
        <w:rPr>
          <w:color w:val="231F20"/>
          <w:sz w:val="24"/>
        </w:rPr>
        <w:t>OFIs’ credit growth has moderated sharply, but still remains fairly strong. M4 lending to OFIs</w:t>
      </w:r>
      <w:r>
        <w:rPr>
          <w:color w:val="231F20"/>
          <w:position w:val="5"/>
          <w:sz w:val="16"/>
        </w:rPr>
        <w:t>(1) </w:t>
      </w:r>
      <w:r>
        <w:rPr>
          <w:color w:val="231F20"/>
          <w:sz w:val="24"/>
        </w:rPr>
        <w:t>grew by 13.2% in the year to 1998 Q2, compared with 17.5% in 1998 Q1 and 23.3% in 1997 Q4. OFIs </w:t>
      </w:r>
      <w:r>
        <w:rPr>
          <w:color w:val="231F20"/>
          <w:spacing w:val="-3"/>
          <w:sz w:val="24"/>
        </w:rPr>
        <w:t>have </w:t>
      </w:r>
      <w:r>
        <w:rPr>
          <w:color w:val="231F20"/>
          <w:sz w:val="24"/>
        </w:rPr>
        <w:t>little direct demand for goods and services. So their borrowing is less immediately linked to economic activity than borrowing by firms or individuals. But about one third of bank lending to OFIs during the past three years has been accounted for by leasing companies, which finance the purchase of capital and other goods for firms and consumers. Their borrowing is likely to be more </w:t>
      </w:r>
      <w:r>
        <w:rPr>
          <w:color w:val="231F20"/>
          <w:spacing w:val="-3"/>
          <w:sz w:val="24"/>
        </w:rPr>
        <w:t>closely </w:t>
      </w:r>
      <w:r>
        <w:rPr>
          <w:color w:val="231F20"/>
          <w:sz w:val="24"/>
        </w:rPr>
        <w:t>related to future consumption and investment patterns than that of other OFIs. According to the Finance and Leasing Association, growth in business</w:t>
      </w:r>
      <w:r>
        <w:rPr>
          <w:color w:val="231F20"/>
          <w:spacing w:val="-5"/>
          <w:sz w:val="24"/>
        </w:rPr>
        <w:t> </w:t>
      </w:r>
      <w:r>
        <w:rPr>
          <w:color w:val="231F20"/>
          <w:sz w:val="24"/>
        </w:rPr>
        <w:t>finance</w:t>
      </w:r>
    </w:p>
    <w:p>
      <w:pPr>
        <w:spacing w:after="0" w:line="242" w:lineRule="auto"/>
        <w:jc w:val="left"/>
        <w:rPr>
          <w:sz w:val="24"/>
        </w:rPr>
        <w:sectPr>
          <w:type w:val="continuous"/>
          <w:pgSz w:w="11900" w:h="16840"/>
          <w:pgMar w:top="1220" w:bottom="280" w:left="620" w:right="640"/>
          <w:cols w:num="2" w:equalWidth="0">
            <w:col w:w="3775" w:space="995"/>
            <w:col w:w="5870"/>
          </w:cols>
        </w:sectPr>
      </w:pPr>
    </w:p>
    <w:p>
      <w:pPr>
        <w:pStyle w:val="BodyText"/>
        <w:spacing w:before="7"/>
        <w:rPr>
          <w:sz w:val="23"/>
        </w:rPr>
      </w:pPr>
    </w:p>
    <w:p>
      <w:pPr>
        <w:pStyle w:val="BodyText"/>
        <w:spacing w:line="20" w:lineRule="exact"/>
        <w:ind w:left="4948"/>
        <w:rPr>
          <w:sz w:val="2"/>
        </w:rPr>
      </w:pPr>
      <w:r>
        <w:rPr>
          <w:sz w:val="2"/>
        </w:rPr>
        <w:pict>
          <v:group style="width:278.5pt;height:.15pt;mso-position-horizontal-relative:char;mso-position-vertical-relative:line" coordorigin="0,0" coordsize="5570,3">
            <v:line style="position:absolute" from="0,1" to="5570,1" stroked="true" strokeweight=".125pt" strokecolor="#231f20">
              <v:stroke dashstyle="solid"/>
            </v:line>
          </v:group>
        </w:pict>
      </w:r>
      <w:r>
        <w:rPr>
          <w:sz w:val="2"/>
        </w:rPr>
      </w:r>
    </w:p>
    <w:p>
      <w:pPr>
        <w:pStyle w:val="ListParagraph"/>
        <w:numPr>
          <w:ilvl w:val="1"/>
          <w:numId w:val="8"/>
        </w:numPr>
        <w:tabs>
          <w:tab w:pos="5273" w:val="left" w:leader="none"/>
        </w:tabs>
        <w:spacing w:line="178" w:lineRule="exact" w:before="0" w:after="0"/>
        <w:ind w:left="5272" w:right="0" w:hanging="289"/>
        <w:jc w:val="left"/>
        <w:rPr>
          <w:sz w:val="16"/>
        </w:rPr>
      </w:pPr>
      <w:r>
        <w:rPr>
          <w:color w:val="231F20"/>
          <w:sz w:val="16"/>
        </w:rPr>
        <w:t>Excluding the effects of securitisations and loan transfers.</w:t>
      </w:r>
    </w:p>
    <w:p>
      <w:pPr>
        <w:spacing w:after="0" w:line="178" w:lineRule="exact"/>
        <w:jc w:val="left"/>
        <w:rPr>
          <w:sz w:val="16"/>
        </w:rPr>
        <w:sectPr>
          <w:type w:val="continuous"/>
          <w:pgSz w:w="11900" w:h="16840"/>
          <w:pgMar w:top="1220" w:bottom="280" w:left="620" w:right="640"/>
        </w:sectPr>
      </w:pPr>
    </w:p>
    <w:p>
      <w:pPr>
        <w:pStyle w:val="BodyText"/>
        <w:rPr>
          <w:sz w:val="20"/>
        </w:rPr>
      </w:pPr>
    </w:p>
    <w:p>
      <w:pPr>
        <w:pStyle w:val="Heading4"/>
        <w:spacing w:line="242" w:lineRule="auto" w:before="207"/>
        <w:ind w:left="4969" w:right="479"/>
        <w:jc w:val="both"/>
      </w:pPr>
      <w:bookmarkStart w:name="Interest rates and asset prices" w:id="23"/>
      <w:bookmarkEnd w:id="23"/>
      <w:r>
        <w:rPr/>
      </w:r>
      <w:bookmarkStart w:name="Short-term interest rates" w:id="24"/>
      <w:bookmarkEnd w:id="24"/>
      <w:r>
        <w:rPr/>
      </w:r>
      <w:bookmarkStart w:name="_bookmark8" w:id="25"/>
      <w:bookmarkEnd w:id="25"/>
      <w:r>
        <w:rPr/>
      </w:r>
      <w:r>
        <w:rPr>
          <w:color w:val="231F20"/>
        </w:rPr>
        <w:t>excluding high-value items (whose growth tends to </w:t>
      </w:r>
      <w:r>
        <w:rPr>
          <w:color w:val="231F20"/>
          <w:spacing w:val="-9"/>
        </w:rPr>
        <w:t>be </w:t>
      </w:r>
      <w:r>
        <w:rPr>
          <w:color w:val="231F20"/>
        </w:rPr>
        <w:t>volatile) has been falling in recent months, but from a high level.</w:t>
      </w:r>
    </w:p>
    <w:p>
      <w:pPr>
        <w:pStyle w:val="BodyText"/>
        <w:spacing w:before="8"/>
        <w:rPr>
          <w:sz w:val="20"/>
        </w:rPr>
      </w:pPr>
    </w:p>
    <w:p>
      <w:pPr>
        <w:pStyle w:val="ListParagraph"/>
        <w:numPr>
          <w:ilvl w:val="1"/>
          <w:numId w:val="9"/>
        </w:numPr>
        <w:tabs>
          <w:tab w:pos="6708" w:val="left" w:leader="none"/>
          <w:tab w:pos="6709" w:val="left" w:leader="none"/>
          <w:tab w:pos="10469" w:val="left" w:leader="none"/>
        </w:tabs>
        <w:spacing w:line="240" w:lineRule="auto" w:before="89" w:after="0"/>
        <w:ind w:left="6708" w:right="0" w:hanging="1740"/>
        <w:jc w:val="left"/>
        <w:rPr>
          <w:b/>
          <w:sz w:val="28"/>
        </w:rPr>
      </w:pPr>
      <w:r>
        <w:rPr>
          <w:b/>
          <w:color w:val="009483"/>
          <w:sz w:val="28"/>
          <w:u w:val="thick" w:color="0093C1"/>
        </w:rPr>
        <w:t>Interest rates and asset</w:t>
      </w:r>
      <w:r>
        <w:rPr>
          <w:b/>
          <w:color w:val="009483"/>
          <w:spacing w:val="-6"/>
          <w:sz w:val="28"/>
          <w:u w:val="thick" w:color="0093C1"/>
        </w:rPr>
        <w:t> </w:t>
      </w:r>
      <w:r>
        <w:rPr>
          <w:b/>
          <w:color w:val="009483"/>
          <w:sz w:val="28"/>
          <w:u w:val="thick" w:color="0093C1"/>
        </w:rPr>
        <w:t>prices</w:t>
        <w:tab/>
      </w:r>
    </w:p>
    <w:p>
      <w:pPr>
        <w:pStyle w:val="BodyText"/>
        <w:spacing w:before="1"/>
        <w:rPr>
          <w:b/>
          <w:sz w:val="15"/>
        </w:rPr>
      </w:pPr>
    </w:p>
    <w:p>
      <w:pPr>
        <w:spacing w:after="0"/>
        <w:rPr>
          <w:sz w:val="15"/>
        </w:rPr>
        <w:sectPr>
          <w:pgSz w:w="11900" w:h="16840"/>
          <w:pgMar w:header="566" w:footer="597" w:top="760" w:bottom="780" w:left="620" w:right="640"/>
        </w:sect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31"/>
        </w:rPr>
      </w:pPr>
    </w:p>
    <w:p>
      <w:pPr>
        <w:pStyle w:val="Heading8"/>
        <w:spacing w:before="0"/>
      </w:pPr>
      <w:r>
        <w:rPr>
          <w:color w:val="0093C1"/>
        </w:rPr>
        <w:t>Chart 1.9</w:t>
      </w:r>
    </w:p>
    <w:p>
      <w:pPr>
        <w:spacing w:line="249" w:lineRule="auto" w:before="10"/>
        <w:ind w:left="200" w:right="20" w:firstLine="0"/>
        <w:jc w:val="left"/>
        <w:rPr>
          <w:b/>
          <w:sz w:val="20"/>
        </w:rPr>
      </w:pPr>
      <w:r>
        <w:rPr>
          <w:b/>
          <w:color w:val="0093C1"/>
          <w:sz w:val="20"/>
        </w:rPr>
        <w:t>Implied distribution for sterling three-month interest rates</w:t>
      </w:r>
    </w:p>
    <w:p>
      <w:pPr>
        <w:spacing w:line="242" w:lineRule="auto" w:before="90"/>
        <w:ind w:left="200" w:right="626" w:firstLine="0"/>
        <w:jc w:val="left"/>
        <w:rPr>
          <w:sz w:val="24"/>
        </w:rPr>
      </w:pPr>
      <w:r>
        <w:rPr/>
        <w:br w:type="column"/>
      </w:r>
      <w:r>
        <w:rPr>
          <w:color w:val="231F20"/>
          <w:sz w:val="24"/>
        </w:rPr>
        <w:t>The value of a financial asset is determined by the (risk-adjusted) discounted stream of expected future earnings from that asset. Changes in asset prices</w:t>
      </w:r>
    </w:p>
    <w:p>
      <w:pPr>
        <w:spacing w:line="242" w:lineRule="auto" w:before="4"/>
        <w:ind w:left="200" w:right="177" w:firstLine="0"/>
        <w:jc w:val="left"/>
        <w:rPr>
          <w:sz w:val="24"/>
        </w:rPr>
      </w:pPr>
      <w:r>
        <w:rPr>
          <w:color w:val="231F20"/>
          <w:sz w:val="24"/>
        </w:rPr>
        <w:t>therefore typically reflect changes in expectations about future earnings (dividends in the case of equities and rents in the case of commercial property), or changes in the term structure of interest rates, appropriately </w:t>
      </w:r>
      <w:r>
        <w:rPr>
          <w:color w:val="231F20"/>
          <w:spacing w:val="-3"/>
          <w:sz w:val="24"/>
        </w:rPr>
        <w:t>adjusted </w:t>
      </w:r>
      <w:r>
        <w:rPr>
          <w:color w:val="231F20"/>
          <w:sz w:val="24"/>
        </w:rPr>
        <w:t>for risk. So this section starts by discussing interest rates—both short, which monetary policy affects directly, and long—before considering the behaviour of equity and property prices. The implications of asset</w:t>
      </w:r>
    </w:p>
    <w:p>
      <w:pPr>
        <w:spacing w:after="0" w:line="242" w:lineRule="auto"/>
        <w:jc w:val="left"/>
        <w:rPr>
          <w:sz w:val="24"/>
        </w:rPr>
        <w:sectPr>
          <w:type w:val="continuous"/>
          <w:pgSz w:w="11900" w:h="16840"/>
          <w:pgMar w:top="1220" w:bottom="280" w:left="620" w:right="640"/>
          <w:cols w:num="2" w:equalWidth="0">
            <w:col w:w="4085" w:space="684"/>
            <w:col w:w="5871"/>
          </w:cols>
        </w:sectPr>
      </w:pPr>
    </w:p>
    <w:p>
      <w:pPr>
        <w:spacing w:before="87"/>
        <w:ind w:left="333" w:right="0" w:firstLine="0"/>
        <w:jc w:val="left"/>
        <w:rPr>
          <w:sz w:val="12"/>
        </w:rPr>
      </w:pPr>
      <w:r>
        <w:rPr>
          <w:sz w:val="12"/>
        </w:rPr>
        <w:t>Expectations as at c.o.b. 5 August 1998</w:t>
      </w:r>
    </w:p>
    <w:p>
      <w:pPr>
        <w:pStyle w:val="BodyText"/>
        <w:spacing w:line="20" w:lineRule="exact"/>
        <w:ind w:left="318"/>
        <w:rPr>
          <w:sz w:val="2"/>
        </w:rPr>
      </w:pPr>
      <w:r>
        <w:rPr>
          <w:sz w:val="2"/>
        </w:rPr>
        <w:pict>
          <v:group style="width:3.6pt;height:.5pt;mso-position-horizontal-relative:char;mso-position-vertical-relative:line" coordorigin="0,0" coordsize="72,10">
            <v:line style="position:absolute" from="72,5" to="0,5" stroked="true" strokeweight=".5pt" strokecolor="#000000">
              <v:stroke dashstyle="solid"/>
            </v:line>
          </v:group>
        </w:pict>
      </w:r>
      <w:r>
        <w:rPr>
          <w:sz w:val="2"/>
        </w:rPr>
      </w:r>
    </w:p>
    <w:p>
      <w:pPr>
        <w:pStyle w:val="BodyText"/>
        <w:spacing w:before="4"/>
        <w:rPr>
          <w:sz w:val="27"/>
        </w:rPr>
      </w:pPr>
      <w:r>
        <w:rPr/>
        <w:pict>
          <v:shape style="position:absolute;margin-left:46.971001pt;margin-top:17.926741pt;width:3.6pt;height:.1pt;mso-position-horizontal-relative:page;mso-position-vertical-relative:paragraph;z-index:-15669248;mso-wrap-distance-left:0;mso-wrap-distance-right:0" coordorigin="939,359" coordsize="72,0" path="m1011,359l939,359e" filled="false" stroked="true" strokeweight=".5pt" strokecolor="#000000">
            <v:path arrowok="t"/>
            <v:stroke dashstyle="solid"/>
            <w10:wrap type="topAndBottom"/>
          </v:shape>
        </w:pict>
      </w:r>
    </w:p>
    <w:p>
      <w:pPr>
        <w:spacing w:before="87"/>
        <w:ind w:left="333" w:right="0" w:firstLine="0"/>
        <w:jc w:val="left"/>
        <w:rPr>
          <w:sz w:val="12"/>
        </w:rPr>
      </w:pPr>
      <w:r>
        <w:rPr/>
        <w:br w:type="column"/>
      </w:r>
      <w:r>
        <w:rPr>
          <w:sz w:val="12"/>
        </w:rPr>
        <w:t>Per cent</w:t>
      </w:r>
      <w:r>
        <w:rPr>
          <w:spacing w:val="10"/>
          <w:sz w:val="12"/>
        </w:rPr>
        <w:t> </w:t>
      </w:r>
      <w:r>
        <w:rPr>
          <w:position w:val="-6"/>
          <w:sz w:val="12"/>
        </w:rPr>
        <w:t>9.5</w:t>
      </w:r>
    </w:p>
    <w:p>
      <w:pPr>
        <w:pStyle w:val="BodyText"/>
        <w:spacing w:before="7"/>
      </w:pPr>
    </w:p>
    <w:p>
      <w:pPr>
        <w:spacing w:before="0"/>
        <w:ind w:left="0" w:right="38" w:firstLine="0"/>
        <w:jc w:val="right"/>
        <w:rPr>
          <w:sz w:val="12"/>
        </w:rPr>
      </w:pPr>
      <w:r>
        <w:rPr/>
        <w:pict>
          <v:line style="position:absolute;mso-position-horizontal-relative:page;mso-position-vertical-relative:paragraph;z-index:15791104" from="203.755004pt,4.710575pt" to="200.160004pt,4.710575pt" stroked="true" strokeweight=".5pt" strokecolor="#000000">
            <v:stroke dashstyle="solid"/>
            <w10:wrap type="none"/>
          </v:line>
        </w:pict>
      </w:r>
      <w:r>
        <w:rPr/>
        <w:pict>
          <v:line style="position:absolute;mso-position-horizontal-relative:page;mso-position-vertical-relative:paragraph;z-index:-21136384" from="203.962004pt,-13.083425pt" to="200.367004pt,-13.083425pt" stroked="true" strokeweight=".5pt" strokecolor="#000000">
            <v:stroke dashstyle="solid"/>
            <w10:wrap type="none"/>
          </v:line>
        </w:pict>
      </w:r>
      <w:r>
        <w:rPr>
          <w:sz w:val="12"/>
        </w:rPr>
        <w:t>9.0</w:t>
      </w:r>
    </w:p>
    <w:p>
      <w:pPr>
        <w:pStyle w:val="BodyText"/>
        <w:rPr>
          <w:sz w:val="12"/>
        </w:rPr>
      </w:pPr>
    </w:p>
    <w:p>
      <w:pPr>
        <w:spacing w:before="80"/>
        <w:ind w:left="0" w:right="38" w:firstLine="0"/>
        <w:jc w:val="right"/>
        <w:rPr>
          <w:sz w:val="12"/>
        </w:rPr>
      </w:pPr>
      <w:r>
        <w:rPr/>
        <w:pict>
          <v:group style="position:absolute;margin-left:46.701pt;margin-top:8.227996pt;width:156.8pt;height:98.75pt;mso-position-horizontal-relative:page;mso-position-vertical-relative:paragraph;z-index:15790080" coordorigin="934,165" coordsize="3136,1975">
            <v:shape style="position:absolute;left:3331;top:241;width:604;height:1714" coordorigin="3332,242" coordsize="604,1714" path="m3935,242l3754,262,3714,288,3593,340,3553,397,3432,512,3392,615,3332,719,3392,841,3432,963,3553,1166,3593,1268,3714,1526,3754,1656,3935,1956,3935,242xe" filled="true" fillcolor="#bfd0e6" stroked="false">
              <v:path arrowok="t"/>
              <v:fill type="solid"/>
            </v:shape>
            <v:shape style="position:absolute;left:3331;top:558;width:604;height:1127" coordorigin="3332,559" coordsize="604,1127" path="m3593,559l3553,574,3432,603,3392,663,3332,724,3392,805,3432,887,3553,1032,3593,1105,3714,1287,3754,1378,3935,1685,3935,609,3754,589,3714,579,3593,559xe" filled="true" fillcolor="#8aadd3" stroked="false">
              <v:path arrowok="t"/>
              <v:fill type="solid"/>
            </v:shape>
            <v:shape style="position:absolute;left:3331;top:651;width:604;height:860" coordorigin="3332,651" coordsize="604,860" path="m3432,651l3392,687,3332,722,3392,779,3432,836,3553,953,3593,1011,3714,1161,3754,1236,3935,1511,3935,811,3754,739,3714,714,3593,664,3553,660,3432,651xe" filled="true" fillcolor="#5991c2" stroked="false">
              <v:path arrowok="t"/>
              <v:fill type="solid"/>
            </v:shape>
            <v:shape style="position:absolute;left:3331;top:690;width:604;height:678" coordorigin="3332,691" coordsize="604,678" path="m3432,691l3392,706,3332,721,3392,758,3432,796,3553,890,3593,938,3714,1065,3754,1129,3935,1368,3935,968,3754,849,3714,813,3593,742,3553,725,3432,691xe" filled="true" fillcolor="#0e7ab3" stroked="false">
              <v:path arrowok="t"/>
              <v:fill type="solid"/>
            </v:shape>
            <v:shape style="position:absolute;left:3331;top:719;width:604;height:517" coordorigin="3332,720" coordsize="604,517" path="m3332,720l3392,740,3432,760,3553,834,3593,872,3714,980,3754,1034,3935,1236,3935,1106,3754,944,3714,898,3593,808,3553,780,3432,725,3392,723,3332,720xe" filled="true" fillcolor="#0066a5" stroked="false">
              <v:path arrowok="t"/>
              <v:fill type="solid"/>
            </v:shape>
            <v:shape style="position:absolute;left:3997;top:169;width:72;height:1780" coordorigin="3998,170" coordsize="72,1780" path="m4070,1949l3998,1949m4070,1593l3998,1593m4070,1237l3998,1237m4070,881l3998,881m4070,525l3998,525m4070,170l3998,170e" filled="false" stroked="true" strokeweight=".5pt" strokecolor="#000000">
              <v:path arrowok="t"/>
              <v:stroke dashstyle="solid"/>
            </v:shape>
            <v:shape style="position:absolute;left:1054;top:1406;width:101;height:131" coordorigin="1054,1406" coordsize="101,131" path="m1094,1406l1054,1536m1155,1465l1094,1406e" filled="false" stroked="true" strokeweight="1pt" strokecolor="#0066a5">
              <v:path arrowok="t"/>
              <v:stroke dashstyle="solid"/>
            </v:shape>
            <v:line style="position:absolute" from="1145,1462" to="1225,1462" stroked="true" strokeweight="1.32pt" strokecolor="#0066a5">
              <v:stroke dashstyle="solid"/>
            </v:line>
            <v:line style="position:absolute" from="1255,1424" to="1215,1459" stroked="true" strokeweight=".5pt" strokecolor="#0066a5">
              <v:stroke dashstyle="solid"/>
            </v:line>
            <v:shape style="position:absolute;left:1255;top:1370;width:121;height:115" coordorigin="1255,1371" coordsize="121,115" path="m1316,1486l1255,1424m1376,1371l1316,1486e" filled="false" stroked="true" strokeweight="1pt" strokecolor="#0066a5">
              <v:path arrowok="t"/>
              <v:stroke dashstyle="solid"/>
            </v:shape>
            <v:line style="position:absolute" from="1366,1373" to="1426,1373" stroked="true" strokeweight="1.221pt" strokecolor="#0066a5">
              <v:stroke dashstyle="solid"/>
            </v:line>
            <v:shape style="position:absolute;left:1416;top:719;width:1911;height:1410" coordorigin="1416,720" coordsize="1911,1410" path="m1476,1429l1416,1375m1537,1417l1476,1429m1577,1483l1537,1417m1637,1595l1577,1483m1698,1679l1637,1595m1758,1819l1698,1679m1798,1899l1758,1819m1859,1942l1798,1899m1919,1920l1859,1942m1959,2047l1919,1920m2019,2129l1959,2047m2080,2121l2019,2129m2120,2099l2080,2121m2180,1980l2120,2099m2241,1722l2180,1980m2301,1686l2241,1722m2341,1708l2301,1686m2402,1798l2341,1708m2462,1798l2402,1798m2502,1668l2462,1798m2562,1621l2502,1668m2623,1468l2562,1621m2663,1254l2623,1468m2723,1116l2663,1254m2784,1074l2723,1116m2844,1041l2784,1074m2884,840l2844,1041m2945,781l2884,840m3005,886l2945,781m3045,899l3005,886m3106,886l3045,899m3166,916l3106,886m3206,935l3166,916m3266,781l3206,935m3327,720l3266,781e" filled="false" stroked="true" strokeweight="1pt" strokecolor="#0066a5">
              <v:path arrowok="t"/>
              <v:stroke dashstyle="solid"/>
            </v:shape>
            <v:shape style="position:absolute;left:934;top:169;width:72;height:1780" coordorigin="934,170" coordsize="72,1780" path="m1006,1949l934,1949m1006,1593l934,1593m1006,1237l934,1237m1006,882l934,882m1006,526l934,526m1006,170l934,170e" filled="false" stroked="true" strokeweight=".5pt" strokecolor="#000000">
              <v:path arrowok="t"/>
              <v:stroke dashstyle="solid"/>
            </v:shape>
            <w10:wrap type="none"/>
          </v:group>
        </w:pict>
      </w:r>
      <w:r>
        <w:rPr>
          <w:sz w:val="12"/>
        </w:rPr>
        <w:t>8.5</w:t>
      </w:r>
    </w:p>
    <w:p>
      <w:pPr>
        <w:pStyle w:val="BodyText"/>
        <w:rPr>
          <w:sz w:val="12"/>
        </w:rPr>
      </w:pPr>
    </w:p>
    <w:p>
      <w:pPr>
        <w:spacing w:before="80"/>
        <w:ind w:left="0" w:right="38" w:firstLine="0"/>
        <w:jc w:val="right"/>
        <w:rPr>
          <w:sz w:val="12"/>
        </w:rPr>
      </w:pPr>
      <w:r>
        <w:rPr>
          <w:sz w:val="12"/>
        </w:rPr>
        <w:t>8.0</w:t>
      </w:r>
    </w:p>
    <w:p>
      <w:pPr>
        <w:pStyle w:val="BodyText"/>
        <w:rPr>
          <w:sz w:val="12"/>
        </w:rPr>
      </w:pPr>
    </w:p>
    <w:p>
      <w:pPr>
        <w:spacing w:before="79"/>
        <w:ind w:left="0" w:right="38" w:firstLine="0"/>
        <w:jc w:val="right"/>
        <w:rPr>
          <w:sz w:val="12"/>
        </w:rPr>
      </w:pPr>
      <w:r>
        <w:rPr>
          <w:sz w:val="12"/>
        </w:rPr>
        <w:t>7.5</w:t>
      </w:r>
    </w:p>
    <w:p>
      <w:pPr>
        <w:pStyle w:val="BodyText"/>
        <w:rPr>
          <w:sz w:val="12"/>
        </w:rPr>
      </w:pPr>
    </w:p>
    <w:p>
      <w:pPr>
        <w:spacing w:before="80"/>
        <w:ind w:left="0" w:right="38" w:firstLine="0"/>
        <w:jc w:val="right"/>
        <w:rPr>
          <w:sz w:val="12"/>
        </w:rPr>
      </w:pPr>
      <w:r>
        <w:rPr>
          <w:sz w:val="12"/>
        </w:rPr>
        <w:t>7.0</w:t>
      </w:r>
    </w:p>
    <w:p>
      <w:pPr>
        <w:pStyle w:val="BodyText"/>
        <w:rPr>
          <w:sz w:val="12"/>
        </w:rPr>
      </w:pPr>
    </w:p>
    <w:p>
      <w:pPr>
        <w:spacing w:before="80"/>
        <w:ind w:left="0" w:right="38" w:firstLine="0"/>
        <w:jc w:val="right"/>
        <w:rPr>
          <w:sz w:val="12"/>
        </w:rPr>
      </w:pPr>
      <w:r>
        <w:rPr>
          <w:sz w:val="12"/>
        </w:rPr>
        <w:t>6.5</w:t>
      </w:r>
    </w:p>
    <w:p>
      <w:pPr>
        <w:pStyle w:val="BodyText"/>
        <w:rPr>
          <w:sz w:val="12"/>
        </w:rPr>
      </w:pPr>
    </w:p>
    <w:p>
      <w:pPr>
        <w:spacing w:before="80"/>
        <w:ind w:left="0" w:right="38" w:firstLine="0"/>
        <w:jc w:val="right"/>
        <w:rPr>
          <w:sz w:val="12"/>
        </w:rPr>
      </w:pPr>
      <w:r>
        <w:rPr>
          <w:sz w:val="12"/>
        </w:rPr>
        <w:t>6.0</w:t>
      </w:r>
    </w:p>
    <w:p>
      <w:pPr>
        <w:pStyle w:val="Heading4"/>
        <w:spacing w:line="242" w:lineRule="auto" w:before="10"/>
        <w:ind w:left="333" w:right="221"/>
      </w:pPr>
      <w:r>
        <w:rPr/>
        <w:br w:type="column"/>
      </w:r>
      <w:r>
        <w:rPr>
          <w:color w:val="231F20"/>
        </w:rPr>
        <w:t>price changes for aggregate demand, through their effects on personal sector wealth and firms’ valuation </w:t>
      </w:r>
      <w:hyperlink w:history="true" w:anchor="_bookmark14">
        <w:r>
          <w:rPr>
            <w:color w:val="231F20"/>
          </w:rPr>
          <w:t>ratios, are considered in Section 2.</w:t>
        </w:r>
      </w:hyperlink>
    </w:p>
    <w:p>
      <w:pPr>
        <w:pStyle w:val="BodyText"/>
        <w:spacing w:before="1"/>
        <w:rPr>
          <w:sz w:val="28"/>
        </w:rPr>
      </w:pPr>
    </w:p>
    <w:p>
      <w:pPr>
        <w:spacing w:before="1"/>
        <w:ind w:left="333" w:right="0" w:firstLine="0"/>
        <w:jc w:val="left"/>
        <w:rPr>
          <w:i/>
          <w:sz w:val="24"/>
        </w:rPr>
      </w:pPr>
      <w:r>
        <w:rPr>
          <w:i/>
          <w:color w:val="009483"/>
          <w:sz w:val="24"/>
        </w:rPr>
        <w:t>Short-term interest rates</w:t>
      </w:r>
    </w:p>
    <w:p>
      <w:pPr>
        <w:spacing w:line="242" w:lineRule="auto" w:before="164"/>
        <w:ind w:left="333" w:right="173" w:firstLine="0"/>
        <w:jc w:val="left"/>
        <w:rPr>
          <w:sz w:val="24"/>
        </w:rPr>
      </w:pPr>
      <w:r>
        <w:rPr>
          <w:color w:val="231F20"/>
          <w:sz w:val="24"/>
        </w:rPr>
        <w:t>At its meeting on 3–4 June, the MPC voted to raise the Bank’s repo rate by 25 basis points to 7.5%. The repo rate was left unchanged when the MPC met on 8–9 July. and again at its meeting on 5–6 August.</w:t>
      </w:r>
    </w:p>
    <w:p>
      <w:pPr>
        <w:spacing w:after="0" w:line="242" w:lineRule="auto"/>
        <w:jc w:val="left"/>
        <w:rPr>
          <w:sz w:val="24"/>
        </w:rPr>
        <w:sectPr>
          <w:type w:val="continuous"/>
          <w:pgSz w:w="11900" w:h="16840"/>
          <w:pgMar w:top="1220" w:bottom="280" w:left="620" w:right="640"/>
          <w:cols w:num="3" w:equalWidth="0">
            <w:col w:w="2270" w:space="463"/>
            <w:col w:w="955" w:space="947"/>
            <w:col w:w="6005"/>
          </w:cols>
        </w:sectPr>
      </w:pPr>
    </w:p>
    <w:p>
      <w:pPr>
        <w:pStyle w:val="BodyText"/>
        <w:spacing w:before="8"/>
        <w:rPr>
          <w:sz w:val="10"/>
        </w:rPr>
      </w:pPr>
    </w:p>
    <w:p>
      <w:pPr>
        <w:spacing w:after="0"/>
        <w:rPr>
          <w:sz w:val="10"/>
        </w:rPr>
        <w:sectPr>
          <w:type w:val="continuous"/>
          <w:pgSz w:w="11900" w:h="16840"/>
          <w:pgMar w:top="1220" w:bottom="280" w:left="620" w:right="640"/>
        </w:sectPr>
      </w:pPr>
    </w:p>
    <w:p>
      <w:pPr>
        <w:pStyle w:val="BodyText"/>
        <w:rPr>
          <w:sz w:val="12"/>
        </w:rPr>
      </w:pPr>
    </w:p>
    <w:p>
      <w:pPr>
        <w:pStyle w:val="BodyText"/>
        <w:rPr>
          <w:sz w:val="12"/>
        </w:rPr>
      </w:pPr>
    </w:p>
    <w:p>
      <w:pPr>
        <w:spacing w:before="101"/>
        <w:ind w:left="0" w:right="0" w:firstLine="0"/>
        <w:jc w:val="right"/>
        <w:rPr>
          <w:sz w:val="12"/>
        </w:rPr>
      </w:pPr>
      <w:r>
        <w:rPr>
          <w:color w:val="231F20"/>
          <w:sz w:val="12"/>
        </w:rPr>
        <w:t>1995</w:t>
      </w:r>
    </w:p>
    <w:p>
      <w:pPr>
        <w:pStyle w:val="BodyText"/>
        <w:rPr>
          <w:sz w:val="14"/>
        </w:rPr>
      </w:pPr>
      <w:r>
        <w:rPr/>
        <w:br w:type="column"/>
      </w:r>
      <w:r>
        <w:rPr>
          <w:sz w:val="14"/>
        </w:rPr>
      </w:r>
    </w:p>
    <w:p>
      <w:pPr>
        <w:pStyle w:val="BodyText"/>
        <w:spacing w:before="3"/>
        <w:rPr>
          <w:sz w:val="17"/>
        </w:rPr>
      </w:pPr>
    </w:p>
    <w:p>
      <w:pPr>
        <w:tabs>
          <w:tab w:pos="1101" w:val="left" w:leader="none"/>
        </w:tabs>
        <w:spacing w:before="1"/>
        <w:ind w:left="483" w:right="0" w:firstLine="0"/>
        <w:jc w:val="left"/>
        <w:rPr>
          <w:sz w:val="12"/>
        </w:rPr>
      </w:pPr>
      <w:r>
        <w:rPr>
          <w:position w:val="1"/>
          <w:sz w:val="12"/>
        </w:rPr>
        <w:t>96</w:t>
        <w:tab/>
      </w:r>
      <w:r>
        <w:rPr>
          <w:spacing w:val="-10"/>
          <w:sz w:val="12"/>
        </w:rPr>
        <w:t>97</w:t>
      </w:r>
    </w:p>
    <w:p>
      <w:pPr>
        <w:pStyle w:val="BodyText"/>
        <w:rPr>
          <w:sz w:val="14"/>
        </w:rPr>
      </w:pPr>
      <w:r>
        <w:rPr/>
        <w:br w:type="column"/>
      </w:r>
      <w:r>
        <w:rPr>
          <w:sz w:val="14"/>
        </w:rPr>
      </w:r>
    </w:p>
    <w:p>
      <w:pPr>
        <w:pStyle w:val="BodyText"/>
        <w:spacing w:before="10"/>
        <w:rPr>
          <w:sz w:val="17"/>
        </w:rPr>
      </w:pPr>
    </w:p>
    <w:p>
      <w:pPr>
        <w:tabs>
          <w:tab w:pos="1015" w:val="left" w:leader="none"/>
        </w:tabs>
        <w:spacing w:before="0"/>
        <w:ind w:left="499" w:right="0" w:firstLine="0"/>
        <w:jc w:val="left"/>
        <w:rPr>
          <w:sz w:val="12"/>
        </w:rPr>
      </w:pPr>
      <w:r>
        <w:rPr>
          <w:color w:val="231F20"/>
          <w:sz w:val="12"/>
        </w:rPr>
        <w:t>98</w:t>
        <w:tab/>
      </w:r>
      <w:r>
        <w:rPr>
          <w:spacing w:val="-10"/>
          <w:position w:val="1"/>
          <w:sz w:val="12"/>
        </w:rPr>
        <w:t>99</w:t>
      </w:r>
    </w:p>
    <w:p>
      <w:pPr>
        <w:spacing w:line="134" w:lineRule="exact" w:before="95"/>
        <w:ind w:left="150" w:right="0" w:firstLine="0"/>
        <w:jc w:val="left"/>
        <w:rPr>
          <w:sz w:val="12"/>
        </w:rPr>
      </w:pPr>
      <w:r>
        <w:rPr/>
        <w:br w:type="column"/>
      </w:r>
      <w:r>
        <w:rPr>
          <w:sz w:val="12"/>
        </w:rPr>
        <w:t>5.5</w:t>
      </w:r>
    </w:p>
    <w:p>
      <w:pPr>
        <w:spacing w:line="134" w:lineRule="exact" w:before="0"/>
        <w:ind w:left="148" w:right="0" w:firstLine="0"/>
        <w:jc w:val="left"/>
        <w:rPr>
          <w:sz w:val="12"/>
        </w:rPr>
      </w:pPr>
      <w:r>
        <w:rPr/>
        <w:pict>
          <v:shape style="position:absolute;margin-left:46.701pt;margin-top:-2.244244pt;width:158pt;height:7.55pt;mso-position-horizontal-relative:page;mso-position-vertical-relative:paragraph;z-index:15790592" coordorigin="934,-45" coordsize="3160,151" path="m4070,-45l3998,-45m4066,100l935,100m1058,95l1058,-36m1113,95l1113,15m1167,95l1167,15m1221,95l1221,15m1276,96l1276,16m1330,103l1330,9m1384,95l1384,15m1439,95l1439,15m1493,95l1493,15m1547,102l1547,13m1602,99l1602,9m1656,99l1656,8m1712,102l1712,-28m1765,95l1765,15m1819,95l1819,15m1873,95l1873,15m1928,96l1928,16m1982,99l1982,19m2036,95l2036,15m2091,95l2091,15m2145,95l2145,15m2199,102l2199,13m2254,99l2254,19m2308,101l2308,13m2362,103l2362,-31m2417,95l2417,15m2471,95l2471,15m2525,95l2525,15m2580,96l2580,16m2634,102l2634,13m2688,95l2688,15m2743,95l2743,15m2797,95l2797,15m2851,102l2851,9m2906,105l2906,13m2960,103l2960,13m3014,103l3014,-31m3069,95l3069,15m3123,95l3123,15m3177,95l3177,15m3232,96l3232,16m3286,103l3286,13m3340,95l3340,15m3395,95l3395,15m3449,95l3449,15m3503,102l3503,22m3558,102l3558,22m3612,101l3612,21m3666,102l3666,-18m3721,95l3721,15m3775,95l3775,15m3829,95l3829,15m3884,102l3884,22m3938,97l3938,19m1006,-45l934,-45m4073,-36l4073,-10,4053,7,4093,20,4053,40,4093,57,4070,67,4070,90m1010,-37l1010,-11,990,5,1030,19,990,39,1030,56,1006,66,1006,89e" filled="false" stroked="true" strokeweight=".5pt" strokecolor="#000000">
            <v:path arrowok="t"/>
            <v:stroke dashstyle="solid"/>
            <w10:wrap type="none"/>
          </v:shape>
        </w:pict>
      </w:r>
      <w:r>
        <w:rPr>
          <w:sz w:val="12"/>
        </w:rPr>
        <w:t>0.0</w:t>
      </w:r>
    </w:p>
    <w:p>
      <w:pPr>
        <w:pStyle w:val="Heading4"/>
        <w:spacing w:line="242" w:lineRule="auto" w:before="125"/>
        <w:ind w:left="628"/>
      </w:pPr>
      <w:r>
        <w:rPr/>
        <w:br w:type="column"/>
      </w:r>
      <w:r>
        <w:rPr>
          <w:color w:val="231F20"/>
        </w:rPr>
        <w:t>Probability distributions of expected three-month market interest rates in the United Kingdom and Germany,</w:t>
      </w:r>
    </w:p>
    <w:p>
      <w:pPr>
        <w:spacing w:after="0" w:line="242" w:lineRule="auto"/>
        <w:sectPr>
          <w:type w:val="continuous"/>
          <w:pgSz w:w="11900" w:h="16840"/>
          <w:pgMar w:top="1220" w:bottom="280" w:left="620" w:right="640"/>
          <w:cols w:num="5" w:equalWidth="0">
            <w:col w:w="869" w:space="40"/>
            <w:col w:w="1223" w:space="39"/>
            <w:col w:w="1137" w:space="39"/>
            <w:col w:w="341" w:space="652"/>
            <w:col w:w="6300"/>
          </w:cols>
        </w:sectPr>
      </w:pPr>
    </w:p>
    <w:p>
      <w:pPr>
        <w:spacing w:line="100" w:lineRule="exact" w:before="0"/>
        <w:ind w:left="200" w:right="0" w:firstLine="0"/>
        <w:jc w:val="left"/>
        <w:rPr>
          <w:sz w:val="12"/>
        </w:rPr>
      </w:pPr>
      <w:r>
        <w:rPr>
          <w:color w:val="231F20"/>
          <w:sz w:val="12"/>
        </w:rPr>
        <w:t>Sources: LIFFE and Bank of England.</w:t>
      </w:r>
    </w:p>
    <w:p>
      <w:pPr>
        <w:pStyle w:val="BodyText"/>
        <w:spacing w:before="1"/>
        <w:rPr>
          <w:sz w:val="10"/>
        </w:rPr>
      </w:pPr>
    </w:p>
    <w:p>
      <w:pPr>
        <w:spacing w:line="208" w:lineRule="auto" w:before="0"/>
        <w:ind w:left="200" w:right="38" w:firstLine="0"/>
        <w:jc w:val="left"/>
        <w:rPr>
          <w:sz w:val="12"/>
        </w:rPr>
      </w:pPr>
      <w:r>
        <w:rPr>
          <w:color w:val="231F20"/>
          <w:sz w:val="12"/>
        </w:rPr>
        <w:t>The chart depicts the probability distribution for short-term interest rates and is rather like a contour map. So at any given point, the depth of shading represents the height of the probability density function implied by the markets over a range of outcomes for short-term interest rates. The markets judge that there is a 10% chance of interest rates being within the darkest, central band at any date. Each successive pair of bands covers a further 20% of the probability distribution until 90% of the distribution is covered. The bands widen as the time horizon is extended, indicating increased uncertainty about interest rate outcomes.</w:t>
      </w:r>
    </w:p>
    <w:p>
      <w:pPr>
        <w:pStyle w:val="BodyText"/>
        <w:rPr>
          <w:sz w:val="12"/>
        </w:rPr>
      </w:pPr>
    </w:p>
    <w:p>
      <w:pPr>
        <w:pStyle w:val="BodyText"/>
        <w:spacing w:before="10"/>
        <w:rPr>
          <w:sz w:val="12"/>
        </w:rPr>
      </w:pPr>
    </w:p>
    <w:p>
      <w:pPr>
        <w:pStyle w:val="Heading8"/>
        <w:spacing w:line="249" w:lineRule="auto" w:before="1"/>
        <w:ind w:left="219" w:right="106"/>
      </w:pPr>
      <w:r>
        <w:rPr>
          <w:color w:val="0093C1"/>
        </w:rPr>
        <w:t>Implied distributions for Deutsche Mark three-month interest rates</w:t>
      </w:r>
    </w:p>
    <w:p>
      <w:pPr>
        <w:spacing w:line="242" w:lineRule="auto" w:before="3"/>
        <w:ind w:left="200" w:right="219" w:firstLine="0"/>
        <w:jc w:val="left"/>
        <w:rPr>
          <w:sz w:val="24"/>
        </w:rPr>
      </w:pPr>
      <w:r>
        <w:rPr/>
        <w:br w:type="column"/>
      </w:r>
      <w:r>
        <w:rPr>
          <w:color w:val="231F20"/>
          <w:sz w:val="24"/>
        </w:rPr>
        <w:t>derived from option price data, are shown in Chart 1.9. On 6 August, the outcome considered most likely by financial markets—shown by the deepest blue band— was that UK interest rates would fall slightly during the second half of 1998. Financial markets appear to have placed a broadly equal weight on the prospect of interest rates lying above and below the band.</w:t>
      </w:r>
    </w:p>
    <w:p>
      <w:pPr>
        <w:spacing w:after="0" w:line="242" w:lineRule="auto"/>
        <w:jc w:val="left"/>
        <w:rPr>
          <w:sz w:val="24"/>
        </w:rPr>
        <w:sectPr>
          <w:type w:val="continuous"/>
          <w:pgSz w:w="11900" w:h="16840"/>
          <w:pgMar w:top="1220" w:bottom="280" w:left="620" w:right="640"/>
          <w:cols w:num="2" w:equalWidth="0">
            <w:col w:w="3806" w:space="963"/>
            <w:col w:w="5871"/>
          </w:cols>
        </w:sectPr>
      </w:pPr>
    </w:p>
    <w:p>
      <w:pPr>
        <w:pStyle w:val="BodyText"/>
        <w:spacing w:before="2"/>
        <w:rPr>
          <w:sz w:val="10"/>
        </w:rPr>
      </w:pPr>
    </w:p>
    <w:p>
      <w:pPr>
        <w:spacing w:before="0"/>
        <w:ind w:left="314" w:right="0" w:firstLine="0"/>
        <w:jc w:val="left"/>
        <w:rPr>
          <w:sz w:val="12"/>
        </w:rPr>
      </w:pPr>
      <w:r>
        <w:rPr>
          <w:sz w:val="12"/>
        </w:rPr>
        <w:t>Expectations as at c.o.b. 5 August 1998</w:t>
      </w:r>
    </w:p>
    <w:p>
      <w:pPr>
        <w:pStyle w:val="BodyText"/>
        <w:spacing w:line="20" w:lineRule="exact"/>
        <w:ind w:left="321"/>
        <w:rPr>
          <w:sz w:val="2"/>
        </w:rPr>
      </w:pPr>
      <w:r>
        <w:rPr>
          <w:sz w:val="2"/>
        </w:rPr>
        <w:pict>
          <v:group style="width:3.6pt;height:.5pt;mso-position-horizontal-relative:char;mso-position-vertical-relative:line" coordorigin="0,0" coordsize="72,10">
            <v:line style="position:absolute" from="72,5" to="0,5" stroked="true" strokeweight=".5pt" strokecolor="#000000">
              <v:stroke dashstyle="solid"/>
            </v:line>
          </v:group>
        </w:pict>
      </w:r>
      <w:r>
        <w:rPr>
          <w:sz w:val="2"/>
        </w:rPr>
      </w:r>
    </w:p>
    <w:p>
      <w:pPr>
        <w:pStyle w:val="BodyText"/>
        <w:spacing w:before="4"/>
        <w:rPr>
          <w:sz w:val="27"/>
        </w:rPr>
      </w:pPr>
      <w:r>
        <w:rPr/>
        <w:pict>
          <v:shape style="position:absolute;margin-left:47.140999pt;margin-top:17.957714pt;width:3.6pt;height:.1pt;mso-position-horizontal-relative:page;mso-position-vertical-relative:paragraph;z-index:-15668224;mso-wrap-distance-left:0;mso-wrap-distance-right:0" coordorigin="943,359" coordsize="72,0" path="m1015,359l943,359e" filled="false" stroked="true" strokeweight=".5pt" strokecolor="#000000">
            <v:path arrowok="t"/>
            <v:stroke dashstyle="solid"/>
            <w10:wrap type="topAndBottom"/>
          </v:shape>
        </w:pict>
      </w:r>
      <w:r>
        <w:rPr/>
        <w:pict>
          <v:shape style="position:absolute;margin-left:46.870998pt;margin-top:35.519714pt;width:3.6pt;height:.1pt;mso-position-horizontal-relative:page;mso-position-vertical-relative:paragraph;z-index:-15667712;mso-wrap-distance-left:0;mso-wrap-distance-right:0" coordorigin="937,710" coordsize="72,0" path="m1009,710l937,710e" filled="false" stroked="true" strokeweight=".5pt" strokecolor="#000000">
            <v:path arrowok="t"/>
            <v:stroke dashstyle="solid"/>
            <w10:wrap type="topAndBottom"/>
          </v:shape>
        </w:pict>
      </w:r>
    </w:p>
    <w:p>
      <w:pPr>
        <w:pStyle w:val="BodyText"/>
        <w:spacing w:before="8"/>
        <w:rPr>
          <w:sz w:val="23"/>
        </w:rPr>
      </w:pPr>
    </w:p>
    <w:p>
      <w:pPr>
        <w:spacing w:before="117"/>
        <w:ind w:left="314" w:right="0" w:firstLine="0"/>
        <w:jc w:val="left"/>
        <w:rPr>
          <w:sz w:val="12"/>
        </w:rPr>
      </w:pPr>
      <w:r>
        <w:rPr/>
        <w:br w:type="column"/>
      </w:r>
      <w:r>
        <w:rPr>
          <w:sz w:val="12"/>
        </w:rPr>
        <w:t>Per cent</w:t>
      </w:r>
      <w:r>
        <w:rPr>
          <w:spacing w:val="10"/>
          <w:sz w:val="12"/>
        </w:rPr>
        <w:t> </w:t>
      </w:r>
      <w:r>
        <w:rPr>
          <w:position w:val="-6"/>
          <w:sz w:val="12"/>
        </w:rPr>
        <w:t>6.5</w:t>
      </w:r>
    </w:p>
    <w:p>
      <w:pPr>
        <w:pStyle w:val="BodyText"/>
        <w:spacing w:before="7"/>
      </w:pPr>
    </w:p>
    <w:p>
      <w:pPr>
        <w:spacing w:before="0"/>
        <w:ind w:left="0" w:right="38" w:firstLine="0"/>
        <w:jc w:val="right"/>
        <w:rPr>
          <w:sz w:val="12"/>
        </w:rPr>
      </w:pPr>
      <w:r>
        <w:rPr/>
        <w:pict>
          <v:line style="position:absolute;mso-position-horizontal-relative:page;mso-position-vertical-relative:paragraph;z-index:15796224" from="203.197005pt,4.794575pt" to="199.602005pt,4.794575pt" stroked="true" strokeweight=".5pt" strokecolor="#000000">
            <v:stroke dashstyle="solid"/>
            <w10:wrap type="none"/>
          </v:line>
        </w:pict>
      </w:r>
      <w:r>
        <w:rPr/>
        <w:pict>
          <v:line style="position:absolute;mso-position-horizontal-relative:page;mso-position-vertical-relative:paragraph;z-index:-21131264" from="203.404006pt,-12.998425pt" to="199.809006pt,-12.998425pt" stroked="true" strokeweight=".5pt" strokecolor="#000000">
            <v:stroke dashstyle="solid"/>
            <w10:wrap type="none"/>
          </v:line>
        </w:pict>
      </w:r>
      <w:r>
        <w:rPr>
          <w:sz w:val="12"/>
        </w:rPr>
        <w:t>6.0</w:t>
      </w:r>
    </w:p>
    <w:p>
      <w:pPr>
        <w:pStyle w:val="BodyText"/>
        <w:rPr>
          <w:sz w:val="12"/>
        </w:rPr>
      </w:pPr>
    </w:p>
    <w:p>
      <w:pPr>
        <w:spacing w:before="80"/>
        <w:ind w:left="0" w:right="38" w:firstLine="0"/>
        <w:jc w:val="right"/>
        <w:rPr>
          <w:sz w:val="12"/>
        </w:rPr>
      </w:pPr>
      <w:r>
        <w:rPr/>
        <w:pict>
          <v:line style="position:absolute;mso-position-horizontal-relative:page;mso-position-vertical-relative:paragraph;z-index:15795712" from="203.655998pt,8.478011pt" to="200.059998pt,8.478011pt" stroked="true" strokeweight=".5pt" strokecolor="#231f20">
            <v:stroke dashstyle="solid"/>
            <w10:wrap type="none"/>
          </v:line>
        </w:pict>
      </w:r>
      <w:r>
        <w:rPr>
          <w:sz w:val="12"/>
        </w:rPr>
        <w:t>5.5</w:t>
      </w:r>
    </w:p>
    <w:p>
      <w:pPr>
        <w:pStyle w:val="BodyText"/>
        <w:rPr>
          <w:sz w:val="12"/>
        </w:rPr>
      </w:pPr>
    </w:p>
    <w:p>
      <w:pPr>
        <w:spacing w:before="80"/>
        <w:ind w:left="0" w:right="38" w:firstLine="0"/>
        <w:jc w:val="right"/>
        <w:rPr>
          <w:sz w:val="12"/>
        </w:rPr>
      </w:pPr>
      <w:r>
        <w:rPr/>
        <w:pict>
          <v:group style="position:absolute;margin-left:46.870998pt;margin-top:2.672432pt;width:150.050pt;height:77.25pt;mso-position-horizontal-relative:page;mso-position-vertical-relative:paragraph;z-index:15792128" coordorigin="937,53" coordsize="3001,1545">
            <v:shape style="position:absolute;left:3334;top:319;width:604;height:1053" coordorigin="3334,319" coordsize="604,1053" path="m3938,319l3757,526,3716,576,3596,677,3555,805,3435,1061,3395,1137,3334,1213,3395,1264,3435,1315,3555,1294,3596,1283,3716,1329,3757,1352,3938,1372,3938,319xe" filled="true" fillcolor="#ffe6ca" stroked="false">
              <v:path arrowok="t"/>
              <v:fill type="solid"/>
            </v:shape>
            <v:shape style="position:absolute;left:3334;top:569;width:604;height:698" coordorigin="3334,570" coordsize="604,698" path="m3938,570l3757,753,3716,787,3596,855,3555,939,3435,1107,3395,1159,3334,1210,3395,1239,3435,1267,3555,1200,3596,1167,3716,1169,3757,1170,3938,1184,3938,570xe" filled="true" fillcolor="#fed09e" stroked="false">
              <v:path arrowok="t"/>
              <v:fill type="solid"/>
            </v:shape>
            <v:shape style="position:absolute;left:3334;top:694;width:604;height:548" coordorigin="3334,694" coordsize="604,548" path="m3938,694l3757,841,3716,870,3596,929,3555,998,3435,1138,3395,1175,3334,1213,3395,1228,3435,1242,3555,1159,3596,1118,3716,1104,3757,1098,3938,1086,3938,694xe" filled="true" fillcolor="#fcbb75" stroked="false">
              <v:path arrowok="t"/>
              <v:fill type="solid"/>
            </v:shape>
            <v:shape style="position:absolute;left:3334;top:782;width:604;height:436" coordorigin="3334,783" coordsize="604,436" path="m3938,783l3757,898,3716,923,3596,973,3555,1035,3435,1159,3395,1185,3334,1212,3395,1215,3435,1219,3555,1125,3596,1078,3716,1054,3757,1042,3938,1004,3938,783xe" filled="true" fillcolor="#faa74a" stroked="false">
              <v:path arrowok="t"/>
              <v:fill type="solid"/>
            </v:shape>
            <v:shape style="position:absolute;left:3334;top:861;width:604;height:352" coordorigin="3334,861" coordsize="604,352" path="m3938,861l3757,949,3716,970,3596,1011,3555,1068,3435,1181,3395,1197,3334,1213,3395,1207,3435,1200,3555,1097,3596,1045,3716,1012,3757,996,3938,933,3938,861xe" filled="true" fillcolor="#f7941d" stroked="false">
              <v:path arrowok="t"/>
              <v:fill type="solid"/>
            </v:shape>
            <v:shape style="position:absolute;left:1057;top:63;width:704;height:1280" coordorigin="1057,63" coordsize="704,1280" path="m1098,102l1057,63m1158,123l1098,102m1218,402l1158,123m1259,461l1218,402m1319,508l1259,461m1379,486l1319,508m1419,550l1379,486m1480,746l1419,550m1540,818l1480,746m1580,878l1540,818m1641,926l1580,878m1701,1164l1641,926m1761,1343l1701,1164e" filled="false" stroked="true" strokeweight="1pt" strokecolor="#f7941d">
              <v:path arrowok="t"/>
              <v:stroke dashstyle="solid"/>
            </v:shape>
            <v:line style="position:absolute" from="1751,1343" to="1812,1343" stroked="true" strokeweight="1.025pt" strokecolor="#f7941d">
              <v:stroke dashstyle="solid"/>
            </v:line>
            <v:shape style="position:absolute;left:1801;top:1322;width:161;height:69" coordorigin="1802,1323" coordsize="161,69" path="m1862,1363l1802,1344m1922,1392l1862,1363m1962,1323l1922,1392e" filled="false" stroked="true" strokeweight="1pt" strokecolor="#f7941d">
              <v:path arrowok="t"/>
              <v:stroke dashstyle="solid"/>
            </v:shape>
            <v:line style="position:absolute" from="1953,1323" to="2033,1323" stroked="true" strokeweight="1.036pt" strokecolor="#f7941d">
              <v:stroke dashstyle="solid"/>
            </v:line>
            <v:shape style="position:absolute;left:2022;top:1323;width:101;height:189" coordorigin="2023,1324" coordsize="101,189" path="m2083,1382l2023,1324m2123,1512l2083,1382e" filled="false" stroked="true" strokeweight="1pt" strokecolor="#f7941d">
              <v:path arrowok="t"/>
              <v:stroke dashstyle="solid"/>
            </v:shape>
            <v:line style="position:absolute" from="2113,1511" to="2194,1511" stroked="true" strokeweight="1.053pt" strokecolor="#f7941d">
              <v:stroke dashstyle="solid"/>
            </v:line>
            <v:shape style="position:absolute;left:2183;top:1068;width:704;height:442" coordorigin="2184,1069" coordsize="704,442" path="m2244,1460l2184,1511m2304,1433l2244,1460m2345,1504l2304,1433m2405,1468l2345,1504m2465,1402l2405,1468m2506,1428l2465,1402m2566,1469l2506,1428m2626,1495l2566,1469m2666,1487l2626,1495m2727,1399l2666,1487m2787,1376l2727,1399m2847,1178l2787,1376m2888,1069l2847,1178e" filled="false" stroked="true" strokeweight="1pt" strokecolor="#f7941d">
              <v:path arrowok="t"/>
              <v:stroke dashstyle="solid"/>
            </v:shape>
            <v:line style="position:absolute" from="2878,1068" to="2958,1068" stroked="true" strokeweight="1.072pt" strokecolor="#f7941d">
              <v:stroke dashstyle="solid"/>
            </v:line>
            <v:shape style="position:absolute;left:2948;top:1067;width:383;height:160" coordorigin="2948,1067" coordsize="383,160" path="m3008,1188l2948,1067m3049,1227l3008,1188m3109,1217l3049,1227m3169,1139l3109,1217m3169,1139l3209,1149m3270,1195l3209,1149m3330,1213l3270,1195e" filled="false" stroked="true" strokeweight="1pt" strokecolor="#f7941d">
              <v:path arrowok="t"/>
              <v:stroke dashstyle="solid"/>
            </v:shape>
            <v:shape style="position:absolute;left:937;top:169;width:72;height:1424" coordorigin="937,170" coordsize="72,1424" path="m1009,1593l937,1593m1009,1237l937,1237m1009,882l937,882m1009,526l937,526m1009,170l937,170e" filled="false" stroked="true" strokeweight=".5pt" strokecolor="#000000">
              <v:path arrowok="t"/>
              <v:stroke dashstyle="solid"/>
            </v:shape>
            <w10:wrap type="none"/>
          </v:group>
        </w:pict>
      </w:r>
      <w:r>
        <w:rPr/>
        <w:pict>
          <v:line style="position:absolute;mso-position-horizontal-relative:page;mso-position-vertical-relative:paragraph;z-index:15795200" from="200.871002pt,8.646432pt" to="204.466002pt,8.646432pt" stroked="true" strokeweight=".5pt" strokecolor="#231f20">
            <v:stroke dashstyle="solid"/>
            <w10:wrap type="none"/>
          </v:line>
        </w:pict>
      </w:r>
      <w:r>
        <w:rPr>
          <w:color w:val="231F20"/>
          <w:sz w:val="12"/>
        </w:rPr>
        <w:t>5.0</w:t>
      </w:r>
    </w:p>
    <w:p>
      <w:pPr>
        <w:pStyle w:val="BodyText"/>
        <w:rPr>
          <w:sz w:val="12"/>
        </w:rPr>
      </w:pPr>
    </w:p>
    <w:p>
      <w:pPr>
        <w:spacing w:before="80"/>
        <w:ind w:left="0" w:right="38" w:firstLine="0"/>
        <w:jc w:val="right"/>
        <w:rPr>
          <w:sz w:val="12"/>
        </w:rPr>
      </w:pPr>
      <w:r>
        <w:rPr/>
        <w:pict>
          <v:line style="position:absolute;mso-position-horizontal-relative:page;mso-position-vertical-relative:paragraph;z-index:15794688" from="204.466002pt,8.644854pt" to="200.871002pt,8.644854pt" stroked="true" strokeweight=".5pt" strokecolor="#231f20">
            <v:stroke dashstyle="solid"/>
            <w10:wrap type="none"/>
          </v:line>
        </w:pict>
      </w:r>
      <w:r>
        <w:rPr>
          <w:color w:val="231F20"/>
          <w:sz w:val="12"/>
        </w:rPr>
        <w:t>4.5</w:t>
      </w:r>
    </w:p>
    <w:p>
      <w:pPr>
        <w:pStyle w:val="BodyText"/>
        <w:rPr>
          <w:sz w:val="12"/>
        </w:rPr>
      </w:pPr>
    </w:p>
    <w:p>
      <w:pPr>
        <w:spacing w:before="80"/>
        <w:ind w:left="0" w:right="38" w:firstLine="0"/>
        <w:jc w:val="right"/>
        <w:rPr>
          <w:sz w:val="12"/>
        </w:rPr>
      </w:pPr>
      <w:r>
        <w:rPr/>
        <w:pict>
          <v:line style="position:absolute;mso-position-horizontal-relative:page;mso-position-vertical-relative:paragraph;z-index:15794176" from="204.466002pt,8.644289pt" to="200.871002pt,8.644289pt" stroked="true" strokeweight=".5pt" strokecolor="#231f20">
            <v:stroke dashstyle="solid"/>
            <w10:wrap type="none"/>
          </v:line>
        </w:pict>
      </w:r>
      <w:r>
        <w:rPr>
          <w:color w:val="231F20"/>
          <w:sz w:val="12"/>
        </w:rPr>
        <w:t>4.0</w:t>
      </w:r>
    </w:p>
    <w:p>
      <w:pPr>
        <w:pStyle w:val="BodyText"/>
        <w:rPr>
          <w:sz w:val="12"/>
        </w:rPr>
      </w:pPr>
    </w:p>
    <w:p>
      <w:pPr>
        <w:spacing w:before="80"/>
        <w:ind w:left="0" w:right="38" w:firstLine="0"/>
        <w:jc w:val="right"/>
        <w:rPr>
          <w:sz w:val="12"/>
        </w:rPr>
      </w:pPr>
      <w:r>
        <w:rPr/>
        <w:pict>
          <v:line style="position:absolute;mso-position-horizontal-relative:page;mso-position-vertical-relative:paragraph;z-index:15793664" from="204.466002pt,8.64371pt" to="200.871002pt,8.64371pt" stroked="true" strokeweight=".5pt" strokecolor="#231f20">
            <v:stroke dashstyle="solid"/>
            <w10:wrap type="none"/>
          </v:line>
        </w:pict>
      </w:r>
      <w:r>
        <w:rPr>
          <w:color w:val="231F20"/>
          <w:sz w:val="12"/>
        </w:rPr>
        <w:t>3.5</w:t>
      </w:r>
    </w:p>
    <w:p>
      <w:pPr>
        <w:pStyle w:val="BodyText"/>
        <w:rPr>
          <w:sz w:val="12"/>
        </w:rPr>
      </w:pPr>
    </w:p>
    <w:p>
      <w:pPr>
        <w:spacing w:before="80"/>
        <w:ind w:left="0" w:right="38" w:firstLine="0"/>
        <w:jc w:val="right"/>
        <w:rPr>
          <w:sz w:val="12"/>
        </w:rPr>
      </w:pPr>
      <w:r>
        <w:rPr/>
        <w:pict>
          <v:line style="position:absolute;mso-position-horizontal-relative:page;mso-position-vertical-relative:paragraph;z-index:15793152" from="200.871002pt,8.643139pt" to="204.466002pt,8.643139pt" stroked="true" strokeweight=".5pt" strokecolor="#231f20">
            <v:stroke dashstyle="solid"/>
            <w10:wrap type="none"/>
          </v:line>
        </w:pict>
      </w:r>
      <w:r>
        <w:rPr>
          <w:color w:val="231F20"/>
          <w:sz w:val="12"/>
        </w:rPr>
        <w:t>3.0</w:t>
      </w:r>
    </w:p>
    <w:p>
      <w:pPr>
        <w:pStyle w:val="BodyText"/>
        <w:rPr>
          <w:sz w:val="12"/>
        </w:rPr>
      </w:pPr>
    </w:p>
    <w:p>
      <w:pPr>
        <w:spacing w:line="134" w:lineRule="exact" w:before="80"/>
        <w:ind w:left="744" w:right="0" w:firstLine="0"/>
        <w:jc w:val="left"/>
        <w:rPr>
          <w:sz w:val="12"/>
        </w:rPr>
      </w:pPr>
      <w:r>
        <w:rPr/>
        <w:pict>
          <v:group style="position:absolute;margin-left:46.870998pt;margin-top:8.237559pt;width:158.25pt;height:7.75pt;mso-position-horizontal-relative:page;mso-position-vertical-relative:paragraph;z-index:15792640" coordorigin="937,165" coordsize="3165,155">
            <v:line style="position:absolute" from="4089,173" to="4017,173" stroked="true" strokeweight=".5pt" strokecolor="#231f20">
              <v:stroke dashstyle="solid"/>
            </v:line>
            <v:shape style="position:absolute;left:937;top:169;width:3160;height:150" coordorigin="937,170" coordsize="3160,150" path="m4069,314l938,314m1062,309l1062,178m1116,309l1116,229m1170,309l1170,229m1225,309l1225,229m1279,309l1279,229m1333,316l1333,223m1388,309l1388,229m1442,309l1442,229m1496,309l1496,229m1551,315l1551,226m1605,313l1605,223m1659,313l1659,222m1716,316l1716,186m1768,309l1768,229m1822,309l1822,229m1877,309l1877,229m1931,309l1931,229m1985,312l1985,232m2040,309l2040,229m2094,309l2094,229m2148,309l2148,229m2203,315l2203,226m2257,312l2257,232m2311,315l2311,226m2366,316l2366,183m2420,309l2420,229m2474,309l2474,229m2529,309l2529,229m2583,309l2583,229m2637,316l2637,226m2692,309l2692,229m2746,309l2746,229m2800,309l2800,229m2855,315l2855,223m2909,319l2909,226m2963,316l2963,226m3018,316l3018,183m3072,309l3072,229m3126,309l3126,229m3181,309l3181,229m3235,309l3235,229m3289,316l3289,226m3344,309l3344,229m3398,309l3398,229m3452,309l3452,229m3507,315l3507,235m3561,316l3561,236m3615,315l3615,235m3670,316l3670,196m3724,309l3724,229m3778,309l3778,229m3833,309l3833,229m3887,315l3887,235m3941,311l3941,233m1009,170l937,170m4077,178l4077,205,4057,221,4097,235,4057,255,4097,271,4073,281,4073,305m1013,177l1013,204,993,220,1033,234,993,254,1033,270,1010,280,1009,304e" filled="false" stroked="true" strokeweight=".5pt" strokecolor="#000000">
              <v:path arrowok="t"/>
              <v:stroke dashstyle="solid"/>
            </v:shape>
            <w10:wrap type="none"/>
          </v:group>
        </w:pict>
      </w:r>
      <w:r>
        <w:rPr>
          <w:color w:val="231F20"/>
          <w:sz w:val="12"/>
        </w:rPr>
        <w:t>2.5</w:t>
      </w:r>
    </w:p>
    <w:p>
      <w:pPr>
        <w:spacing w:line="126" w:lineRule="exact" w:before="0"/>
        <w:ind w:left="742" w:right="0" w:firstLine="0"/>
        <w:jc w:val="left"/>
        <w:rPr>
          <w:sz w:val="12"/>
        </w:rPr>
      </w:pPr>
      <w:r>
        <w:rPr>
          <w:sz w:val="12"/>
        </w:rPr>
        <w:t>0.0</w:t>
      </w:r>
    </w:p>
    <w:p>
      <w:pPr>
        <w:pStyle w:val="Heading4"/>
        <w:spacing w:line="242" w:lineRule="auto" w:before="201"/>
        <w:ind w:left="314"/>
      </w:pPr>
      <w:r>
        <w:rPr/>
        <w:br w:type="column"/>
      </w:r>
      <w:r>
        <w:rPr>
          <w:color w:val="231F20"/>
        </w:rPr>
        <w:t>Chart 1.10 shows how the path of short-term interest rate expectations has changed since the May </w:t>
      </w:r>
      <w:r>
        <w:rPr>
          <w:i/>
          <w:color w:val="231F20"/>
        </w:rPr>
        <w:t>Report</w:t>
      </w:r>
      <w:r>
        <w:rPr>
          <w:color w:val="231F20"/>
        </w:rPr>
        <w:t>.</w:t>
      </w:r>
    </w:p>
    <w:p>
      <w:pPr>
        <w:spacing w:line="242" w:lineRule="auto" w:before="2"/>
        <w:ind w:left="314" w:right="666" w:firstLine="0"/>
        <w:jc w:val="left"/>
        <w:rPr>
          <w:sz w:val="24"/>
        </w:rPr>
      </w:pPr>
      <w:r>
        <w:rPr>
          <w:color w:val="231F20"/>
          <w:sz w:val="24"/>
        </w:rPr>
        <w:t>Three-month forward interest rates based on futures contracts in December 1998 have risen by around 50 basis points to 7.6% since May, but are still</w:t>
      </w:r>
    </w:p>
    <w:p>
      <w:pPr>
        <w:spacing w:line="242" w:lineRule="auto" w:before="4"/>
        <w:ind w:left="314" w:right="0" w:firstLine="0"/>
        <w:jc w:val="left"/>
        <w:rPr>
          <w:sz w:val="24"/>
        </w:rPr>
      </w:pPr>
      <w:r>
        <w:rPr>
          <w:color w:val="231F20"/>
          <w:sz w:val="24"/>
        </w:rPr>
        <w:t>expected to fall over time. Average overseas forward interest rates have fallen by around 20 basis points, implying a wider differential between UK and overseas interest rates. But as Chart 1.9 shows, markets are expecting German interest rates to rise during the rest of 1998. German interest rates will coincide with rates in</w:t>
      </w:r>
    </w:p>
    <w:p>
      <w:pPr>
        <w:spacing w:after="0" w:line="242" w:lineRule="auto"/>
        <w:jc w:val="left"/>
        <w:rPr>
          <w:sz w:val="24"/>
        </w:rPr>
        <w:sectPr>
          <w:type w:val="continuous"/>
          <w:pgSz w:w="11900" w:h="16840"/>
          <w:pgMar w:top="1220" w:bottom="280" w:left="620" w:right="640"/>
          <w:cols w:num="3" w:equalWidth="0">
            <w:col w:w="2251" w:space="505"/>
            <w:col w:w="936" w:space="963"/>
            <w:col w:w="5985"/>
          </w:cols>
        </w:sectPr>
      </w:pPr>
    </w:p>
    <w:p>
      <w:pPr>
        <w:tabs>
          <w:tab w:pos="1305" w:val="left" w:leader="none"/>
        </w:tabs>
        <w:spacing w:before="1"/>
        <w:ind w:left="570" w:right="0" w:firstLine="0"/>
        <w:jc w:val="left"/>
        <w:rPr>
          <w:sz w:val="12"/>
        </w:rPr>
      </w:pPr>
      <w:r>
        <w:rPr>
          <w:color w:val="231F20"/>
          <w:sz w:val="12"/>
        </w:rPr>
        <w:t>1995</w:t>
        <w:tab/>
      </w:r>
      <w:r>
        <w:rPr>
          <w:color w:val="231F20"/>
          <w:spacing w:val="-10"/>
          <w:position w:val="2"/>
          <w:sz w:val="12"/>
        </w:rPr>
        <w:t>96</w:t>
      </w:r>
    </w:p>
    <w:p>
      <w:pPr>
        <w:tabs>
          <w:tab w:pos="1206" w:val="left" w:leader="none"/>
          <w:tab w:pos="1731" w:val="left" w:leader="none"/>
        </w:tabs>
        <w:spacing w:line="143" w:lineRule="exact" w:before="0"/>
        <w:ind w:left="554" w:right="0" w:firstLine="0"/>
        <w:jc w:val="left"/>
        <w:rPr>
          <w:sz w:val="12"/>
        </w:rPr>
      </w:pPr>
      <w:r>
        <w:rPr/>
        <w:br w:type="column"/>
      </w:r>
      <w:r>
        <w:rPr>
          <w:color w:val="231F20"/>
          <w:position w:val="1"/>
          <w:sz w:val="12"/>
        </w:rPr>
        <w:t>97</w:t>
        <w:tab/>
      </w:r>
      <w:r>
        <w:rPr>
          <w:color w:val="231F20"/>
          <w:sz w:val="12"/>
        </w:rPr>
        <w:t>98</w:t>
        <w:tab/>
      </w:r>
      <w:r>
        <w:rPr>
          <w:color w:val="231F20"/>
          <w:position w:val="1"/>
          <w:sz w:val="12"/>
        </w:rPr>
        <w:t>99</w:t>
      </w:r>
    </w:p>
    <w:p>
      <w:pPr>
        <w:pStyle w:val="Heading4"/>
        <w:spacing w:line="266" w:lineRule="exact"/>
        <w:ind w:left="570"/>
      </w:pPr>
      <w:r>
        <w:rPr/>
        <w:br w:type="column"/>
      </w:r>
      <w:r>
        <w:rPr>
          <w:color w:val="231F20"/>
        </w:rPr>
        <w:t>the prospective euro area from 1 January 1999.</w:t>
      </w:r>
      <w:r>
        <w:rPr>
          <w:color w:val="231F20"/>
          <w:spacing w:val="55"/>
        </w:rPr>
        <w:t> </w:t>
      </w:r>
      <w:r>
        <w:rPr>
          <w:color w:val="231F20"/>
        </w:rPr>
        <w:t>The</w:t>
      </w:r>
    </w:p>
    <w:p>
      <w:pPr>
        <w:spacing w:after="0" w:line="266" w:lineRule="exact"/>
        <w:sectPr>
          <w:type w:val="continuous"/>
          <w:pgSz w:w="11900" w:h="16840"/>
          <w:pgMar w:top="1220" w:bottom="280" w:left="620" w:right="640"/>
          <w:cols w:num="3" w:equalWidth="0">
            <w:col w:w="1427" w:space="40"/>
            <w:col w:w="1893" w:space="1039"/>
            <w:col w:w="6241"/>
          </w:cols>
        </w:sectPr>
      </w:pPr>
    </w:p>
    <w:p>
      <w:pPr>
        <w:spacing w:before="3"/>
        <w:ind w:left="209" w:right="0" w:firstLine="0"/>
        <w:jc w:val="left"/>
        <w:rPr>
          <w:sz w:val="12"/>
        </w:rPr>
      </w:pPr>
      <w:r>
        <w:rPr>
          <w:color w:val="231F20"/>
          <w:sz w:val="12"/>
        </w:rPr>
        <w:t>Sources: LIFFE and Bank of England.</w:t>
      </w:r>
    </w:p>
    <w:p>
      <w:pPr>
        <w:pStyle w:val="Heading4"/>
        <w:spacing w:before="4"/>
        <w:ind w:left="208"/>
      </w:pPr>
      <w:r>
        <w:rPr/>
        <w:br w:type="column"/>
      </w:r>
      <w:r>
        <w:rPr>
          <w:color w:val="231F20"/>
        </w:rPr>
        <w:t>expected Deutshe Mark interest rate path beyond 1998</w:t>
      </w:r>
    </w:p>
    <w:p>
      <w:pPr>
        <w:spacing w:after="0"/>
        <w:sectPr>
          <w:type w:val="continuous"/>
          <w:pgSz w:w="11900" w:h="16840"/>
          <w:pgMar w:top="1220" w:bottom="280" w:left="620" w:right="640"/>
          <w:cols w:num="2" w:equalWidth="0">
            <w:col w:w="2119" w:space="2641"/>
            <w:col w:w="5880"/>
          </w:cols>
        </w:sectPr>
      </w:pPr>
    </w:p>
    <w:p>
      <w:pPr>
        <w:pStyle w:val="BodyText"/>
        <w:rPr>
          <w:sz w:val="20"/>
        </w:rPr>
      </w:pPr>
    </w:p>
    <w:p>
      <w:pPr>
        <w:spacing w:after="0"/>
        <w:rPr>
          <w:sz w:val="20"/>
        </w:rPr>
        <w:sectPr>
          <w:pgSz w:w="11900" w:h="16840"/>
          <w:pgMar w:header="566" w:footer="597" w:top="760" w:bottom="780" w:left="620" w:right="640"/>
        </w:sectPr>
      </w:pPr>
    </w:p>
    <w:p>
      <w:pPr>
        <w:pStyle w:val="BodyText"/>
        <w:spacing w:before="6"/>
        <w:rPr>
          <w:sz w:val="20"/>
        </w:rPr>
      </w:pPr>
    </w:p>
    <w:p>
      <w:pPr>
        <w:pStyle w:val="Heading8"/>
        <w:spacing w:before="0"/>
        <w:ind w:left="194"/>
      </w:pPr>
      <w:bookmarkStart w:name="Long-term interest rates" w:id="26"/>
      <w:bookmarkEnd w:id="26"/>
      <w:r>
        <w:rPr>
          <w:b w:val="0"/>
        </w:rPr>
      </w:r>
      <w:bookmarkStart w:name="_bookmark9" w:id="27"/>
      <w:bookmarkEnd w:id="27"/>
      <w:r>
        <w:rPr>
          <w:b w:val="0"/>
        </w:rPr>
      </w:r>
      <w:r>
        <w:rPr>
          <w:color w:val="0093C1"/>
        </w:rPr>
        <w:t>Chart 1.10</w:t>
      </w:r>
    </w:p>
    <w:p>
      <w:pPr>
        <w:spacing w:before="10"/>
        <w:ind w:left="194" w:right="0" w:firstLine="0"/>
        <w:jc w:val="left"/>
        <w:rPr>
          <w:b/>
          <w:sz w:val="20"/>
        </w:rPr>
      </w:pPr>
      <w:r>
        <w:rPr>
          <w:b/>
          <w:color w:val="0093C1"/>
          <w:sz w:val="20"/>
        </w:rPr>
        <w:t>UK three-month interest rate</w:t>
      </w:r>
      <w:r>
        <w:rPr>
          <w:b/>
          <w:color w:val="0093C1"/>
          <w:spacing w:val="4"/>
          <w:sz w:val="20"/>
        </w:rPr>
        <w:t> </w:t>
      </w:r>
      <w:r>
        <w:rPr>
          <w:b/>
          <w:color w:val="0093C1"/>
          <w:spacing w:val="-2"/>
          <w:sz w:val="20"/>
        </w:rPr>
        <w:t>expectations</w:t>
      </w:r>
    </w:p>
    <w:p>
      <w:pPr>
        <w:spacing w:before="89"/>
        <w:ind w:left="0" w:right="49" w:firstLine="0"/>
        <w:jc w:val="right"/>
        <w:rPr>
          <w:sz w:val="12"/>
        </w:rPr>
      </w:pPr>
      <w:r>
        <w:rPr/>
        <w:pict>
          <v:group style="position:absolute;margin-left:68.220001pt;margin-top:22.385181pt;width:138pt;height:85pt;mso-position-horizontal-relative:page;mso-position-vertical-relative:paragraph;z-index:15808512" coordorigin="1364,448" coordsize="2760,1700">
            <v:shape style="position:absolute;left:1374;top:937;width:2740;height:1200" coordorigin="1374,938" coordsize="2740,1200" path="m1374,938l1654,1098,1914,1298,2474,1658,2734,1778,3014,1898,3294,1978,3554,2038,3834,2078,4114,2138e" filled="false" stroked="true" strokeweight="1pt" strokecolor="#9aca3c">
              <v:path arrowok="t"/>
              <v:stroke dashstyle="solid"/>
            </v:shape>
            <v:shape style="position:absolute;left:1374;top:457;width:2740;height:1320" coordorigin="1374,458" coordsize="2740,1320" path="m1374,458l1654,578,1914,778,2194,998,2474,1198,2734,1318,3014,1478,3294,1598,3554,1658,4114,1778e" filled="false" stroked="true" strokeweight="1pt" strokecolor="#008256">
              <v:path arrowok="t"/>
              <v:stroke dashstyle="solid"/>
            </v:shape>
            <v:shape style="position:absolute;left:2097;top:780;width:727;height:133" type="#_x0000_t202" filled="false" stroked="false">
              <v:textbox inset="0,0,0,0">
                <w:txbxContent>
                  <w:p>
                    <w:pPr>
                      <w:spacing w:line="133" w:lineRule="exact" w:before="0"/>
                      <w:ind w:left="0" w:right="0" w:firstLine="0"/>
                      <w:jc w:val="left"/>
                      <w:rPr>
                        <w:sz w:val="12"/>
                      </w:rPr>
                    </w:pPr>
                    <w:r>
                      <w:rPr>
                        <w:sz w:val="12"/>
                      </w:rPr>
                      <w:t>5 August 1998</w:t>
                    </w:r>
                  </w:p>
                </w:txbxContent>
              </v:textbox>
              <w10:wrap type="none"/>
            </v:shape>
            <v:shape style="position:absolute;left:1794;top:1627;width:600;height:133" type="#_x0000_t202" filled="false" stroked="false">
              <v:textbox inset="0,0,0,0">
                <w:txbxContent>
                  <w:p>
                    <w:pPr>
                      <w:spacing w:line="133" w:lineRule="exact" w:before="0"/>
                      <w:ind w:left="0" w:right="0" w:firstLine="0"/>
                      <w:jc w:val="left"/>
                      <w:rPr>
                        <w:sz w:val="12"/>
                      </w:rPr>
                    </w:pPr>
                    <w:r>
                      <w:rPr>
                        <w:sz w:val="12"/>
                      </w:rPr>
                      <w:t>6 May 1998</w:t>
                    </w:r>
                  </w:p>
                </w:txbxContent>
              </v:textbox>
              <w10:wrap type="none"/>
            </v:shape>
            <w10:wrap type="none"/>
          </v:group>
        </w:pict>
      </w:r>
      <w:r>
        <w:rPr/>
        <w:pict>
          <v:line style="position:absolute;mso-position-horizontal-relative:page;mso-position-vertical-relative:paragraph;z-index:15810048" from="217.720001pt,58.885181pt" to="212.720001pt,58.885181pt" stroked="true" strokeweight=".5pt" strokecolor="#000000">
            <v:stroke dashstyle="solid"/>
            <w10:wrap type="none"/>
          </v:line>
        </w:pict>
      </w:r>
      <w:r>
        <w:rPr/>
        <w:pict>
          <v:line style="position:absolute;mso-position-horizontal-relative:page;mso-position-vertical-relative:paragraph;z-index:15810560" from="217.720001pt,34.885181pt" to="212.720001pt,34.885181pt" stroked="true" strokeweight=".5pt" strokecolor="#000000">
            <v:stroke dashstyle="solid"/>
            <w10:wrap type="none"/>
          </v:line>
        </w:pict>
      </w:r>
      <w:r>
        <w:rPr/>
        <w:pict>
          <v:line style="position:absolute;mso-position-horizontal-relative:page;mso-position-vertical-relative:paragraph;z-index:15811584" from="49.178001pt,83.552177pt" to="44.178001pt,83.552177pt" stroked="true" strokeweight=".5pt" strokecolor="#000000">
            <v:stroke dashstyle="solid"/>
            <w10:wrap type="none"/>
          </v:line>
        </w:pict>
      </w:r>
      <w:r>
        <w:rPr/>
        <w:pict>
          <v:line style="position:absolute;mso-position-horizontal-relative:page;mso-position-vertical-relative:paragraph;z-index:15812096" from="49.178001pt,59.552181pt" to="44.178001pt,59.552181pt" stroked="true" strokeweight=".5pt" strokecolor="#000000">
            <v:stroke dashstyle="solid"/>
            <w10:wrap type="none"/>
          </v:line>
        </w:pict>
      </w:r>
      <w:r>
        <w:rPr/>
        <w:pict>
          <v:line style="position:absolute;mso-position-horizontal-relative:page;mso-position-vertical-relative:paragraph;z-index:15812608" from="49.178001pt,35.552181pt" to="44.178001pt,35.552181pt" stroked="true" strokeweight=".5pt" strokecolor="#000000">
            <v:stroke dashstyle="solid"/>
            <w10:wrap type="none"/>
          </v:line>
        </w:pict>
      </w:r>
      <w:r>
        <w:rPr>
          <w:sz w:val="12"/>
        </w:rPr>
        <w:t>Per c</w:t>
      </w:r>
      <w:r>
        <w:rPr>
          <w:sz w:val="12"/>
          <w:u w:val="single"/>
        </w:rPr>
        <w:t>en</w:t>
      </w:r>
      <w:r>
        <w:rPr>
          <w:sz w:val="12"/>
        </w:rPr>
        <w:t>t</w:t>
      </w:r>
    </w:p>
    <w:p>
      <w:pPr>
        <w:pStyle w:val="BodyText"/>
        <w:spacing w:line="20" w:lineRule="exact"/>
        <w:ind w:left="258"/>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2"/>
        </w:rPr>
      </w:pPr>
      <w:r>
        <w:rPr/>
        <w:pict>
          <v:shape style="position:absolute;margin-left:212.720001pt;margin-top:15.041789pt;width:5pt;height:.1pt;mso-position-horizontal-relative:page;mso-position-vertical-relative:paragraph;z-index:-15659520;mso-wrap-distance-left:0;mso-wrap-distance-right:0" coordorigin="4254,301" coordsize="100,0" path="m4354,301l4254,301e" filled="false" stroked="true" strokeweight=".5pt" strokecolor="#000000">
            <v:path arrowok="t"/>
            <v:stroke dashstyle="solid"/>
            <w10:wrap type="topAndBottom"/>
          </v:shape>
        </w:pict>
      </w:r>
      <w:r>
        <w:rPr/>
        <w:pict>
          <v:shape style="position:absolute;margin-left:44.178001pt;margin-top:15.708789pt;width:5pt;height:.1pt;mso-position-horizontal-relative:page;mso-position-vertical-relative:paragraph;z-index:-15659008;mso-wrap-distance-left:0;mso-wrap-distance-right:0" coordorigin="884,314" coordsize="100,0" path="m984,314l884,314e" filled="false" stroked="true" strokeweight=".5pt" strokecolor="#000000">
            <v:path arrowok="t"/>
            <v:stroke dashstyle="solid"/>
            <w10:wrap type="topAndBottom"/>
          </v:shape>
        </w:pict>
      </w:r>
    </w:p>
    <w:p>
      <w:pPr>
        <w:pStyle w:val="BodyText"/>
        <w:rPr>
          <w:sz w:val="20"/>
        </w:rPr>
      </w:pPr>
    </w:p>
    <w:p>
      <w:pPr>
        <w:pStyle w:val="BodyText"/>
        <w:spacing w:before="9"/>
        <w:rPr>
          <w:sz w:val="13"/>
        </w:rPr>
      </w:pPr>
      <w:r>
        <w:rPr/>
        <w:pict>
          <v:group style="position:absolute;margin-left:44.178001pt;margin-top:9.883977pt;width:175.3pt;height:7.7pt;mso-position-horizontal-relative:page;mso-position-vertical-relative:paragraph;z-index:-15658496;mso-wrap-distance-left:0;mso-wrap-distance-right:0" coordorigin="884,198" coordsize="3506,154">
            <v:shape style="position:absolute;left:1094;top:212;width:3020;height:130" coordorigin="1094,213" coordsize="3020,130" path="m4114,343l4114,213m3014,343l3014,213m1914,343l1914,213m1094,343l1094,273m1374,343l1374,273m1654,343l1654,273m2189,343l2189,273m2464,343l2464,273m2739,343l2739,273m3289,343l3289,273m3564,343l3564,273m3839,343l3839,273e" filled="false" stroked="true" strokeweight=".5pt" strokecolor="#000000">
              <v:path arrowok="t"/>
              <v:stroke dashstyle="solid"/>
            </v:shape>
            <v:line style="position:absolute" from="894,343" to="4358,343" stroked="true" strokeweight=".5pt" strokecolor="#000000">
              <v:stroke dashstyle="solid"/>
            </v:line>
            <v:line style="position:absolute" from="4354,203" to="4254,203" stroked="true" strokeweight=".5pt" strokecolor="#000000">
              <v:stroke dashstyle="solid"/>
            </v:line>
            <v:shape style="position:absolute;left:967;top:216;width:3417;height:130" coordorigin="968,216" coordsize="3417,130" path="m4364,216l4364,243,4344,259,4384,273,4344,293,4384,309,4361,319,4361,343m988,219l988,246,968,262,1008,276,968,296,1008,313,984,323,984,346e" filled="false" stroked="true" strokeweight=".5pt" strokecolor="#000000">
              <v:path arrowok="t"/>
              <v:stroke dashstyle="solid"/>
            </v:shape>
            <v:line style="position:absolute" from="984,216" to="884,216" stroked="true" strokeweight=".5pt" strokecolor="#000000">
              <v:stroke dashstyle="solid"/>
            </v:line>
            <w10:wrap type="topAndBottom"/>
          </v:group>
        </w:pic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5"/>
        <w:rPr>
          <w:sz w:val="11"/>
        </w:rPr>
      </w:pPr>
    </w:p>
    <w:p>
      <w:pPr>
        <w:spacing w:before="0"/>
        <w:ind w:left="24" w:right="0" w:firstLine="0"/>
        <w:jc w:val="left"/>
        <w:rPr>
          <w:sz w:val="12"/>
        </w:rPr>
      </w:pPr>
      <w:r>
        <w:rPr>
          <w:sz w:val="12"/>
        </w:rPr>
        <w:t>8.0</w:t>
      </w:r>
    </w:p>
    <w:p>
      <w:pPr>
        <w:pStyle w:val="BodyText"/>
        <w:rPr>
          <w:sz w:val="12"/>
        </w:rPr>
      </w:pPr>
    </w:p>
    <w:p>
      <w:pPr>
        <w:pStyle w:val="BodyText"/>
        <w:spacing w:before="8"/>
        <w:rPr>
          <w:sz w:val="17"/>
        </w:rPr>
      </w:pPr>
    </w:p>
    <w:p>
      <w:pPr>
        <w:spacing w:before="0"/>
        <w:ind w:left="24" w:right="0" w:firstLine="0"/>
        <w:jc w:val="left"/>
        <w:rPr>
          <w:sz w:val="12"/>
        </w:rPr>
      </w:pPr>
      <w:r>
        <w:rPr>
          <w:sz w:val="12"/>
        </w:rPr>
        <w:t>7.5</w:t>
      </w:r>
    </w:p>
    <w:p>
      <w:pPr>
        <w:pStyle w:val="BodyText"/>
        <w:rPr>
          <w:sz w:val="12"/>
        </w:rPr>
      </w:pPr>
    </w:p>
    <w:p>
      <w:pPr>
        <w:pStyle w:val="BodyText"/>
        <w:spacing w:before="9"/>
        <w:rPr>
          <w:sz w:val="17"/>
        </w:rPr>
      </w:pPr>
    </w:p>
    <w:p>
      <w:pPr>
        <w:spacing w:before="0"/>
        <w:ind w:left="24" w:right="0" w:firstLine="0"/>
        <w:jc w:val="left"/>
        <w:rPr>
          <w:sz w:val="12"/>
        </w:rPr>
      </w:pPr>
      <w:r>
        <w:rPr>
          <w:sz w:val="12"/>
        </w:rPr>
        <w:t>7.0</w:t>
      </w:r>
    </w:p>
    <w:p>
      <w:pPr>
        <w:pStyle w:val="BodyText"/>
        <w:rPr>
          <w:sz w:val="12"/>
        </w:rPr>
      </w:pPr>
    </w:p>
    <w:p>
      <w:pPr>
        <w:pStyle w:val="BodyText"/>
        <w:spacing w:before="8"/>
        <w:rPr>
          <w:sz w:val="17"/>
        </w:rPr>
      </w:pPr>
    </w:p>
    <w:p>
      <w:pPr>
        <w:spacing w:before="0"/>
        <w:ind w:left="24" w:right="0" w:firstLine="0"/>
        <w:jc w:val="left"/>
        <w:rPr>
          <w:sz w:val="12"/>
        </w:rPr>
      </w:pPr>
      <w:r>
        <w:rPr>
          <w:sz w:val="12"/>
        </w:rPr>
        <w:t>6.5</w:t>
      </w:r>
    </w:p>
    <w:p>
      <w:pPr>
        <w:pStyle w:val="BodyText"/>
        <w:rPr>
          <w:sz w:val="12"/>
        </w:rPr>
      </w:pPr>
    </w:p>
    <w:p>
      <w:pPr>
        <w:pStyle w:val="BodyText"/>
        <w:spacing w:before="9"/>
        <w:rPr>
          <w:sz w:val="17"/>
        </w:rPr>
      </w:pPr>
    </w:p>
    <w:p>
      <w:pPr>
        <w:spacing w:before="0"/>
        <w:ind w:left="24" w:right="0" w:firstLine="0"/>
        <w:jc w:val="left"/>
        <w:rPr>
          <w:sz w:val="12"/>
        </w:rPr>
      </w:pPr>
      <w:r>
        <w:rPr>
          <w:sz w:val="12"/>
        </w:rPr>
        <w:t>6.0</w:t>
      </w:r>
    </w:p>
    <w:p>
      <w:pPr>
        <w:pStyle w:val="BodyText"/>
        <w:rPr>
          <w:sz w:val="12"/>
        </w:rPr>
      </w:pPr>
    </w:p>
    <w:p>
      <w:pPr>
        <w:pStyle w:val="BodyText"/>
        <w:spacing w:before="8"/>
        <w:rPr>
          <w:sz w:val="17"/>
        </w:rPr>
      </w:pPr>
    </w:p>
    <w:p>
      <w:pPr>
        <w:spacing w:before="1"/>
        <w:ind w:left="24" w:right="0" w:firstLine="0"/>
        <w:jc w:val="left"/>
        <w:rPr>
          <w:sz w:val="12"/>
        </w:rPr>
      </w:pPr>
      <w:r>
        <w:rPr>
          <w:sz w:val="12"/>
        </w:rPr>
        <w:t>5.5</w:t>
      </w:r>
    </w:p>
    <w:p>
      <w:pPr>
        <w:pStyle w:val="BodyText"/>
        <w:rPr>
          <w:sz w:val="12"/>
        </w:rPr>
      </w:pPr>
    </w:p>
    <w:p>
      <w:pPr>
        <w:pStyle w:val="BodyText"/>
        <w:spacing w:before="8"/>
        <w:rPr>
          <w:sz w:val="17"/>
        </w:rPr>
      </w:pPr>
    </w:p>
    <w:p>
      <w:pPr>
        <w:spacing w:before="0"/>
        <w:ind w:left="24" w:right="0" w:firstLine="0"/>
        <w:jc w:val="left"/>
        <w:rPr>
          <w:sz w:val="12"/>
        </w:rPr>
      </w:pPr>
      <w:r>
        <w:rPr>
          <w:sz w:val="12"/>
        </w:rPr>
        <w:t>5.0</w:t>
      </w:r>
    </w:p>
    <w:p>
      <w:pPr>
        <w:spacing w:line="125" w:lineRule="exact" w:before="22"/>
        <w:ind w:left="24" w:right="0" w:firstLine="0"/>
        <w:jc w:val="left"/>
        <w:rPr>
          <w:sz w:val="12"/>
        </w:rPr>
      </w:pPr>
      <w:r>
        <w:rPr>
          <w:sz w:val="12"/>
        </w:rPr>
        <w:t>0.0</w:t>
      </w:r>
    </w:p>
    <w:p>
      <w:pPr>
        <w:pStyle w:val="Heading4"/>
        <w:spacing w:line="242" w:lineRule="auto" w:before="207"/>
        <w:ind w:left="194"/>
      </w:pPr>
      <w:r>
        <w:rPr/>
        <w:br w:type="column"/>
      </w:r>
      <w:r>
        <w:rPr>
          <w:color w:val="231F20"/>
        </w:rPr>
        <w:t>reflects market expectations of the future path of euro interest rates.</w:t>
      </w:r>
    </w:p>
    <w:p>
      <w:pPr>
        <w:pStyle w:val="BodyText"/>
        <w:spacing w:before="6"/>
        <w:rPr>
          <w:sz w:val="24"/>
        </w:rPr>
      </w:pPr>
    </w:p>
    <w:p>
      <w:pPr>
        <w:spacing w:before="1"/>
        <w:ind w:left="194" w:right="0" w:firstLine="0"/>
        <w:jc w:val="left"/>
        <w:rPr>
          <w:i/>
          <w:sz w:val="24"/>
        </w:rPr>
      </w:pPr>
      <w:r>
        <w:rPr>
          <w:i/>
          <w:color w:val="009483"/>
          <w:sz w:val="24"/>
        </w:rPr>
        <w:t>Long-term interest rates</w:t>
      </w:r>
    </w:p>
    <w:p>
      <w:pPr>
        <w:spacing w:line="242" w:lineRule="auto" w:before="164"/>
        <w:ind w:left="194" w:right="208" w:firstLine="0"/>
        <w:jc w:val="left"/>
        <w:rPr>
          <w:sz w:val="24"/>
        </w:rPr>
      </w:pPr>
      <w:r>
        <w:rPr>
          <w:color w:val="231F20"/>
          <w:sz w:val="24"/>
        </w:rPr>
        <w:t>Bond prices have been risen substantially: the nominal yield on ten-year gilts has fallen by 180 basis points since the start of 1996, and was around 5.7% on</w:t>
      </w:r>
    </w:p>
    <w:p>
      <w:pPr>
        <w:spacing w:line="242" w:lineRule="auto" w:before="3"/>
        <w:ind w:left="194" w:right="204" w:firstLine="0"/>
        <w:jc w:val="left"/>
        <w:rPr>
          <w:sz w:val="24"/>
        </w:rPr>
      </w:pPr>
      <w:r>
        <w:rPr/>
        <w:pict>
          <v:line style="position:absolute;mso-position-horizontal-relative:page;mso-position-vertical-relative:paragraph;z-index:15809536" from="217.720001pt,1.962317pt" to="212.720001pt,1.962317pt" stroked="true" strokeweight=".5pt" strokecolor="#000000">
            <v:stroke dashstyle="solid"/>
            <w10:wrap type="none"/>
          </v:line>
        </w:pict>
      </w:r>
      <w:r>
        <w:rPr>
          <w:color w:val="231F20"/>
          <w:sz w:val="24"/>
        </w:rPr>
        <w:t>5 August. Nominal yields on ten-year bonds in other </w:t>
      </w:r>
      <w:r>
        <w:rPr>
          <w:color w:val="231F20"/>
          <w:spacing w:val="-9"/>
          <w:sz w:val="24"/>
        </w:rPr>
        <w:t>G7 </w:t>
      </w:r>
      <w:r>
        <w:rPr>
          <w:color w:val="231F20"/>
          <w:sz w:val="24"/>
        </w:rPr>
        <w:t>countries </w:t>
      </w:r>
      <w:r>
        <w:rPr>
          <w:color w:val="231F20"/>
          <w:spacing w:val="-3"/>
          <w:sz w:val="24"/>
        </w:rPr>
        <w:t>have </w:t>
      </w:r>
      <w:r>
        <w:rPr>
          <w:color w:val="231F20"/>
          <w:sz w:val="24"/>
        </w:rPr>
        <w:t>also fallen during this period, and were 5.5%, 4.8% and 1.5% in the United States, Germany and Japan respectively on 5 August. Chart 1.11 illustrates the fall in UK bond yields and shows the marked change in the shape of the UK nominal implied forward</w:t>
      </w:r>
      <w:r>
        <w:rPr>
          <w:color w:val="231F20"/>
          <w:spacing w:val="-3"/>
          <w:sz w:val="24"/>
        </w:rPr>
        <w:t> </w:t>
      </w:r>
      <w:r>
        <w:rPr>
          <w:color w:val="231F20"/>
          <w:sz w:val="24"/>
        </w:rPr>
        <w:t>interest</w:t>
      </w:r>
    </w:p>
    <w:p>
      <w:pPr>
        <w:spacing w:after="0" w:line="242" w:lineRule="auto"/>
        <w:jc w:val="left"/>
        <w:rPr>
          <w:sz w:val="24"/>
        </w:rPr>
        <w:sectPr>
          <w:type w:val="continuous"/>
          <w:pgSz w:w="11900" w:h="16840"/>
          <w:pgMar w:top="1220" w:bottom="280" w:left="620" w:right="640"/>
          <w:cols w:num="3" w:equalWidth="0">
            <w:col w:w="3805" w:space="40"/>
            <w:col w:w="215" w:space="720"/>
            <w:col w:w="5860"/>
          </w:cols>
        </w:sectPr>
      </w:pPr>
    </w:p>
    <w:p>
      <w:pPr>
        <w:spacing w:line="121" w:lineRule="exact" w:before="0"/>
        <w:ind w:left="0" w:right="38" w:firstLine="0"/>
        <w:jc w:val="right"/>
        <w:rPr>
          <w:sz w:val="12"/>
        </w:rPr>
      </w:pPr>
      <w:r>
        <w:rPr/>
        <w:pict>
          <v:line style="position:absolute;mso-position-horizontal-relative:page;mso-position-vertical-relative:paragraph;z-index:15809024" from="217.720001pt,-57.772129pt" to="212.720001pt,-57.772129pt" stroked="true" strokeweight=".5pt" strokecolor="#000000">
            <v:stroke dashstyle="solid"/>
            <w10:wrap type="none"/>
          </v:line>
        </w:pict>
      </w:r>
      <w:r>
        <w:rPr/>
        <w:pict>
          <v:line style="position:absolute;mso-position-horizontal-relative:page;mso-position-vertical-relative:paragraph;z-index:15811072" from="49.178001pt,-57.105129pt" to="44.178001pt,-57.105129pt" stroked="true" strokeweight=".5pt" strokecolor="#000000">
            <v:stroke dashstyle="solid"/>
            <w10:wrap type="none"/>
          </v:line>
        </w:pict>
      </w:r>
      <w:r>
        <w:rPr>
          <w:sz w:val="12"/>
        </w:rPr>
        <w:t>1998</w:t>
      </w:r>
    </w:p>
    <w:p>
      <w:pPr>
        <w:tabs>
          <w:tab w:pos="1584" w:val="left" w:leader="none"/>
          <w:tab w:pos="2424" w:val="left" w:leader="none"/>
        </w:tabs>
        <w:spacing w:line="121" w:lineRule="exact" w:before="0"/>
        <w:ind w:left="624" w:right="0" w:firstLine="0"/>
        <w:jc w:val="left"/>
        <w:rPr>
          <w:sz w:val="12"/>
        </w:rPr>
      </w:pPr>
      <w:r>
        <w:rPr/>
        <w:br w:type="column"/>
      </w:r>
      <w:r>
        <w:rPr>
          <w:sz w:val="12"/>
        </w:rPr>
        <w:t>99</w:t>
        <w:tab/>
        <w:t>2000</w:t>
        <w:tab/>
        <w:t>01</w:t>
      </w:r>
    </w:p>
    <w:p>
      <w:pPr>
        <w:pStyle w:val="Heading4"/>
        <w:spacing w:line="173" w:lineRule="exact" w:before="8"/>
        <w:ind w:left="624"/>
      </w:pPr>
      <w:r>
        <w:rPr/>
        <w:br w:type="column"/>
      </w:r>
      <w:r>
        <w:rPr>
          <w:color w:val="231F20"/>
        </w:rPr>
        <w:t>rate curve during the past year. Implied forward rates</w:t>
      </w:r>
    </w:p>
    <w:p>
      <w:pPr>
        <w:spacing w:after="0" w:line="173" w:lineRule="exact"/>
        <w:sectPr>
          <w:type w:val="continuous"/>
          <w:pgSz w:w="11900" w:h="16840"/>
          <w:pgMar w:top="1220" w:bottom="280" w:left="620" w:right="640"/>
          <w:cols w:num="3" w:equalWidth="0">
            <w:col w:w="905" w:space="195"/>
            <w:col w:w="2585" w:space="665"/>
            <w:col w:w="6290"/>
          </w:cols>
        </w:sectPr>
      </w:pPr>
    </w:p>
    <w:p>
      <w:pPr>
        <w:spacing w:line="133" w:lineRule="exact" w:before="0"/>
        <w:ind w:left="204" w:right="0" w:firstLine="0"/>
        <w:jc w:val="left"/>
        <w:rPr>
          <w:sz w:val="12"/>
        </w:rPr>
      </w:pPr>
      <w:r>
        <w:rPr>
          <w:color w:val="231F20"/>
          <w:sz w:val="12"/>
        </w:rPr>
        <w:t>Sources: LIFFE and Bloomberg.</w:t>
      </w:r>
    </w:p>
    <w:p>
      <w:pPr>
        <w:spacing w:before="102"/>
        <w:ind w:left="204" w:right="0" w:firstLine="0"/>
        <w:jc w:val="left"/>
        <w:rPr>
          <w:sz w:val="12"/>
        </w:rPr>
      </w:pPr>
      <w:r>
        <w:rPr>
          <w:color w:val="231F20"/>
          <w:sz w:val="12"/>
        </w:rPr>
        <w:t>(a) Based on a combination of interest rate futures contracts.</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5"/>
        </w:rPr>
      </w:pPr>
    </w:p>
    <w:p>
      <w:pPr>
        <w:pStyle w:val="Heading8"/>
        <w:spacing w:before="1"/>
        <w:ind w:left="194"/>
      </w:pPr>
      <w:r>
        <w:rPr>
          <w:color w:val="0093C1"/>
        </w:rPr>
        <w:t>Chart 1.11</w:t>
      </w:r>
    </w:p>
    <w:p>
      <w:pPr>
        <w:spacing w:line="249" w:lineRule="auto" w:before="10"/>
        <w:ind w:left="194" w:right="119" w:firstLine="0"/>
        <w:jc w:val="left"/>
        <w:rPr>
          <w:sz w:val="12"/>
        </w:rPr>
      </w:pPr>
      <w:r>
        <w:rPr>
          <w:b/>
          <w:color w:val="0093C1"/>
          <w:sz w:val="20"/>
        </w:rPr>
        <w:t>UK implied forward nominal interest rate curves</w:t>
      </w:r>
      <w:r>
        <w:rPr>
          <w:color w:val="231F20"/>
          <w:position w:val="4"/>
          <w:sz w:val="12"/>
        </w:rPr>
        <w:t>(a)</w:t>
      </w:r>
    </w:p>
    <w:p>
      <w:pPr>
        <w:spacing w:before="76"/>
        <w:ind w:left="3292" w:right="0" w:firstLine="0"/>
        <w:jc w:val="left"/>
        <w:rPr>
          <w:sz w:val="12"/>
        </w:rPr>
      </w:pPr>
      <w:r>
        <w:rPr/>
        <w:pict>
          <v:line style="position:absolute;mso-position-horizontal-relative:page;mso-position-vertical-relative:paragraph;z-index:15802880" from="47.200001pt,11.901349pt" to="42.200001pt,11.901349pt" stroked="true" strokeweight=".5pt" strokecolor="#000000">
            <v:stroke dashstyle="solid"/>
            <w10:wrap type="none"/>
          </v:line>
        </w:pict>
      </w:r>
      <w:r>
        <w:rPr>
          <w:sz w:val="12"/>
        </w:rPr>
        <w:t>Per c</w:t>
      </w:r>
      <w:r>
        <w:rPr>
          <w:sz w:val="12"/>
          <w:u w:val="single"/>
        </w:rPr>
        <w:t>en</w:t>
      </w:r>
      <w:r>
        <w:rPr>
          <w:sz w:val="12"/>
        </w:rPr>
        <w:t>t</w:t>
      </w:r>
      <w:r>
        <w:rPr>
          <w:spacing w:val="13"/>
          <w:sz w:val="12"/>
        </w:rPr>
        <w:t> </w:t>
      </w:r>
      <w:r>
        <w:rPr>
          <w:position w:val="-6"/>
          <w:sz w:val="12"/>
        </w:rPr>
        <w:t>8.0</w:t>
      </w:r>
    </w:p>
    <w:p>
      <w:pPr>
        <w:pStyle w:val="BodyText"/>
        <w:rPr>
          <w:sz w:val="20"/>
        </w:rPr>
      </w:pPr>
    </w:p>
    <w:p>
      <w:pPr>
        <w:spacing w:before="116"/>
        <w:ind w:left="3725" w:right="0" w:firstLine="0"/>
        <w:jc w:val="left"/>
        <w:rPr>
          <w:sz w:val="12"/>
        </w:rPr>
      </w:pPr>
      <w:r>
        <w:rPr/>
        <w:pict>
          <v:line style="position:absolute;mso-position-horizontal-relative:page;mso-position-vertical-relative:paragraph;z-index:15802368" from="47.200001pt,10.234571pt" to="42.200001pt,10.234571pt" stroked="true" strokeweight=".5pt" strokecolor="#000000">
            <v:stroke dashstyle="solid"/>
            <w10:wrap type="none"/>
          </v:line>
        </w:pict>
      </w:r>
      <w:r>
        <w:rPr/>
        <w:pict>
          <v:line style="position:absolute;mso-position-horizontal-relative:page;mso-position-vertical-relative:paragraph;z-index:15806976" from="214.199997pt,10.234571pt" to="209.199997pt,10.234571pt" stroked="true" strokeweight=".5pt" strokecolor="#000000">
            <v:stroke dashstyle="solid"/>
            <w10:wrap type="none"/>
          </v:line>
        </w:pict>
      </w:r>
      <w:r>
        <w:rPr>
          <w:sz w:val="12"/>
        </w:rPr>
        <w:t>7.5</w:t>
      </w:r>
    </w:p>
    <w:p>
      <w:pPr>
        <w:pStyle w:val="BodyText"/>
        <w:rPr>
          <w:sz w:val="12"/>
        </w:rPr>
      </w:pPr>
    </w:p>
    <w:p>
      <w:pPr>
        <w:pStyle w:val="BodyText"/>
        <w:spacing w:before="8"/>
        <w:rPr>
          <w:sz w:val="17"/>
        </w:rPr>
      </w:pPr>
    </w:p>
    <w:p>
      <w:pPr>
        <w:spacing w:before="0"/>
        <w:ind w:left="3725" w:right="0" w:firstLine="0"/>
        <w:jc w:val="left"/>
        <w:rPr>
          <w:sz w:val="12"/>
        </w:rPr>
      </w:pPr>
      <w:r>
        <w:rPr/>
        <w:pict>
          <v:line style="position:absolute;mso-position-horizontal-relative:page;mso-position-vertical-relative:paragraph;z-index:15801856" from="47.200001pt,4.43457pt" to="42.200001pt,4.43457pt" stroked="true" strokeweight=".5pt" strokecolor="#000000">
            <v:stroke dashstyle="solid"/>
            <w10:wrap type="none"/>
          </v:line>
        </w:pict>
      </w:r>
      <w:r>
        <w:rPr/>
        <w:pict>
          <v:shape style="position:absolute;margin-left:68.199997pt;margin-top:1.43457pt;width:136pt;height:12pt;mso-position-horizontal-relative:page;mso-position-vertical-relative:paragraph;z-index:15803392" coordorigin="1364,29" coordsize="2720,240" path="m1364,49l1524,49,1604,69,1684,69,1744,89,1904,129,1984,129,2044,149,2284,209,2344,209,2504,249,2644,249,2724,269,2804,269,2804,249,3184,249,3264,229,3324,229,3404,209,3484,209,3564,189,3624,169,3864,109,3944,69,4004,49,4084,29e" filled="false" stroked="true" strokeweight="1pt" strokecolor="#faab54">
            <v:path arrowok="t"/>
            <v:stroke dashstyle="solid"/>
            <w10:wrap type="none"/>
          </v:shape>
        </w:pict>
      </w:r>
      <w:r>
        <w:rPr/>
        <w:pict>
          <v:line style="position:absolute;mso-position-horizontal-relative:page;mso-position-vertical-relative:paragraph;z-index:15806464" from="214.199997pt,4.43457pt" to="209.199997pt,4.43457pt" stroked="true" strokeweight=".5pt" strokecolor="#000000">
            <v:stroke dashstyle="solid"/>
            <w10:wrap type="none"/>
          </v:line>
        </w:pict>
      </w:r>
      <w:r>
        <w:rPr>
          <w:sz w:val="12"/>
        </w:rPr>
        <w:t>7.0</w:t>
      </w:r>
    </w:p>
    <w:p>
      <w:pPr>
        <w:pStyle w:val="BodyText"/>
        <w:spacing w:before="1"/>
        <w:rPr>
          <w:sz w:val="14"/>
        </w:rPr>
      </w:pPr>
    </w:p>
    <w:p>
      <w:pPr>
        <w:spacing w:before="0"/>
        <w:ind w:left="1217" w:right="1582" w:firstLine="0"/>
        <w:jc w:val="center"/>
        <w:rPr>
          <w:sz w:val="12"/>
        </w:rPr>
      </w:pPr>
      <w:r>
        <w:rPr>
          <w:sz w:val="12"/>
        </w:rPr>
        <w:t>1 August 1997</w:t>
      </w:r>
    </w:p>
    <w:p>
      <w:pPr>
        <w:spacing w:before="42"/>
        <w:ind w:left="3725" w:right="0" w:firstLine="0"/>
        <w:jc w:val="left"/>
        <w:rPr>
          <w:sz w:val="12"/>
        </w:rPr>
      </w:pPr>
      <w:r>
        <w:rPr/>
        <w:pict>
          <v:line style="position:absolute;mso-position-horizontal-relative:page;mso-position-vertical-relative:paragraph;z-index:15801344" from="47.200001pt,6.53457pt" to="42.200001pt,6.53457pt" stroked="true" strokeweight=".5pt" strokecolor="#000000">
            <v:stroke dashstyle="solid"/>
            <w10:wrap type="none"/>
          </v:line>
        </w:pict>
      </w:r>
      <w:r>
        <w:rPr/>
        <w:pict>
          <v:line style="position:absolute;mso-position-horizontal-relative:page;mso-position-vertical-relative:paragraph;z-index:15805952" from="214.199997pt,6.53457pt" to="209.199997pt,6.53457pt" stroked="true" strokeweight=".5pt" strokecolor="#000000">
            <v:stroke dashstyle="solid"/>
            <w10:wrap type="none"/>
          </v:line>
        </w:pict>
      </w:r>
      <w:r>
        <w:rPr>
          <w:sz w:val="12"/>
        </w:rPr>
        <w:t>6.5</w:t>
      </w:r>
    </w:p>
    <w:p>
      <w:pPr>
        <w:pStyle w:val="BodyText"/>
        <w:rPr>
          <w:sz w:val="12"/>
        </w:rPr>
      </w:pPr>
    </w:p>
    <w:p>
      <w:pPr>
        <w:pStyle w:val="BodyText"/>
        <w:spacing w:before="8"/>
        <w:rPr>
          <w:sz w:val="17"/>
        </w:rPr>
      </w:pPr>
    </w:p>
    <w:p>
      <w:pPr>
        <w:spacing w:before="1"/>
        <w:ind w:left="3725" w:right="0" w:firstLine="0"/>
        <w:jc w:val="left"/>
        <w:rPr>
          <w:sz w:val="12"/>
        </w:rPr>
      </w:pPr>
      <w:r>
        <w:rPr/>
        <w:pict>
          <v:line style="position:absolute;mso-position-horizontal-relative:page;mso-position-vertical-relative:paragraph;z-index:15800832" from="47.200001pt,4.484571pt" to="42.200001pt,4.484571pt" stroked="true" strokeweight=".5pt" strokecolor="#000000">
            <v:stroke dashstyle="solid"/>
            <w10:wrap type="none"/>
          </v:line>
        </w:pict>
      </w:r>
      <w:r>
        <w:rPr/>
        <w:pict>
          <v:group style="position:absolute;margin-left:67.699997pt;margin-top:-4.015429pt;width:137pt;height:45pt;mso-position-horizontal-relative:page;mso-position-vertical-relative:paragraph;z-index:15804416" coordorigin="1354,-80" coordsize="2740,900">
            <v:shape style="position:absolute;left:1364;top:-71;width:2720;height:880" coordorigin="1364,-70" coordsize="2720,880" path="m1364,-70l1444,170,1524,350,1604,490,1684,610,1744,670,1824,730,1904,770,1984,790,2044,810,2204,810,2284,790,2344,770,2424,770,2584,730,2644,710,2804,670,2804,690,2964,650,3024,630,3104,610,3184,610,3264,590,3324,590,3404,570,3564,570,3624,550,4084,550e" filled="false" stroked="true" strokeweight="1pt" strokecolor="#ed1b2d">
              <v:path arrowok="t"/>
              <v:stroke dashstyle="solid"/>
            </v:shape>
            <v:shape style="position:absolute;left:1364;top:9;width:2720;height:580" coordorigin="1364,10" coordsize="2720,580" path="m1364,110l1444,250,1524,370,1604,450,1684,510,1744,550,1904,590,1984,590,2044,570,2124,570,2284,530,2344,510,2424,470,2504,450,2584,410,2644,390,2804,350,2884,310,2964,290,3024,270,3104,230,3264,190,3324,170,3564,110,3624,90,3704,90,3944,30,4004,10,4084,10e" filled="false" stroked="true" strokeweight="1pt" strokecolor="#0066a5">
              <v:path arrowok="t"/>
              <v:stroke dashstyle="solid"/>
            </v:shape>
            <v:shape style="position:absolute;left:2377;top:146;width:600;height:133" type="#_x0000_t202" filled="false" stroked="false">
              <v:textbox inset="0,0,0,0">
                <w:txbxContent>
                  <w:p>
                    <w:pPr>
                      <w:spacing w:line="133" w:lineRule="exact" w:before="0"/>
                      <w:ind w:left="0" w:right="0" w:firstLine="0"/>
                      <w:jc w:val="left"/>
                      <w:rPr>
                        <w:sz w:val="12"/>
                      </w:rPr>
                    </w:pPr>
                    <w:r>
                      <w:rPr>
                        <w:sz w:val="12"/>
                      </w:rPr>
                      <w:t>6 May 1998</w:t>
                    </w:r>
                  </w:p>
                </w:txbxContent>
              </v:textbox>
              <w10:wrap type="none"/>
            </v:shape>
            <w10:wrap type="none"/>
          </v:group>
        </w:pict>
      </w:r>
      <w:r>
        <w:rPr/>
        <w:pict>
          <v:line style="position:absolute;mso-position-horizontal-relative:page;mso-position-vertical-relative:paragraph;z-index:15805440" from="214.199997pt,4.484571pt" to="209.199997pt,4.484571pt" stroked="true" strokeweight=".5pt" strokecolor="#000000">
            <v:stroke dashstyle="solid"/>
            <w10:wrap type="none"/>
          </v:line>
        </w:pict>
      </w:r>
      <w:r>
        <w:rPr>
          <w:sz w:val="12"/>
        </w:rPr>
        <w:t>6.0</w:t>
      </w:r>
    </w:p>
    <w:p>
      <w:pPr>
        <w:pStyle w:val="BodyText"/>
        <w:rPr>
          <w:sz w:val="12"/>
        </w:rPr>
      </w:pPr>
    </w:p>
    <w:p>
      <w:pPr>
        <w:pStyle w:val="BodyText"/>
        <w:spacing w:before="8"/>
        <w:rPr>
          <w:sz w:val="17"/>
        </w:rPr>
      </w:pPr>
    </w:p>
    <w:p>
      <w:pPr>
        <w:spacing w:before="0"/>
        <w:ind w:left="3725" w:right="0" w:firstLine="0"/>
        <w:jc w:val="left"/>
        <w:rPr>
          <w:sz w:val="12"/>
        </w:rPr>
      </w:pPr>
      <w:r>
        <w:rPr/>
        <w:pict>
          <v:line style="position:absolute;mso-position-horizontal-relative:page;mso-position-vertical-relative:paragraph;z-index:15800320" from="47.200001pt,4.43457pt" to="42.200001pt,4.43457pt" stroked="true" strokeweight=".5pt" strokecolor="#000000">
            <v:stroke dashstyle="solid"/>
            <w10:wrap type="none"/>
          </v:line>
        </w:pict>
      </w:r>
      <w:r>
        <w:rPr/>
        <w:pict>
          <v:line style="position:absolute;mso-position-horizontal-relative:page;mso-position-vertical-relative:paragraph;z-index:15804928" from="214.199997pt,4.43457pt" to="209.199997pt,4.43457pt" stroked="true" strokeweight=".5pt" strokecolor="#000000">
            <v:stroke dashstyle="solid"/>
            <w10:wrap type="none"/>
          </v:line>
        </w:pict>
      </w:r>
      <w:r>
        <w:rPr>
          <w:sz w:val="12"/>
        </w:rPr>
        <w:t>5.5</w:t>
      </w:r>
    </w:p>
    <w:p>
      <w:pPr>
        <w:pStyle w:val="BodyText"/>
        <w:spacing w:before="3"/>
        <w:rPr>
          <w:sz w:val="15"/>
        </w:rPr>
      </w:pPr>
    </w:p>
    <w:p>
      <w:pPr>
        <w:spacing w:line="79" w:lineRule="exact" w:before="0"/>
        <w:ind w:left="1402" w:right="1397" w:firstLine="0"/>
        <w:jc w:val="center"/>
        <w:rPr>
          <w:sz w:val="12"/>
        </w:rPr>
      </w:pPr>
      <w:r>
        <w:rPr>
          <w:sz w:val="12"/>
        </w:rPr>
        <w:t>5 August 1998</w:t>
      </w:r>
    </w:p>
    <w:p>
      <w:pPr>
        <w:pStyle w:val="Heading4"/>
        <w:spacing w:line="242" w:lineRule="auto" w:before="107"/>
        <w:ind w:left="193"/>
      </w:pPr>
      <w:r>
        <w:rPr/>
        <w:br w:type="column"/>
      </w:r>
      <w:r>
        <w:rPr>
          <w:color w:val="231F20"/>
        </w:rPr>
        <w:t>have fallen at both short and long maturities relative to August last year, reflecting lower expected short-term rates.</w:t>
      </w:r>
    </w:p>
    <w:p>
      <w:pPr>
        <w:pStyle w:val="BodyText"/>
        <w:spacing w:before="5"/>
        <w:rPr>
          <w:sz w:val="26"/>
        </w:rPr>
      </w:pPr>
    </w:p>
    <w:p>
      <w:pPr>
        <w:spacing w:line="242" w:lineRule="auto" w:before="0"/>
        <w:ind w:left="193" w:right="213" w:firstLine="0"/>
        <w:jc w:val="left"/>
        <w:rPr>
          <w:sz w:val="24"/>
        </w:rPr>
      </w:pPr>
      <w:r>
        <w:rPr>
          <w:color w:val="231F20"/>
          <w:sz w:val="24"/>
        </w:rPr>
        <w:t>Movements in nominal interest rates primarily reflect changes in expected real interest rates and/or changing inflation expectations. Measures of UK real long-term interest rates derived from index-linked gilt markets </w:t>
      </w:r>
      <w:r>
        <w:rPr>
          <w:color w:val="231F20"/>
          <w:spacing w:val="-3"/>
          <w:sz w:val="24"/>
        </w:rPr>
        <w:t>have </w:t>
      </w:r>
      <w:r>
        <w:rPr>
          <w:color w:val="231F20"/>
          <w:sz w:val="24"/>
        </w:rPr>
        <w:t>fallen during the past 18 months (see </w:t>
      </w:r>
      <w:r>
        <w:rPr>
          <w:color w:val="231F20"/>
          <w:spacing w:val="-4"/>
          <w:sz w:val="24"/>
        </w:rPr>
        <w:t>Table </w:t>
      </w:r>
      <w:r>
        <w:rPr>
          <w:color w:val="231F20"/>
          <w:sz w:val="24"/>
        </w:rPr>
        <w:t>1.E). Real long-term interest rates in Canada and Australia </w:t>
      </w:r>
      <w:r>
        <w:rPr>
          <w:color w:val="231F20"/>
          <w:spacing w:val="-3"/>
          <w:sz w:val="24"/>
        </w:rPr>
        <w:t>have </w:t>
      </w:r>
      <w:r>
        <w:rPr>
          <w:color w:val="231F20"/>
          <w:sz w:val="24"/>
        </w:rPr>
        <w:t>also declined during this period, suggesting that </w:t>
      </w:r>
      <w:r>
        <w:rPr>
          <w:color w:val="231F20"/>
          <w:spacing w:val="-6"/>
          <w:sz w:val="24"/>
        </w:rPr>
        <w:t>the </w:t>
      </w:r>
      <w:r>
        <w:rPr>
          <w:color w:val="231F20"/>
          <w:sz w:val="24"/>
        </w:rPr>
        <w:t>fall in real interest rates may reflect higher national saving rates arising partly from lower prospective fiscal deficits in the industrial economies as a</w:t>
      </w:r>
      <w:r>
        <w:rPr>
          <w:color w:val="231F20"/>
          <w:spacing w:val="-2"/>
          <w:sz w:val="24"/>
        </w:rPr>
        <w:t> </w:t>
      </w:r>
      <w:r>
        <w:rPr>
          <w:color w:val="231F20"/>
          <w:sz w:val="24"/>
        </w:rPr>
        <w:t>whole.</w:t>
      </w:r>
    </w:p>
    <w:p>
      <w:pPr>
        <w:spacing w:line="242" w:lineRule="auto" w:before="13"/>
        <w:ind w:left="193" w:right="208" w:firstLine="0"/>
        <w:jc w:val="left"/>
        <w:rPr>
          <w:sz w:val="24"/>
        </w:rPr>
      </w:pPr>
      <w:r>
        <w:rPr>
          <w:color w:val="231F20"/>
          <w:sz w:val="24"/>
        </w:rPr>
        <w:t>Index-linked yields appear to have changed little in the United States, but the relatively recent introduction of US index-linked bonds means that their yields may not</w:t>
      </w:r>
    </w:p>
    <w:p>
      <w:pPr>
        <w:spacing w:after="0" w:line="242" w:lineRule="auto"/>
        <w:jc w:val="left"/>
        <w:rPr>
          <w:sz w:val="24"/>
        </w:rPr>
        <w:sectPr>
          <w:type w:val="continuous"/>
          <w:pgSz w:w="11900" w:h="16840"/>
          <w:pgMar w:top="1220" w:bottom="280" w:left="620" w:right="640"/>
          <w:cols w:num="2" w:equalWidth="0">
            <w:col w:w="3916" w:space="864"/>
            <w:col w:w="5860"/>
          </w:cols>
        </w:sectPr>
      </w:pPr>
    </w:p>
    <w:p>
      <w:pPr>
        <w:pStyle w:val="BodyText"/>
        <w:rPr>
          <w:sz w:val="12"/>
        </w:rPr>
      </w:pPr>
    </w:p>
    <w:p>
      <w:pPr>
        <w:pStyle w:val="BodyText"/>
        <w:rPr>
          <w:sz w:val="17"/>
        </w:rPr>
      </w:pPr>
    </w:p>
    <w:p>
      <w:pPr>
        <w:tabs>
          <w:tab w:pos="1190" w:val="left" w:leader="none"/>
          <w:tab w:pos="1880" w:val="left" w:leader="none"/>
          <w:tab w:pos="2640" w:val="left" w:leader="none"/>
          <w:tab w:pos="3380" w:val="left" w:leader="none"/>
        </w:tabs>
        <w:spacing w:before="0"/>
        <w:ind w:left="430" w:right="0" w:firstLine="0"/>
        <w:jc w:val="center"/>
        <w:rPr>
          <w:sz w:val="12"/>
        </w:rPr>
      </w:pPr>
      <w:r>
        <w:rPr>
          <w:sz w:val="12"/>
        </w:rPr>
        <w:t>0</w:t>
        <w:tab/>
        <w:t>5</w:t>
        <w:tab/>
        <w:t>10</w:t>
        <w:tab/>
        <w:t>15</w:t>
        <w:tab/>
      </w:r>
      <w:r>
        <w:rPr>
          <w:spacing w:val="-10"/>
          <w:sz w:val="12"/>
        </w:rPr>
        <w:t>20</w:t>
      </w:r>
    </w:p>
    <w:p>
      <w:pPr>
        <w:spacing w:before="29"/>
        <w:ind w:left="473" w:right="0" w:firstLine="0"/>
        <w:jc w:val="center"/>
        <w:rPr>
          <w:sz w:val="12"/>
        </w:rPr>
      </w:pPr>
      <w:r>
        <w:rPr>
          <w:sz w:val="12"/>
        </w:rPr>
        <w:t>Years to maturity</w:t>
      </w:r>
    </w:p>
    <w:p>
      <w:pPr>
        <w:spacing w:before="87"/>
        <w:ind w:left="185" w:right="0" w:firstLine="0"/>
        <w:jc w:val="left"/>
        <w:rPr>
          <w:sz w:val="12"/>
        </w:rPr>
      </w:pPr>
      <w:r>
        <w:rPr/>
        <w:br w:type="column"/>
      </w:r>
      <w:r>
        <w:rPr>
          <w:sz w:val="12"/>
        </w:rPr>
        <w:t>5.0</w:t>
      </w:r>
    </w:p>
    <w:p>
      <w:pPr>
        <w:spacing w:before="2"/>
        <w:ind w:left="185" w:right="0" w:firstLine="0"/>
        <w:jc w:val="left"/>
        <w:rPr>
          <w:sz w:val="12"/>
        </w:rPr>
      </w:pPr>
      <w:r>
        <w:rPr/>
        <w:pict>
          <v:group style="position:absolute;margin-left:42.200001pt;margin-top:-2.71543pt;width:173.85pt;height:7.5pt;mso-position-horizontal-relative:page;mso-position-vertical-relative:paragraph;z-index:15799808" coordorigin="844,-54" coordsize="3477,150">
            <v:shape style="position:absolute;left:844;top:-50;width:3440;height:140" coordorigin="844,-49" coordsize="3440,140" path="m3324,91l3324,-9m2584,91l2584,-9m1824,91l1824,-9m1064,91l1064,-9m1224,91l1224,27m1224,91l1224,27m1384,91l1384,27m1384,91l1384,27m1524,91l1524,27m1524,91l1524,27m1684,91l1684,27m1684,91l1684,27m1984,91l1984,27m1984,91l1984,27m2124,91l2124,27m2124,91l2124,27m2284,91l2284,27m2284,91l2284,27m2424,91l2424,27m2424,91l2424,27m2724,91l2724,27m2724,91l2724,27m2884,91l2884,27m2884,91l2884,27m3024,91l3024,27m3024,91l3024,27m3184,91l3184,27m3184,91l3184,27m3484,91l3484,27m3484,91l3484,27m3624,91l3624,27m3624,91l3624,27m3784,91l3784,27m3784,91l3784,27m3924,91l3924,51m3924,91l3924,27m4084,91l4084,51m4084,91l4084,-9m844,91l4284,91m4284,-49l4184,-49e" filled="false" stroked="true" strokeweight=".5pt" strokecolor="#000000">
              <v:path arrowok="t"/>
              <v:stroke dashstyle="solid"/>
            </v:shape>
            <v:shape style="position:absolute;left:4275;top:-36;width:40;height:127" coordorigin="4275,-36" coordsize="40,127" path="m4295,-36l4295,-9,4275,7,4315,21,4275,41,4315,57,4292,67,4291,91e" filled="false" stroked="true" strokeweight=".5pt" strokecolor="#000000">
              <v:path arrowok="t"/>
              <v:stroke dashstyle="solid"/>
            </v:shape>
            <v:line style="position:absolute" from="944,-49" to="844,-49" stroked="true" strokeweight=".5pt" strokecolor="#000000">
              <v:stroke dashstyle="solid"/>
            </v:line>
            <v:shape style="position:absolute;left:934;top:-36;width:40;height:127" coordorigin="934,-36" coordsize="40,127" path="m954,-36l954,-9,934,7,974,21,934,41,974,57,951,67,950,91e" filled="false" stroked="true" strokeweight=".5pt" strokecolor="#000000">
              <v:path arrowok="t"/>
              <v:stroke dashstyle="solid"/>
            </v:shape>
            <w10:wrap type="none"/>
          </v:group>
        </w:pict>
      </w:r>
      <w:r>
        <w:rPr>
          <w:sz w:val="12"/>
        </w:rPr>
        <w:t>0.0</w:t>
      </w:r>
    </w:p>
    <w:p>
      <w:pPr>
        <w:pStyle w:val="Heading4"/>
        <w:spacing w:line="242" w:lineRule="auto"/>
        <w:ind w:left="430" w:right="48"/>
      </w:pPr>
      <w:r>
        <w:rPr/>
        <w:br w:type="column"/>
      </w:r>
      <w:r>
        <w:rPr>
          <w:color w:val="231F20"/>
        </w:rPr>
        <w:t>yet be a reliable guide to prevailing real interest rates in the United States.</w:t>
      </w:r>
    </w:p>
    <w:p>
      <w:pPr>
        <w:spacing w:after="0" w:line="242" w:lineRule="auto"/>
        <w:sectPr>
          <w:type w:val="continuous"/>
          <w:pgSz w:w="11900" w:h="16840"/>
          <w:pgMar w:top="1220" w:bottom="280" w:left="620" w:right="640"/>
          <w:cols w:num="3" w:equalWidth="0">
            <w:col w:w="3501" w:space="40"/>
            <w:col w:w="376" w:space="627"/>
            <w:col w:w="6096"/>
          </w:cols>
        </w:sectPr>
      </w:pPr>
    </w:p>
    <w:p>
      <w:pPr>
        <w:spacing w:before="29"/>
        <w:ind w:left="194" w:right="0" w:firstLine="0"/>
        <w:jc w:val="left"/>
        <w:rPr>
          <w:sz w:val="12"/>
        </w:rPr>
      </w:pPr>
      <w:r>
        <w:rPr>
          <w:color w:val="231F20"/>
          <w:sz w:val="12"/>
        </w:rPr>
        <w:t>Source: Bank of England.</w:t>
      </w:r>
    </w:p>
    <w:p>
      <w:pPr>
        <w:spacing w:before="102"/>
        <w:ind w:left="194" w:right="0" w:firstLine="0"/>
        <w:jc w:val="left"/>
        <w:rPr>
          <w:sz w:val="12"/>
        </w:rPr>
      </w:pPr>
      <w:r>
        <w:rPr>
          <w:color w:val="231F20"/>
          <w:sz w:val="12"/>
        </w:rPr>
        <w:t>(a) Estimated from the prices of conventional gilts.</w:t>
      </w:r>
    </w:p>
    <w:p>
      <w:pPr>
        <w:pStyle w:val="BodyText"/>
        <w:rPr>
          <w:sz w:val="12"/>
        </w:rPr>
      </w:pPr>
    </w:p>
    <w:p>
      <w:pPr>
        <w:pStyle w:val="BodyText"/>
        <w:rPr>
          <w:sz w:val="12"/>
        </w:rPr>
      </w:pPr>
    </w:p>
    <w:p>
      <w:pPr>
        <w:pStyle w:val="BodyText"/>
        <w:rPr>
          <w:sz w:val="12"/>
        </w:rPr>
      </w:pPr>
    </w:p>
    <w:p>
      <w:pPr>
        <w:pStyle w:val="BodyText"/>
        <w:rPr>
          <w:sz w:val="12"/>
        </w:rPr>
      </w:pPr>
    </w:p>
    <w:p>
      <w:pPr>
        <w:pStyle w:val="Heading8"/>
        <w:spacing w:before="82"/>
        <w:ind w:left="204"/>
      </w:pPr>
      <w:r>
        <w:rPr>
          <w:color w:val="0093C1"/>
        </w:rPr>
        <w:t>Table 1.E</w:t>
      </w:r>
    </w:p>
    <w:p>
      <w:pPr>
        <w:spacing w:before="10"/>
        <w:ind w:left="204" w:right="0" w:firstLine="0"/>
        <w:jc w:val="left"/>
        <w:rPr>
          <w:sz w:val="12"/>
        </w:rPr>
      </w:pPr>
      <w:r>
        <w:rPr>
          <w:b/>
          <w:color w:val="0093C1"/>
          <w:sz w:val="20"/>
        </w:rPr>
        <w:t>International real long-term interest rates</w:t>
      </w:r>
      <w:r>
        <w:rPr>
          <w:color w:val="231F20"/>
          <w:position w:val="4"/>
          <w:sz w:val="12"/>
        </w:rPr>
        <w:t>(a)</w:t>
      </w:r>
    </w:p>
    <w:p>
      <w:pPr>
        <w:spacing w:before="106"/>
        <w:ind w:left="204" w:right="0" w:firstLine="0"/>
        <w:jc w:val="left"/>
        <w:rPr>
          <w:sz w:val="14"/>
        </w:rPr>
      </w:pPr>
      <w:r>
        <w:rPr>
          <w:color w:val="231F20"/>
          <w:sz w:val="14"/>
        </w:rPr>
        <w:t>Per cent</w:t>
      </w:r>
    </w:p>
    <w:p>
      <w:pPr>
        <w:pStyle w:val="BodyText"/>
        <w:spacing w:before="9" w:after="1"/>
        <w:rPr>
          <w:sz w:val="10"/>
        </w:rPr>
      </w:pPr>
    </w:p>
    <w:tbl>
      <w:tblPr>
        <w:tblW w:w="0" w:type="auto"/>
        <w:jc w:val="left"/>
        <w:tblInd w:w="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22"/>
        <w:gridCol w:w="925"/>
        <w:gridCol w:w="900"/>
        <w:gridCol w:w="848"/>
      </w:tblGrid>
      <w:tr>
        <w:trPr>
          <w:trHeight w:val="357" w:hRule="atLeast"/>
        </w:trPr>
        <w:tc>
          <w:tcPr>
            <w:tcW w:w="1122" w:type="dxa"/>
          </w:tcPr>
          <w:p>
            <w:pPr>
              <w:pStyle w:val="TableParagraph"/>
              <w:rPr>
                <w:sz w:val="20"/>
              </w:rPr>
            </w:pPr>
          </w:p>
        </w:tc>
        <w:tc>
          <w:tcPr>
            <w:tcW w:w="925" w:type="dxa"/>
          </w:tcPr>
          <w:p>
            <w:pPr>
              <w:pStyle w:val="TableParagraph"/>
              <w:spacing w:line="208" w:lineRule="auto" w:before="11"/>
              <w:ind w:left="127" w:right="105"/>
              <w:rPr>
                <w:sz w:val="14"/>
              </w:rPr>
            </w:pPr>
            <w:r>
              <w:rPr>
                <w:color w:val="231F20"/>
                <w:sz w:val="14"/>
              </w:rPr>
              <w:t>Average for </w:t>
            </w:r>
            <w:r>
              <w:rPr>
                <w:color w:val="231F20"/>
                <w:sz w:val="14"/>
                <w:u w:val="single" w:color="231F20"/>
              </w:rPr>
              <w:t>Jan. 1997 </w:t>
            </w:r>
          </w:p>
        </w:tc>
        <w:tc>
          <w:tcPr>
            <w:tcW w:w="900" w:type="dxa"/>
          </w:tcPr>
          <w:p>
            <w:pPr>
              <w:pStyle w:val="TableParagraph"/>
              <w:spacing w:line="208" w:lineRule="auto" w:before="11"/>
              <w:ind w:left="112"/>
              <w:rPr>
                <w:sz w:val="14"/>
              </w:rPr>
            </w:pPr>
            <w:r>
              <w:rPr>
                <w:color w:val="231F20"/>
                <w:sz w:val="14"/>
              </w:rPr>
              <w:t>Average for </w:t>
            </w:r>
            <w:r>
              <w:rPr>
                <w:color w:val="231F20"/>
                <w:sz w:val="14"/>
                <w:u w:val="single" w:color="231F20"/>
              </w:rPr>
              <w:t>Jan. 1998 </w:t>
            </w:r>
          </w:p>
        </w:tc>
        <w:tc>
          <w:tcPr>
            <w:tcW w:w="848" w:type="dxa"/>
          </w:tcPr>
          <w:p>
            <w:pPr>
              <w:pStyle w:val="TableParagraph"/>
              <w:spacing w:line="208" w:lineRule="auto" w:before="11"/>
              <w:ind w:left="82"/>
              <w:rPr>
                <w:sz w:val="14"/>
              </w:rPr>
            </w:pPr>
            <w:r>
              <w:rPr>
                <w:color w:val="231F20"/>
                <w:sz w:val="14"/>
              </w:rPr>
              <w:t>Average for </w:t>
            </w:r>
            <w:r>
              <w:rPr>
                <w:color w:val="231F20"/>
                <w:sz w:val="14"/>
                <w:u w:val="single" w:color="231F20"/>
              </w:rPr>
              <w:t>July 1998 </w:t>
            </w:r>
          </w:p>
        </w:tc>
      </w:tr>
      <w:tr>
        <w:trPr>
          <w:trHeight w:val="210" w:hRule="atLeast"/>
        </w:trPr>
        <w:tc>
          <w:tcPr>
            <w:tcW w:w="1122" w:type="dxa"/>
          </w:tcPr>
          <w:p>
            <w:pPr>
              <w:pStyle w:val="TableParagraph"/>
              <w:spacing w:line="133" w:lineRule="exact" w:before="56"/>
              <w:ind w:left="50"/>
              <w:rPr>
                <w:sz w:val="14"/>
              </w:rPr>
            </w:pPr>
            <w:r>
              <w:rPr>
                <w:color w:val="231F20"/>
                <w:sz w:val="14"/>
              </w:rPr>
              <w:t>United Kingdom</w:t>
            </w:r>
          </w:p>
        </w:tc>
        <w:tc>
          <w:tcPr>
            <w:tcW w:w="925" w:type="dxa"/>
          </w:tcPr>
          <w:p>
            <w:pPr>
              <w:pStyle w:val="TableParagraph"/>
              <w:spacing w:line="133" w:lineRule="exact" w:before="56"/>
              <w:ind w:left="298"/>
              <w:rPr>
                <w:sz w:val="14"/>
              </w:rPr>
            </w:pPr>
            <w:r>
              <w:rPr>
                <w:color w:val="231F20"/>
                <w:sz w:val="14"/>
              </w:rPr>
              <w:t>3.6</w:t>
            </w:r>
          </w:p>
        </w:tc>
        <w:tc>
          <w:tcPr>
            <w:tcW w:w="900" w:type="dxa"/>
          </w:tcPr>
          <w:p>
            <w:pPr>
              <w:pStyle w:val="TableParagraph"/>
              <w:spacing w:line="133" w:lineRule="exact" w:before="56"/>
              <w:ind w:left="342" w:right="341"/>
              <w:jc w:val="center"/>
              <w:rPr>
                <w:sz w:val="14"/>
              </w:rPr>
            </w:pPr>
            <w:r>
              <w:rPr>
                <w:color w:val="231F20"/>
                <w:sz w:val="14"/>
              </w:rPr>
              <w:t>3.1</w:t>
            </w:r>
          </w:p>
        </w:tc>
        <w:tc>
          <w:tcPr>
            <w:tcW w:w="848" w:type="dxa"/>
          </w:tcPr>
          <w:p>
            <w:pPr>
              <w:pStyle w:val="TableParagraph"/>
              <w:spacing w:line="133" w:lineRule="exact" w:before="56"/>
              <w:ind w:left="312"/>
              <w:rPr>
                <w:sz w:val="14"/>
              </w:rPr>
            </w:pPr>
            <w:r>
              <w:rPr>
                <w:color w:val="231F20"/>
                <w:sz w:val="14"/>
              </w:rPr>
              <w:t>2.8</w:t>
            </w:r>
          </w:p>
        </w:tc>
      </w:tr>
      <w:tr>
        <w:trPr>
          <w:trHeight w:val="140" w:hRule="atLeast"/>
        </w:trPr>
        <w:tc>
          <w:tcPr>
            <w:tcW w:w="1122" w:type="dxa"/>
          </w:tcPr>
          <w:p>
            <w:pPr>
              <w:pStyle w:val="TableParagraph"/>
              <w:spacing w:line="120" w:lineRule="exact"/>
              <w:ind w:left="50"/>
              <w:rPr>
                <w:sz w:val="14"/>
              </w:rPr>
            </w:pPr>
            <w:r>
              <w:rPr>
                <w:color w:val="231F20"/>
                <w:sz w:val="14"/>
              </w:rPr>
              <w:t>United States</w:t>
            </w:r>
          </w:p>
        </w:tc>
        <w:tc>
          <w:tcPr>
            <w:tcW w:w="925" w:type="dxa"/>
          </w:tcPr>
          <w:p>
            <w:pPr>
              <w:pStyle w:val="TableParagraph"/>
              <w:spacing w:line="120" w:lineRule="exact"/>
              <w:ind w:left="281"/>
              <w:rPr>
                <w:sz w:val="12"/>
              </w:rPr>
            </w:pPr>
            <w:r>
              <w:rPr>
                <w:color w:val="231F20"/>
                <w:sz w:val="14"/>
              </w:rPr>
              <w:t>n.a. </w:t>
            </w:r>
            <w:r>
              <w:rPr>
                <w:color w:val="231F20"/>
                <w:sz w:val="12"/>
              </w:rPr>
              <w:t>(b)</w:t>
            </w:r>
          </w:p>
        </w:tc>
        <w:tc>
          <w:tcPr>
            <w:tcW w:w="900" w:type="dxa"/>
          </w:tcPr>
          <w:p>
            <w:pPr>
              <w:pStyle w:val="TableParagraph"/>
              <w:spacing w:line="120" w:lineRule="exact"/>
              <w:ind w:left="342" w:right="341"/>
              <w:jc w:val="center"/>
              <w:rPr>
                <w:sz w:val="14"/>
              </w:rPr>
            </w:pPr>
            <w:r>
              <w:rPr>
                <w:color w:val="231F20"/>
                <w:sz w:val="14"/>
              </w:rPr>
              <w:t>3.7</w:t>
            </w:r>
          </w:p>
        </w:tc>
        <w:tc>
          <w:tcPr>
            <w:tcW w:w="848" w:type="dxa"/>
          </w:tcPr>
          <w:p>
            <w:pPr>
              <w:pStyle w:val="TableParagraph"/>
              <w:spacing w:line="120" w:lineRule="exact"/>
              <w:ind w:left="312"/>
              <w:rPr>
                <w:sz w:val="14"/>
              </w:rPr>
            </w:pPr>
            <w:r>
              <w:rPr>
                <w:color w:val="231F20"/>
                <w:sz w:val="14"/>
              </w:rPr>
              <w:t>3.8</w:t>
            </w:r>
          </w:p>
        </w:tc>
      </w:tr>
      <w:tr>
        <w:trPr>
          <w:trHeight w:val="140" w:hRule="atLeast"/>
        </w:trPr>
        <w:tc>
          <w:tcPr>
            <w:tcW w:w="1122" w:type="dxa"/>
          </w:tcPr>
          <w:p>
            <w:pPr>
              <w:pStyle w:val="TableParagraph"/>
              <w:spacing w:line="120" w:lineRule="exact"/>
              <w:ind w:left="50"/>
              <w:rPr>
                <w:sz w:val="14"/>
              </w:rPr>
            </w:pPr>
            <w:r>
              <w:rPr>
                <w:color w:val="231F20"/>
                <w:sz w:val="14"/>
              </w:rPr>
              <w:t>Australia</w:t>
            </w:r>
          </w:p>
        </w:tc>
        <w:tc>
          <w:tcPr>
            <w:tcW w:w="925" w:type="dxa"/>
          </w:tcPr>
          <w:p>
            <w:pPr>
              <w:pStyle w:val="TableParagraph"/>
              <w:spacing w:line="120" w:lineRule="exact"/>
              <w:ind w:left="298"/>
              <w:rPr>
                <w:sz w:val="14"/>
              </w:rPr>
            </w:pPr>
            <w:r>
              <w:rPr>
                <w:color w:val="231F20"/>
                <w:sz w:val="14"/>
              </w:rPr>
              <w:t>4.3</w:t>
            </w:r>
          </w:p>
        </w:tc>
        <w:tc>
          <w:tcPr>
            <w:tcW w:w="900" w:type="dxa"/>
          </w:tcPr>
          <w:p>
            <w:pPr>
              <w:pStyle w:val="TableParagraph"/>
              <w:spacing w:line="120" w:lineRule="exact"/>
              <w:ind w:left="342" w:right="341"/>
              <w:jc w:val="center"/>
              <w:rPr>
                <w:sz w:val="14"/>
              </w:rPr>
            </w:pPr>
            <w:r>
              <w:rPr>
                <w:color w:val="231F20"/>
                <w:sz w:val="14"/>
              </w:rPr>
              <w:t>4.0</w:t>
            </w:r>
          </w:p>
        </w:tc>
        <w:tc>
          <w:tcPr>
            <w:tcW w:w="848" w:type="dxa"/>
          </w:tcPr>
          <w:p>
            <w:pPr>
              <w:pStyle w:val="TableParagraph"/>
              <w:spacing w:line="120" w:lineRule="exact"/>
              <w:ind w:left="312"/>
              <w:rPr>
                <w:sz w:val="14"/>
              </w:rPr>
            </w:pPr>
            <w:r>
              <w:rPr>
                <w:color w:val="231F20"/>
                <w:sz w:val="14"/>
              </w:rPr>
              <w:t>3.4</w:t>
            </w:r>
          </w:p>
        </w:tc>
      </w:tr>
      <w:tr>
        <w:trPr>
          <w:trHeight w:val="147" w:hRule="atLeast"/>
        </w:trPr>
        <w:tc>
          <w:tcPr>
            <w:tcW w:w="1122" w:type="dxa"/>
          </w:tcPr>
          <w:p>
            <w:pPr>
              <w:pStyle w:val="TableParagraph"/>
              <w:spacing w:line="128" w:lineRule="exact"/>
              <w:ind w:left="50"/>
              <w:rPr>
                <w:sz w:val="14"/>
              </w:rPr>
            </w:pPr>
            <w:r>
              <w:rPr>
                <w:color w:val="231F20"/>
                <w:sz w:val="14"/>
              </w:rPr>
              <w:t>Canada</w:t>
            </w:r>
          </w:p>
        </w:tc>
        <w:tc>
          <w:tcPr>
            <w:tcW w:w="925" w:type="dxa"/>
          </w:tcPr>
          <w:p>
            <w:pPr>
              <w:pStyle w:val="TableParagraph"/>
              <w:spacing w:line="128" w:lineRule="exact"/>
              <w:ind w:left="297"/>
              <w:rPr>
                <w:sz w:val="14"/>
              </w:rPr>
            </w:pPr>
            <w:r>
              <w:rPr>
                <w:color w:val="231F20"/>
                <w:sz w:val="14"/>
              </w:rPr>
              <w:t>4.2</w:t>
            </w:r>
          </w:p>
        </w:tc>
        <w:tc>
          <w:tcPr>
            <w:tcW w:w="900" w:type="dxa"/>
          </w:tcPr>
          <w:p>
            <w:pPr>
              <w:pStyle w:val="TableParagraph"/>
              <w:spacing w:line="128" w:lineRule="exact"/>
              <w:ind w:left="342" w:right="342"/>
              <w:jc w:val="center"/>
              <w:rPr>
                <w:sz w:val="14"/>
              </w:rPr>
            </w:pPr>
            <w:r>
              <w:rPr>
                <w:color w:val="231F20"/>
                <w:sz w:val="14"/>
              </w:rPr>
              <w:t>4.1</w:t>
            </w:r>
          </w:p>
        </w:tc>
        <w:tc>
          <w:tcPr>
            <w:tcW w:w="848" w:type="dxa"/>
          </w:tcPr>
          <w:p>
            <w:pPr>
              <w:pStyle w:val="TableParagraph"/>
              <w:spacing w:line="128" w:lineRule="exact"/>
              <w:ind w:left="312"/>
              <w:rPr>
                <w:sz w:val="14"/>
              </w:rPr>
            </w:pPr>
            <w:r>
              <w:rPr>
                <w:color w:val="231F20"/>
                <w:sz w:val="14"/>
              </w:rPr>
              <w:t>3.9</w:t>
            </w:r>
          </w:p>
        </w:tc>
      </w:tr>
    </w:tbl>
    <w:p>
      <w:pPr>
        <w:spacing w:before="117"/>
        <w:ind w:left="204" w:right="0" w:firstLine="0"/>
        <w:jc w:val="left"/>
        <w:rPr>
          <w:sz w:val="12"/>
        </w:rPr>
      </w:pPr>
      <w:r>
        <w:rPr>
          <w:color w:val="231F20"/>
          <w:sz w:val="12"/>
        </w:rPr>
        <w:t>Source: Bank of England.</w:t>
      </w:r>
    </w:p>
    <w:p>
      <w:pPr>
        <w:pStyle w:val="ListParagraph"/>
        <w:numPr>
          <w:ilvl w:val="0"/>
          <w:numId w:val="10"/>
        </w:numPr>
        <w:tabs>
          <w:tab w:pos="445" w:val="left" w:leader="none"/>
        </w:tabs>
        <w:spacing w:line="129" w:lineRule="exact" w:before="102" w:after="0"/>
        <w:ind w:left="444" w:right="0" w:hanging="241"/>
        <w:jc w:val="left"/>
        <w:rPr>
          <w:sz w:val="12"/>
        </w:rPr>
      </w:pPr>
      <w:r>
        <w:rPr>
          <w:color w:val="231F20"/>
          <w:sz w:val="12"/>
        </w:rPr>
        <w:t>Based on redemption yield data from index-linked bond markets.</w:t>
      </w:r>
    </w:p>
    <w:p>
      <w:pPr>
        <w:pStyle w:val="ListParagraph"/>
        <w:numPr>
          <w:ilvl w:val="0"/>
          <w:numId w:val="10"/>
        </w:numPr>
        <w:tabs>
          <w:tab w:pos="445" w:val="left" w:leader="none"/>
        </w:tabs>
        <w:spacing w:line="129" w:lineRule="exact" w:before="0" w:after="0"/>
        <w:ind w:left="444" w:right="0" w:hanging="241"/>
        <w:jc w:val="left"/>
        <w:rPr>
          <w:sz w:val="12"/>
        </w:rPr>
      </w:pPr>
      <w:r>
        <w:rPr>
          <w:color w:val="231F20"/>
          <w:sz w:val="12"/>
        </w:rPr>
        <w:t>The United States index-linked bond market began operation in January 1997.</w:t>
      </w:r>
    </w:p>
    <w:p>
      <w:pPr>
        <w:pStyle w:val="Heading4"/>
        <w:spacing w:line="242" w:lineRule="auto" w:before="211"/>
        <w:ind w:left="194" w:right="339"/>
      </w:pPr>
      <w:r>
        <w:rPr/>
        <w:br w:type="column"/>
      </w:r>
      <w:r>
        <w:rPr>
          <w:color w:val="231F20"/>
        </w:rPr>
        <w:t>Measures of domestic and overseas inflation expectations, derived from index-linked bond markets, have also been falling. Chart 1.12 shows that an implicit measure of inflation expectations, the</w:t>
      </w:r>
    </w:p>
    <w:p>
      <w:pPr>
        <w:spacing w:line="242" w:lineRule="auto" w:before="5"/>
        <w:ind w:left="193" w:right="247" w:firstLine="0"/>
        <w:jc w:val="left"/>
        <w:rPr>
          <w:sz w:val="24"/>
        </w:rPr>
      </w:pPr>
      <w:r>
        <w:rPr>
          <w:color w:val="231F20"/>
          <w:sz w:val="24"/>
        </w:rPr>
        <w:t>break-even inflation rate (ie the nominal rate minus the real rate), has fallen in both the United States and the United Kingdom during the past 18 months.</w:t>
      </w:r>
      <w:r>
        <w:rPr>
          <w:color w:val="231F20"/>
          <w:position w:val="5"/>
          <w:sz w:val="16"/>
        </w:rPr>
        <w:t>(1) </w:t>
      </w:r>
      <w:r>
        <w:rPr>
          <w:color w:val="231F20"/>
          <w:sz w:val="24"/>
        </w:rPr>
        <w:t>This is likely to reflect disinflationary policy, falls in the observed inflation rate and, in the case of the United Kingdom, some convergence of expectations towards the inflation target. Events in Asia and falling </w:t>
      </w:r>
      <w:hyperlink w:history="true" w:anchor="_bookmark30">
        <w:r>
          <w:rPr>
            <w:color w:val="231F20"/>
            <w:sz w:val="24"/>
          </w:rPr>
          <w:t>commodity prices (see Section 4)</w:t>
        </w:r>
      </w:hyperlink>
      <w:r>
        <w:rPr>
          <w:color w:val="231F20"/>
          <w:sz w:val="24"/>
        </w:rPr>
        <w:t> may have also contributed towards a reduction in global inflation expectations.</w:t>
      </w:r>
    </w:p>
    <w:p>
      <w:pPr>
        <w:spacing w:after="0" w:line="242" w:lineRule="auto"/>
        <w:jc w:val="left"/>
        <w:rPr>
          <w:sz w:val="24"/>
        </w:rPr>
        <w:sectPr>
          <w:type w:val="continuous"/>
          <w:pgSz w:w="11900" w:h="16840"/>
          <w:pgMar w:top="1220" w:bottom="280" w:left="620" w:right="640"/>
          <w:cols w:num="2" w:equalWidth="0">
            <w:col w:w="4241" w:space="540"/>
            <w:col w:w="5859"/>
          </w:cols>
        </w:sectPr>
      </w:pPr>
    </w:p>
    <w:p>
      <w:pPr>
        <w:pStyle w:val="BodyText"/>
        <w:spacing w:before="4"/>
        <w:rPr>
          <w:sz w:val="22"/>
        </w:rPr>
      </w:pPr>
    </w:p>
    <w:p>
      <w:pPr>
        <w:pStyle w:val="BodyText"/>
        <w:spacing w:line="20" w:lineRule="exact"/>
        <w:ind w:left="4948"/>
        <w:rPr>
          <w:sz w:val="2"/>
        </w:rPr>
      </w:pPr>
      <w:r>
        <w:rPr>
          <w:sz w:val="2"/>
        </w:rPr>
        <w:pict>
          <v:group style="width:277.5pt;height:.15pt;mso-position-horizontal-relative:char;mso-position-vertical-relative:line" coordorigin="0,0" coordsize="5550,3">
            <v:line style="position:absolute" from="0,1" to="5550,1" stroked="true" strokeweight=".125pt" strokecolor="#231f20">
              <v:stroke dashstyle="solid"/>
            </v:line>
          </v:group>
        </w:pict>
      </w:r>
      <w:r>
        <w:rPr>
          <w:sz w:val="2"/>
        </w:rPr>
      </w:r>
    </w:p>
    <w:p>
      <w:pPr>
        <w:pStyle w:val="ListParagraph"/>
        <w:numPr>
          <w:ilvl w:val="1"/>
          <w:numId w:val="10"/>
        </w:numPr>
        <w:tabs>
          <w:tab w:pos="5259" w:val="left" w:leader="none"/>
        </w:tabs>
        <w:spacing w:line="208" w:lineRule="auto" w:before="24" w:after="0"/>
        <w:ind w:left="5258" w:right="701" w:hanging="288"/>
        <w:jc w:val="left"/>
        <w:rPr>
          <w:sz w:val="16"/>
        </w:rPr>
      </w:pPr>
      <w:r>
        <w:rPr>
          <w:color w:val="231F20"/>
          <w:sz w:val="16"/>
        </w:rPr>
        <w:t>Break-even inflation rates are used to compare US and UK inflation expectations because the US index-linked bond market is not </w:t>
      </w:r>
      <w:r>
        <w:rPr>
          <w:color w:val="231F20"/>
          <w:spacing w:val="-2"/>
          <w:sz w:val="16"/>
        </w:rPr>
        <w:t>sufficiently </w:t>
      </w:r>
      <w:r>
        <w:rPr>
          <w:color w:val="231F20"/>
          <w:sz w:val="16"/>
        </w:rPr>
        <w:t>liquid to permit estimation of a complete inflation term-structure.</w:t>
      </w:r>
    </w:p>
    <w:p>
      <w:pPr>
        <w:spacing w:after="0" w:line="208" w:lineRule="auto"/>
        <w:jc w:val="left"/>
        <w:rPr>
          <w:sz w:val="16"/>
        </w:rPr>
        <w:sectPr>
          <w:type w:val="continuous"/>
          <w:pgSz w:w="11900" w:h="16840"/>
          <w:pgMar w:top="1220" w:bottom="280" w:left="620" w:right="640"/>
        </w:sectPr>
      </w:pPr>
    </w:p>
    <w:p>
      <w:pPr>
        <w:pStyle w:val="BodyText"/>
        <w:rPr>
          <w:sz w:val="20"/>
        </w:rPr>
      </w:pPr>
    </w:p>
    <w:p>
      <w:pPr>
        <w:spacing w:after="0"/>
        <w:rPr>
          <w:sz w:val="20"/>
        </w:rPr>
        <w:sectPr>
          <w:headerReference w:type="default" r:id="rId16"/>
          <w:headerReference w:type="even" r:id="rId17"/>
          <w:footerReference w:type="default" r:id="rId18"/>
          <w:footerReference w:type="even" r:id="rId19"/>
          <w:pgSz w:w="11900" w:h="16840"/>
          <w:pgMar w:header="566" w:footer="597" w:top="760" w:bottom="780" w:left="620" w:right="640"/>
          <w:pgNumType w:start="11"/>
        </w:sectPr>
      </w:pPr>
    </w:p>
    <w:p>
      <w:pPr>
        <w:pStyle w:val="BodyText"/>
        <w:spacing w:before="8"/>
        <w:rPr>
          <w:sz w:val="19"/>
        </w:rPr>
      </w:pPr>
    </w:p>
    <w:p>
      <w:pPr>
        <w:pStyle w:val="Heading8"/>
        <w:spacing w:before="0"/>
        <w:ind w:left="175"/>
      </w:pPr>
      <w:bookmarkStart w:name="Equity prices" w:id="28"/>
      <w:bookmarkEnd w:id="28"/>
      <w:r>
        <w:rPr>
          <w:b w:val="0"/>
        </w:rPr>
      </w:r>
      <w:bookmarkStart w:name="Property prices" w:id="29"/>
      <w:bookmarkEnd w:id="29"/>
      <w:r>
        <w:rPr>
          <w:b w:val="0"/>
        </w:rPr>
      </w:r>
      <w:bookmarkStart w:name="_bookmark10" w:id="30"/>
      <w:bookmarkEnd w:id="30"/>
      <w:r>
        <w:rPr>
          <w:b w:val="0"/>
        </w:rPr>
      </w:r>
      <w:r>
        <w:rPr>
          <w:color w:val="0093C1"/>
        </w:rPr>
        <w:t>Chart 1.12</w:t>
      </w:r>
    </w:p>
    <w:p>
      <w:pPr>
        <w:spacing w:line="249" w:lineRule="auto" w:before="10"/>
        <w:ind w:left="175" w:right="129" w:firstLine="0"/>
        <w:jc w:val="left"/>
        <w:rPr>
          <w:sz w:val="12"/>
        </w:rPr>
      </w:pPr>
      <w:r>
        <w:rPr>
          <w:b/>
          <w:color w:val="0093C1"/>
          <w:sz w:val="20"/>
        </w:rPr>
        <w:t>UK and US ten-year break-even inflation rates</w:t>
      </w:r>
      <w:r>
        <w:rPr>
          <w:color w:val="231F20"/>
          <w:position w:val="4"/>
          <w:sz w:val="12"/>
        </w:rPr>
        <w:t>(a)</w:t>
      </w:r>
    </w:p>
    <w:p>
      <w:pPr>
        <w:spacing w:line="111" w:lineRule="exact" w:before="29"/>
        <w:ind w:left="3117" w:right="0" w:firstLine="0"/>
        <w:jc w:val="left"/>
        <w:rPr>
          <w:sz w:val="11"/>
        </w:rPr>
      </w:pPr>
      <w:r>
        <w:rPr>
          <w:sz w:val="11"/>
        </w:rPr>
        <w:t>Per cent</w:t>
      </w:r>
    </w:p>
    <w:p>
      <w:pPr>
        <w:spacing w:line="111" w:lineRule="exact" w:before="0"/>
        <w:ind w:left="3520" w:right="0" w:firstLine="0"/>
        <w:jc w:val="left"/>
        <w:rPr>
          <w:sz w:val="11"/>
        </w:rPr>
      </w:pPr>
      <w:r>
        <w:rPr>
          <w:sz w:val="11"/>
        </w:rPr>
        <w:t>4.4</w:t>
      </w:r>
    </w:p>
    <w:p>
      <w:pPr>
        <w:pStyle w:val="BodyText"/>
        <w:rPr>
          <w:sz w:val="12"/>
        </w:rPr>
      </w:pPr>
    </w:p>
    <w:p>
      <w:pPr>
        <w:spacing w:before="89"/>
        <w:ind w:left="3520" w:right="0" w:firstLine="0"/>
        <w:jc w:val="left"/>
        <w:rPr>
          <w:sz w:val="11"/>
        </w:rPr>
      </w:pPr>
      <w:r>
        <w:rPr/>
        <w:pict>
          <v:group style="position:absolute;margin-left:41.702999pt;margin-top:3.657785pt;width:162.85pt;height:117.3pt;mso-position-horizontal-relative:page;mso-position-vertical-relative:paragraph;z-index:15817216" coordorigin="834,73" coordsize="3257,2346">
            <v:shape style="position:absolute;left:834;top:138;width:98;height:708" coordorigin="834,139" coordsize="98,708" path="m931,846l834,846m931,493l834,493m931,139l834,139e" filled="false" stroked="true" strokeweight=".5pt" strokecolor="#000000">
              <v:path arrowok="t"/>
              <v:stroke dashstyle="solid"/>
            </v:shape>
            <v:shape style="position:absolute;left:1008;top:83;width:2933;height:1173" coordorigin="1009,83" coordsize="2933,1173" path="m1009,288l1028,306,1028,269,1028,306,1048,344,1048,306,1067,306,1067,362,1087,325,1087,362,1106,344,1106,325,1125,288,1125,362,1125,288,1145,306,1145,325,1164,288,1184,288,1184,325,1203,325,1222,306,1222,232,1242,139,1242,158,1261,176,1261,195,1281,176,1281,139,1300,83,1300,102,1320,120,1320,176,1339,195,1339,176,1358,158,1378,251,1378,232,1378,269,1397,232,1397,213,1417,213,1417,158,1436,139,1436,213,1456,288,1456,306,1475,325,1475,548,1494,586,1494,697,1514,716,1514,679,1514,697,1533,734,1533,679,1553,660,1553,604,1572,586,1572,623,1591,623,1591,641,1611,623,1611,660,1630,716,1630,697,1650,716,1650,753,1650,734,1669,716,1669,790,1689,772,1689,790,1708,772,1708,753,1727,753,1727,716,1747,753,1766,809,1766,753,1786,790m1786,790l1786,772,1805,753,1805,790,1825,790,1825,660,1844,679,1844,753,1844,716,1863,697,1863,679,1883,679,1883,660,1902,697,1902,753,1922,753,1922,734,1941,753,1941,772,1941,753,1960,734,1960,716,1980,679,1980,753,1999,697,2019,660,2019,641,2019,679,2038,641,2038,697,2058,697,2058,679,2077,641,2077,660,2096,660,2096,697,2116,697,2116,753,2135,753,2135,772,2155,790,2155,809,2174,809,2174,846,2194,865,2194,920,2213,902,2213,939,2232,920,2232,939,2232,920,2252,920,2252,1088,2271,1069,2271,1088,2291,1107,2291,1125,2310,1032,2329,976,2329,958,2349,995,2368,976,2368,958,2388,902,2388,865,2407,865,2407,883,2427,827,2446,809,2446,827,2465,809,2465,827,2485,809,2485,790,2485,846,2504,846,2504,790,2524,753,2524,809,2543,883,2543,902,2543,865,2563,902,2563,976,2563,958,2601,958,2601,883,2621,865,2621,902,2640,902,2640,920,2640,902,2660,920,2679,920,2679,976,2698,976,2698,958,2718,958,2718,883,2718,920,2737,920,2737,958,2757,958,2757,865,2776,883,2776,902,2796,976,2796,1069,2815,1107,2815,1144,2834,1162,2834,1107,2834,1125,2854,1107,2873,1107,2893,1125,2912,1125,2912,1144,2912,1125,2932,1162,2932,1181,2951,1162,2951,1181,2951,1162,2970,1144,2970,1125,2990,1125,2990,1107m2990,1107l2990,1125,3009,1162,3009,1144,3029,1162,3029,1181,3029,1144,3048,1125,3048,1144,3067,1125,3067,1107,3087,1088,3087,1051,3087,1088,3106,1032,3106,1014,3126,1069,3126,1088,3184,1144,3184,1162,3203,1144,3203,1162,3242,1162,3242,1144,3262,1125,3262,1162,3262,1144,3281,1181,3281,1200,3301,1200,3301,1237,3320,1237,3320,1218,3320,1237,3339,1237,3339,1218,3359,1218,3378,1181,3378,1218,3398,1125,3398,1162,3417,1181,3417,1255,3436,1218,3456,1162,3456,1107,3475,1069,3475,1051,3495,1051,3495,1014,3495,1032,3514,1144,3514,1162,3534,1144,3534,1162,3553,1181,3553,1162,3572,1162,3572,1144,3592,1144,3592,1125,3611,1125,3611,1107,3631,1162,3631,1200,3650,1200,3650,1144,3670,1069,3670,1014,3689,1051,3689,1088,3708,1125,3728,1125,3728,1107,3747,1088,3747,1069,3767,1032,3767,995,3786,995,3786,1032,3805,1051,3805,1032,3805,1051,3825,995,3825,1014,3844,1014,3844,995,3864,920,3864,883,3883,883,3883,958,3903,1014,3903,995,3922,1032,3922,1069,3941,1032e" filled="false" stroked="true" strokeweight="1pt" strokecolor="#008256">
              <v:path arrowok="t"/>
              <v:stroke dashstyle="solid"/>
            </v:shape>
            <v:shape style="position:absolute;left:1008;top:827;width:2933;height:1582" coordorigin="1009,827" coordsize="2933,1582" path="m1009,846l1028,865,1028,883,1048,865,1048,920,1067,1051,1087,1051,1087,995,1106,1032,1106,995,1125,920,1125,902,1145,902,1145,883,1164,883,1164,865,1184,920,1184,883,1203,865,1203,846,1242,846,1242,883,1261,846,1261,827,1281,883,1281,865,1300,827,1300,846,1320,846,1320,883,1339,865,1339,883,1358,846,1378,902,1378,920,1397,920,1397,865,1417,920,1417,846,1436,846,1436,958,1456,995,1456,1051,1475,1051,1475,1069,1494,1014,1494,1069,1514,1069,1514,1032,1514,1088,1533,1088,1533,1051,1553,1032,1553,1069,1553,1051,1572,1032,1572,1051,1591,1014,1611,1051m1611,1051l1611,1088,1630,1107,1650,1107,1650,1144,1650,1125,1669,1107,1669,1181,1689,1237,1689,1274,1708,1218,1708,1311,1727,1311,1727,1330,1727,1293,1747,1293,1747,1237,1766,1274,1766,1237,1786,1274,1786,1293,1805,1293,1805,1311,1825,1330,1825,1423,1844,1404,1844,1479,1863,1479,1863,1535,1863,1516,1883,1497,1883,1460,1902,1516,1902,1535,1922,1553,1922,1535,1922,1590,1941,1590,1941,1609,1960,1497,1960,1460,1980,1423,1980,1386,1999,1311,1999,1330,2019,1274,2019,1367,2038,1330,2058,1367,2058,1274,2096,1274,2116,1293,2135,1330,2155,1330,2174,1311,2174,1348,2194,1348,2194,1460,2213,1460,2213,1516,2232,1516,2232,1553,2252,1572,2252,1535,2252,1553,2271,1590,2271,1572,2291,1609,2291,1646,2310,1646,2329,1516,2329,1553,2329,1516,2349,1553,2349,1572,2368,1553,2368,1572,2368,1516,2388,1535,2388,1553,2407,1404,2407,1609,2427,1702,2427,1628,2446,1628,2446,1721,2465,1702,2465,1665,2485,1702,2485,1721,2504,1721,2504,1758,2524,1795,2524,1739,2543,1814,2543,1776,2543,1851,2563,1869,2563,1888,2582,1869,2582,1888,2601,1869,2601,1851,2640,1888,2640,1851,2660,1832,2679,1851,2679,1981,2698,1962m2698,1962l2698,1944,2718,1962,2718,2037,2737,2056,2757,2037,2757,2018,2757,2037,2776,2018,2776,2074,2796,2204,2796,2316,2815,2074,2815,2316,2834,2409,2834,2279,2854,2018,2854,2000,2873,1962,2873,1925,2873,1944,2893,1925,2893,1814,2912,1888,2912,1814,2932,1907,2951,1925,2951,1944,2970,1869,2970,1888,2990,1869,2990,1944,3009,1944,3009,1962,3029,1981,3029,2000,3029,1962,3048,1944,3048,1925,3067,1888,3067,1814,3067,1869,3087,1851,3087,1888,3087,1832,3106,1795,3106,1814,3126,1776,3126,1814,3145,1869,3145,1851,3145,1888,3165,1944,3165,1925,3184,1944,3184,1962,3184,1944,3203,1944,3203,1981,3223,1981,3223,1925,3262,1888,3262,2000,3281,2018,3281,2056,3301,2037,3301,2018,3339,2018,3339,2000,3359,1962,3359,1944,3378,1944,3378,1925,3398,1851,3417,1851,3417,1907,3436,1925,3436,1981,3456,1962,3456,1888,3475,1907,3475,1944,3495,1907,3495,1944,3514,1981,3514,2000,3534,1962,3534,1981,3553,1981,3553,2018,3572,2037,3572,2018,3592,2018,3592,1981,3611,2000,3611,2018,3611,2000,3631,2056,3631,2111,3650,2130,3650,2186,3650,2111,3670,2130,3670,2056,3670,2074,3689,2074,3689,2111,3708,2093,3708,2111,3728,2149,3728,2167,3767,2204,3767,2223,3767,2186,3786,2167,3805,2204,3805,2111,3805,2186,3825,2242,3825,2186,3844,2167,3844,2279,3864,2242,3864,2260,3883,2242,3883,2223,3903,2186,3903,2223,3922,2204,3922,2316,3941,2297e" filled="false" stroked="true" strokeweight="1pt" strokecolor="#0066a5">
              <v:path arrowok="t"/>
              <v:stroke dashstyle="solid"/>
            </v:shape>
            <v:shape style="position:absolute;left:4013;top:138;width:78;height:2103" coordorigin="4013,139" coordsize="78,2103" path="m4091,2242l4013,2242m4091,1888l4013,1888m4091,1553l4013,1553m4091,1200l4013,1200m4091,846l4013,846m4091,493l4013,493m4091,139l4013,139e" filled="false" stroked="true" strokeweight=".5pt" strokecolor="#000000">
              <v:path arrowok="t"/>
              <v:stroke dashstyle="solid"/>
            </v:shape>
            <v:shape style="position:absolute;left:1512;top:317;width:182;height:124" type="#_x0000_t202" filled="false" stroked="false">
              <v:textbox inset="0,0,0,0">
                <w:txbxContent>
                  <w:p>
                    <w:pPr>
                      <w:spacing w:line="123" w:lineRule="exact" w:before="0"/>
                      <w:ind w:left="0" w:right="0" w:firstLine="0"/>
                      <w:jc w:val="left"/>
                      <w:rPr>
                        <w:sz w:val="11"/>
                      </w:rPr>
                    </w:pPr>
                    <w:r>
                      <w:rPr>
                        <w:color w:val="231F20"/>
                        <w:sz w:val="11"/>
                      </w:rPr>
                      <w:t>UK</w:t>
                    </w:r>
                  </w:p>
                </w:txbxContent>
              </v:textbox>
              <w10:wrap type="none"/>
            </v:shape>
            <v:shape style="position:absolute;left:1674;top:1003;width:163;height:124" type="#_x0000_t202" filled="false" stroked="false">
              <v:textbox inset="0,0,0,0">
                <w:txbxContent>
                  <w:p>
                    <w:pPr>
                      <w:spacing w:line="123" w:lineRule="exact" w:before="0"/>
                      <w:ind w:left="0" w:right="0" w:firstLine="0"/>
                      <w:jc w:val="left"/>
                      <w:rPr>
                        <w:sz w:val="11"/>
                      </w:rPr>
                    </w:pPr>
                    <w:r>
                      <w:rPr>
                        <w:color w:val="231F20"/>
                        <w:sz w:val="11"/>
                      </w:rPr>
                      <w:t>US</w:t>
                    </w:r>
                  </w:p>
                </w:txbxContent>
              </v:textbox>
              <w10:wrap type="none"/>
            </v:shape>
            <w10:wrap type="none"/>
          </v:group>
        </w:pict>
      </w:r>
      <w:r>
        <w:rPr>
          <w:sz w:val="11"/>
        </w:rPr>
        <w:t>4.0</w:t>
      </w:r>
    </w:p>
    <w:p>
      <w:pPr>
        <w:pStyle w:val="BodyText"/>
        <w:rPr>
          <w:sz w:val="12"/>
        </w:rPr>
      </w:pPr>
    </w:p>
    <w:p>
      <w:pPr>
        <w:spacing w:before="89"/>
        <w:ind w:left="3520" w:right="0" w:firstLine="0"/>
        <w:jc w:val="left"/>
        <w:rPr>
          <w:sz w:val="11"/>
        </w:rPr>
      </w:pPr>
      <w:r>
        <w:rPr>
          <w:sz w:val="11"/>
        </w:rPr>
        <w:t>3.6</w:t>
      </w:r>
    </w:p>
    <w:p>
      <w:pPr>
        <w:pStyle w:val="BodyText"/>
        <w:rPr>
          <w:sz w:val="12"/>
        </w:rPr>
      </w:pPr>
    </w:p>
    <w:p>
      <w:pPr>
        <w:spacing w:before="70"/>
        <w:ind w:left="3520" w:right="0" w:firstLine="0"/>
        <w:jc w:val="left"/>
        <w:rPr>
          <w:sz w:val="11"/>
        </w:rPr>
      </w:pPr>
      <w:r>
        <w:rPr>
          <w:sz w:val="11"/>
        </w:rPr>
        <w:t>3.2</w:t>
      </w:r>
    </w:p>
    <w:p>
      <w:pPr>
        <w:pStyle w:val="BodyText"/>
        <w:rPr>
          <w:sz w:val="12"/>
        </w:rPr>
      </w:pPr>
    </w:p>
    <w:p>
      <w:pPr>
        <w:spacing w:before="89"/>
        <w:ind w:left="3520" w:right="0" w:firstLine="0"/>
        <w:jc w:val="left"/>
        <w:rPr>
          <w:sz w:val="11"/>
        </w:rPr>
      </w:pPr>
      <w:r>
        <w:rPr/>
        <w:pict>
          <v:line style="position:absolute;mso-position-horizontal-relative:page;mso-position-vertical-relative:paragraph;z-index:15815680" from="46.557999pt,7.878748pt" to="41.702999pt,7.878748pt" stroked="true" strokeweight=".5pt" strokecolor="#000000">
            <v:stroke dashstyle="solid"/>
            <w10:wrap type="none"/>
          </v:line>
        </w:pict>
      </w:r>
      <w:r>
        <w:rPr>
          <w:sz w:val="11"/>
        </w:rPr>
        <w:t>2.8</w:t>
      </w:r>
    </w:p>
    <w:p>
      <w:pPr>
        <w:pStyle w:val="BodyText"/>
        <w:rPr>
          <w:sz w:val="12"/>
        </w:rPr>
      </w:pPr>
    </w:p>
    <w:p>
      <w:pPr>
        <w:spacing w:before="90"/>
        <w:ind w:left="3520" w:right="0" w:firstLine="0"/>
        <w:jc w:val="left"/>
        <w:rPr>
          <w:sz w:val="11"/>
        </w:rPr>
      </w:pPr>
      <w:r>
        <w:rPr/>
        <w:pict>
          <v:line style="position:absolute;mso-position-horizontal-relative:page;mso-position-vertical-relative:paragraph;z-index:15815168" from="46.557999pt,7.928746pt" to="41.702999pt,7.928746pt" stroked="true" strokeweight=".5pt" strokecolor="#000000">
            <v:stroke dashstyle="solid"/>
            <w10:wrap type="none"/>
          </v:line>
        </w:pict>
      </w:r>
      <w:r>
        <w:rPr>
          <w:sz w:val="11"/>
        </w:rPr>
        <w:t>2.4</w:t>
      </w:r>
    </w:p>
    <w:p>
      <w:pPr>
        <w:pStyle w:val="BodyText"/>
        <w:rPr>
          <w:sz w:val="12"/>
        </w:rPr>
      </w:pPr>
    </w:p>
    <w:p>
      <w:pPr>
        <w:spacing w:before="89"/>
        <w:ind w:left="3520" w:right="0" w:firstLine="0"/>
        <w:jc w:val="left"/>
        <w:rPr>
          <w:sz w:val="11"/>
        </w:rPr>
      </w:pPr>
      <w:r>
        <w:rPr/>
        <w:pict>
          <v:line style="position:absolute;mso-position-horizontal-relative:page;mso-position-vertical-relative:paragraph;z-index:15814656" from="46.557999pt,6.948744pt" to="41.702999pt,6.948744pt" stroked="true" strokeweight=".5pt" strokecolor="#000000">
            <v:stroke dashstyle="solid"/>
            <w10:wrap type="none"/>
          </v:line>
        </w:pict>
      </w:r>
      <w:r>
        <w:rPr>
          <w:sz w:val="11"/>
        </w:rPr>
        <w:t>2.0</w:t>
      </w:r>
    </w:p>
    <w:p>
      <w:pPr>
        <w:pStyle w:val="BodyText"/>
        <w:rPr>
          <w:sz w:val="12"/>
        </w:rPr>
      </w:pPr>
    </w:p>
    <w:p>
      <w:pPr>
        <w:spacing w:before="89"/>
        <w:ind w:left="3520" w:right="0" w:firstLine="0"/>
        <w:jc w:val="left"/>
        <w:rPr>
          <w:sz w:val="11"/>
        </w:rPr>
      </w:pPr>
      <w:r>
        <w:rPr/>
        <w:pict>
          <v:line style="position:absolute;mso-position-horizontal-relative:page;mso-position-vertical-relative:paragraph;z-index:15814144" from="46.557999pt,6.94878pt" to="41.702999pt,6.94878pt" stroked="true" strokeweight=".5pt" strokecolor="#000000">
            <v:stroke dashstyle="solid"/>
            <w10:wrap type="none"/>
          </v:line>
        </w:pict>
      </w:r>
      <w:r>
        <w:rPr>
          <w:sz w:val="11"/>
        </w:rPr>
        <w:t>1.6</w:t>
      </w:r>
    </w:p>
    <w:p>
      <w:pPr>
        <w:pStyle w:val="BodyText"/>
        <w:rPr>
          <w:sz w:val="12"/>
        </w:rPr>
      </w:pPr>
    </w:p>
    <w:p>
      <w:pPr>
        <w:spacing w:before="70"/>
        <w:ind w:left="3520" w:right="0" w:firstLine="0"/>
        <w:jc w:val="left"/>
        <w:rPr>
          <w:sz w:val="11"/>
        </w:rPr>
      </w:pPr>
      <w:r>
        <w:rPr/>
        <w:pict>
          <v:group style="position:absolute;margin-left:41.541pt;margin-top:6.678771pt;width:164.85pt;height:7.05pt;mso-position-horizontal-relative:page;mso-position-vertical-relative:paragraph;z-index:15813632" coordorigin="831,134" coordsize="3297,141">
            <v:shape style="position:absolute;left:830;top:138;width:3260;height:131" coordorigin="831,139" coordsize="3260,131" path="m2776,269l2776,160m831,269l4091,269m1145,269l1145,216m1281,269l1281,216m1456,269l1456,216m1611,269l1611,216m1766,269l1766,216m1941,269l1941,216m2116,269l2116,216m2271,269l2271,216m2446,269l2446,216m2601,269l2601,216m2932,269l2932,216m3087,269l3087,216m3262,269l3262,216m3417,269l3417,216m3572,269l3572,216m3728,269l3728,216m3903,269l3903,216m4091,139l4013,139e" filled="false" stroked="true" strokeweight=".5pt" strokecolor="#000000">
              <v:path arrowok="t"/>
              <v:stroke dashstyle="solid"/>
            </v:shape>
            <v:shape style="position:absolute;left:4083;top:147;width:39;height:118" coordorigin="4083,148" coordsize="39,118" path="m4103,148l4103,173,4083,188,4122,201,4083,219,4122,235,4099,244,4099,266e" filled="false" stroked="true" strokeweight=".5pt" strokecolor="#000000">
              <v:path arrowok="t"/>
              <v:stroke dashstyle="solid"/>
            </v:shape>
            <v:line style="position:absolute" from="931,139" to="834,139" stroked="true" strokeweight=".5pt" strokecolor="#000000">
              <v:stroke dashstyle="solid"/>
            </v:line>
            <v:shape style="position:absolute;left:921;top:150;width:39;height:118" coordorigin="921,151" coordsize="39,118" path="m941,151l941,176,921,191,960,204,921,222,960,238,938,247,937,269e" filled="false" stroked="true" strokeweight=".5pt" strokecolor="#000000">
              <v:path arrowok="t"/>
              <v:stroke dashstyle="solid"/>
            </v:shape>
            <w10:wrap type="none"/>
          </v:group>
        </w:pict>
      </w:r>
      <w:r>
        <w:rPr>
          <w:sz w:val="11"/>
        </w:rPr>
        <w:t>1.2</w:t>
      </w:r>
    </w:p>
    <w:p>
      <w:pPr>
        <w:spacing w:line="107" w:lineRule="exact" w:before="22"/>
        <w:ind w:left="3520" w:right="0" w:firstLine="0"/>
        <w:jc w:val="left"/>
        <w:rPr>
          <w:sz w:val="11"/>
        </w:rPr>
      </w:pPr>
      <w:r>
        <w:rPr>
          <w:sz w:val="11"/>
        </w:rPr>
        <w:t>0.0</w:t>
      </w:r>
    </w:p>
    <w:p>
      <w:pPr>
        <w:tabs>
          <w:tab w:pos="2589" w:val="left" w:leader="none"/>
        </w:tabs>
        <w:spacing w:line="107" w:lineRule="exact" w:before="0"/>
        <w:ind w:left="1134" w:right="0" w:firstLine="0"/>
        <w:jc w:val="left"/>
        <w:rPr>
          <w:sz w:val="11"/>
        </w:rPr>
      </w:pPr>
      <w:r>
        <w:rPr>
          <w:sz w:val="11"/>
        </w:rPr>
        <w:t>1997</w:t>
        <w:tab/>
        <w:t>98</w:t>
      </w:r>
    </w:p>
    <w:p>
      <w:pPr>
        <w:spacing w:before="43"/>
        <w:ind w:left="180" w:right="0" w:firstLine="0"/>
        <w:jc w:val="left"/>
        <w:rPr>
          <w:sz w:val="12"/>
        </w:rPr>
      </w:pPr>
      <w:r>
        <w:rPr>
          <w:color w:val="231F20"/>
          <w:sz w:val="12"/>
        </w:rPr>
        <w:t>Source: Bank of England.</w:t>
      </w:r>
    </w:p>
    <w:p>
      <w:pPr>
        <w:pStyle w:val="BodyText"/>
        <w:spacing w:before="1"/>
        <w:rPr>
          <w:sz w:val="10"/>
        </w:rPr>
      </w:pPr>
    </w:p>
    <w:p>
      <w:pPr>
        <w:spacing w:line="208" w:lineRule="auto" w:before="1"/>
        <w:ind w:left="420" w:right="129" w:hanging="240"/>
        <w:jc w:val="left"/>
        <w:rPr>
          <w:sz w:val="12"/>
        </w:rPr>
      </w:pPr>
      <w:r>
        <w:rPr>
          <w:color w:val="231F20"/>
          <w:sz w:val="12"/>
        </w:rPr>
        <w:t>(a) The break-even inflation rate is the average inflation rate over the </w:t>
      </w:r>
      <w:r>
        <w:rPr>
          <w:color w:val="231F20"/>
          <w:spacing w:val="-5"/>
          <w:sz w:val="12"/>
        </w:rPr>
        <w:t>life </w:t>
      </w:r>
      <w:r>
        <w:rPr>
          <w:color w:val="231F20"/>
          <w:sz w:val="12"/>
        </w:rPr>
        <w:t>of the bonds that would equalise the returns from holding a conventional bond and an index-linked bond of similar maturity.</w:t>
      </w:r>
    </w:p>
    <w:p>
      <w:pPr>
        <w:pStyle w:val="BodyText"/>
        <w:rPr>
          <w:sz w:val="12"/>
        </w:rPr>
      </w:pPr>
    </w:p>
    <w:p>
      <w:pPr>
        <w:pStyle w:val="BodyText"/>
        <w:spacing w:before="4"/>
        <w:rPr>
          <w:sz w:val="9"/>
        </w:rPr>
      </w:pPr>
    </w:p>
    <w:p>
      <w:pPr>
        <w:pStyle w:val="Heading8"/>
        <w:spacing w:before="1"/>
        <w:ind w:left="170"/>
      </w:pPr>
      <w:r>
        <w:rPr>
          <w:color w:val="0093C1"/>
        </w:rPr>
        <w:t>Chart 1.13</w:t>
      </w:r>
    </w:p>
    <w:p>
      <w:pPr>
        <w:spacing w:before="10"/>
        <w:ind w:left="170" w:right="0" w:firstLine="0"/>
        <w:jc w:val="left"/>
        <w:rPr>
          <w:sz w:val="12"/>
        </w:rPr>
      </w:pPr>
      <w:r>
        <w:rPr>
          <w:b/>
          <w:color w:val="0093C1"/>
          <w:sz w:val="20"/>
        </w:rPr>
        <w:t>Real international equity indices</w:t>
      </w:r>
      <w:r>
        <w:rPr>
          <w:color w:val="231F20"/>
          <w:position w:val="4"/>
          <w:sz w:val="12"/>
        </w:rPr>
        <w:t>(a)</w:t>
      </w:r>
    </w:p>
    <w:p>
      <w:pPr>
        <w:spacing w:line="129" w:lineRule="exact" w:before="125"/>
        <w:ind w:left="3100" w:right="0" w:firstLine="0"/>
        <w:jc w:val="left"/>
        <w:rPr>
          <w:sz w:val="12"/>
        </w:rPr>
      </w:pPr>
      <w:r>
        <w:rPr>
          <w:sz w:val="12"/>
        </w:rPr>
        <w:t>Level (b)</w:t>
      </w:r>
    </w:p>
    <w:p>
      <w:pPr>
        <w:spacing w:line="129" w:lineRule="exact" w:before="0"/>
        <w:ind w:left="3580" w:right="0" w:firstLine="0"/>
        <w:jc w:val="left"/>
        <w:rPr>
          <w:sz w:val="12"/>
        </w:rPr>
      </w:pPr>
      <w:r>
        <w:rPr/>
        <w:pict>
          <v:group style="position:absolute;margin-left:42.021pt;margin-top:9.151855pt;width:166.5pt;height:144.75pt;mso-position-horizontal-relative:page;mso-position-vertical-relative:paragraph;z-index:15819776" coordorigin="840,183" coordsize="3330,2895">
            <v:shape style="position:absolute;left:840;top:333;width:2920;height:2740" coordorigin="840,333" coordsize="2920,2740" path="m3760,3073l3760,2973m3220,3073l3220,2973m2660,3073l2660,2973m2100,3073l2100,2973m1540,3073l1540,2973m1000,3073l1000,2973m940,3073l840,3073m940,2793l840,2793m940,2513l840,2513m940,2233l840,2233m940,1973l840,1973m940,1693l840,1693m940,1413l840,1413m940,1153l840,1153m940,873l840,873m940,593l840,593m940,333l840,333e" filled="false" stroked="true" strokeweight=".5pt" strokecolor="#000000">
              <v:path arrowok="t"/>
              <v:stroke dashstyle="solid"/>
            </v:shape>
            <v:shape style="position:absolute;left:1000;top:193;width:3000;height:2600" coordorigin="1000,193" coordsize="3000,2600" path="m1000,2793l1040,2713,1080,2713,1140,2773,1180,2773,1220,2713,1280,2653,1320,2553,1360,2573,1400,2473,1460,2473,1500,2333,1560,2413,1600,2473,1640,2453,1680,2373,1740,2453,1780,2533,1820,2453,1880,2413,1920,2553,1960,2513,2020,2533,2060,2493,2100,2553,2160,2493,2200,2613,2300,2513,2340,2513,2380,2433,2420,2433,2480,2453,2520,2473,2560,2413,2620,2413,2660,2273,2700,2293,2760,2273,2800,2273,2840,2253,2900,2233,2940,2293,2980,2253,3040,2173,3080,2173,3120,2053,3160,2033,3220,1933,3260,1813,3320,1693,3360,1693,3400,1633,3440,1493,3500,1093,3540,1413,3580,1253,3640,1533,3680,1393,3720,1173,3780,1073,3820,913,3860,593,3920,673,3960,393,4000,193e" filled="false" stroked="true" strokeweight="1pt" strokecolor="#008256">
              <v:path arrowok="t"/>
              <v:stroke dashstyle="solid"/>
            </v:shape>
            <v:shape style="position:absolute;left:1000;top:1913;width:3000;height:880" coordorigin="1000,1913" coordsize="3000,880" path="m1000,2793l1040,2773,1080,2773,1140,2793,1180,2793,1220,2773,1280,2753,1320,2693,1360,2713,1400,2673,1460,2673,1500,2573,1560,2533,1600,2593,1640,2673,1680,2673,1780,2773,1820,2693,1880,2653,1920,2733,1960,2713,2020,2713,2100,2753,2160,2753,2240,2713,2300,2673,2340,2673,2380,2613,2420,2613,2480,2593,2520,2593,2560,2553,2620,2553,2660,2533,2760,2533,2800,2493,2840,2513,2900,2553,2940,2553,2980,2493,3040,2493,3160,2433,3220,2393,3260,2373,3320,2393,3360,2373,3400,2333,3440,2353,3500,2273,3540,2293,3580,2173,3640,2293,3680,2293,3720,2193,3780,2113,3860,1913,3920,1973,3960,1973,4000,2013e" filled="false" stroked="true" strokeweight="1pt" strokecolor="#ed1b2d">
              <v:path arrowok="t"/>
              <v:stroke dashstyle="solid"/>
            </v:shape>
            <v:shape style="position:absolute;left:1000;top:1413;width:3000;height:1400" coordorigin="1000,1413" coordsize="3000,1400" path="m1000,2793l1040,2773,1080,2773,1140,2793,1180,2773,1280,2773,1320,2753,1360,2753,1400,2733,1460,2753,1500,2753,1560,2713,1600,2753,1640,2813,1680,2793,1740,2793,1780,2813,1820,2793,1880,2753,1920,2773,1960,2753,2020,2813,2100,2773,2160,2733,2200,2713,2240,2673,2300,2633,2340,2613,2380,2573,2420,2573,2480,2533,2520,2533,2560,2473,2620,2453,2660,2413,2760,2413,2800,2393,2840,2353,2900,2353,2940,2433,2980,2413,3040,2333,3080,2293,3120,2193,3160,2233,3220,2133,3260,2113,3320,2193,3400,1993,3440,1913,3500,1773,3540,1893,3580,1793,3640,1873,3680,1793,3720,1733,3780,1733,3860,1413,3920,1453,3960,1493,4000,1413e" filled="false" stroked="true" strokeweight="1pt" strokecolor="#0066a5">
              <v:path arrowok="t"/>
              <v:stroke dashstyle="solid"/>
            </v:shape>
            <v:shape style="position:absolute;left:1000;top:2453;width:2960;height:520" coordorigin="1000,2453" coordsize="2960,520" path="m1000,2793l1040,2793,1080,2693,1140,2553,1180,2573,1220,2633,1280,2593,1320,2553,1360,2613,1400,2633,1460,2833,1500,2773,1560,2593,1600,2613,1640,2673,1740,2573,1880,2573,1920,2653,1960,2633,2020,2693,2060,2633,2100,2713,2160,2813,2200,2853,2240,2833,2300,2913,2340,2973,2380,2833,2420,2733,2480,2753,2520,2773,2560,2693,2620,2633,2660,2573,2700,2613,2760,2533,2800,2493,2840,2493,2900,2453,2940,2573,2980,2613,3040,2533,3080,2593,3120,2553,3160,2673,3220,2733,3260,2713,3320,2753,3360,2693,3440,2613,3500,2633,3540,2753,3580,2793,3640,2873,3680,2853,3720,2933,3780,2853,3820,2833,3860,2933,3920,2913,3960,2913e" filled="false" stroked="true" strokeweight="1pt" strokecolor="#95459a">
              <v:path arrowok="t"/>
              <v:stroke dashstyle="solid"/>
            </v:shape>
            <v:shape style="position:absolute;left:1000;top:333;width:3171;height:2740" coordorigin="1000,333" coordsize="3171,2740" path="m1000,3073l4000,3073m1135,3073l1135,3013m1270,3073l1270,3013m1405,3073l1405,3013m1680,3073l1680,3013m1820,3073l1820,3013m1960,3073l1960,3013m2240,3073l2240,3013m2380,3073l2380,3013m2520,3073l2520,3013m2800,3073l2800,3013m2940,3073l2940,3013m3080,3073l3080,3013m3355,3073l3355,3013m3490,3073l3490,3013m3625,3073l3625,3013m3920,3073l3920,3013m4170,3073l4070,3073m4170,2793l4070,2793m4170,2513l4070,2513m4170,2233l4070,2233m4170,1973l4070,1973m4170,1693l4070,1693m4170,1413l4070,1413m4170,1153l4070,1153m4170,873l4070,873m4170,593l4070,593m4170,333l4070,333e" filled="false" stroked="true" strokeweight=".5pt" strokecolor="#000000">
              <v:path arrowok="t"/>
              <v:stroke dashstyle="solid"/>
            </v:shape>
            <v:line style="position:absolute" from="2730,1450" to="3280,2000" stroked="true" strokeweight=".5pt" strokecolor="#000000">
              <v:stroke dashstyle="solid"/>
            </v:line>
            <v:shape style="position:absolute;left:3250;top:1969;width:78;height:78" coordorigin="3250,1970" coordsize="78,78" path="m3286,1970l3250,2006,3266,2012,3278,2018,3328,2048,3323,2040,3317,2031,3311,2021,3304,2009,3299,1998,3286,1970xe" filled="true" fillcolor="#000000" stroked="false">
              <v:path arrowok="t"/>
              <v:fill type="solid"/>
            </v:shape>
            <v:shape style="position:absolute;left:3230;top:916;width:430;height:133" type="#_x0000_t202" filled="false" stroked="false">
              <v:textbox inset="0,0,0,0">
                <w:txbxContent>
                  <w:p>
                    <w:pPr>
                      <w:spacing w:line="133" w:lineRule="exact" w:before="0"/>
                      <w:ind w:left="0" w:right="0" w:firstLine="0"/>
                      <w:jc w:val="left"/>
                      <w:rPr>
                        <w:sz w:val="12"/>
                      </w:rPr>
                    </w:pPr>
                    <w:r>
                      <w:rPr>
                        <w:sz w:val="12"/>
                      </w:rPr>
                      <w:t>DAX 30</w:t>
                    </w:r>
                  </w:p>
                </w:txbxContent>
              </v:textbox>
              <w10:wrap type="none"/>
            </v:shape>
            <v:shape style="position:absolute;left:2510;top:1316;width:457;height:133" type="#_x0000_t202" filled="false" stroked="false">
              <v:textbox inset="0,0,0,0">
                <w:txbxContent>
                  <w:p>
                    <w:pPr>
                      <w:spacing w:line="133" w:lineRule="exact" w:before="0"/>
                      <w:ind w:left="0" w:right="0" w:firstLine="0"/>
                      <w:jc w:val="left"/>
                      <w:rPr>
                        <w:sz w:val="12"/>
                      </w:rPr>
                    </w:pPr>
                    <w:r>
                      <w:rPr>
                        <w:sz w:val="12"/>
                      </w:rPr>
                      <w:t>S&amp;P 500</w:t>
                    </w:r>
                  </w:p>
                </w:txbxContent>
              </v:textbox>
              <w10:wrap type="none"/>
            </v:shape>
            <v:shape style="position:absolute;left:3490;top:2296;width:497;height:253" type="#_x0000_t202" filled="false" stroked="false">
              <v:textbox inset="0,0,0,0">
                <w:txbxContent>
                  <w:p>
                    <w:pPr>
                      <w:spacing w:line="124" w:lineRule="exact" w:before="0"/>
                      <w:ind w:left="0" w:right="0" w:firstLine="0"/>
                      <w:jc w:val="left"/>
                      <w:rPr>
                        <w:sz w:val="12"/>
                      </w:rPr>
                    </w:pPr>
                    <w:r>
                      <w:rPr>
                        <w:sz w:val="12"/>
                      </w:rPr>
                      <w:t>FT-SE</w:t>
                    </w:r>
                  </w:p>
                  <w:p>
                    <w:pPr>
                      <w:spacing w:line="129" w:lineRule="exact" w:before="0"/>
                      <w:ind w:left="30" w:right="0" w:firstLine="0"/>
                      <w:jc w:val="left"/>
                      <w:rPr>
                        <w:sz w:val="12"/>
                      </w:rPr>
                    </w:pPr>
                    <w:r>
                      <w:rPr>
                        <w:sz w:val="12"/>
                      </w:rPr>
                      <w:t>All-share</w:t>
                    </w:r>
                  </w:p>
                </w:txbxContent>
              </v:textbox>
              <w10:wrap type="none"/>
            </v:shape>
            <v:shape style="position:absolute;left:2970;top:2736;width:557;height:133" type="#_x0000_t202" filled="false" stroked="false">
              <v:textbox inset="0,0,0,0">
                <w:txbxContent>
                  <w:p>
                    <w:pPr>
                      <w:spacing w:line="133" w:lineRule="exact" w:before="0"/>
                      <w:ind w:left="0" w:right="0" w:firstLine="0"/>
                      <w:jc w:val="left"/>
                      <w:rPr>
                        <w:sz w:val="12"/>
                      </w:rPr>
                    </w:pPr>
                    <w:r>
                      <w:rPr>
                        <w:sz w:val="12"/>
                      </w:rPr>
                      <w:t>Nikkei 225</w:t>
                    </w:r>
                  </w:p>
                </w:txbxContent>
              </v:textbox>
              <w10:wrap type="none"/>
            </v:shape>
            <w10:wrap type="none"/>
          </v:group>
        </w:pict>
      </w:r>
      <w:r>
        <w:rPr/>
        <w:pict>
          <v:line style="position:absolute;mso-position-horizontal-relative:page;mso-position-vertical-relative:paragraph;z-index:15820288" from="47.021pt,2.651855pt" to="42.021pt,2.651855pt" stroked="true" strokeweight=".5pt" strokecolor="#000000">
            <v:stroke dashstyle="solid"/>
            <w10:wrap type="none"/>
          </v:line>
        </w:pict>
      </w:r>
      <w:r>
        <w:rPr/>
        <w:pict>
          <v:line style="position:absolute;mso-position-horizontal-relative:page;mso-position-vertical-relative:paragraph;z-index:15820800" from="208.520996pt,2.651855pt" to="203.520996pt,2.651855pt" stroked="true" strokeweight=".5pt" strokecolor="#000000">
            <v:stroke dashstyle="solid"/>
            <w10:wrap type="none"/>
          </v:line>
        </w:pict>
      </w:r>
      <w:r>
        <w:rPr>
          <w:sz w:val="12"/>
        </w:rPr>
        <w:t>350</w:t>
      </w:r>
    </w:p>
    <w:p>
      <w:pPr>
        <w:pStyle w:val="BodyText"/>
        <w:spacing w:before="3"/>
        <w:rPr>
          <w:sz w:val="12"/>
        </w:rPr>
      </w:pPr>
    </w:p>
    <w:p>
      <w:pPr>
        <w:spacing w:before="1"/>
        <w:ind w:left="3580" w:right="0" w:firstLine="0"/>
        <w:jc w:val="left"/>
        <w:rPr>
          <w:sz w:val="12"/>
        </w:rPr>
      </w:pPr>
      <w:r>
        <w:rPr>
          <w:sz w:val="12"/>
        </w:rPr>
        <w:t>325</w:t>
      </w:r>
    </w:p>
    <w:p>
      <w:pPr>
        <w:pStyle w:val="BodyText"/>
        <w:spacing w:before="6"/>
        <w:rPr>
          <w:sz w:val="10"/>
        </w:rPr>
      </w:pPr>
    </w:p>
    <w:p>
      <w:pPr>
        <w:spacing w:before="1"/>
        <w:ind w:left="3580" w:right="0" w:firstLine="0"/>
        <w:jc w:val="left"/>
        <w:rPr>
          <w:sz w:val="12"/>
        </w:rPr>
      </w:pPr>
      <w:r>
        <w:rPr>
          <w:sz w:val="12"/>
        </w:rPr>
        <w:t>300</w:t>
      </w:r>
    </w:p>
    <w:p>
      <w:pPr>
        <w:pStyle w:val="BodyText"/>
        <w:spacing w:before="3"/>
        <w:rPr>
          <w:sz w:val="12"/>
        </w:rPr>
      </w:pPr>
    </w:p>
    <w:p>
      <w:pPr>
        <w:spacing w:before="1"/>
        <w:ind w:left="3580" w:right="0" w:firstLine="0"/>
        <w:jc w:val="left"/>
        <w:rPr>
          <w:sz w:val="12"/>
        </w:rPr>
      </w:pPr>
      <w:r>
        <w:rPr>
          <w:sz w:val="12"/>
        </w:rPr>
        <w:t>275</w:t>
      </w:r>
    </w:p>
    <w:p>
      <w:pPr>
        <w:pStyle w:val="BodyText"/>
        <w:spacing w:before="3"/>
        <w:rPr>
          <w:sz w:val="12"/>
        </w:rPr>
      </w:pPr>
    </w:p>
    <w:p>
      <w:pPr>
        <w:spacing w:before="1"/>
        <w:ind w:left="3580" w:right="0" w:firstLine="0"/>
        <w:jc w:val="left"/>
        <w:rPr>
          <w:sz w:val="12"/>
        </w:rPr>
      </w:pPr>
      <w:r>
        <w:rPr>
          <w:sz w:val="12"/>
        </w:rPr>
        <w:t>250</w:t>
      </w:r>
    </w:p>
    <w:p>
      <w:pPr>
        <w:pStyle w:val="BodyText"/>
        <w:spacing w:before="6"/>
        <w:rPr>
          <w:sz w:val="10"/>
        </w:rPr>
      </w:pPr>
    </w:p>
    <w:p>
      <w:pPr>
        <w:spacing w:before="1"/>
        <w:ind w:left="3580" w:right="0" w:firstLine="0"/>
        <w:jc w:val="left"/>
        <w:rPr>
          <w:sz w:val="12"/>
        </w:rPr>
      </w:pPr>
      <w:r>
        <w:rPr>
          <w:sz w:val="12"/>
        </w:rPr>
        <w:t>225</w:t>
      </w:r>
    </w:p>
    <w:p>
      <w:pPr>
        <w:pStyle w:val="BodyText"/>
        <w:spacing w:before="3"/>
        <w:rPr>
          <w:sz w:val="12"/>
        </w:rPr>
      </w:pPr>
    </w:p>
    <w:p>
      <w:pPr>
        <w:spacing w:before="1"/>
        <w:ind w:left="3580" w:right="0" w:firstLine="0"/>
        <w:jc w:val="left"/>
        <w:rPr>
          <w:sz w:val="12"/>
        </w:rPr>
      </w:pPr>
      <w:r>
        <w:rPr>
          <w:sz w:val="12"/>
        </w:rPr>
        <w:t>200</w:t>
      </w:r>
    </w:p>
    <w:p>
      <w:pPr>
        <w:pStyle w:val="BodyText"/>
        <w:spacing w:before="4"/>
        <w:rPr>
          <w:sz w:val="12"/>
        </w:rPr>
      </w:pPr>
    </w:p>
    <w:p>
      <w:pPr>
        <w:spacing w:before="0"/>
        <w:ind w:left="3580" w:right="0" w:firstLine="0"/>
        <w:jc w:val="left"/>
        <w:rPr>
          <w:sz w:val="12"/>
        </w:rPr>
      </w:pPr>
      <w:r>
        <w:rPr>
          <w:sz w:val="12"/>
        </w:rPr>
        <w:t>175</w:t>
      </w:r>
    </w:p>
    <w:p>
      <w:pPr>
        <w:pStyle w:val="BodyText"/>
        <w:spacing w:before="7"/>
        <w:rPr>
          <w:sz w:val="10"/>
        </w:rPr>
      </w:pPr>
    </w:p>
    <w:p>
      <w:pPr>
        <w:spacing w:before="0"/>
        <w:ind w:left="3580" w:right="0" w:firstLine="0"/>
        <w:jc w:val="left"/>
        <w:rPr>
          <w:sz w:val="12"/>
        </w:rPr>
      </w:pPr>
      <w:r>
        <w:rPr>
          <w:sz w:val="12"/>
        </w:rPr>
        <w:t>150</w:t>
      </w:r>
    </w:p>
    <w:p>
      <w:pPr>
        <w:pStyle w:val="BodyText"/>
        <w:spacing w:before="4"/>
        <w:rPr>
          <w:sz w:val="12"/>
        </w:rPr>
      </w:pPr>
    </w:p>
    <w:p>
      <w:pPr>
        <w:spacing w:before="0"/>
        <w:ind w:left="3580" w:right="0" w:firstLine="0"/>
        <w:jc w:val="left"/>
        <w:rPr>
          <w:sz w:val="12"/>
        </w:rPr>
      </w:pPr>
      <w:r>
        <w:rPr>
          <w:sz w:val="12"/>
        </w:rPr>
        <w:t>125</w:t>
      </w:r>
    </w:p>
    <w:p>
      <w:pPr>
        <w:pStyle w:val="BodyText"/>
        <w:spacing w:before="4"/>
        <w:rPr>
          <w:sz w:val="12"/>
        </w:rPr>
      </w:pPr>
    </w:p>
    <w:p>
      <w:pPr>
        <w:spacing w:before="0"/>
        <w:ind w:left="3580" w:right="0" w:firstLine="0"/>
        <w:jc w:val="left"/>
        <w:rPr>
          <w:sz w:val="12"/>
        </w:rPr>
      </w:pPr>
      <w:r>
        <w:rPr>
          <w:sz w:val="12"/>
        </w:rPr>
        <w:t>100</w:t>
      </w:r>
    </w:p>
    <w:p>
      <w:pPr>
        <w:pStyle w:val="BodyText"/>
        <w:spacing w:before="7"/>
        <w:rPr>
          <w:sz w:val="10"/>
        </w:rPr>
      </w:pPr>
    </w:p>
    <w:p>
      <w:pPr>
        <w:spacing w:line="119" w:lineRule="exact" w:before="0"/>
        <w:ind w:left="3640" w:right="0" w:firstLine="0"/>
        <w:jc w:val="left"/>
        <w:rPr>
          <w:sz w:val="12"/>
        </w:rPr>
      </w:pPr>
      <w:r>
        <w:rPr>
          <w:sz w:val="12"/>
        </w:rPr>
        <w:t>75</w:t>
      </w:r>
    </w:p>
    <w:p>
      <w:pPr>
        <w:tabs>
          <w:tab w:pos="1149" w:val="left" w:leader="none"/>
          <w:tab w:pos="1689" w:val="left" w:leader="none"/>
          <w:tab w:pos="2249" w:val="left" w:leader="none"/>
          <w:tab w:pos="2810" w:val="left" w:leader="none"/>
          <w:tab w:pos="3250" w:val="left" w:leader="none"/>
        </w:tabs>
        <w:spacing w:line="119" w:lineRule="exact" w:before="0"/>
        <w:ind w:left="530" w:right="0" w:firstLine="0"/>
        <w:jc w:val="left"/>
        <w:rPr>
          <w:sz w:val="12"/>
        </w:rPr>
      </w:pPr>
      <w:r>
        <w:rPr>
          <w:sz w:val="12"/>
        </w:rPr>
        <w:t>1993</w:t>
        <w:tab/>
        <w:t>94</w:t>
        <w:tab/>
        <w:t>95</w:t>
        <w:tab/>
        <w:t>96</w:t>
        <w:tab/>
        <w:t>97</w:t>
        <w:tab/>
        <w:t>98</w:t>
      </w:r>
    </w:p>
    <w:p>
      <w:pPr>
        <w:pStyle w:val="BodyText"/>
        <w:spacing w:before="10"/>
        <w:rPr>
          <w:sz w:val="10"/>
        </w:rPr>
      </w:pPr>
    </w:p>
    <w:p>
      <w:pPr>
        <w:pStyle w:val="ListParagraph"/>
        <w:numPr>
          <w:ilvl w:val="0"/>
          <w:numId w:val="11"/>
        </w:numPr>
        <w:tabs>
          <w:tab w:pos="425" w:val="left" w:leader="none"/>
        </w:tabs>
        <w:spacing w:line="129" w:lineRule="exact" w:before="1" w:after="0"/>
        <w:ind w:left="424" w:right="0" w:hanging="241"/>
        <w:jc w:val="left"/>
        <w:rPr>
          <w:sz w:val="12"/>
        </w:rPr>
      </w:pPr>
      <w:r>
        <w:rPr>
          <w:color w:val="231F20"/>
          <w:sz w:val="12"/>
        </w:rPr>
        <w:t>End-month data.</w:t>
      </w:r>
    </w:p>
    <w:p>
      <w:pPr>
        <w:pStyle w:val="ListParagraph"/>
        <w:numPr>
          <w:ilvl w:val="0"/>
          <w:numId w:val="11"/>
        </w:numPr>
        <w:tabs>
          <w:tab w:pos="425" w:val="left" w:leader="none"/>
        </w:tabs>
        <w:spacing w:line="208" w:lineRule="auto" w:before="5" w:after="0"/>
        <w:ind w:left="424" w:right="178" w:hanging="240"/>
        <w:jc w:val="left"/>
        <w:rPr>
          <w:sz w:val="12"/>
        </w:rPr>
      </w:pPr>
      <w:r>
        <w:rPr>
          <w:color w:val="231F20"/>
          <w:sz w:val="12"/>
        </w:rPr>
        <w:t>Equity indices are deflated by domestic consumer price indices </w:t>
      </w:r>
      <w:r>
        <w:rPr>
          <w:color w:val="231F20"/>
          <w:spacing w:val="-6"/>
          <w:sz w:val="12"/>
        </w:rPr>
        <w:t>and </w:t>
      </w:r>
      <w:r>
        <w:rPr>
          <w:color w:val="231F20"/>
          <w:sz w:val="12"/>
        </w:rPr>
        <w:t>rebased to January 1993 = 100.</w:t>
      </w:r>
    </w:p>
    <w:p>
      <w:pPr>
        <w:pStyle w:val="BodyText"/>
        <w:rPr>
          <w:sz w:val="12"/>
        </w:rPr>
      </w:pPr>
    </w:p>
    <w:p>
      <w:pPr>
        <w:pStyle w:val="Heading8"/>
        <w:spacing w:before="89"/>
        <w:ind w:left="180"/>
      </w:pPr>
      <w:r>
        <w:rPr>
          <w:color w:val="0093C1"/>
        </w:rPr>
        <w:t>Chart 1.14</w:t>
      </w:r>
    </w:p>
    <w:p>
      <w:pPr>
        <w:spacing w:before="10"/>
        <w:ind w:left="180" w:right="0" w:firstLine="0"/>
        <w:jc w:val="left"/>
        <w:rPr>
          <w:b/>
          <w:sz w:val="20"/>
        </w:rPr>
      </w:pPr>
      <w:r>
        <w:rPr>
          <w:b/>
          <w:color w:val="0093C1"/>
          <w:sz w:val="20"/>
        </w:rPr>
        <w:t>Measures of UK house price inflation</w:t>
      </w:r>
    </w:p>
    <w:p>
      <w:pPr>
        <w:spacing w:before="141"/>
        <w:ind w:left="2103" w:right="0" w:hanging="233"/>
        <w:jc w:val="left"/>
        <w:rPr>
          <w:sz w:val="12"/>
        </w:rPr>
      </w:pPr>
      <w:r>
        <w:rPr/>
        <w:pict>
          <v:group style="position:absolute;margin-left:46.187pt;margin-top:22.318554pt;width:165.85pt;height:128.75pt;mso-position-horizontal-relative:page;mso-position-vertical-relative:paragraph;z-index:-21106176" coordorigin="924,446" coordsize="3317,2575">
            <v:shape style="position:absolute;left:923;top:1216;width:101;height:1500" coordorigin="924,1216" coordsize="101,1500" path="m1024,2716l924,2716m1024,2116l924,2116m1024,1816l924,1816m1024,1516l924,1516m1024,1216l924,1216e" filled="false" stroked="true" strokeweight=".5pt" strokecolor="#000000">
              <v:path arrowok="t"/>
              <v:stroke dashstyle="solid"/>
            </v:shape>
            <v:shape style="position:absolute;left:1080;top:1136;width:3000;height:1720" coordorigin="1080,1136" coordsize="3000,1720" path="m1080,2256l1120,1896,1180,2076,1240,2456,1300,2396,1360,2176,1400,2216,1460,2436,1520,2516,1580,2556,1640,2576,1680,2456,1740,2376,1800,2676,1860,2716,1920,2736,1960,2676,2020,2656,2080,2856,2140,2756,2180,2696,2240,2696,2300,2596,2360,2616,2420,2536,2460,2376,2520,2236,2580,2036,2640,1756,2700,1816,2740,1576,2800,1536,2860,1636,2920,1336,2960,1316,3020,1136,3080,1336,3140,1356,3200,1356,3240,1436,3300,1476,3360,1376,3420,1456,3480,1436,3520,1356,3580,1596,3640,1536,3700,1756,3740,1556,3800,1636,3860,1656,3920,1576,3980,1656,4020,1556,4080,1496e" filled="false" stroked="true" strokeweight="1pt" strokecolor="#ac6e90">
              <v:path arrowok="t"/>
              <v:stroke dashstyle="solid"/>
            </v:shape>
            <v:shape style="position:absolute;left:923;top:616;width:101;height:2400" coordorigin="924,616" coordsize="101,2400" path="m1024,3016l924,3016m1024,916l924,916m1024,616l924,616e" filled="false" stroked="true" strokeweight=".5pt" strokecolor="#000000">
              <v:path arrowok="t"/>
              <v:stroke dashstyle="solid"/>
            </v:shape>
            <v:shape style="position:absolute;left:1080;top:456;width:3000;height:2540" coordorigin="1080,456" coordsize="3000,2540" path="m1080,1956l1120,2076,1180,1856,1240,2476,1300,2156,1360,2776,1400,2456,1460,2416,1520,2296,1580,1956,1640,1996,1680,2236,1740,2636,1800,2636,1860,2556,1920,2256,1960,2296,2020,2476,2080,2556,2140,2556,2180,2616,2240,2996,2300,2756,2360,2796,2420,2516,2460,2276,2520,2456,2580,2236,2640,2196,2700,1836,2740,1856,2800,1596,2920,1236,2960,1096,3020,1136,3080,1196,3140,1136,3200,976,3240,1076,3360,756,3420,576,3480,596,3520,476,3580,596,3640,676,3700,516,3740,456,3800,496,3860,556,3980,636,4020,716,4080,796e" filled="false" stroked="true" strokeweight="1pt" strokecolor="#008256">
              <v:path arrowok="t"/>
              <v:stroke dashstyle="solid"/>
            </v:shape>
            <v:shape style="position:absolute;left:2360;top:976;width:1340;height:1500" coordorigin="2360,976" coordsize="1340,1500" path="m2360,2476l2420,2396,2460,2316,2520,2236,2580,2116,2640,2016,2740,1816,2800,1716,2860,1636,2920,1536,2960,1436,3020,1316,3080,1256,3140,1176,3200,1116,3240,1096,3300,1096,3420,1056,3480,1016,3520,976,3580,1016,3640,1076,3700,1116e" filled="false" stroked="true" strokeweight="1pt" strokecolor="#0066a5">
              <v:path arrowok="t"/>
              <v:stroke dashstyle="solid"/>
            </v:shape>
            <v:shape style="position:absolute;left:4140;top:616;width:100;height:2400" coordorigin="4140,616" coordsize="100,2400" path="m4240,2716l4140,2716m4240,3016l4140,3016m4240,2116l4140,2116m4240,1816l4140,1816m4240,1516l4140,1516m4240,1216l4140,1216m4240,916l4140,916m4240,616l4140,616e" filled="false" stroked="true" strokeweight=".5pt" strokecolor="#000000">
              <v:path arrowok="t"/>
              <v:stroke dashstyle="solid"/>
            </v:shape>
            <v:line style="position:absolute" from="1977,1306" to="2583,1680" stroked="true" strokeweight=".5pt" strokecolor="#000000">
              <v:stroke dashstyle="solid"/>
            </v:line>
            <v:shape style="position:absolute;left:2555;top:1649;width:86;height:66" coordorigin="2556,1649" coordsize="86,66" path="m2582,1649l2556,1692,2573,1695,2585,1698,2641,1715,2634,1709,2627,1702,2618,1693,2609,1683,2601,1674,2582,1649xe" filled="true" fillcolor="#000000" stroked="false">
              <v:path arrowok="t"/>
              <v:fill type="solid"/>
            </v:shape>
            <v:line style="position:absolute" from="3263,1993" to="2990,1586" stroked="true" strokeweight=".5pt" strokecolor="#000000">
              <v:stroke dashstyle="solid"/>
            </v:line>
            <v:shape style="position:absolute;left:2952;top:1530;width:69;height:85" coordorigin="2952,1530" coordsize="69,85" path="m2952,1530l2978,1614,3020,1586,2966,1544,2958,1537,2952,1530xe" filled="true" fillcolor="#000000" stroked="false">
              <v:path arrowok="t"/>
              <v:fill type="solid"/>
            </v:shape>
            <w10:wrap type="none"/>
          </v:group>
        </w:pict>
      </w:r>
      <w:r>
        <w:rPr/>
        <w:pict>
          <v:line style="position:absolute;mso-position-horizontal-relative:page;mso-position-vertical-relative:paragraph;z-index:15822336" from="51.188pt,15.818555pt" to="46.187pt,15.818555pt" stroked="true" strokeweight=".5pt" strokecolor="#000000">
            <v:stroke dashstyle="solid"/>
            <w10:wrap type="none"/>
          </v:line>
        </w:pict>
      </w:r>
      <w:r>
        <w:rPr/>
        <w:pict>
          <v:line style="position:absolute;mso-position-horizontal-relative:page;mso-position-vertical-relative:paragraph;z-index:-21105152" from="212.020996pt,15.818555pt" to="207.020996pt,15.818555pt" stroked="true" strokeweight=".5pt" strokecolor="#000000">
            <v:stroke dashstyle="solid"/>
            <w10:wrap type="none"/>
          </v:line>
        </w:pict>
      </w:r>
      <w:r>
        <w:rPr>
          <w:sz w:val="12"/>
        </w:rPr>
        <w:t>Percentage changes on a year earlier </w:t>
      </w:r>
      <w:r>
        <w:rPr>
          <w:position w:val="-6"/>
          <w:sz w:val="12"/>
        </w:rPr>
        <w:t>14 </w:t>
      </w:r>
      <w:r>
        <w:rPr>
          <w:sz w:val="12"/>
        </w:rPr>
        <w:t>Nationwide house</w:t>
      </w:r>
    </w:p>
    <w:p>
      <w:pPr>
        <w:spacing w:before="207"/>
        <w:ind w:left="170" w:right="0" w:firstLine="0"/>
        <w:jc w:val="left"/>
        <w:rPr>
          <w:i/>
          <w:sz w:val="24"/>
        </w:rPr>
      </w:pPr>
      <w:r>
        <w:rPr/>
        <w:br w:type="column"/>
      </w:r>
      <w:r>
        <w:rPr>
          <w:i/>
          <w:color w:val="009483"/>
          <w:sz w:val="24"/>
        </w:rPr>
        <w:t>Equity prices</w:t>
      </w:r>
    </w:p>
    <w:p>
      <w:pPr>
        <w:spacing w:line="242" w:lineRule="auto" w:before="164"/>
        <w:ind w:left="170" w:right="197" w:firstLine="0"/>
        <w:jc w:val="left"/>
        <w:rPr>
          <w:sz w:val="24"/>
        </w:rPr>
      </w:pPr>
      <w:r>
        <w:rPr>
          <w:color w:val="231F20"/>
          <w:sz w:val="24"/>
        </w:rPr>
        <w:t>Equity prices in the United Kingdom </w:t>
      </w:r>
      <w:r>
        <w:rPr>
          <w:color w:val="231F20"/>
          <w:spacing w:val="-3"/>
          <w:sz w:val="24"/>
        </w:rPr>
        <w:t>have </w:t>
      </w:r>
      <w:r>
        <w:rPr>
          <w:color w:val="231F20"/>
          <w:sz w:val="24"/>
        </w:rPr>
        <w:t>fallen since the May </w:t>
      </w:r>
      <w:r>
        <w:rPr>
          <w:i/>
          <w:color w:val="231F20"/>
          <w:sz w:val="24"/>
        </w:rPr>
        <w:t>Report</w:t>
      </w:r>
      <w:r>
        <w:rPr>
          <w:color w:val="231F20"/>
          <w:sz w:val="24"/>
        </w:rPr>
        <w:t>—the F</w:t>
      </w:r>
      <w:r>
        <w:rPr>
          <w:color w:val="231F20"/>
          <w:sz w:val="20"/>
        </w:rPr>
        <w:t>T-SE </w:t>
      </w:r>
      <w:r>
        <w:rPr>
          <w:color w:val="231F20"/>
          <w:sz w:val="24"/>
        </w:rPr>
        <w:t>All-Share index fell by 6.3%. But real share prices </w:t>
      </w:r>
      <w:r>
        <w:rPr>
          <w:color w:val="231F20"/>
          <w:spacing w:val="-3"/>
          <w:sz w:val="24"/>
        </w:rPr>
        <w:t>have </w:t>
      </w:r>
      <w:r>
        <w:rPr>
          <w:color w:val="231F20"/>
          <w:sz w:val="24"/>
        </w:rPr>
        <w:t>risen sharply in the United Kingdom and a number of G7 countries since 1995. For example, real share prices in the United Kingdom and the United States rose by 67% and 120% respectively between January 1995 and June 1998.</w:t>
      </w:r>
      <w:r>
        <w:rPr>
          <w:color w:val="231F20"/>
          <w:position w:val="5"/>
          <w:sz w:val="16"/>
        </w:rPr>
        <w:t>(1) </w:t>
      </w:r>
      <w:r>
        <w:rPr>
          <w:color w:val="231F20"/>
          <w:sz w:val="24"/>
        </w:rPr>
        <w:t>As Chart 1.13 shows, real share prices </w:t>
      </w:r>
      <w:r>
        <w:rPr>
          <w:color w:val="231F20"/>
          <w:spacing w:val="-3"/>
          <w:sz w:val="24"/>
        </w:rPr>
        <w:t>have </w:t>
      </w:r>
      <w:r>
        <w:rPr>
          <w:color w:val="231F20"/>
          <w:sz w:val="24"/>
        </w:rPr>
        <w:t>risen </w:t>
      </w:r>
      <w:r>
        <w:rPr>
          <w:color w:val="231F20"/>
          <w:spacing w:val="-3"/>
          <w:sz w:val="24"/>
        </w:rPr>
        <w:t>even </w:t>
      </w:r>
      <w:r>
        <w:rPr>
          <w:color w:val="231F20"/>
          <w:spacing w:val="-4"/>
          <w:sz w:val="24"/>
        </w:rPr>
        <w:t>faster </w:t>
      </w:r>
      <w:r>
        <w:rPr>
          <w:color w:val="231F20"/>
          <w:sz w:val="24"/>
        </w:rPr>
        <w:t>in </w:t>
      </w:r>
      <w:r>
        <w:rPr>
          <w:color w:val="231F20"/>
          <w:spacing w:val="-3"/>
          <w:sz w:val="24"/>
        </w:rPr>
        <w:t>Germany. </w:t>
      </w:r>
      <w:r>
        <w:rPr>
          <w:color w:val="231F20"/>
          <w:sz w:val="24"/>
        </w:rPr>
        <w:t>In contrast, real share prices in Japan </w:t>
      </w:r>
      <w:r>
        <w:rPr>
          <w:color w:val="231F20"/>
          <w:spacing w:val="-3"/>
          <w:sz w:val="24"/>
        </w:rPr>
        <w:t>have </w:t>
      </w:r>
      <w:r>
        <w:rPr>
          <w:color w:val="231F20"/>
          <w:sz w:val="24"/>
        </w:rPr>
        <w:t>fallen during the past three years, reflecting domestic events and developments elsewhere in Asia.</w:t>
      </w:r>
      <w:r>
        <w:rPr>
          <w:color w:val="231F20"/>
          <w:position w:val="5"/>
          <w:sz w:val="16"/>
        </w:rPr>
        <w:t>(2) </w:t>
      </w:r>
      <w:r>
        <w:rPr>
          <w:color w:val="231F20"/>
          <w:sz w:val="24"/>
        </w:rPr>
        <w:t>The box on page 12 considers factors influencing UK equity prices in greater detail.</w:t>
      </w:r>
    </w:p>
    <w:p>
      <w:pPr>
        <w:pStyle w:val="BodyText"/>
        <w:spacing w:before="9"/>
        <w:rPr>
          <w:sz w:val="25"/>
        </w:rPr>
      </w:pPr>
    </w:p>
    <w:p>
      <w:pPr>
        <w:spacing w:line="242" w:lineRule="auto" w:before="0"/>
        <w:ind w:left="170" w:right="220" w:firstLine="0"/>
        <w:jc w:val="left"/>
        <w:rPr>
          <w:sz w:val="24"/>
        </w:rPr>
      </w:pPr>
      <w:r>
        <w:rPr>
          <w:color w:val="231F20"/>
          <w:sz w:val="24"/>
        </w:rPr>
        <w:t>The MPC has assumed in its central projection that equity wealth grows in line with nominal income. However, in view of the level of equity prices, on balance there is felt to be a greater risk of a fall in equity wealth than of a further rise, relative to the central case.</w:t>
      </w:r>
    </w:p>
    <w:p>
      <w:pPr>
        <w:spacing w:before="166"/>
        <w:ind w:left="170" w:right="0" w:firstLine="0"/>
        <w:jc w:val="left"/>
        <w:rPr>
          <w:i/>
          <w:sz w:val="24"/>
        </w:rPr>
      </w:pPr>
      <w:r>
        <w:rPr>
          <w:i/>
          <w:color w:val="009483"/>
          <w:sz w:val="24"/>
        </w:rPr>
        <w:t>Property prices</w:t>
      </w:r>
    </w:p>
    <w:p>
      <w:pPr>
        <w:spacing w:line="242" w:lineRule="auto" w:before="164"/>
        <w:ind w:left="170" w:right="242" w:firstLine="0"/>
        <w:jc w:val="left"/>
        <w:rPr>
          <w:sz w:val="24"/>
        </w:rPr>
      </w:pPr>
      <w:r>
        <w:rPr>
          <w:color w:val="231F20"/>
          <w:sz w:val="24"/>
        </w:rPr>
        <w:t>Property also plays a role as an investment asset or store of value, and so property prices are determined in forward-looking markets. Property prices, particularly those of commercial property and land, can be thought of as depending on expected rental values, in much the same way that share prices depend on expected future dividends. Aggregate commercial rental values rose by 6.2% in the twelve months to May.</w:t>
      </w:r>
      <w:r>
        <w:rPr>
          <w:color w:val="231F20"/>
          <w:position w:val="5"/>
          <w:sz w:val="16"/>
        </w:rPr>
        <w:t>(3) </w:t>
      </w:r>
      <w:r>
        <w:rPr>
          <w:color w:val="231F20"/>
          <w:sz w:val="24"/>
        </w:rPr>
        <w:t>Within the aggregate, rental values have been rising in all sectors (industrial, retail and office) since the start of 1997, though growth rates remain below those of the late 1980s.</w:t>
      </w:r>
    </w:p>
    <w:p>
      <w:pPr>
        <w:pStyle w:val="BodyText"/>
        <w:spacing w:before="11"/>
        <w:rPr>
          <w:sz w:val="23"/>
        </w:rPr>
      </w:pPr>
    </w:p>
    <w:p>
      <w:pPr>
        <w:spacing w:line="242" w:lineRule="auto" w:before="0"/>
        <w:ind w:left="170" w:right="799" w:firstLine="0"/>
        <w:jc w:val="left"/>
        <w:rPr>
          <w:sz w:val="24"/>
        </w:rPr>
      </w:pPr>
      <w:r>
        <w:rPr>
          <w:color w:val="231F20"/>
          <w:sz w:val="24"/>
        </w:rPr>
        <w:t>Measures of UK house price inflation appear to be showing signs of moderating, though the extent</w:t>
      </w:r>
    </w:p>
    <w:p>
      <w:pPr>
        <w:spacing w:after="0" w:line="242" w:lineRule="auto"/>
        <w:jc w:val="left"/>
        <w:rPr>
          <w:sz w:val="24"/>
        </w:rPr>
        <w:sectPr>
          <w:type w:val="continuous"/>
          <w:pgSz w:w="11900" w:h="16840"/>
          <w:pgMar w:top="1220" w:bottom="280" w:left="620" w:right="640"/>
          <w:cols w:num="2" w:equalWidth="0">
            <w:col w:w="3841" w:space="958"/>
            <w:col w:w="5841"/>
          </w:cols>
        </w:sectPr>
      </w:pPr>
    </w:p>
    <w:p>
      <w:pPr>
        <w:pStyle w:val="BodyText"/>
        <w:rPr>
          <w:sz w:val="12"/>
        </w:rPr>
      </w:pPr>
    </w:p>
    <w:p>
      <w:pPr>
        <w:pStyle w:val="BodyText"/>
        <w:rPr>
          <w:sz w:val="12"/>
        </w:rPr>
      </w:pPr>
    </w:p>
    <w:p>
      <w:pPr>
        <w:pStyle w:val="BodyText"/>
        <w:rPr>
          <w:sz w:val="12"/>
        </w:rPr>
      </w:pPr>
    </w:p>
    <w:p>
      <w:pPr>
        <w:pStyle w:val="BodyText"/>
        <w:spacing w:before="1"/>
        <w:rPr>
          <w:sz w:val="15"/>
        </w:rPr>
      </w:pPr>
    </w:p>
    <w:p>
      <w:pPr>
        <w:spacing w:line="196" w:lineRule="auto" w:before="1"/>
        <w:ind w:left="990" w:right="-20" w:hanging="80"/>
        <w:jc w:val="left"/>
        <w:rPr>
          <w:sz w:val="12"/>
        </w:rPr>
      </w:pPr>
      <w:r>
        <w:rPr>
          <w:sz w:val="12"/>
        </w:rPr>
        <w:t>Halifax house price index</w:t>
      </w:r>
    </w:p>
    <w:p>
      <w:pPr>
        <w:tabs>
          <w:tab w:pos="2180" w:val="right" w:leader="none"/>
        </w:tabs>
        <w:spacing w:line="170" w:lineRule="auto" w:before="0"/>
        <w:ind w:left="550" w:right="0" w:firstLine="0"/>
        <w:jc w:val="left"/>
        <w:rPr>
          <w:sz w:val="12"/>
        </w:rPr>
      </w:pPr>
      <w:r>
        <w:rPr/>
        <w:br w:type="column"/>
      </w:r>
      <w:r>
        <w:rPr>
          <w:sz w:val="12"/>
        </w:rPr>
        <w:t>price index</w:t>
        <w:tab/>
      </w:r>
      <w:r>
        <w:rPr>
          <w:position w:val="-5"/>
          <w:sz w:val="12"/>
        </w:rPr>
        <w:t>12</w:t>
      </w:r>
    </w:p>
    <w:p>
      <w:pPr>
        <w:pStyle w:val="BodyText"/>
        <w:spacing w:before="7"/>
        <w:rPr>
          <w:sz w:val="14"/>
        </w:rPr>
      </w:pPr>
    </w:p>
    <w:p>
      <w:pPr>
        <w:spacing w:before="0"/>
        <w:ind w:left="0" w:right="38" w:firstLine="0"/>
        <w:jc w:val="right"/>
        <w:rPr>
          <w:sz w:val="12"/>
        </w:rPr>
      </w:pPr>
      <w:r>
        <w:rPr>
          <w:sz w:val="12"/>
        </w:rPr>
        <w:t>10</w:t>
      </w:r>
    </w:p>
    <w:p>
      <w:pPr>
        <w:pStyle w:val="BodyText"/>
        <w:spacing w:before="1"/>
        <w:rPr>
          <w:sz w:val="14"/>
        </w:rPr>
      </w:pPr>
    </w:p>
    <w:p>
      <w:pPr>
        <w:spacing w:before="0"/>
        <w:ind w:left="0" w:right="38" w:firstLine="0"/>
        <w:jc w:val="right"/>
        <w:rPr>
          <w:sz w:val="12"/>
        </w:rPr>
      </w:pPr>
      <w:r>
        <w:rPr>
          <w:sz w:val="12"/>
        </w:rPr>
        <w:t>8</w:t>
      </w:r>
    </w:p>
    <w:p>
      <w:pPr>
        <w:pStyle w:val="BodyText"/>
        <w:spacing w:before="1"/>
        <w:rPr>
          <w:sz w:val="14"/>
        </w:rPr>
      </w:pPr>
    </w:p>
    <w:p>
      <w:pPr>
        <w:spacing w:before="1"/>
        <w:ind w:left="0" w:right="38" w:firstLine="0"/>
        <w:jc w:val="right"/>
        <w:rPr>
          <w:sz w:val="12"/>
        </w:rPr>
      </w:pPr>
      <w:r>
        <w:rPr>
          <w:sz w:val="12"/>
        </w:rPr>
        <w:t>6</w:t>
      </w:r>
    </w:p>
    <w:p>
      <w:pPr>
        <w:pStyle w:val="BodyText"/>
        <w:rPr>
          <w:sz w:val="14"/>
        </w:rPr>
      </w:pPr>
    </w:p>
    <w:p>
      <w:pPr>
        <w:spacing w:before="1"/>
        <w:ind w:left="0" w:right="38" w:firstLine="0"/>
        <w:jc w:val="right"/>
        <w:rPr>
          <w:sz w:val="12"/>
        </w:rPr>
      </w:pPr>
      <w:r>
        <w:rPr>
          <w:sz w:val="12"/>
        </w:rPr>
        <w:t>4</w:t>
      </w:r>
    </w:p>
    <w:p>
      <w:pPr>
        <w:tabs>
          <w:tab w:pos="2180" w:val="right" w:leader="none"/>
        </w:tabs>
        <w:spacing w:line="146" w:lineRule="exact" w:before="162"/>
        <w:ind w:left="676" w:right="0" w:firstLine="0"/>
        <w:jc w:val="left"/>
        <w:rPr>
          <w:sz w:val="12"/>
        </w:rPr>
      </w:pPr>
      <w:r>
        <w:rPr>
          <w:sz w:val="12"/>
        </w:rPr>
        <w:t>Bank’s estimate (a)</w:t>
        <w:tab/>
      </w:r>
      <w:r>
        <w:rPr>
          <w:position w:val="-1"/>
          <w:sz w:val="12"/>
        </w:rPr>
        <w:t>2</w:t>
      </w:r>
    </w:p>
    <w:p>
      <w:pPr>
        <w:pStyle w:val="Heading4"/>
        <w:spacing w:line="260" w:lineRule="exact"/>
        <w:ind w:left="910"/>
      </w:pPr>
      <w:r>
        <w:rPr/>
        <w:br w:type="column"/>
      </w:r>
      <w:r>
        <w:rPr>
          <w:color w:val="231F20"/>
        </w:rPr>
        <w:t>continues to vary between regions. The Bank’s estimate</w:t>
      </w:r>
    </w:p>
    <w:p>
      <w:pPr>
        <w:spacing w:line="242" w:lineRule="auto" w:before="4"/>
        <w:ind w:left="910" w:right="165" w:firstLine="0"/>
        <w:jc w:val="left"/>
        <w:rPr>
          <w:sz w:val="24"/>
        </w:rPr>
      </w:pPr>
      <w:r>
        <w:rPr>
          <w:color w:val="231F20"/>
          <w:sz w:val="24"/>
        </w:rPr>
        <w:t>of house price inflation, based on Land Registry data, rose by 8.7% in the year to 1998 Q1, compared with 9.6% in the previous quarter. More timely measures, based on the Halifax and Nationwide price indices, suggest that house price inflation in the year to July</w:t>
      </w:r>
    </w:p>
    <w:p>
      <w:pPr>
        <w:spacing w:after="0" w:line="242" w:lineRule="auto"/>
        <w:jc w:val="left"/>
        <w:rPr>
          <w:sz w:val="24"/>
        </w:rPr>
        <w:sectPr>
          <w:type w:val="continuous"/>
          <w:pgSz w:w="11900" w:h="16840"/>
          <w:pgMar w:top="1220" w:bottom="280" w:left="620" w:right="640"/>
          <w:cols w:num="3" w:equalWidth="0">
            <w:col w:w="1580" w:space="40"/>
            <w:col w:w="2221" w:space="218"/>
            <w:col w:w="6581"/>
          </w:cols>
        </w:sectPr>
      </w:pPr>
    </w:p>
    <w:p>
      <w:pPr>
        <w:tabs>
          <w:tab w:pos="3156" w:val="left" w:leader="none"/>
        </w:tabs>
        <w:spacing w:line="167" w:lineRule="exact" w:before="0"/>
        <w:ind w:left="0" w:right="144" w:firstLine="0"/>
        <w:jc w:val="right"/>
        <w:rPr>
          <w:sz w:val="16"/>
        </w:rPr>
      </w:pPr>
      <w:r>
        <w:rPr>
          <w:sz w:val="16"/>
          <w:u w:val="single"/>
        </w:rPr>
        <w:t> </w:t>
        <w:tab/>
      </w:r>
      <w:r>
        <w:rPr>
          <w:sz w:val="16"/>
        </w:rPr>
        <w:t> </w:t>
      </w:r>
      <w:r>
        <w:rPr>
          <w:spacing w:val="-20"/>
          <w:sz w:val="16"/>
        </w:rPr>
        <w:t> </w:t>
      </w:r>
      <w:r>
        <w:rPr>
          <w:sz w:val="16"/>
          <w:u w:val="single"/>
        </w:rPr>
        <w:t> </w:t>
      </w:r>
      <w:r>
        <w:rPr>
          <w:spacing w:val="20"/>
          <w:sz w:val="16"/>
          <w:u w:val="single"/>
        </w:rPr>
        <w:t> </w:t>
      </w:r>
      <w:r>
        <w:rPr>
          <w:sz w:val="16"/>
        </w:rPr>
        <w:t>+</w:t>
      </w:r>
    </w:p>
    <w:p>
      <w:pPr>
        <w:spacing w:line="97" w:lineRule="exact" w:before="0"/>
        <w:ind w:left="3700" w:right="0" w:firstLine="0"/>
        <w:jc w:val="center"/>
        <w:rPr>
          <w:sz w:val="12"/>
        </w:rPr>
      </w:pPr>
      <w:r>
        <w:rPr>
          <w:sz w:val="12"/>
        </w:rPr>
        <w:t>0</w:t>
      </w:r>
    </w:p>
    <w:p>
      <w:pPr>
        <w:spacing w:line="156" w:lineRule="exact" w:before="0"/>
        <w:ind w:left="0" w:right="154" w:firstLine="0"/>
        <w:jc w:val="right"/>
        <w:rPr>
          <w:sz w:val="16"/>
        </w:rPr>
      </w:pPr>
      <w:r>
        <w:rPr>
          <w:sz w:val="16"/>
        </w:rPr>
        <w:t>_</w:t>
      </w:r>
    </w:p>
    <w:p>
      <w:pPr>
        <w:spacing w:before="53"/>
        <w:ind w:left="3700" w:right="0" w:firstLine="0"/>
        <w:jc w:val="center"/>
        <w:rPr>
          <w:sz w:val="12"/>
        </w:rPr>
      </w:pPr>
      <w:r>
        <w:rPr>
          <w:sz w:val="12"/>
        </w:rPr>
        <w:t>2</w:t>
      </w:r>
    </w:p>
    <w:p>
      <w:pPr>
        <w:pStyle w:val="BodyText"/>
        <w:spacing w:before="1"/>
        <w:rPr>
          <w:sz w:val="14"/>
        </w:rPr>
      </w:pPr>
    </w:p>
    <w:p>
      <w:pPr>
        <w:spacing w:before="0"/>
        <w:ind w:left="3700" w:right="0" w:firstLine="0"/>
        <w:jc w:val="center"/>
        <w:rPr>
          <w:sz w:val="12"/>
        </w:rPr>
      </w:pPr>
      <w:r>
        <w:rPr>
          <w:sz w:val="12"/>
        </w:rPr>
        <w:t>4</w:t>
      </w:r>
    </w:p>
    <w:p>
      <w:pPr>
        <w:pStyle w:val="BodyText"/>
        <w:spacing w:before="1"/>
        <w:rPr>
          <w:sz w:val="14"/>
        </w:rPr>
      </w:pPr>
    </w:p>
    <w:p>
      <w:pPr>
        <w:spacing w:line="129" w:lineRule="exact" w:before="0"/>
        <w:ind w:left="3700" w:right="0" w:firstLine="0"/>
        <w:jc w:val="center"/>
        <w:rPr>
          <w:sz w:val="12"/>
        </w:rPr>
      </w:pPr>
      <w:r>
        <w:rPr/>
        <w:pict>
          <v:shape style="position:absolute;margin-left:46.187pt;margin-top:.101563pt;width:165.85pt;height:4pt;mso-position-horizontal-relative:page;mso-position-vertical-relative:paragraph;z-index:15821312" coordorigin="924,2" coordsize="3317,80" path="m3740,82l3740,2m3080,82l3080,2m2420,82l2420,2m1740,82l1740,2m1024,82l924,82m1080,82l4080,82m1135,82l1135,42m1190,82l1190,42m1245,82l1245,42m1300,82l1300,42m1355,82l1355,42m1410,82l1410,42m1465,82l1465,42m1520,82l1520,42m1575,82l1575,42m1630,82l1630,42m1685,82l1685,42m1797,82l1797,42m1853,82l1853,42m1910,82l1910,42m1967,82l1967,42m2023,82l2023,42m2080,82l2080,42m2137,82l2137,42m2193,82l2193,42m2250,82l2250,42m2307,82l2307,42m2363,82l2363,42m2475,82l2475,42m2530,82l2530,42m2585,82l2585,42m2640,82l2640,42m2695,82l2695,42m2750,82l2750,42m2805,82l2805,42m2860,82l2860,42m2915,82l2915,42m2970,82l2970,42m3025,82l3025,42m3135,82l3135,42m3190,82l3190,42m3245,82l3245,42m3300,82l3300,42m3355,82l3355,42m3410,82l3410,42m3465,82l3465,42m3520,82l3520,42m3575,82l3575,42m3630,82l3630,42m3685,82l3685,42m3797,82l3797,42m3853,82l3853,42m3910,82l3910,42m3967,82l3967,42m4023,82l4023,42m4080,82l4080,42m1080,82l1080,2m4240,82l4140,82e" filled="false" stroked="true" strokeweight=".5pt" strokecolor="#000000">
            <v:path arrowok="t"/>
            <v:stroke dashstyle="solid"/>
            <w10:wrap type="none"/>
          </v:shape>
        </w:pict>
      </w:r>
      <w:r>
        <w:rPr>
          <w:sz w:val="12"/>
        </w:rPr>
        <w:t>6</w:t>
      </w:r>
    </w:p>
    <w:p>
      <w:pPr>
        <w:tabs>
          <w:tab w:pos="919" w:val="left" w:leader="none"/>
          <w:tab w:pos="1599" w:val="left" w:leader="none"/>
          <w:tab w:pos="2259" w:val="left" w:leader="none"/>
          <w:tab w:pos="2779" w:val="left" w:leader="none"/>
        </w:tabs>
        <w:spacing w:line="129" w:lineRule="exact" w:before="0"/>
        <w:ind w:left="159" w:right="0" w:firstLine="0"/>
        <w:jc w:val="center"/>
        <w:rPr>
          <w:sz w:val="12"/>
        </w:rPr>
      </w:pPr>
      <w:r>
        <w:rPr>
          <w:sz w:val="12"/>
        </w:rPr>
        <w:t>1994</w:t>
        <w:tab/>
        <w:t>95</w:t>
        <w:tab/>
        <w:t>96</w:t>
        <w:tab/>
        <w:t>97</w:t>
        <w:tab/>
        <w:t>98</w:t>
      </w:r>
    </w:p>
    <w:p>
      <w:pPr>
        <w:spacing w:before="36"/>
        <w:ind w:left="65" w:right="0" w:firstLine="0"/>
        <w:jc w:val="center"/>
        <w:rPr>
          <w:sz w:val="12"/>
        </w:rPr>
      </w:pPr>
      <w:r>
        <w:rPr>
          <w:color w:val="231F20"/>
          <w:sz w:val="12"/>
        </w:rPr>
        <w:t>Sources: Bank of England, Halifax plc and Nationwide Building Society.</w:t>
      </w:r>
    </w:p>
    <w:p>
      <w:pPr>
        <w:spacing w:before="102"/>
        <w:ind w:left="180" w:right="0" w:firstLine="0"/>
        <w:jc w:val="left"/>
        <w:rPr>
          <w:sz w:val="12"/>
        </w:rPr>
      </w:pPr>
      <w:r>
        <w:rPr>
          <w:color w:val="231F20"/>
          <w:sz w:val="12"/>
        </w:rPr>
        <w:t>(a) Land Registry data for England and Wales only.</w:t>
      </w:r>
    </w:p>
    <w:p>
      <w:pPr>
        <w:pStyle w:val="Heading4"/>
        <w:spacing w:line="242" w:lineRule="auto"/>
        <w:ind w:left="180" w:right="432"/>
        <w:rPr>
          <w:sz w:val="16"/>
        </w:rPr>
      </w:pPr>
      <w:r>
        <w:rPr/>
        <w:br w:type="column"/>
      </w:r>
      <w:r>
        <w:rPr>
          <w:color w:val="231F20"/>
        </w:rPr>
        <w:t>ranged between 6.0%, on the Halifax measure, and 10.8%, on the Nationwide measure (see Chart 1.14).</w:t>
      </w:r>
      <w:r>
        <w:rPr>
          <w:color w:val="231F20"/>
          <w:position w:val="5"/>
          <w:sz w:val="16"/>
        </w:rPr>
        <w:t>(4)</w:t>
      </w:r>
    </w:p>
    <w:p>
      <w:pPr>
        <w:pStyle w:val="BodyText"/>
        <w:rPr>
          <w:sz w:val="11"/>
        </w:rPr>
      </w:pPr>
      <w:r>
        <w:rPr/>
        <w:pict>
          <v:shape style="position:absolute;margin-left:278.5pt;margin-top:8.417349pt;width:276.5pt;height:.1pt;mso-position-horizontal-relative:page;mso-position-vertical-relative:paragraph;z-index:-15644160;mso-wrap-distance-left:0;mso-wrap-distance-right:0" coordorigin="5570,168" coordsize="5530,0" path="m5570,168l11100,168e" filled="false" stroked="true" strokeweight=".125pt" strokecolor="#231f20">
            <v:path arrowok="t"/>
            <v:stroke dashstyle="solid"/>
            <w10:wrap type="topAndBottom"/>
          </v:shape>
        </w:pict>
      </w:r>
    </w:p>
    <w:p>
      <w:pPr>
        <w:pStyle w:val="ListParagraph"/>
        <w:numPr>
          <w:ilvl w:val="0"/>
          <w:numId w:val="12"/>
        </w:numPr>
        <w:tabs>
          <w:tab w:pos="480" w:val="left" w:leader="none"/>
        </w:tabs>
        <w:spacing w:line="208" w:lineRule="auto" w:before="11" w:after="0"/>
        <w:ind w:left="478" w:right="935" w:hanging="288"/>
        <w:jc w:val="left"/>
        <w:rPr>
          <w:sz w:val="16"/>
        </w:rPr>
      </w:pPr>
      <w:r>
        <w:rPr>
          <w:color w:val="231F20"/>
          <w:sz w:val="16"/>
        </w:rPr>
        <w:t>Real share prices are calculated using the FT-SE All-Share index </w:t>
      </w:r>
      <w:r>
        <w:rPr>
          <w:color w:val="231F20"/>
          <w:spacing w:val="-6"/>
          <w:sz w:val="16"/>
        </w:rPr>
        <w:t>and </w:t>
      </w:r>
      <w:r>
        <w:rPr>
          <w:color w:val="231F20"/>
          <w:sz w:val="16"/>
        </w:rPr>
        <w:t>S&amp;P 500 deflated by RPIX and CPI indices.</w:t>
      </w:r>
    </w:p>
    <w:p>
      <w:pPr>
        <w:pStyle w:val="ListParagraph"/>
        <w:numPr>
          <w:ilvl w:val="0"/>
          <w:numId w:val="12"/>
        </w:numPr>
        <w:tabs>
          <w:tab w:pos="480" w:val="left" w:leader="none"/>
        </w:tabs>
        <w:spacing w:line="208" w:lineRule="auto" w:before="0" w:after="0"/>
        <w:ind w:left="478" w:right="708" w:hanging="288"/>
        <w:jc w:val="left"/>
        <w:rPr>
          <w:sz w:val="16"/>
        </w:rPr>
      </w:pPr>
      <w:r>
        <w:rPr>
          <w:color w:val="231F20"/>
          <w:sz w:val="16"/>
        </w:rPr>
        <w:t>A note in ‘The international environment’ on page 216–19 of the </w:t>
      </w:r>
      <w:r>
        <w:rPr>
          <w:color w:val="231F20"/>
          <w:spacing w:val="-3"/>
          <w:sz w:val="16"/>
        </w:rPr>
        <w:t>August </w:t>
      </w:r>
      <w:r>
        <w:rPr>
          <w:i/>
          <w:color w:val="231F20"/>
          <w:sz w:val="16"/>
        </w:rPr>
        <w:t>Quarterly Bulletin </w:t>
      </w:r>
      <w:r>
        <w:rPr>
          <w:color w:val="231F20"/>
          <w:sz w:val="16"/>
        </w:rPr>
        <w:t>examines events in the Asia-Pacific region in more detail.</w:t>
      </w:r>
    </w:p>
    <w:p>
      <w:pPr>
        <w:pStyle w:val="ListParagraph"/>
        <w:numPr>
          <w:ilvl w:val="0"/>
          <w:numId w:val="12"/>
        </w:numPr>
        <w:tabs>
          <w:tab w:pos="480" w:val="left" w:leader="none"/>
        </w:tabs>
        <w:spacing w:line="152" w:lineRule="exact" w:before="0" w:after="0"/>
        <w:ind w:left="479" w:right="0" w:hanging="289"/>
        <w:jc w:val="left"/>
        <w:rPr>
          <w:sz w:val="16"/>
        </w:rPr>
      </w:pPr>
      <w:r>
        <w:rPr>
          <w:color w:val="231F20"/>
          <w:sz w:val="16"/>
        </w:rPr>
        <w:t>Based on Richard Ellis monthly indices.</w:t>
      </w:r>
    </w:p>
    <w:p>
      <w:pPr>
        <w:pStyle w:val="ListParagraph"/>
        <w:numPr>
          <w:ilvl w:val="0"/>
          <w:numId w:val="12"/>
        </w:numPr>
        <w:tabs>
          <w:tab w:pos="480" w:val="left" w:leader="none"/>
        </w:tabs>
        <w:spacing w:line="208" w:lineRule="auto" w:before="7" w:after="0"/>
        <w:ind w:left="478" w:right="637" w:hanging="288"/>
        <w:jc w:val="left"/>
        <w:rPr>
          <w:sz w:val="16"/>
        </w:rPr>
      </w:pPr>
      <w:r>
        <w:rPr>
          <w:color w:val="231F20"/>
          <w:sz w:val="16"/>
        </w:rPr>
        <w:t>For a discussion of how house prices can influence financial conditions </w:t>
      </w:r>
      <w:r>
        <w:rPr>
          <w:color w:val="231F20"/>
          <w:spacing w:val="-8"/>
          <w:sz w:val="16"/>
        </w:rPr>
        <w:t>in </w:t>
      </w:r>
      <w:r>
        <w:rPr>
          <w:color w:val="231F20"/>
          <w:sz w:val="16"/>
        </w:rPr>
        <w:t>the personal sector, see Section 2. See also Hoggarth and Chrystal  (1998) </w:t>
      </w:r>
      <w:r>
        <w:rPr>
          <w:i/>
          <w:color w:val="231F20"/>
          <w:sz w:val="16"/>
        </w:rPr>
        <w:t>op cit </w:t>
      </w:r>
      <w:r>
        <w:rPr>
          <w:color w:val="231F20"/>
          <w:sz w:val="16"/>
        </w:rPr>
        <w:t>for a comparison with the late</w:t>
      </w:r>
      <w:r>
        <w:rPr>
          <w:color w:val="231F20"/>
          <w:spacing w:val="-1"/>
          <w:sz w:val="16"/>
        </w:rPr>
        <w:t> </w:t>
      </w:r>
      <w:r>
        <w:rPr>
          <w:color w:val="231F20"/>
          <w:sz w:val="16"/>
        </w:rPr>
        <w:t>1980s.</w:t>
      </w:r>
    </w:p>
    <w:p>
      <w:pPr>
        <w:spacing w:after="0" w:line="208" w:lineRule="auto"/>
        <w:jc w:val="left"/>
        <w:rPr>
          <w:sz w:val="16"/>
        </w:rPr>
        <w:sectPr>
          <w:type w:val="continuous"/>
          <w:pgSz w:w="11900" w:h="16840"/>
          <w:pgMar w:top="1220" w:bottom="280" w:left="620" w:right="640"/>
          <w:cols w:num="2" w:equalWidth="0">
            <w:col w:w="3841" w:space="948"/>
            <w:col w:w="5851"/>
          </w:cols>
        </w:sectPr>
      </w:pPr>
    </w:p>
    <w:p>
      <w:pPr>
        <w:pStyle w:val="BodyText"/>
        <w:rPr>
          <w:sz w:val="20"/>
        </w:rPr>
      </w:pPr>
    </w:p>
    <w:p>
      <w:pPr>
        <w:pStyle w:val="BodyText"/>
        <w:spacing w:before="2"/>
      </w:pPr>
    </w:p>
    <w:p>
      <w:pPr>
        <w:pStyle w:val="Heading2"/>
        <w:spacing w:before="89"/>
        <w:ind w:left="1257" w:right="1264"/>
        <w:jc w:val="center"/>
      </w:pPr>
      <w:r>
        <w:rPr/>
        <w:pict>
          <v:group style="position:absolute;margin-left:40pt;margin-top:-18.269665pt;width:516pt;height:421pt;mso-position-horizontal-relative:page;mso-position-vertical-relative:paragraph;z-index:-21104640" coordorigin="800,-365" coordsize="10320,8420">
            <v:shape style="position:absolute;left:820;top:-346;width:10280;height:8380" coordorigin="820,-345" coordsize="10280,8380" path="m11100,-345l5984,-345,5936,-345,820,-345,820,3828,820,3861,820,8035,5935,8035,5984,8035,11100,8035,11100,-345xe" filled="true" fillcolor="#c3e0dc" stroked="false">
              <v:path arrowok="t"/>
              <v:fill type="solid"/>
            </v:shape>
            <v:shape style="position:absolute;left:899;top:-285;width:10122;height:8258" coordorigin="899,-284" coordsize="10122,8258" path="m5960,-284l899,3845,5960,7974,11021,3845,5960,-284xe" filled="true" fillcolor="#c4e1dd" stroked="false">
              <v:path arrowok="t"/>
              <v:fill type="solid"/>
            </v:shape>
            <v:shape style="position:absolute;left:998;top:-204;width:9923;height:8096" coordorigin="998,-203" coordsize="9923,8096" path="m5960,-203l998,3845,5960,7893,10921,3845,5960,-203xe" filled="true" fillcolor="#c5e1dd" stroked="false">
              <v:path arrowok="t"/>
              <v:fill type="solid"/>
            </v:shape>
            <v:shape style="position:absolute;left:1097;top:-123;width:9725;height:7935" coordorigin="1098,-122" coordsize="9725,7935" path="m5960,-122l1098,3845,5960,7812,10822,3845,5960,-122xe" filled="true" fillcolor="#c6e2de" stroked="false">
              <v:path arrowok="t"/>
              <v:fill type="solid"/>
            </v:shape>
            <v:shape style="position:absolute;left:1196;top:-42;width:9527;height:7773" coordorigin="1197,-41" coordsize="9527,7773" path="m5960,-41l1197,3845,5960,7731,10723,3845,5960,-41xe" filled="true" fillcolor="#c7e2df" stroked="false">
              <v:path arrowok="t"/>
              <v:fill type="solid"/>
            </v:shape>
            <v:shape style="position:absolute;left:1296;top:39;width:9328;height:7611" coordorigin="1296,40" coordsize="9328,7611" path="m5960,40l1296,3845,5960,7650,10624,3845,5960,40xe" filled="true" fillcolor="#c8e3df" stroked="false">
              <v:path arrowok="t"/>
              <v:fill type="solid"/>
            </v:shape>
            <v:shape style="position:absolute;left:1395;top:120;width:9130;height:7449" coordorigin="1395,121" coordsize="9130,7449" path="m5960,121l1395,3845,5960,7569,10524,3845,5960,121xe" filled="true" fillcolor="#c9e3e0" stroked="false">
              <v:path arrowok="t"/>
              <v:fill type="solid"/>
            </v:shape>
            <v:shape style="position:absolute;left:1494;top:201;width:8931;height:7287" coordorigin="1495,201" coordsize="8931,7287" path="m5960,201l1495,3845,5960,7488,10425,3845,5960,201xe" filled="true" fillcolor="#cae4e0" stroked="false">
              <v:path arrowok="t"/>
              <v:fill type="solid"/>
            </v:shape>
            <v:shape style="position:absolute;left:1593;top:282;width:8733;height:7125" coordorigin="1594,282" coordsize="8733,7125" path="m5960,282l1594,3845,5960,7407,10326,3845,5960,282xe" filled="true" fillcolor="#cbe4e1" stroked="false">
              <v:path arrowok="t"/>
              <v:fill type="solid"/>
            </v:shape>
            <v:shape style="position:absolute;left:1693;top:363;width:8534;height:6963" coordorigin="1693,363" coordsize="8534,6963" path="m5960,363l1693,3845,5960,7326,10227,3845,5960,363xe" filled="true" fillcolor="#cce5e1" stroked="false">
              <v:path arrowok="t"/>
              <v:fill type="solid"/>
            </v:shape>
            <v:shape style="position:absolute;left:1792;top:444;width:8336;height:6801" coordorigin="1792,444" coordsize="8336,6801" path="m5960,444l1792,3845,5960,7245,10128,3845,5960,444xe" filled="true" fillcolor="#cde5e2" stroked="false">
              <v:path arrowok="t"/>
              <v:fill type="solid"/>
            </v:shape>
            <v:shape style="position:absolute;left:1891;top:525;width:8137;height:6639" coordorigin="1892,525" coordsize="8137,6639" path="m5960,525l1892,3845,5960,7164,10028,3845,5960,525xe" filled="true" fillcolor="#cee6e3" stroked="false">
              <v:path arrowok="t"/>
              <v:fill type="solid"/>
            </v:shape>
            <v:shape style="position:absolute;left:1990;top:606;width:7939;height:6477" coordorigin="1991,606" coordsize="7939,6477" path="m5960,606l1991,3845,5960,7083,9929,3845,5960,606xe" filled="true" fillcolor="#cfe6e3" stroked="false">
              <v:path arrowok="t"/>
              <v:fill type="solid"/>
            </v:shape>
            <v:shape style="position:absolute;left:2089;top:687;width:7740;height:6315" coordorigin="2090,687" coordsize="7740,6315" path="m5960,687l2090,3845,5960,7002,9830,3845,5960,687xe" filled="true" fillcolor="#d0e7e4" stroked="false">
              <v:path arrowok="t"/>
              <v:fill type="solid"/>
            </v:shape>
            <v:shape style="position:absolute;left:2189;top:768;width:7542;height:6153" coordorigin="2189,768" coordsize="7542,6153" path="m5960,768l2189,3845,5960,6921,9731,3845,5960,768xe" filled="true" fillcolor="#d1e7e4" stroked="false">
              <v:path arrowok="t"/>
              <v:fill type="solid"/>
            </v:shape>
            <v:shape style="position:absolute;left:2288;top:849;width:7343;height:5992" coordorigin="2288,849" coordsize="7343,5992" path="m5960,849l2288,3845,5960,6840,9631,3845,5960,849xe" filled="true" fillcolor="#d3e8e5" stroked="false">
              <v:path arrowok="t"/>
              <v:fill type="solid"/>
            </v:shape>
            <v:shape style="position:absolute;left:2387;top:930;width:7145;height:5830" coordorigin="2388,930" coordsize="7145,5830" path="m5960,930l2388,3845,5960,6759,9532,3845,5960,930xe" filled="true" fillcolor="#d4e8e5" stroked="false">
              <v:path arrowok="t"/>
              <v:fill type="solid"/>
            </v:shape>
            <v:shape style="position:absolute;left:2486;top:1011;width:6947;height:5668" coordorigin="2487,1011" coordsize="6947,5668" path="m5960,1011l2487,3845,5960,6678,9433,3845,5960,1011xe" filled="true" fillcolor="#d5e9e6" stroked="false">
              <v:path arrowok="t"/>
              <v:fill type="solid"/>
            </v:shape>
            <v:shape style="position:absolute;left:2586;top:1092;width:6748;height:5506" coordorigin="2586,1092" coordsize="6748,5506" path="m5960,1092l2586,3845,5960,6597,9334,3845,5960,1092xe" filled="true" fillcolor="#d6eae7" stroked="false">
              <v:path arrowok="t"/>
              <v:fill type="solid"/>
            </v:shape>
            <v:shape style="position:absolute;left:2685;top:1173;width:6550;height:5344" coordorigin="2685,1173" coordsize="6550,5344" path="m5960,1173l2685,3845,5960,6516,9234,3845,5960,1173xe" filled="true" fillcolor="#d7eae7" stroked="false">
              <v:path arrowok="t"/>
              <v:fill type="solid"/>
            </v:shape>
            <v:shape style="position:absolute;left:2784;top:1253;width:6351;height:5182" coordorigin="2785,1254" coordsize="6351,5182" path="m5960,1254l2785,3845,5960,6435,9135,3845,5960,1254xe" filled="true" fillcolor="#d8ebe8" stroked="false">
              <v:path arrowok="t"/>
              <v:fill type="solid"/>
            </v:shape>
            <v:shape style="position:absolute;left:2883;top:1334;width:6153;height:5020" coordorigin="2884,1335" coordsize="6153,5020" path="m5960,1335l2884,3845,5960,6354,9036,3845,5960,1335xe" filled="true" fillcolor="#d9ebe8" stroked="false">
              <v:path arrowok="t"/>
              <v:fill type="solid"/>
            </v:shape>
            <v:shape style="position:absolute;left:2983;top:1415;width:5954;height:4858" coordorigin="2983,1416" coordsize="5954,4858" path="m5960,1416l2983,3845,5960,6273,8937,3845,5960,1416xe" filled="true" fillcolor="#daece9" stroked="false">
              <v:path arrowok="t"/>
              <v:fill type="solid"/>
            </v:shape>
            <v:shape style="position:absolute;left:3082;top:1496;width:5756;height:4696" coordorigin="3082,1497" coordsize="5756,4696" path="m5960,1497l3082,3845,5960,6193,8838,3845,5960,1497xe" filled="true" fillcolor="#dbece9" stroked="false">
              <v:path arrowok="t"/>
              <v:fill type="solid"/>
            </v:shape>
            <v:shape style="position:absolute;left:3181;top:1577;width:5557;height:4534" coordorigin="3182,1578" coordsize="5557,4534" path="m5960,1578l3182,3845,5960,6112,8738,3845,5960,1578xe" filled="true" fillcolor="#dcedea" stroked="false">
              <v:path arrowok="t"/>
              <v:fill type="solid"/>
            </v:shape>
            <v:shape style="position:absolute;left:3280;top:1658;width:5359;height:4372" coordorigin="3281,1659" coordsize="5359,4372" path="m5960,1659l3281,3845,5960,6031,8639,3845,5960,1659xe" filled="true" fillcolor="#ddedeb" stroked="false">
              <v:path arrowok="t"/>
              <v:fill type="solid"/>
            </v:shape>
            <v:shape style="position:absolute;left:3379;top:1739;width:5160;height:4210" coordorigin="3380,1740" coordsize="5160,4210" path="m5960,1740l3380,3845,5960,5950,8540,3845,5960,1740xe" filled="true" fillcolor="#deeeeb" stroked="false">
              <v:path arrowok="t"/>
              <v:fill type="solid"/>
            </v:shape>
            <v:shape style="position:absolute;left:3479;top:1820;width:4962;height:4048" coordorigin="3479,1821" coordsize="4962,4048" path="m5960,1821l3479,3845,5960,5869,8441,3845,5960,1821xe" filled="true" fillcolor="#e0efec" stroked="false">
              <v:path arrowok="t"/>
              <v:fill type="solid"/>
            </v:shape>
            <v:shape style="position:absolute;left:3578;top:1901;width:4764;height:3887" coordorigin="3578,1902" coordsize="4764,3887" path="m5960,1902l3578,3845,5960,5788,8341,3845,5960,1902xe" filled="true" fillcolor="#e1efec" stroked="false">
              <v:path arrowok="t"/>
              <v:fill type="solid"/>
            </v:shape>
            <v:shape style="position:absolute;left:3677;top:1982;width:4565;height:3725" coordorigin="3678,1983" coordsize="4565,3725" path="m5960,1983l3678,3845,5960,5707,8242,3845,5960,1983xe" filled="true" fillcolor="#e2f0ed" stroked="false">
              <v:path arrowok="t"/>
              <v:fill type="solid"/>
            </v:shape>
            <v:shape style="position:absolute;left:3776;top:2063;width:4367;height:3563" coordorigin="3777,2064" coordsize="4367,3563" path="m5960,2064l3777,3845,5960,5626,8143,3845,5960,2064xe" filled="true" fillcolor="#e3f0ee" stroked="false">
              <v:path arrowok="t"/>
              <v:fill type="solid"/>
            </v:shape>
            <v:shape style="position:absolute;left:3876;top:2144;width:4168;height:3401" coordorigin="3876,2145" coordsize="4168,3401" path="m5960,2145l3876,3845,5960,5545,8044,3845,5960,2145xe" filled="true" fillcolor="#e4f1ee" stroked="false">
              <v:path arrowok="t"/>
              <v:fill type="solid"/>
            </v:shape>
            <v:shape style="position:absolute;left:3975;top:2225;width:3970;height:3239" coordorigin="3975,2225" coordsize="3970,3239" path="m5960,2225l3975,3845,5960,5464,7945,3845,5960,2225xe" filled="true" fillcolor="#e5f1ef" stroked="false">
              <v:path arrowok="t"/>
              <v:fill type="solid"/>
            </v:shape>
            <v:shape style="position:absolute;left:4074;top:2306;width:3771;height:3077" coordorigin="4075,2306" coordsize="3771,3077" path="m5960,2306l4075,3845,5960,5383,7845,3845,5960,2306xe" filled="true" fillcolor="#e6f2ef" stroked="false">
              <v:path arrowok="t"/>
              <v:fill type="solid"/>
            </v:shape>
            <v:shape style="position:absolute;left:4173;top:2387;width:3573;height:2915" coordorigin="4174,2387" coordsize="3573,2915" path="m5960,2387l4174,3845,5960,5302,7746,3845,5960,2387xe" filled="true" fillcolor="#e7f3f0" stroked="false">
              <v:path arrowok="t"/>
              <v:fill type="solid"/>
            </v:shape>
            <v:shape style="position:absolute;left:4273;top:2468;width:3374;height:2753" coordorigin="4273,2468" coordsize="3374,2753" path="m5960,2468l4273,3845,5960,5221,7647,3845,5960,2468xe" filled="true" fillcolor="#e9f3f1" stroked="false">
              <v:path arrowok="t"/>
              <v:fill type="solid"/>
            </v:shape>
            <v:shape style="position:absolute;left:4372;top:2549;width:3176;height:2591" coordorigin="4372,2549" coordsize="3176,2591" path="m5960,2549l4372,3845,5960,5140,7548,3845,5960,2549xe" filled="true" fillcolor="#eaf4f2" stroked="false">
              <v:path arrowok="t"/>
              <v:fill type="solid"/>
            </v:shape>
            <v:shape style="position:absolute;left:4471;top:2630;width:2977;height:2429" coordorigin="4471,2630" coordsize="2977,2429" path="m5960,2630l4471,3845,5960,5059,7448,3845,5960,2630xe" filled="true" fillcolor="#ebf4f2" stroked="false">
              <v:path arrowok="t"/>
              <v:fill type="solid"/>
            </v:shape>
            <v:shape style="position:absolute;left:4570;top:2711;width:2779;height:2267" coordorigin="4571,2711" coordsize="2779,2267" path="m5960,2711l4571,3845,5960,4978,7349,3845,5960,2711xe" filled="true" fillcolor="#ecf5f3" stroked="false">
              <v:path arrowok="t"/>
              <v:fill type="solid"/>
            </v:shape>
            <v:shape style="position:absolute;left:4669;top:2792;width:2580;height:2105" coordorigin="4670,2792" coordsize="2580,2105" path="m5960,2792l4670,3845,5960,4897,7250,3845,5960,2792xe" filled="true" fillcolor="#edf6f4" stroked="false">
              <v:path arrowok="t"/>
              <v:fill type="solid"/>
            </v:shape>
            <v:shape style="position:absolute;left:4769;top:2873;width:2382;height:1944" coordorigin="4769,2873" coordsize="2382,1944" path="m5960,2873l4769,3845,5960,4816,7151,3845,5960,2873xe" filled="true" fillcolor="#eff7f5" stroked="false">
              <v:path arrowok="t"/>
              <v:fill type="solid"/>
            </v:shape>
            <v:shape style="position:absolute;left:4868;top:2954;width:2184;height:1782" coordorigin="4868,2954" coordsize="2184,1782" path="m5960,2954l4868,3845,5960,4735,7051,3845,5960,2954xe" filled="true" fillcolor="#f0f7f5" stroked="false">
              <v:path arrowok="t"/>
              <v:fill type="solid"/>
            </v:shape>
            <v:shape style="position:absolute;left:4967;top:3035;width:1985;height:1620" coordorigin="4968,3035" coordsize="1985,1620" path="m5960,3035l4968,3845,5960,4654,6952,3845,5960,3035xe" filled="true" fillcolor="#f1f8f6" stroked="false">
              <v:path arrowok="t"/>
              <v:fill type="solid"/>
            </v:shape>
            <v:shape style="position:absolute;left:5066;top:3116;width:1787;height:1458" coordorigin="5067,3116" coordsize="1787,1458" path="m5960,3116l5067,3845,5960,4573,6853,3845,5960,3116xe" filled="true" fillcolor="#f2f8f7" stroked="false">
              <v:path arrowok="t"/>
              <v:fill type="solid"/>
            </v:shape>
            <v:shape style="position:absolute;left:5166;top:3197;width:1588;height:1296" coordorigin="5166,3197" coordsize="1588,1296" path="m5960,3197l5166,3845,5960,4492,6754,3845,5960,3197xe" filled="true" fillcolor="#f3f9f8" stroked="false">
              <v:path arrowok="t"/>
              <v:fill type="solid"/>
            </v:shape>
            <v:shape style="position:absolute;left:5265;top:3277;width:1390;height:1134" coordorigin="5265,3278" coordsize="1390,1134" path="m5960,3278l5265,3845,5960,4411,6655,3845,5960,3278xe" filled="true" fillcolor="#f5f9f8" stroked="false">
              <v:path arrowok="t"/>
              <v:fill type="solid"/>
            </v:shape>
            <v:shape style="position:absolute;left:5364;top:3358;width:1191;height:972" coordorigin="5365,3359" coordsize="1191,972" path="m5960,3359l5365,3845,5960,4330,6555,3845,5960,3359xe" filled="true" fillcolor="#f6faf9" stroked="false">
              <v:path arrowok="t"/>
              <v:fill type="solid"/>
            </v:shape>
            <v:shape style="position:absolute;left:5463;top:3439;width:993;height:810" coordorigin="5464,3440" coordsize="993,810" path="m5960,3440l5464,3845,5960,4249,6456,3845,5960,3440xe" filled="true" fillcolor="#f8fbfa" stroked="false">
              <v:path arrowok="t"/>
              <v:fill type="solid"/>
            </v:shape>
            <v:shape style="position:absolute;left:5563;top:3520;width:794;height:648" coordorigin="5563,3521" coordsize="794,648" path="m5960,3521l5563,3845,5960,4169,6357,3845,5960,3521xe" filled="true" fillcolor="#f9fcfc" stroked="false">
              <v:path arrowok="t"/>
              <v:fill type="solid"/>
            </v:shape>
            <v:shape style="position:absolute;left:5662;top:3601;width:596;height:486" coordorigin="5662,3602" coordsize="596,486" path="m5960,3602l5662,3845,5960,4088,6258,3845,5960,3602xe" filled="true" fillcolor="#fbfdfd" stroked="false">
              <v:path arrowok="t"/>
              <v:fill type="solid"/>
            </v:shape>
            <v:shape style="position:absolute;left:5761;top:3682;width:397;height:324" type="#_x0000_t75" stroked="false">
              <v:imagedata r:id="rId20" o:title=""/>
            </v:shape>
            <v:rect style="position:absolute;left:810;top:-356;width:10300;height:8400" filled="false" stroked="true" strokeweight="1pt" strokecolor="#009483">
              <v:stroke dashstyle="solid"/>
            </v:rect>
            <v:rect style="position:absolute;left:6165;top:5224;width:4330;height:2420" filled="true" fillcolor="#ffffff" stroked="false">
              <v:fill type="solid"/>
            </v:rect>
            <v:line style="position:absolute" from="6180,5215" to="10520,5215" stroked="true" strokeweight=".125pt" strokecolor="#231f20">
              <v:stroke dashstyle="solid"/>
            </v:line>
            <w10:wrap type="none"/>
          </v:group>
        </w:pict>
      </w:r>
      <w:bookmarkStart w:name="Exchange rates" w:id="31"/>
      <w:bookmarkEnd w:id="31"/>
      <w:r>
        <w:rPr>
          <w:b w:val="0"/>
        </w:rPr>
      </w:r>
      <w:bookmarkStart w:name="The determinants of equity values" w:id="32"/>
      <w:bookmarkEnd w:id="32"/>
      <w:r>
        <w:rPr>
          <w:b w:val="0"/>
        </w:rPr>
      </w:r>
      <w:bookmarkStart w:name="_bookmark11" w:id="33"/>
      <w:bookmarkEnd w:id="33"/>
      <w:r>
        <w:rPr>
          <w:b w:val="0"/>
        </w:rPr>
      </w:r>
      <w:bookmarkStart w:name="_bookmark12" w:id="34"/>
      <w:bookmarkEnd w:id="34"/>
      <w:r>
        <w:rPr>
          <w:b w:val="0"/>
        </w:rPr>
      </w:r>
      <w:r>
        <w:rPr>
          <w:color w:val="009483"/>
        </w:rPr>
        <w:t>The determinants of equity values</w:t>
      </w:r>
    </w:p>
    <w:p>
      <w:pPr>
        <w:pStyle w:val="BodyText"/>
        <w:spacing w:before="6"/>
        <w:rPr>
          <w:b/>
          <w:sz w:val="26"/>
        </w:rPr>
      </w:pPr>
    </w:p>
    <w:p>
      <w:pPr>
        <w:spacing w:after="0"/>
        <w:rPr>
          <w:sz w:val="26"/>
        </w:rPr>
        <w:sectPr>
          <w:pgSz w:w="11900" w:h="16840"/>
          <w:pgMar w:header="566" w:footer="607" w:top="760" w:bottom="800" w:left="620" w:right="640"/>
        </w:sectPr>
      </w:pPr>
    </w:p>
    <w:p>
      <w:pPr>
        <w:pStyle w:val="Heading9"/>
        <w:spacing w:line="249" w:lineRule="auto" w:before="91"/>
        <w:ind w:left="434" w:right="54"/>
      </w:pPr>
      <w:r>
        <w:rPr>
          <w:color w:val="231F20"/>
        </w:rPr>
        <w:t>The value of an equity can be thought of as the discounted stream of real dividend payments derived from that equity. So equity prices change when expectations about either future real earnings or the discount factor change. The discount factor is the sum of two components—a risk-free real return, and a premium that investors require to compensate them for equity</w:t>
      </w:r>
    </w:p>
    <w:p>
      <w:pPr>
        <w:spacing w:before="6"/>
        <w:ind w:left="434" w:right="0" w:firstLine="0"/>
        <w:jc w:val="left"/>
        <w:rPr>
          <w:sz w:val="20"/>
        </w:rPr>
      </w:pPr>
      <w:r>
        <w:rPr>
          <w:color w:val="231F20"/>
          <w:sz w:val="20"/>
        </w:rPr>
        <w:t>risk.</w:t>
      </w:r>
    </w:p>
    <w:p>
      <w:pPr>
        <w:pStyle w:val="BodyText"/>
        <w:spacing w:before="3"/>
        <w:rPr>
          <w:sz w:val="25"/>
        </w:rPr>
      </w:pPr>
    </w:p>
    <w:p>
      <w:pPr>
        <w:spacing w:line="249" w:lineRule="auto" w:before="0"/>
        <w:ind w:left="434" w:right="0" w:firstLine="0"/>
        <w:jc w:val="left"/>
        <w:rPr>
          <w:sz w:val="20"/>
        </w:rPr>
      </w:pPr>
      <w:r>
        <w:rPr>
          <w:color w:val="231F20"/>
          <w:sz w:val="20"/>
        </w:rPr>
        <w:t>Measures of expected real dividend growth are difficult </w:t>
      </w:r>
      <w:r>
        <w:rPr>
          <w:color w:val="231F20"/>
          <w:spacing w:val="-10"/>
          <w:sz w:val="20"/>
        </w:rPr>
        <w:t>to </w:t>
      </w:r>
      <w:r>
        <w:rPr>
          <w:color w:val="231F20"/>
          <w:sz w:val="20"/>
        </w:rPr>
        <w:t>estimate directly. But implied estimates of the rate of </w:t>
      </w:r>
      <w:r>
        <w:rPr>
          <w:color w:val="231F20"/>
          <w:spacing w:val="-4"/>
          <w:sz w:val="20"/>
        </w:rPr>
        <w:t>real </w:t>
      </w:r>
      <w:r>
        <w:rPr>
          <w:color w:val="231F20"/>
          <w:sz w:val="20"/>
        </w:rPr>
        <w:t>dividend growth embodied in current UK equity prices can be obtained from the observed dividend yield and </w:t>
      </w:r>
      <w:r>
        <w:rPr>
          <w:color w:val="231F20"/>
          <w:spacing w:val="-4"/>
          <w:sz w:val="20"/>
        </w:rPr>
        <w:t>real </w:t>
      </w:r>
      <w:r>
        <w:rPr>
          <w:color w:val="231F20"/>
          <w:sz w:val="20"/>
        </w:rPr>
        <w:t>risk-free return, and by making assumptions about the real cost of equity capital (specifically the equity risk premium). It is also assumed that the real dividend growth rate and equity risk premium are constant over time.</w:t>
      </w:r>
    </w:p>
    <w:p>
      <w:pPr>
        <w:pStyle w:val="BodyText"/>
        <w:spacing w:before="11"/>
        <w:rPr>
          <w:sz w:val="24"/>
        </w:rPr>
      </w:pPr>
    </w:p>
    <w:p>
      <w:pPr>
        <w:spacing w:line="249" w:lineRule="auto" w:before="0"/>
        <w:ind w:left="434" w:right="225" w:firstLine="0"/>
        <w:jc w:val="left"/>
        <w:rPr>
          <w:sz w:val="20"/>
        </w:rPr>
      </w:pPr>
      <w:r>
        <w:rPr/>
        <w:pict>
          <v:shape style="position:absolute;margin-left:50.220001pt;margin-top:42.845947pt;width:380.6pt;height:40.7pt;mso-position-horizontal-relative:page;mso-position-vertical-relative:paragraph;z-index:15823872"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1"/>
                    <w:gridCol w:w="70"/>
                    <w:gridCol w:w="1208"/>
                    <w:gridCol w:w="481"/>
                    <w:gridCol w:w="433"/>
                  </w:tblGrid>
                  <w:tr>
                    <w:trPr>
                      <w:trHeight w:val="10" w:hRule="atLeast"/>
                    </w:trPr>
                    <w:tc>
                      <w:tcPr>
                        <w:tcW w:w="5421" w:type="dxa"/>
                        <w:shd w:val="clear" w:color="auto" w:fill="C3E0DC"/>
                      </w:tcPr>
                      <w:p>
                        <w:pPr>
                          <w:pStyle w:val="TableParagraph"/>
                          <w:rPr>
                            <w:sz w:val="2"/>
                          </w:rPr>
                        </w:pPr>
                      </w:p>
                    </w:tc>
                    <w:tc>
                      <w:tcPr>
                        <w:tcW w:w="70" w:type="dxa"/>
                        <w:shd w:val="clear" w:color="auto" w:fill="FFFFFF"/>
                      </w:tcPr>
                      <w:p>
                        <w:pPr>
                          <w:pStyle w:val="TableParagraph"/>
                          <w:rPr>
                            <w:sz w:val="2"/>
                          </w:rPr>
                        </w:pPr>
                      </w:p>
                    </w:tc>
                    <w:tc>
                      <w:tcPr>
                        <w:tcW w:w="1208" w:type="dxa"/>
                        <w:tcBorders>
                          <w:top w:val="single" w:sz="48" w:space="0" w:color="F0F1F1"/>
                        </w:tcBorders>
                      </w:tcPr>
                      <w:p>
                        <w:pPr>
                          <w:pStyle w:val="TableParagraph"/>
                          <w:rPr>
                            <w:sz w:val="2"/>
                          </w:rPr>
                        </w:pPr>
                      </w:p>
                    </w:tc>
                    <w:tc>
                      <w:tcPr>
                        <w:tcW w:w="914" w:type="dxa"/>
                        <w:gridSpan w:val="2"/>
                        <w:shd w:val="clear" w:color="auto" w:fill="F0F1F1"/>
                      </w:tcPr>
                      <w:p>
                        <w:pPr>
                          <w:pStyle w:val="TableParagraph"/>
                          <w:rPr>
                            <w:sz w:val="2"/>
                          </w:rPr>
                        </w:pPr>
                      </w:p>
                    </w:tc>
                  </w:tr>
                  <w:tr>
                    <w:trPr>
                      <w:trHeight w:val="277" w:hRule="atLeast"/>
                    </w:trPr>
                    <w:tc>
                      <w:tcPr>
                        <w:tcW w:w="5421" w:type="dxa"/>
                        <w:tcBorders>
                          <w:right w:val="single" w:sz="48" w:space="0" w:color="F0F1F1"/>
                        </w:tcBorders>
                        <w:shd w:val="clear" w:color="auto" w:fill="C3E0DC"/>
                      </w:tcPr>
                      <w:p>
                        <w:pPr>
                          <w:pStyle w:val="TableParagraph"/>
                          <w:tabs>
                            <w:tab w:pos="5491" w:val="right" w:leader="none"/>
                          </w:tabs>
                          <w:spacing w:line="238" w:lineRule="exact" w:before="20"/>
                          <w:ind w:left="50" w:right="-144"/>
                          <w:rPr>
                            <w:b/>
                            <w:sz w:val="14"/>
                          </w:rPr>
                        </w:pPr>
                        <w:r>
                          <w:rPr>
                            <w:color w:val="231F20"/>
                            <w:sz w:val="20"/>
                          </w:rPr>
                          <w:t>Real interest rates have fallen over the past 18 months</w:t>
                          <w:tab/>
                        </w:r>
                        <w:r>
                          <w:rPr>
                            <w:b/>
                            <w:color w:val="231F20"/>
                            <w:position w:val="-4"/>
                            <w:sz w:val="14"/>
                            <w:shd w:fill="F0F1F1" w:color="auto" w:val="clear"/>
                          </w:rPr>
                          <w:t>8</w:t>
                        </w:r>
                      </w:p>
                    </w:tc>
                    <w:tc>
                      <w:tcPr>
                        <w:tcW w:w="70" w:type="dxa"/>
                        <w:shd w:val="clear" w:color="auto" w:fill="F0F1F1"/>
                      </w:tcPr>
                      <w:p>
                        <w:pPr>
                          <w:pStyle w:val="TableParagraph"/>
                          <w:rPr>
                            <w:sz w:val="18"/>
                          </w:rPr>
                        </w:pPr>
                      </w:p>
                    </w:tc>
                    <w:tc>
                      <w:tcPr>
                        <w:tcW w:w="1208" w:type="dxa"/>
                        <w:tcBorders>
                          <w:left w:val="single" w:sz="48" w:space="0" w:color="F0F1F1"/>
                        </w:tcBorders>
                        <w:shd w:val="clear" w:color="auto" w:fill="FFFFFF"/>
                      </w:tcPr>
                      <w:p>
                        <w:pPr>
                          <w:pStyle w:val="TableParagraph"/>
                          <w:spacing w:line="132" w:lineRule="exact" w:before="126"/>
                          <w:ind w:right="170"/>
                          <w:jc w:val="right"/>
                          <w:rPr>
                            <w:sz w:val="14"/>
                          </w:rPr>
                        </w:pPr>
                        <w:r>
                          <w:rPr>
                            <w:color w:val="231F20"/>
                            <w:sz w:val="14"/>
                          </w:rPr>
                          <w:t>8.1</w:t>
                        </w:r>
                      </w:p>
                    </w:tc>
                    <w:tc>
                      <w:tcPr>
                        <w:tcW w:w="481" w:type="dxa"/>
                        <w:shd w:val="clear" w:color="auto" w:fill="FFFFFF"/>
                      </w:tcPr>
                      <w:p>
                        <w:pPr>
                          <w:pStyle w:val="TableParagraph"/>
                          <w:spacing w:line="132" w:lineRule="exact" w:before="126"/>
                          <w:ind w:left="132"/>
                          <w:rPr>
                            <w:sz w:val="14"/>
                          </w:rPr>
                        </w:pPr>
                        <w:r>
                          <w:rPr>
                            <w:color w:val="231F20"/>
                            <w:sz w:val="14"/>
                          </w:rPr>
                          <w:t>7.6</w:t>
                        </w:r>
                      </w:p>
                    </w:tc>
                    <w:tc>
                      <w:tcPr>
                        <w:tcW w:w="433" w:type="dxa"/>
                        <w:shd w:val="clear" w:color="auto" w:fill="FFFFFF"/>
                      </w:tcPr>
                      <w:p>
                        <w:pPr>
                          <w:pStyle w:val="TableParagraph"/>
                          <w:spacing w:line="132" w:lineRule="exact" w:before="126"/>
                          <w:ind w:left="131"/>
                          <w:rPr>
                            <w:sz w:val="14"/>
                          </w:rPr>
                        </w:pPr>
                        <w:r>
                          <w:rPr>
                            <w:color w:val="231F20"/>
                            <w:sz w:val="14"/>
                          </w:rPr>
                          <w:t>7.1</w:t>
                        </w:r>
                      </w:p>
                    </w:tc>
                  </w:tr>
                  <w:tr>
                    <w:trPr>
                      <w:trHeight w:val="452" w:hRule="atLeast"/>
                    </w:trPr>
                    <w:tc>
                      <w:tcPr>
                        <w:tcW w:w="5421" w:type="dxa"/>
                        <w:tcBorders>
                          <w:right w:val="single" w:sz="48" w:space="0" w:color="F0F1F1"/>
                        </w:tcBorders>
                        <w:shd w:val="clear" w:color="auto" w:fill="C3E0DC"/>
                      </w:tcPr>
                      <w:p>
                        <w:pPr>
                          <w:pStyle w:val="TableParagraph"/>
                          <w:tabs>
                            <w:tab w:pos="5491" w:val="right" w:leader="none"/>
                          </w:tabs>
                          <w:spacing w:line="170" w:lineRule="exact"/>
                          <w:ind w:left="50" w:right="-144"/>
                          <w:rPr>
                            <w:b/>
                            <w:sz w:val="14"/>
                          </w:rPr>
                        </w:pPr>
                        <w:r>
                          <w:rPr>
                            <w:color w:val="231F20"/>
                            <w:sz w:val="20"/>
                          </w:rPr>
                          <w:t>(see Table 1.E) and may account for some of the</w:t>
                          <w:tab/>
                        </w:r>
                        <w:r>
                          <w:rPr>
                            <w:b/>
                            <w:color w:val="231F20"/>
                            <w:position w:val="5"/>
                            <w:sz w:val="14"/>
                            <w:shd w:fill="F0F1F1" w:color="auto" w:val="clear"/>
                          </w:rPr>
                          <w:t>6</w:t>
                        </w:r>
                      </w:p>
                      <w:p>
                        <w:pPr>
                          <w:pStyle w:val="TableParagraph"/>
                          <w:spacing w:line="86" w:lineRule="exact"/>
                          <w:ind w:right="-144"/>
                          <w:jc w:val="right"/>
                          <w:rPr>
                            <w:b/>
                            <w:sz w:val="14"/>
                          </w:rPr>
                        </w:pPr>
                        <w:r>
                          <w:rPr>
                            <w:b/>
                            <w:color w:val="231F20"/>
                            <w:sz w:val="14"/>
                            <w:shd w:fill="F0F1F1" w:color="auto" w:val="clear"/>
                          </w:rPr>
                          <w:t>4</w:t>
                        </w:r>
                      </w:p>
                      <w:p>
                        <w:pPr>
                          <w:pStyle w:val="TableParagraph"/>
                          <w:spacing w:line="176" w:lineRule="exact"/>
                          <w:ind w:left="50"/>
                          <w:rPr>
                            <w:sz w:val="20"/>
                          </w:rPr>
                        </w:pPr>
                        <w:r>
                          <w:rPr>
                            <w:color w:val="231F20"/>
                            <w:sz w:val="20"/>
                          </w:rPr>
                          <w:t>strength in equity prices. Estimates of the equity</w:t>
                        </w:r>
                      </w:p>
                    </w:tc>
                    <w:tc>
                      <w:tcPr>
                        <w:tcW w:w="70" w:type="dxa"/>
                        <w:shd w:val="clear" w:color="auto" w:fill="F0F1F1"/>
                      </w:tcPr>
                      <w:p>
                        <w:pPr>
                          <w:pStyle w:val="TableParagraph"/>
                          <w:rPr>
                            <w:sz w:val="18"/>
                          </w:rPr>
                        </w:pPr>
                      </w:p>
                    </w:tc>
                    <w:tc>
                      <w:tcPr>
                        <w:tcW w:w="1208" w:type="dxa"/>
                        <w:tcBorders>
                          <w:left w:val="single" w:sz="48" w:space="0" w:color="F0F1F1"/>
                        </w:tcBorders>
                        <w:shd w:val="clear" w:color="auto" w:fill="FFFFFF"/>
                      </w:tcPr>
                      <w:p>
                        <w:pPr>
                          <w:pStyle w:val="TableParagraph"/>
                          <w:spacing w:line="139" w:lineRule="exact"/>
                          <w:ind w:right="170"/>
                          <w:jc w:val="right"/>
                          <w:rPr>
                            <w:sz w:val="14"/>
                          </w:rPr>
                        </w:pPr>
                        <w:r>
                          <w:rPr>
                            <w:color w:val="231F20"/>
                            <w:sz w:val="14"/>
                          </w:rPr>
                          <w:t>6.1</w:t>
                        </w:r>
                      </w:p>
                      <w:p>
                        <w:pPr>
                          <w:pStyle w:val="TableParagraph"/>
                          <w:spacing w:line="150" w:lineRule="exact"/>
                          <w:ind w:right="170"/>
                          <w:jc w:val="right"/>
                          <w:rPr>
                            <w:sz w:val="14"/>
                          </w:rPr>
                        </w:pPr>
                        <w:r>
                          <w:rPr>
                            <w:color w:val="231F20"/>
                            <w:sz w:val="14"/>
                          </w:rPr>
                          <w:t>4.1</w:t>
                        </w:r>
                      </w:p>
                    </w:tc>
                    <w:tc>
                      <w:tcPr>
                        <w:tcW w:w="481" w:type="dxa"/>
                        <w:shd w:val="clear" w:color="auto" w:fill="FFFFFF"/>
                      </w:tcPr>
                      <w:p>
                        <w:pPr>
                          <w:pStyle w:val="TableParagraph"/>
                          <w:spacing w:line="139" w:lineRule="exact"/>
                          <w:ind w:left="132"/>
                          <w:rPr>
                            <w:sz w:val="14"/>
                          </w:rPr>
                        </w:pPr>
                        <w:r>
                          <w:rPr>
                            <w:color w:val="231F20"/>
                            <w:sz w:val="14"/>
                          </w:rPr>
                          <w:t>5.6</w:t>
                        </w:r>
                      </w:p>
                      <w:p>
                        <w:pPr>
                          <w:pStyle w:val="TableParagraph"/>
                          <w:spacing w:line="150" w:lineRule="exact"/>
                          <w:ind w:left="132"/>
                          <w:rPr>
                            <w:sz w:val="14"/>
                          </w:rPr>
                        </w:pPr>
                        <w:r>
                          <w:rPr>
                            <w:color w:val="231F20"/>
                            <w:sz w:val="14"/>
                          </w:rPr>
                          <w:t>3.6</w:t>
                        </w:r>
                      </w:p>
                    </w:tc>
                    <w:tc>
                      <w:tcPr>
                        <w:tcW w:w="433" w:type="dxa"/>
                        <w:shd w:val="clear" w:color="auto" w:fill="FFFFFF"/>
                      </w:tcPr>
                      <w:p>
                        <w:pPr>
                          <w:pStyle w:val="TableParagraph"/>
                          <w:spacing w:line="139" w:lineRule="exact"/>
                          <w:ind w:left="131"/>
                          <w:rPr>
                            <w:sz w:val="14"/>
                          </w:rPr>
                        </w:pPr>
                        <w:r>
                          <w:rPr>
                            <w:color w:val="231F20"/>
                            <w:sz w:val="14"/>
                          </w:rPr>
                          <w:t>5.1</w:t>
                        </w:r>
                      </w:p>
                      <w:p>
                        <w:pPr>
                          <w:pStyle w:val="TableParagraph"/>
                          <w:spacing w:line="150" w:lineRule="exact"/>
                          <w:ind w:left="131"/>
                          <w:rPr>
                            <w:sz w:val="14"/>
                          </w:rPr>
                        </w:pPr>
                        <w:r>
                          <w:rPr>
                            <w:color w:val="231F20"/>
                            <w:sz w:val="14"/>
                          </w:rPr>
                          <w:t>3.1</w:t>
                        </w:r>
                      </w:p>
                    </w:tc>
                  </w:tr>
                </w:tbl>
                <w:p>
                  <w:pPr>
                    <w:pStyle w:val="BodyText"/>
                  </w:pPr>
                </w:p>
              </w:txbxContent>
            </v:textbox>
            <w10:wrap type="none"/>
          </v:shape>
        </w:pict>
      </w:r>
      <w:r>
        <w:rPr>
          <w:color w:val="231F20"/>
          <w:sz w:val="20"/>
        </w:rPr>
        <w:t>The current dividend yield (measured using current share prices and dividends paid over the previous year) was around 2.9% in July, while the long-term risk-free spot rate derived from index-linked gilts was 2.6%.</w:t>
      </w:r>
    </w:p>
    <w:p>
      <w:pPr>
        <w:spacing w:line="249" w:lineRule="auto" w:before="91"/>
        <w:ind w:left="434" w:right="403" w:firstLine="0"/>
        <w:jc w:val="left"/>
        <w:rPr>
          <w:sz w:val="20"/>
        </w:rPr>
      </w:pPr>
      <w:r>
        <w:rPr/>
        <w:br w:type="column"/>
      </w:r>
      <w:r>
        <w:rPr>
          <w:color w:val="231F20"/>
          <w:sz w:val="20"/>
        </w:rPr>
        <w:t>The table presents possible combinations of expected real dividend growth rates and the equity risk premium consistent with given levels of the dividend yield and the risk-free real interest rate.  It suggests that, with a dividend yield of 3.5% or lower and for the range of conventional estimates of the equity risk premium, the implied real dividend growth rate lies between a range of around 3% and 8%. This compares with an average compound annual growth in real corporate profits of </w:t>
      </w:r>
      <w:r>
        <w:rPr>
          <w:color w:val="231F20"/>
          <w:spacing w:val="-5"/>
          <w:sz w:val="20"/>
        </w:rPr>
        <w:t>2.3% </w:t>
      </w:r>
      <w:r>
        <w:rPr>
          <w:color w:val="231F20"/>
          <w:sz w:val="20"/>
        </w:rPr>
        <w:t>since 1970.  So an explanation for the current high level of equity prices could be that future dividend growth rates are expected to be unusually high. Alternatively, the equity risk premium may be lower than conventionally assumed. But overall, it is difficult to reconcile the current level of equity prices with the past behaviour of these fundamental determinants of equity valuation, unless there has been a sustained fall in the equity risk premium.</w:t>
      </w:r>
    </w:p>
    <w:p>
      <w:pPr>
        <w:spacing w:before="85"/>
        <w:ind w:left="435" w:right="0" w:firstLine="0"/>
        <w:jc w:val="left"/>
        <w:rPr>
          <w:sz w:val="12"/>
        </w:rPr>
      </w:pPr>
      <w:r>
        <w:rPr>
          <w:b/>
          <w:color w:val="0093C1"/>
          <w:sz w:val="20"/>
        </w:rPr>
        <w:t>Range of implied real dividend growth rates</w:t>
      </w:r>
      <w:r>
        <w:rPr>
          <w:color w:val="231F20"/>
          <w:position w:val="4"/>
          <w:sz w:val="12"/>
        </w:rPr>
        <w:t>(a)</w:t>
      </w:r>
    </w:p>
    <w:p>
      <w:pPr>
        <w:spacing w:before="106"/>
        <w:ind w:left="435" w:right="0" w:firstLine="0"/>
        <w:jc w:val="left"/>
        <w:rPr>
          <w:sz w:val="14"/>
        </w:rPr>
      </w:pPr>
      <w:r>
        <w:rPr>
          <w:color w:val="231F20"/>
          <w:sz w:val="14"/>
        </w:rPr>
        <w:t>Per cent</w:t>
      </w:r>
    </w:p>
    <w:p>
      <w:pPr>
        <w:tabs>
          <w:tab w:pos="1665" w:val="left" w:leader="none"/>
        </w:tabs>
        <w:spacing w:line="150" w:lineRule="exact" w:before="119"/>
        <w:ind w:left="435" w:right="0" w:firstLine="0"/>
        <w:jc w:val="left"/>
        <w:rPr>
          <w:sz w:val="14"/>
        </w:rPr>
      </w:pPr>
      <w:r>
        <w:rPr>
          <w:color w:val="231F20"/>
          <w:sz w:val="14"/>
        </w:rPr>
        <w:t>Equity risk</w:t>
        <w:tab/>
        <w:t>Dividend yield</w:t>
      </w:r>
    </w:p>
    <w:p>
      <w:pPr>
        <w:tabs>
          <w:tab w:pos="1609" w:val="left" w:leader="none"/>
          <w:tab w:pos="2809" w:val="left" w:leader="none"/>
        </w:tabs>
        <w:spacing w:line="150" w:lineRule="exact" w:before="0"/>
        <w:ind w:left="435" w:right="0" w:firstLine="0"/>
        <w:jc w:val="left"/>
        <w:rPr>
          <w:sz w:val="14"/>
        </w:rPr>
      </w:pPr>
      <w:r>
        <w:rPr>
          <w:color w:val="231F20"/>
          <w:sz w:val="14"/>
          <w:u w:val="single" w:color="231F20"/>
        </w:rPr>
        <w:t>premium    </w:t>
      </w:r>
      <w:r>
        <w:rPr>
          <w:color w:val="231F20"/>
          <w:spacing w:val="-17"/>
          <w:sz w:val="14"/>
          <w:u w:val="single" w:color="231F20"/>
        </w:rPr>
        <w:t> </w:t>
      </w:r>
      <w:r>
        <w:rPr>
          <w:color w:val="231F20"/>
          <w:sz w:val="14"/>
        </w:rPr>
        <w:tab/>
      </w:r>
      <w:r>
        <w:rPr>
          <w:color w:val="231F20"/>
          <w:sz w:val="14"/>
          <w:u w:val="single" w:color="231F20"/>
        </w:rPr>
        <w:t> </w:t>
        <w:tab/>
      </w:r>
    </w:p>
    <w:p>
      <w:pPr>
        <w:tabs>
          <w:tab w:pos="2115" w:val="left" w:leader="none"/>
          <w:tab w:pos="2595" w:val="left" w:leader="none"/>
        </w:tabs>
        <w:spacing w:before="119"/>
        <w:ind w:left="1635" w:right="0" w:firstLine="0"/>
        <w:jc w:val="left"/>
        <w:rPr>
          <w:b/>
          <w:sz w:val="14"/>
        </w:rPr>
      </w:pPr>
      <w:r>
        <w:rPr>
          <w:b/>
          <w:color w:val="231F20"/>
          <w:sz w:val="14"/>
        </w:rPr>
        <w:t>2.5</w:t>
        <w:tab/>
        <w:t>3.0</w:t>
        <w:tab/>
        <w:t>3.5</w:t>
      </w:r>
    </w:p>
    <w:p>
      <w:pPr>
        <w:spacing w:after="0"/>
        <w:jc w:val="left"/>
        <w:rPr>
          <w:sz w:val="14"/>
        </w:rPr>
        <w:sectPr>
          <w:type w:val="continuous"/>
          <w:pgSz w:w="11900" w:h="16840"/>
          <w:pgMar w:top="1220" w:bottom="280" w:left="620" w:right="640"/>
          <w:cols w:num="2" w:equalWidth="0">
            <w:col w:w="5089" w:space="51"/>
            <w:col w:w="5500"/>
          </w:cols>
        </w:sectPr>
      </w:pPr>
    </w:p>
    <w:p>
      <w:pPr>
        <w:pStyle w:val="BodyText"/>
        <w:rPr>
          <w:b/>
          <w:sz w:val="20"/>
        </w:rPr>
      </w:pPr>
    </w:p>
    <w:p>
      <w:pPr>
        <w:pStyle w:val="BodyText"/>
        <w:spacing w:before="10"/>
        <w:rPr>
          <w:b/>
          <w:sz w:val="29"/>
        </w:rPr>
      </w:pPr>
    </w:p>
    <w:p>
      <w:pPr>
        <w:spacing w:after="0"/>
        <w:rPr>
          <w:sz w:val="29"/>
        </w:rPr>
        <w:sectPr>
          <w:type w:val="continuous"/>
          <w:pgSz w:w="11900" w:h="16840"/>
          <w:pgMar w:top="1220" w:bottom="280" w:left="620" w:right="640"/>
        </w:sectPr>
      </w:pPr>
    </w:p>
    <w:p>
      <w:pPr>
        <w:pStyle w:val="Heading9"/>
        <w:spacing w:line="249" w:lineRule="auto" w:before="150"/>
        <w:ind w:left="434" w:right="20"/>
      </w:pPr>
      <w:r>
        <w:rPr>
          <w:color w:val="231F20"/>
        </w:rPr>
        <w:t>risk premium vary widely, but typically range from 4%–8%.</w:t>
      </w:r>
    </w:p>
    <w:p>
      <w:pPr>
        <w:pStyle w:val="BodyText"/>
        <w:spacing w:before="6"/>
        <w:rPr>
          <w:sz w:val="9"/>
        </w:rPr>
      </w:pPr>
      <w:r>
        <w:rPr/>
        <w:br w:type="column"/>
      </w:r>
      <w:r>
        <w:rPr>
          <w:sz w:val="9"/>
        </w:rPr>
      </w:r>
    </w:p>
    <w:p>
      <w:pPr>
        <w:pStyle w:val="ListParagraph"/>
        <w:numPr>
          <w:ilvl w:val="1"/>
          <w:numId w:val="12"/>
        </w:numPr>
        <w:tabs>
          <w:tab w:pos="675" w:val="left" w:leader="none"/>
        </w:tabs>
        <w:spacing w:line="208" w:lineRule="auto" w:before="0" w:after="0"/>
        <w:ind w:left="674" w:right="860" w:hanging="240"/>
        <w:jc w:val="left"/>
        <w:rPr>
          <w:sz w:val="12"/>
        </w:rPr>
      </w:pPr>
      <w:r>
        <w:rPr>
          <w:color w:val="231F20"/>
          <w:sz w:val="12"/>
        </w:rPr>
        <w:t>If equities are valued as the discounted present value of expected future dividends, and if the rate of real dividend growth and the real cost of equity capital are regarded as constant, then: real dividend growth rate = risk-free rate + equity premium – dividend yield. All calculations assume a risk-free rate of 2.6%.</w:t>
      </w:r>
    </w:p>
    <w:p>
      <w:pPr>
        <w:spacing w:after="0" w:line="208" w:lineRule="auto"/>
        <w:jc w:val="left"/>
        <w:rPr>
          <w:sz w:val="12"/>
        </w:rPr>
        <w:sectPr>
          <w:type w:val="continuous"/>
          <w:pgSz w:w="11900" w:h="16840"/>
          <w:pgMar w:top="1220" w:bottom="280" w:left="620" w:right="640"/>
          <w:cols w:num="2" w:equalWidth="0">
            <w:col w:w="4585" w:space="556"/>
            <w:col w:w="5499"/>
          </w:cols>
        </w:sectPr>
      </w:pPr>
    </w:p>
    <w:p>
      <w:pPr>
        <w:pStyle w:val="BodyText"/>
        <w:rPr>
          <w:sz w:val="20"/>
        </w:rPr>
      </w:pPr>
    </w:p>
    <w:p>
      <w:pPr>
        <w:pStyle w:val="BodyText"/>
        <w:rPr>
          <w:sz w:val="20"/>
        </w:rPr>
      </w:pPr>
    </w:p>
    <w:p>
      <w:pPr>
        <w:pStyle w:val="BodyText"/>
        <w:rPr>
          <w:sz w:val="20"/>
        </w:rPr>
      </w:pPr>
    </w:p>
    <w:p>
      <w:pPr>
        <w:pStyle w:val="Heading2"/>
        <w:numPr>
          <w:ilvl w:val="1"/>
          <w:numId w:val="9"/>
        </w:numPr>
        <w:tabs>
          <w:tab w:pos="8432" w:val="left" w:leader="none"/>
          <w:tab w:pos="8433" w:val="left" w:leader="none"/>
          <w:tab w:pos="10479" w:val="left" w:leader="none"/>
        </w:tabs>
        <w:spacing w:line="240" w:lineRule="auto" w:before="213" w:after="0"/>
        <w:ind w:left="8432" w:right="0" w:hanging="3453"/>
        <w:jc w:val="left"/>
      </w:pPr>
      <w:r>
        <w:rPr>
          <w:color w:val="009483"/>
          <w:u w:val="thick" w:color="0093C1"/>
        </w:rPr>
        <w:t>Exchange rates</w:t>
        <w:tab/>
      </w:r>
    </w:p>
    <w:p>
      <w:pPr>
        <w:pStyle w:val="BodyText"/>
        <w:spacing w:before="1"/>
        <w:rPr>
          <w:b/>
          <w:sz w:val="15"/>
        </w:rPr>
      </w:pPr>
    </w:p>
    <w:p>
      <w:pPr>
        <w:spacing w:after="0"/>
        <w:rPr>
          <w:sz w:val="15"/>
        </w:rPr>
        <w:sectPr>
          <w:type w:val="continuous"/>
          <w:pgSz w:w="11900" w:h="16840"/>
          <w:pgMar w:top="1220" w:bottom="280" w:left="620" w:right="640"/>
        </w:sectPr>
      </w:pPr>
    </w:p>
    <w:p>
      <w:pPr>
        <w:pStyle w:val="BodyText"/>
        <w:rPr>
          <w:b/>
          <w:sz w:val="22"/>
        </w:rPr>
      </w:pPr>
    </w:p>
    <w:p>
      <w:pPr>
        <w:pStyle w:val="BodyText"/>
        <w:spacing w:before="9"/>
        <w:rPr>
          <w:b/>
          <w:sz w:val="21"/>
        </w:rPr>
      </w:pPr>
    </w:p>
    <w:p>
      <w:pPr>
        <w:pStyle w:val="Heading8"/>
        <w:spacing w:before="0"/>
        <w:ind w:left="180"/>
      </w:pPr>
      <w:r>
        <w:rPr>
          <w:color w:val="0093C1"/>
        </w:rPr>
        <w:t>Table 1.F</w:t>
      </w:r>
    </w:p>
    <w:p>
      <w:pPr>
        <w:spacing w:before="10"/>
        <w:ind w:left="180" w:right="0" w:firstLine="0"/>
        <w:jc w:val="left"/>
        <w:rPr>
          <w:sz w:val="12"/>
        </w:rPr>
      </w:pPr>
      <w:r>
        <w:rPr/>
        <w:pict>
          <v:shape style="position:absolute;margin-left:37.4995pt;margin-top:26.598154pt;width:219.05pt;height:63.8pt;mso-position-horizontal-relative:page;mso-position-vertical-relative:paragraph;z-index:1582438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9"/>
                    <w:gridCol w:w="342"/>
                    <w:gridCol w:w="856"/>
                    <w:gridCol w:w="784"/>
                    <w:gridCol w:w="1554"/>
                  </w:tblGrid>
                  <w:tr>
                    <w:trPr>
                      <w:trHeight w:val="287" w:hRule="atLeast"/>
                    </w:trPr>
                    <w:tc>
                      <w:tcPr>
                        <w:tcW w:w="1191" w:type="dxa"/>
                        <w:gridSpan w:val="2"/>
                      </w:tcPr>
                      <w:p>
                        <w:pPr>
                          <w:pStyle w:val="TableParagraph"/>
                          <w:spacing w:line="140" w:lineRule="exact" w:before="12"/>
                          <w:ind w:left="760" w:right="29"/>
                          <w:rPr>
                            <w:sz w:val="14"/>
                          </w:rPr>
                        </w:pPr>
                        <w:r>
                          <w:rPr>
                            <w:color w:val="231F20"/>
                            <w:sz w:val="14"/>
                          </w:rPr>
                          <w:t>Level, 2 Aug.</w:t>
                        </w:r>
                      </w:p>
                    </w:tc>
                    <w:tc>
                      <w:tcPr>
                        <w:tcW w:w="856" w:type="dxa"/>
                      </w:tcPr>
                      <w:p>
                        <w:pPr>
                          <w:pStyle w:val="TableParagraph"/>
                          <w:spacing w:line="140" w:lineRule="exact" w:before="12"/>
                          <w:ind w:left="259" w:right="215"/>
                          <w:rPr>
                            <w:sz w:val="14"/>
                          </w:rPr>
                        </w:pPr>
                        <w:r>
                          <w:rPr>
                            <w:color w:val="231F20"/>
                            <w:sz w:val="14"/>
                          </w:rPr>
                          <w:t>Level, 6 May</w:t>
                        </w:r>
                      </w:p>
                    </w:tc>
                    <w:tc>
                      <w:tcPr>
                        <w:tcW w:w="784" w:type="dxa"/>
                      </w:tcPr>
                      <w:p>
                        <w:pPr>
                          <w:pStyle w:val="TableParagraph"/>
                          <w:spacing w:line="140" w:lineRule="exact" w:before="12"/>
                          <w:ind w:left="123" w:right="259"/>
                          <w:rPr>
                            <w:sz w:val="14"/>
                          </w:rPr>
                        </w:pPr>
                        <w:r>
                          <w:rPr>
                            <w:color w:val="231F20"/>
                            <w:sz w:val="14"/>
                          </w:rPr>
                          <w:t>Level, 5 Aug.</w:t>
                        </w:r>
                      </w:p>
                    </w:tc>
                    <w:tc>
                      <w:tcPr>
                        <w:tcW w:w="1554" w:type="dxa"/>
                      </w:tcPr>
                      <w:p>
                        <w:pPr>
                          <w:pStyle w:val="TableParagraph"/>
                          <w:tabs>
                            <w:tab w:pos="859" w:val="left" w:leader="none"/>
                          </w:tabs>
                          <w:spacing w:line="140" w:lineRule="exact" w:before="12"/>
                          <w:ind w:left="149" w:right="78"/>
                          <w:rPr>
                            <w:sz w:val="14"/>
                          </w:rPr>
                        </w:pPr>
                        <w:r>
                          <w:rPr>
                            <w:color w:val="231F20"/>
                            <w:sz w:val="14"/>
                          </w:rPr>
                          <w:t>Percentage Percentage change</w:t>
                          <w:tab/>
                          <w:t>chance</w:t>
                        </w:r>
                      </w:p>
                    </w:tc>
                  </w:tr>
                  <w:tr>
                    <w:trPr>
                      <w:trHeight w:val="292" w:hRule="atLeast"/>
                    </w:trPr>
                    <w:tc>
                      <w:tcPr>
                        <w:tcW w:w="1191" w:type="dxa"/>
                        <w:gridSpan w:val="2"/>
                      </w:tcPr>
                      <w:p>
                        <w:pPr>
                          <w:pStyle w:val="TableParagraph"/>
                          <w:spacing w:line="143" w:lineRule="exact"/>
                          <w:ind w:left="760"/>
                          <w:rPr>
                            <w:sz w:val="14"/>
                          </w:rPr>
                        </w:pPr>
                        <w:r>
                          <w:rPr>
                            <w:color w:val="231F20"/>
                            <w:sz w:val="14"/>
                          </w:rPr>
                          <w:t>1996</w:t>
                        </w:r>
                      </w:p>
                    </w:tc>
                    <w:tc>
                      <w:tcPr>
                        <w:tcW w:w="856" w:type="dxa"/>
                      </w:tcPr>
                      <w:p>
                        <w:pPr>
                          <w:pStyle w:val="TableParagraph"/>
                          <w:spacing w:line="133" w:lineRule="exact"/>
                          <w:ind w:left="259"/>
                          <w:rPr>
                            <w:sz w:val="14"/>
                          </w:rPr>
                        </w:pPr>
                        <w:r>
                          <w:rPr>
                            <w:color w:val="231F20"/>
                            <w:sz w:val="14"/>
                          </w:rPr>
                          <w:t>1998</w:t>
                        </w:r>
                      </w:p>
                      <w:p>
                        <w:pPr>
                          <w:pStyle w:val="TableParagraph"/>
                          <w:tabs>
                            <w:tab w:pos="738" w:val="left" w:leader="none"/>
                          </w:tabs>
                          <w:spacing w:line="139" w:lineRule="exact"/>
                          <w:ind w:left="259"/>
                          <w:rPr>
                            <w:sz w:val="14"/>
                          </w:rPr>
                        </w:pPr>
                        <w:r>
                          <w:rPr>
                            <w:color w:val="231F20"/>
                            <w:sz w:val="14"/>
                            <w:u w:val="single" w:color="231F20"/>
                          </w:rPr>
                          <w:t> </w:t>
                          <w:tab/>
                        </w:r>
                      </w:p>
                    </w:tc>
                    <w:tc>
                      <w:tcPr>
                        <w:tcW w:w="784" w:type="dxa"/>
                      </w:tcPr>
                      <w:p>
                        <w:pPr>
                          <w:pStyle w:val="TableParagraph"/>
                          <w:spacing w:line="133" w:lineRule="exact"/>
                          <w:ind w:left="123"/>
                          <w:rPr>
                            <w:sz w:val="14"/>
                          </w:rPr>
                        </w:pPr>
                        <w:r>
                          <w:rPr>
                            <w:color w:val="231F20"/>
                            <w:sz w:val="14"/>
                          </w:rPr>
                          <w:t>1998</w:t>
                        </w:r>
                      </w:p>
                      <w:p>
                        <w:pPr>
                          <w:pStyle w:val="TableParagraph"/>
                          <w:tabs>
                            <w:tab w:pos="612" w:val="left" w:leader="none"/>
                          </w:tabs>
                          <w:spacing w:line="139" w:lineRule="exact"/>
                          <w:ind w:left="113"/>
                          <w:rPr>
                            <w:sz w:val="14"/>
                          </w:rPr>
                        </w:pPr>
                        <w:r>
                          <w:rPr>
                            <w:color w:val="231F20"/>
                            <w:sz w:val="14"/>
                            <w:u w:val="single" w:color="231F20"/>
                          </w:rPr>
                          <w:t> </w:t>
                          <w:tab/>
                        </w:r>
                      </w:p>
                    </w:tc>
                    <w:tc>
                      <w:tcPr>
                        <w:tcW w:w="1554" w:type="dxa"/>
                      </w:tcPr>
                      <w:p>
                        <w:pPr>
                          <w:pStyle w:val="TableParagraph"/>
                          <w:tabs>
                            <w:tab w:pos="859" w:val="left" w:leader="none"/>
                          </w:tabs>
                          <w:spacing w:line="133" w:lineRule="exact"/>
                          <w:ind w:left="149"/>
                          <w:rPr>
                            <w:sz w:val="14"/>
                          </w:rPr>
                        </w:pPr>
                        <w:r>
                          <w:rPr>
                            <w:color w:val="231F20"/>
                            <w:sz w:val="14"/>
                          </w:rPr>
                          <w:t>since</w:t>
                          <w:tab/>
                          <w:t>since</w:t>
                        </w:r>
                      </w:p>
                      <w:p>
                        <w:pPr>
                          <w:pStyle w:val="TableParagraph"/>
                          <w:spacing w:line="139" w:lineRule="exact"/>
                          <w:ind w:left="149"/>
                          <w:rPr>
                            <w:sz w:val="14"/>
                          </w:rPr>
                        </w:pPr>
                        <w:r>
                          <w:rPr>
                            <w:color w:val="231F20"/>
                            <w:sz w:val="14"/>
                            <w:u w:val="single" w:color="231F20"/>
                          </w:rPr>
                          <w:t>Aug. 1996</w:t>
                        </w:r>
                        <w:r>
                          <w:rPr>
                            <w:color w:val="231F20"/>
                            <w:sz w:val="14"/>
                          </w:rPr>
                          <w:t> </w:t>
                        </w:r>
                        <w:r>
                          <w:rPr>
                            <w:color w:val="231F20"/>
                            <w:sz w:val="14"/>
                            <w:u w:val="single" w:color="231F20"/>
                          </w:rPr>
                          <w:t>May 1998 </w:t>
                        </w:r>
                      </w:p>
                    </w:tc>
                  </w:tr>
                  <w:tr>
                    <w:trPr>
                      <w:trHeight w:val="258" w:hRule="atLeast"/>
                    </w:trPr>
                    <w:tc>
                      <w:tcPr>
                        <w:tcW w:w="849" w:type="dxa"/>
                      </w:tcPr>
                      <w:p>
                        <w:pPr>
                          <w:pStyle w:val="TableParagraph"/>
                          <w:spacing w:line="133" w:lineRule="exact" w:before="106"/>
                          <w:ind w:left="50"/>
                          <w:rPr>
                            <w:sz w:val="12"/>
                          </w:rPr>
                        </w:pPr>
                        <w:r>
                          <w:rPr>
                            <w:color w:val="231F20"/>
                            <w:sz w:val="14"/>
                          </w:rPr>
                          <w:t>ERI </w:t>
                        </w:r>
                        <w:r>
                          <w:rPr>
                            <w:color w:val="231F20"/>
                            <w:sz w:val="12"/>
                          </w:rPr>
                          <w:t>(b)</w:t>
                        </w:r>
                      </w:p>
                    </w:tc>
                    <w:tc>
                      <w:tcPr>
                        <w:tcW w:w="342" w:type="dxa"/>
                        <w:tcBorders>
                          <w:top w:val="single" w:sz="2" w:space="0" w:color="231F20"/>
                        </w:tcBorders>
                      </w:tcPr>
                      <w:p>
                        <w:pPr>
                          <w:pStyle w:val="TableParagraph"/>
                          <w:spacing w:line="133" w:lineRule="exact" w:before="106"/>
                          <w:ind w:left="21"/>
                          <w:rPr>
                            <w:sz w:val="14"/>
                          </w:rPr>
                        </w:pPr>
                        <w:r>
                          <w:rPr>
                            <w:color w:val="231F20"/>
                            <w:sz w:val="14"/>
                          </w:rPr>
                          <w:t>84.9</w:t>
                        </w:r>
                      </w:p>
                    </w:tc>
                    <w:tc>
                      <w:tcPr>
                        <w:tcW w:w="856" w:type="dxa"/>
                      </w:tcPr>
                      <w:p>
                        <w:pPr>
                          <w:pStyle w:val="TableParagraph"/>
                          <w:spacing w:line="133" w:lineRule="exact" w:before="106"/>
                          <w:ind w:left="338"/>
                          <w:rPr>
                            <w:sz w:val="14"/>
                          </w:rPr>
                        </w:pPr>
                        <w:r>
                          <w:rPr>
                            <w:color w:val="231F20"/>
                            <w:sz w:val="14"/>
                          </w:rPr>
                          <w:t>106.2</w:t>
                        </w:r>
                      </w:p>
                    </w:tc>
                    <w:tc>
                      <w:tcPr>
                        <w:tcW w:w="784" w:type="dxa"/>
                      </w:tcPr>
                      <w:p>
                        <w:pPr>
                          <w:pStyle w:val="TableParagraph"/>
                          <w:spacing w:line="133" w:lineRule="exact" w:before="106"/>
                          <w:ind w:left="243"/>
                          <w:rPr>
                            <w:sz w:val="14"/>
                          </w:rPr>
                        </w:pPr>
                        <w:r>
                          <w:rPr>
                            <w:color w:val="231F20"/>
                            <w:sz w:val="14"/>
                          </w:rPr>
                          <w:t>104.7</w:t>
                        </w:r>
                      </w:p>
                    </w:tc>
                    <w:tc>
                      <w:tcPr>
                        <w:tcW w:w="1554" w:type="dxa"/>
                      </w:tcPr>
                      <w:p>
                        <w:pPr>
                          <w:pStyle w:val="TableParagraph"/>
                          <w:tabs>
                            <w:tab w:pos="992" w:val="left" w:leader="none"/>
                          </w:tabs>
                          <w:spacing w:line="133" w:lineRule="exact" w:before="106"/>
                          <w:ind w:left="258"/>
                          <w:rPr>
                            <w:sz w:val="14"/>
                          </w:rPr>
                        </w:pPr>
                        <w:r>
                          <w:rPr>
                            <w:color w:val="231F20"/>
                            <w:sz w:val="14"/>
                          </w:rPr>
                          <w:t>23.3</w:t>
                          <w:tab/>
                          <w:t>-1.4</w:t>
                        </w:r>
                      </w:p>
                    </w:tc>
                  </w:tr>
                  <w:tr>
                    <w:trPr>
                      <w:trHeight w:val="140" w:hRule="atLeast"/>
                    </w:trPr>
                    <w:tc>
                      <w:tcPr>
                        <w:tcW w:w="849" w:type="dxa"/>
                      </w:tcPr>
                      <w:p>
                        <w:pPr>
                          <w:pStyle w:val="TableParagraph"/>
                          <w:spacing w:line="120" w:lineRule="exact"/>
                          <w:ind w:left="50"/>
                          <w:rPr>
                            <w:sz w:val="12"/>
                          </w:rPr>
                        </w:pPr>
                        <w:r>
                          <w:rPr>
                            <w:color w:val="231F20"/>
                            <w:sz w:val="14"/>
                          </w:rPr>
                          <w:t>Broad ERI </w:t>
                        </w:r>
                        <w:r>
                          <w:rPr>
                            <w:color w:val="231F20"/>
                            <w:sz w:val="12"/>
                          </w:rPr>
                          <w:t>(b)</w:t>
                        </w:r>
                      </w:p>
                    </w:tc>
                    <w:tc>
                      <w:tcPr>
                        <w:tcW w:w="342" w:type="dxa"/>
                      </w:tcPr>
                      <w:p>
                        <w:pPr>
                          <w:pStyle w:val="TableParagraph"/>
                          <w:spacing w:line="120" w:lineRule="exact"/>
                          <w:ind w:left="21"/>
                          <w:rPr>
                            <w:sz w:val="14"/>
                          </w:rPr>
                        </w:pPr>
                        <w:r>
                          <w:rPr>
                            <w:color w:val="231F20"/>
                            <w:sz w:val="14"/>
                          </w:rPr>
                          <w:t>96.4</w:t>
                        </w:r>
                      </w:p>
                    </w:tc>
                    <w:tc>
                      <w:tcPr>
                        <w:tcW w:w="856" w:type="dxa"/>
                      </w:tcPr>
                      <w:p>
                        <w:pPr>
                          <w:pStyle w:val="TableParagraph"/>
                          <w:spacing w:line="120" w:lineRule="exact"/>
                          <w:ind w:left="338"/>
                          <w:rPr>
                            <w:sz w:val="14"/>
                          </w:rPr>
                        </w:pPr>
                        <w:r>
                          <w:rPr>
                            <w:color w:val="231F20"/>
                            <w:sz w:val="14"/>
                          </w:rPr>
                          <w:t>122.1</w:t>
                        </w:r>
                      </w:p>
                    </w:tc>
                    <w:tc>
                      <w:tcPr>
                        <w:tcW w:w="784" w:type="dxa"/>
                      </w:tcPr>
                      <w:p>
                        <w:pPr>
                          <w:pStyle w:val="TableParagraph"/>
                          <w:spacing w:line="120" w:lineRule="exact"/>
                          <w:ind w:left="243"/>
                          <w:rPr>
                            <w:sz w:val="14"/>
                          </w:rPr>
                        </w:pPr>
                        <w:r>
                          <w:rPr>
                            <w:color w:val="231F20"/>
                            <w:sz w:val="14"/>
                          </w:rPr>
                          <w:t>121.1</w:t>
                        </w:r>
                      </w:p>
                    </w:tc>
                    <w:tc>
                      <w:tcPr>
                        <w:tcW w:w="1554" w:type="dxa"/>
                      </w:tcPr>
                      <w:p>
                        <w:pPr>
                          <w:pStyle w:val="TableParagraph"/>
                          <w:tabs>
                            <w:tab w:pos="992" w:val="left" w:leader="none"/>
                          </w:tabs>
                          <w:spacing w:line="120" w:lineRule="exact"/>
                          <w:ind w:left="258"/>
                          <w:rPr>
                            <w:sz w:val="14"/>
                          </w:rPr>
                        </w:pPr>
                        <w:r>
                          <w:rPr>
                            <w:color w:val="231F20"/>
                            <w:sz w:val="14"/>
                          </w:rPr>
                          <w:t>25.6</w:t>
                          <w:tab/>
                          <w:t>-0.8</w:t>
                        </w:r>
                      </w:p>
                    </w:tc>
                  </w:tr>
                  <w:tr>
                    <w:trPr>
                      <w:trHeight w:val="140" w:hRule="atLeast"/>
                    </w:trPr>
                    <w:tc>
                      <w:tcPr>
                        <w:tcW w:w="849" w:type="dxa"/>
                      </w:tcPr>
                      <w:p>
                        <w:pPr>
                          <w:pStyle w:val="TableParagraph"/>
                          <w:spacing w:line="120" w:lineRule="exact"/>
                          <w:ind w:left="50"/>
                          <w:rPr>
                            <w:sz w:val="14"/>
                          </w:rPr>
                        </w:pPr>
                        <w:r>
                          <w:rPr>
                            <w:color w:val="231F20"/>
                            <w:sz w:val="14"/>
                          </w:rPr>
                          <w:t>$/£</w:t>
                        </w:r>
                      </w:p>
                    </w:tc>
                    <w:tc>
                      <w:tcPr>
                        <w:tcW w:w="342" w:type="dxa"/>
                      </w:tcPr>
                      <w:p>
                        <w:pPr>
                          <w:pStyle w:val="TableParagraph"/>
                          <w:spacing w:line="120" w:lineRule="exact"/>
                          <w:ind w:right="3"/>
                          <w:jc w:val="right"/>
                          <w:rPr>
                            <w:sz w:val="14"/>
                          </w:rPr>
                        </w:pPr>
                        <w:r>
                          <w:rPr>
                            <w:color w:val="231F20"/>
                            <w:sz w:val="14"/>
                          </w:rPr>
                          <w:t>1.54</w:t>
                        </w:r>
                      </w:p>
                    </w:tc>
                    <w:tc>
                      <w:tcPr>
                        <w:tcW w:w="856" w:type="dxa"/>
                      </w:tcPr>
                      <w:p>
                        <w:pPr>
                          <w:pStyle w:val="TableParagraph"/>
                          <w:spacing w:line="120" w:lineRule="exact"/>
                          <w:ind w:right="129"/>
                          <w:jc w:val="right"/>
                          <w:rPr>
                            <w:sz w:val="14"/>
                          </w:rPr>
                        </w:pPr>
                        <w:r>
                          <w:rPr>
                            <w:color w:val="231F20"/>
                            <w:sz w:val="14"/>
                          </w:rPr>
                          <w:t>1.66</w:t>
                        </w:r>
                      </w:p>
                    </w:tc>
                    <w:tc>
                      <w:tcPr>
                        <w:tcW w:w="784" w:type="dxa"/>
                      </w:tcPr>
                      <w:p>
                        <w:pPr>
                          <w:pStyle w:val="TableParagraph"/>
                          <w:spacing w:line="120" w:lineRule="exact"/>
                          <w:ind w:right="153"/>
                          <w:jc w:val="right"/>
                          <w:rPr>
                            <w:sz w:val="14"/>
                          </w:rPr>
                        </w:pPr>
                        <w:r>
                          <w:rPr>
                            <w:color w:val="231F20"/>
                            <w:sz w:val="14"/>
                          </w:rPr>
                          <w:t>1.64</w:t>
                        </w:r>
                      </w:p>
                    </w:tc>
                    <w:tc>
                      <w:tcPr>
                        <w:tcW w:w="1554" w:type="dxa"/>
                      </w:tcPr>
                      <w:p>
                        <w:pPr>
                          <w:pStyle w:val="TableParagraph"/>
                          <w:tabs>
                            <w:tab w:pos="992" w:val="left" w:leader="none"/>
                          </w:tabs>
                          <w:spacing w:line="120" w:lineRule="exact"/>
                          <w:ind w:left="329"/>
                          <w:rPr>
                            <w:sz w:val="14"/>
                          </w:rPr>
                        </w:pPr>
                        <w:r>
                          <w:rPr>
                            <w:color w:val="231F20"/>
                            <w:sz w:val="14"/>
                          </w:rPr>
                          <w:t>6.5</w:t>
                          <w:tab/>
                          <w:t>-1.2</w:t>
                        </w:r>
                      </w:p>
                    </w:tc>
                  </w:tr>
                  <w:tr>
                    <w:trPr>
                      <w:trHeight w:val="147" w:hRule="atLeast"/>
                    </w:trPr>
                    <w:tc>
                      <w:tcPr>
                        <w:tcW w:w="849" w:type="dxa"/>
                      </w:tcPr>
                      <w:p>
                        <w:pPr>
                          <w:pStyle w:val="TableParagraph"/>
                          <w:spacing w:line="128" w:lineRule="exact"/>
                          <w:ind w:left="50"/>
                          <w:rPr>
                            <w:sz w:val="14"/>
                          </w:rPr>
                        </w:pPr>
                        <w:r>
                          <w:rPr>
                            <w:color w:val="231F20"/>
                            <w:sz w:val="14"/>
                          </w:rPr>
                          <w:t>DM/£</w:t>
                        </w:r>
                      </w:p>
                    </w:tc>
                    <w:tc>
                      <w:tcPr>
                        <w:tcW w:w="342" w:type="dxa"/>
                      </w:tcPr>
                      <w:p>
                        <w:pPr>
                          <w:pStyle w:val="TableParagraph"/>
                          <w:spacing w:line="128" w:lineRule="exact"/>
                          <w:ind w:right="3"/>
                          <w:jc w:val="right"/>
                          <w:rPr>
                            <w:sz w:val="14"/>
                          </w:rPr>
                        </w:pPr>
                        <w:r>
                          <w:rPr>
                            <w:color w:val="231F20"/>
                            <w:sz w:val="14"/>
                          </w:rPr>
                          <w:t>2.28</w:t>
                        </w:r>
                      </w:p>
                    </w:tc>
                    <w:tc>
                      <w:tcPr>
                        <w:tcW w:w="856" w:type="dxa"/>
                      </w:tcPr>
                      <w:p>
                        <w:pPr>
                          <w:pStyle w:val="TableParagraph"/>
                          <w:spacing w:line="128" w:lineRule="exact"/>
                          <w:ind w:right="129"/>
                          <w:jc w:val="right"/>
                          <w:rPr>
                            <w:sz w:val="14"/>
                          </w:rPr>
                        </w:pPr>
                        <w:r>
                          <w:rPr>
                            <w:color w:val="231F20"/>
                            <w:sz w:val="14"/>
                          </w:rPr>
                          <w:t>2.93</w:t>
                        </w:r>
                      </w:p>
                    </w:tc>
                    <w:tc>
                      <w:tcPr>
                        <w:tcW w:w="784" w:type="dxa"/>
                      </w:tcPr>
                      <w:p>
                        <w:pPr>
                          <w:pStyle w:val="TableParagraph"/>
                          <w:spacing w:line="128" w:lineRule="exact"/>
                          <w:ind w:right="153"/>
                          <w:jc w:val="right"/>
                          <w:rPr>
                            <w:sz w:val="14"/>
                          </w:rPr>
                        </w:pPr>
                        <w:r>
                          <w:rPr>
                            <w:color w:val="231F20"/>
                            <w:sz w:val="14"/>
                          </w:rPr>
                          <w:t>2.90</w:t>
                        </w:r>
                      </w:p>
                    </w:tc>
                    <w:tc>
                      <w:tcPr>
                        <w:tcW w:w="1554" w:type="dxa"/>
                      </w:tcPr>
                      <w:p>
                        <w:pPr>
                          <w:pStyle w:val="TableParagraph"/>
                          <w:tabs>
                            <w:tab w:pos="992" w:val="left" w:leader="none"/>
                          </w:tabs>
                          <w:spacing w:line="128" w:lineRule="exact"/>
                          <w:ind w:left="259"/>
                          <w:rPr>
                            <w:sz w:val="14"/>
                          </w:rPr>
                        </w:pPr>
                        <w:r>
                          <w:rPr>
                            <w:color w:val="231F20"/>
                            <w:sz w:val="14"/>
                          </w:rPr>
                          <w:t>27.2</w:t>
                          <w:tab/>
                          <w:t>-1.0</w:t>
                        </w:r>
                      </w:p>
                    </w:tc>
                  </w:tr>
                </w:tbl>
                <w:p>
                  <w:pPr>
                    <w:pStyle w:val="BodyText"/>
                  </w:pPr>
                </w:p>
              </w:txbxContent>
            </v:textbox>
            <w10:wrap type="none"/>
          </v:shape>
        </w:pict>
      </w:r>
      <w:r>
        <w:rPr>
          <w:b/>
          <w:color w:val="0093C1"/>
          <w:sz w:val="20"/>
        </w:rPr>
        <w:t>The extent of sterling appreciation</w:t>
      </w:r>
      <w:r>
        <w:rPr>
          <w:color w:val="231F20"/>
          <w:position w:val="4"/>
          <w:sz w:val="12"/>
        </w:rPr>
        <w:t>(a)</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ListParagraph"/>
        <w:numPr>
          <w:ilvl w:val="0"/>
          <w:numId w:val="13"/>
        </w:numPr>
        <w:tabs>
          <w:tab w:pos="420" w:val="left" w:leader="none"/>
        </w:tabs>
        <w:spacing w:line="129" w:lineRule="exact" w:before="167" w:after="0"/>
        <w:ind w:left="419" w:right="0" w:hanging="240"/>
        <w:jc w:val="left"/>
        <w:rPr>
          <w:sz w:val="12"/>
        </w:rPr>
      </w:pPr>
      <w:r>
        <w:rPr>
          <w:color w:val="231F20"/>
          <w:sz w:val="12"/>
        </w:rPr>
        <w:t>Based on dates on which data for the </w:t>
      </w:r>
      <w:r>
        <w:rPr>
          <w:i/>
          <w:color w:val="231F20"/>
          <w:sz w:val="12"/>
        </w:rPr>
        <w:t>Inflation Report </w:t>
      </w:r>
      <w:r>
        <w:rPr>
          <w:color w:val="231F20"/>
          <w:sz w:val="12"/>
        </w:rPr>
        <w:t>were</w:t>
      </w:r>
      <w:r>
        <w:rPr>
          <w:color w:val="231F20"/>
          <w:spacing w:val="-2"/>
          <w:sz w:val="12"/>
        </w:rPr>
        <w:t> </w:t>
      </w:r>
      <w:r>
        <w:rPr>
          <w:color w:val="231F20"/>
          <w:sz w:val="12"/>
        </w:rPr>
        <w:t>finalised.</w:t>
      </w:r>
    </w:p>
    <w:p>
      <w:pPr>
        <w:pStyle w:val="ListParagraph"/>
        <w:numPr>
          <w:ilvl w:val="0"/>
          <w:numId w:val="13"/>
        </w:numPr>
        <w:tabs>
          <w:tab w:pos="421" w:val="left" w:leader="none"/>
        </w:tabs>
        <w:spacing w:line="129" w:lineRule="exact" w:before="0" w:after="0"/>
        <w:ind w:left="420" w:right="0" w:hanging="241"/>
        <w:jc w:val="left"/>
        <w:rPr>
          <w:sz w:val="12"/>
        </w:rPr>
      </w:pPr>
      <w:r>
        <w:rPr>
          <w:color w:val="231F20"/>
          <w:sz w:val="12"/>
        </w:rPr>
        <w:t>15 working day averages.</w:t>
      </w:r>
    </w:p>
    <w:p>
      <w:pPr>
        <w:spacing w:line="242" w:lineRule="auto" w:before="90"/>
        <w:ind w:left="180" w:right="201" w:firstLine="0"/>
        <w:jc w:val="left"/>
        <w:rPr>
          <w:sz w:val="24"/>
        </w:rPr>
      </w:pPr>
      <w:r>
        <w:rPr/>
        <w:br w:type="column"/>
      </w:r>
      <w:r>
        <w:rPr>
          <w:color w:val="231F20"/>
          <w:sz w:val="24"/>
        </w:rPr>
        <w:t>The sterling effective exchange rate averaged 104.7 in the 15 working days up to and including 5 August. This was slightly below the central projection for August in the May </w:t>
      </w:r>
      <w:r>
        <w:rPr>
          <w:i/>
          <w:color w:val="231F20"/>
          <w:sz w:val="24"/>
        </w:rPr>
        <w:t>Repor</w:t>
      </w:r>
      <w:r>
        <w:rPr>
          <w:color w:val="231F20"/>
          <w:sz w:val="24"/>
        </w:rPr>
        <w:t>t, and is the starting-point used for the current projection. Table 1.F shows the extent of sterling’s rise since the start of the appreciation in August 1996, and since the May </w:t>
      </w:r>
      <w:r>
        <w:rPr>
          <w:i/>
          <w:color w:val="231F20"/>
          <w:sz w:val="24"/>
        </w:rPr>
        <w:t>Repor</w:t>
      </w:r>
      <w:r>
        <w:rPr>
          <w:color w:val="231F20"/>
          <w:sz w:val="24"/>
        </w:rPr>
        <w:t>t. A broader measure of the effective exchange rate, which also includes the contribution of some Asian economies excluded from the Exchange Rate Index (ERI), has risen more over the past two years, partly reflecting the relative weakness of a number of Asian currencies.</w:t>
      </w:r>
    </w:p>
    <w:p>
      <w:pPr>
        <w:pStyle w:val="BodyText"/>
        <w:spacing w:before="8"/>
        <w:rPr>
          <w:sz w:val="25"/>
        </w:rPr>
      </w:pPr>
    </w:p>
    <w:p>
      <w:pPr>
        <w:spacing w:line="242" w:lineRule="auto" w:before="0"/>
        <w:ind w:left="180" w:right="0" w:firstLine="0"/>
        <w:jc w:val="left"/>
        <w:rPr>
          <w:sz w:val="24"/>
        </w:rPr>
      </w:pPr>
      <w:r>
        <w:rPr>
          <w:color w:val="231F20"/>
          <w:sz w:val="24"/>
        </w:rPr>
        <w:t>Chart 1.15 illustrates the path for sterling implied by market nominal interest rate differentials, calculated by comparing UK interest rates at different maturities with overseas rates. The differential between UK and average overseas interest rates has widened at the short end since the May </w:t>
      </w:r>
      <w:r>
        <w:rPr>
          <w:i/>
          <w:color w:val="231F20"/>
          <w:sz w:val="24"/>
        </w:rPr>
        <w:t>Report</w:t>
      </w:r>
      <w:r>
        <w:rPr>
          <w:color w:val="231F20"/>
          <w:sz w:val="24"/>
        </w:rPr>
        <w:t>, consistent with the view that markets</w:t>
      </w:r>
    </w:p>
    <w:p>
      <w:pPr>
        <w:spacing w:after="0" w:line="242" w:lineRule="auto"/>
        <w:jc w:val="left"/>
        <w:rPr>
          <w:sz w:val="24"/>
        </w:rPr>
        <w:sectPr>
          <w:type w:val="continuous"/>
          <w:pgSz w:w="11900" w:h="16840"/>
          <w:pgMar w:top="1220" w:bottom="280" w:left="620" w:right="640"/>
          <w:cols w:num="2" w:equalWidth="0">
            <w:col w:w="3766" w:space="1034"/>
            <w:col w:w="5840"/>
          </w:cols>
        </w:sectPr>
      </w:pPr>
    </w:p>
    <w:p>
      <w:pPr>
        <w:pStyle w:val="BodyText"/>
        <w:rPr>
          <w:sz w:val="20"/>
        </w:rPr>
      </w:pPr>
    </w:p>
    <w:p>
      <w:pPr>
        <w:spacing w:after="0"/>
        <w:rPr>
          <w:sz w:val="20"/>
        </w:rPr>
        <w:sectPr>
          <w:headerReference w:type="default" r:id="rId21"/>
          <w:headerReference w:type="even" r:id="rId22"/>
          <w:footerReference w:type="default" r:id="rId23"/>
          <w:footerReference w:type="even" r:id="rId24"/>
          <w:pgSz w:w="11900" w:h="16840"/>
          <w:pgMar w:header="566" w:footer="597" w:top="760" w:bottom="780" w:left="620" w:right="640"/>
          <w:pgNumType w:start="13"/>
        </w:sectPr>
      </w:pPr>
    </w:p>
    <w:p>
      <w:pPr>
        <w:pStyle w:val="BodyText"/>
        <w:spacing w:before="1"/>
        <w:rPr>
          <w:sz w:val="20"/>
        </w:rPr>
      </w:pPr>
    </w:p>
    <w:p>
      <w:pPr>
        <w:pStyle w:val="Heading8"/>
        <w:spacing w:before="0"/>
        <w:ind w:left="187"/>
      </w:pPr>
      <w:bookmarkStart w:name="Summary" w:id="35"/>
      <w:bookmarkEnd w:id="35"/>
      <w:r>
        <w:rPr>
          <w:b w:val="0"/>
        </w:rPr>
      </w:r>
      <w:bookmarkStart w:name="_bookmark13" w:id="36"/>
      <w:bookmarkEnd w:id="36"/>
      <w:r>
        <w:rPr>
          <w:b w:val="0"/>
        </w:rPr>
      </w:r>
      <w:r>
        <w:rPr>
          <w:color w:val="0093C1"/>
        </w:rPr>
        <w:t>Chart 1.15</w:t>
      </w:r>
    </w:p>
    <w:p>
      <w:pPr>
        <w:spacing w:before="10"/>
        <w:ind w:left="187" w:right="0" w:firstLine="0"/>
        <w:jc w:val="left"/>
        <w:rPr>
          <w:b/>
          <w:sz w:val="20"/>
        </w:rPr>
      </w:pPr>
      <w:r>
        <w:rPr>
          <w:b/>
          <w:color w:val="0093C1"/>
          <w:sz w:val="20"/>
        </w:rPr>
        <w:t>UK effective exchange rate profiles</w:t>
      </w:r>
    </w:p>
    <w:p>
      <w:pPr>
        <w:spacing w:before="47"/>
        <w:ind w:left="242" w:right="0" w:firstLine="0"/>
        <w:jc w:val="left"/>
        <w:rPr>
          <w:sz w:val="12"/>
        </w:rPr>
      </w:pPr>
      <w:r>
        <w:rPr>
          <w:sz w:val="12"/>
        </w:rPr>
        <w:t>ERI implied:</w:t>
      </w:r>
    </w:p>
    <w:p>
      <w:pPr>
        <w:pStyle w:val="BodyText"/>
        <w:spacing w:before="6"/>
        <w:rPr>
          <w:sz w:val="7"/>
        </w:rPr>
      </w:pPr>
    </w:p>
    <w:p>
      <w:pPr>
        <w:pStyle w:val="BodyText"/>
        <w:spacing w:line="90" w:lineRule="exact"/>
        <w:ind w:left="2587"/>
        <w:rPr>
          <w:sz w:val="9"/>
        </w:rPr>
      </w:pPr>
      <w:r>
        <w:rPr>
          <w:position w:val="-1"/>
          <w:sz w:val="9"/>
        </w:rPr>
        <w:pict>
          <v:group style="width:4.5pt;height:4.5pt;mso-position-horizontal-relative:char;mso-position-vertical-relative:line" coordorigin="0,0" coordsize="90,90">
            <v:rect style="position:absolute;left:5;top:5;width:80;height:80" filled="true" fillcolor="#edc5dd" stroked="false">
              <v:fill type="solid"/>
            </v:rect>
            <v:rect style="position:absolute;left:5;top:5;width:80;height:80" filled="false" stroked="true" strokeweight=".5pt" strokecolor="#000000">
              <v:stroke dashstyle="solid"/>
            </v:rect>
          </v:group>
        </w:pict>
      </w:r>
      <w:r>
        <w:rPr>
          <w:position w:val="-1"/>
          <w:sz w:val="9"/>
        </w:rPr>
      </w:r>
    </w:p>
    <w:p>
      <w:pPr>
        <w:pStyle w:val="Heading4"/>
        <w:spacing w:line="280" w:lineRule="atLeast" w:before="203"/>
        <w:ind w:left="187"/>
      </w:pPr>
      <w:r>
        <w:rPr/>
        <w:br w:type="column"/>
      </w:r>
      <w:r>
        <w:rPr>
          <w:color w:val="231F20"/>
        </w:rPr>
        <w:t>now expect sterling to depreciate slightly faster. But at longer maturities, interest rate differentials have not changed substantially. So changes in yield curves do not</w:t>
      </w:r>
    </w:p>
    <w:p>
      <w:pPr>
        <w:spacing w:after="0" w:line="280" w:lineRule="atLeast"/>
        <w:sectPr>
          <w:type w:val="continuous"/>
          <w:pgSz w:w="11900" w:h="16840"/>
          <w:pgMar w:top="1220" w:bottom="280" w:left="620" w:right="640"/>
          <w:cols w:num="2" w:equalWidth="0">
            <w:col w:w="3215" w:space="1566"/>
            <w:col w:w="5859"/>
          </w:cols>
        </w:sectPr>
      </w:pPr>
    </w:p>
    <w:p>
      <w:pPr>
        <w:tabs>
          <w:tab w:pos="1575" w:val="left" w:leader="none"/>
          <w:tab w:pos="2695" w:val="left" w:leader="none"/>
        </w:tabs>
        <w:spacing w:line="5" w:lineRule="exact" w:before="0"/>
        <w:ind w:left="395" w:right="0" w:firstLine="0"/>
        <w:jc w:val="left"/>
        <w:rPr>
          <w:sz w:val="12"/>
        </w:rPr>
      </w:pPr>
      <w:r>
        <w:rPr/>
        <w:pict>
          <v:group style="position:absolute;margin-left:42.849998pt;margin-top:-4.887841pt;width:5.85pt;height:11.8pt;mso-position-horizontal-relative:page;mso-position-vertical-relative:paragraph;z-index:15835648" coordorigin="857,-98" coordsize="117,236">
            <v:shape style="position:absolute;left:882;top:48;width:85;height:85" coordorigin="883,48" coordsize="85,85" path="m925,48l909,51,895,61,886,74,883,91,886,107,895,121,909,130,925,133,942,130,955,121,964,107,968,91,964,74,955,61,942,51,925,48xe" filled="true" fillcolor="#ed1b2d" stroked="false">
              <v:path arrowok="t"/>
              <v:fill type="solid"/>
            </v:shape>
            <v:shape style="position:absolute;left:882;top:48;width:85;height:85" coordorigin="883,48" coordsize="85,85" path="m925,133l942,130,955,121,964,107,968,91,964,74,955,61,942,51,925,48,909,51,895,61,886,74,883,91,886,107,895,121,909,130,925,133xe" filled="false" stroked="true" strokeweight=".5pt" strokecolor="#000000">
              <v:path arrowok="t"/>
              <v:stroke dashstyle="solid"/>
            </v:shape>
            <v:shape style="position:absolute;left:857;top:-98;width:117;height:104" type="#_x0000_t75" stroked="false">
              <v:imagedata r:id="rId25" o:title=""/>
            </v:shape>
            <w10:wrap type="none"/>
          </v:group>
        </w:pict>
      </w:r>
      <w:r>
        <w:rPr/>
        <w:pict>
          <v:group style="position:absolute;margin-left:103.021004pt;margin-top:-5.382841pt;width:6.2pt;height:13pt;mso-position-horizontal-relative:page;mso-position-vertical-relative:paragraph;z-index:-21091840" coordorigin="2060,-108" coordsize="124,260">
            <v:shape style="position:absolute;left:2060;top:-108;width:124;height:124" type="#_x0000_t75" stroked="false">
              <v:imagedata r:id="rId26" o:title=""/>
            </v:shape>
            <v:shape style="position:absolute;left:2082;top:70;width:77;height:77" coordorigin="2082,71" coordsize="77,77" path="m2159,71l2082,147e" filled="true" fillcolor="#ed1b2d" stroked="false">
              <v:path arrowok="t"/>
              <v:fill type="solid"/>
            </v:shape>
            <v:line style="position:absolute" from="2082,147" to="2159,71" stroked="true" strokeweight=".5pt" strokecolor="#ed1b2d">
              <v:stroke dashstyle="solid"/>
            </v:line>
            <v:shape style="position:absolute;left:2078;top:63;width:84;height:84" coordorigin="2079,64" coordsize="84,84" path="m2079,64l2162,147e" filled="true" fillcolor="#ed1b2d" stroked="false">
              <v:path arrowok="t"/>
              <v:fill type="solid"/>
            </v:shape>
            <v:line style="position:absolute" from="2079,64" to="2162,147" stroked="true" strokeweight=".5pt" strokecolor="#ed1b2d">
              <v:stroke dashstyle="solid"/>
            </v:line>
            <w10:wrap type="none"/>
          </v:group>
        </w:pict>
      </w:r>
      <w:r>
        <w:rPr>
          <w:sz w:val="12"/>
        </w:rPr>
        <w:t>Three months ahead</w:t>
        <w:tab/>
        <w:t>Six months ahead</w:t>
        <w:tab/>
        <w:t>Twelve months ahead</w:t>
      </w:r>
    </w:p>
    <w:p>
      <w:pPr>
        <w:spacing w:after="0" w:line="5" w:lineRule="exact"/>
        <w:jc w:val="left"/>
        <w:rPr>
          <w:sz w:val="12"/>
        </w:rPr>
        <w:sectPr>
          <w:type w:val="continuous"/>
          <w:pgSz w:w="11900" w:h="16840"/>
          <w:pgMar w:top="1220" w:bottom="280" w:left="620" w:right="640"/>
        </w:sectPr>
      </w:pPr>
    </w:p>
    <w:p>
      <w:pPr>
        <w:spacing w:before="12"/>
        <w:ind w:left="395" w:right="0" w:firstLine="0"/>
        <w:jc w:val="left"/>
        <w:rPr>
          <w:sz w:val="12"/>
        </w:rPr>
      </w:pPr>
      <w:r>
        <w:rPr>
          <w:sz w:val="12"/>
        </w:rPr>
        <w:t>Five years ahead</w:t>
      </w:r>
    </w:p>
    <w:p>
      <w:pPr>
        <w:pStyle w:val="BodyText"/>
        <w:spacing w:before="3" w:after="40"/>
        <w:rPr>
          <w:sz w:val="9"/>
        </w:rPr>
      </w:pPr>
    </w:p>
    <w:p>
      <w:pPr>
        <w:pStyle w:val="BodyText"/>
        <w:spacing w:line="20" w:lineRule="exact"/>
        <w:ind w:left="242"/>
        <w:rPr>
          <w:sz w:val="2"/>
        </w:rPr>
      </w:pPr>
      <w:r>
        <w:rPr>
          <w:sz w:val="2"/>
        </w:rPr>
        <w:pict>
          <v:group style="width:5pt;height:.5pt;mso-position-horizontal-relative:char;mso-position-vertical-relative:line" coordorigin="0,0" coordsize="100,10">
            <v:line style="position:absolute" from="0,5" to="100,5" stroked="true" strokeweight=".5pt" strokecolor="#000000">
              <v:stroke dashstyle="solid"/>
            </v:line>
          </v:group>
        </w:pict>
      </w:r>
      <w:r>
        <w:rPr>
          <w:sz w:val="2"/>
        </w:rPr>
      </w:r>
    </w:p>
    <w:p>
      <w:pPr>
        <w:pStyle w:val="BodyText"/>
        <w:spacing w:before="2"/>
        <w:rPr>
          <w:sz w:val="19"/>
        </w:rPr>
      </w:pPr>
      <w:r>
        <w:rPr/>
        <w:pict>
          <v:shape style="position:absolute;margin-left:43.360001pt;margin-top:13.25pt;width:5pt;height:.1pt;mso-position-horizontal-relative:page;mso-position-vertical-relative:paragraph;z-index:-15631360;mso-wrap-distance-left:0;mso-wrap-distance-right:0" coordorigin="867,265" coordsize="100,0" path="m867,265l967,265e" filled="false" stroked="true" strokeweight=".5pt" strokecolor="#000000">
            <v:path arrowok="t"/>
            <v:stroke dashstyle="solid"/>
            <w10:wrap type="topAndBottom"/>
          </v:shape>
        </w:pict>
      </w:r>
    </w:p>
    <w:p>
      <w:pPr>
        <w:spacing w:before="12"/>
        <w:ind w:left="333" w:right="0" w:firstLine="0"/>
        <w:jc w:val="left"/>
        <w:rPr>
          <w:sz w:val="12"/>
        </w:rPr>
      </w:pPr>
      <w:r>
        <w:rPr/>
        <w:br w:type="column"/>
      </w:r>
      <w:r>
        <w:rPr>
          <w:sz w:val="12"/>
        </w:rPr>
        <w:t>Ten years ahead</w:t>
      </w:r>
    </w:p>
    <w:p>
      <w:pPr>
        <w:spacing w:before="152"/>
        <w:ind w:left="395" w:right="0" w:firstLine="0"/>
        <w:jc w:val="left"/>
        <w:rPr>
          <w:sz w:val="12"/>
        </w:rPr>
      </w:pPr>
      <w:r>
        <w:rPr/>
        <w:br w:type="column"/>
      </w:r>
      <w:r>
        <w:rPr>
          <w:sz w:val="12"/>
        </w:rPr>
        <w:t>1990 = 1</w:t>
      </w:r>
      <w:r>
        <w:rPr>
          <w:sz w:val="12"/>
          <w:u w:val="single"/>
        </w:rPr>
        <w:t>00</w:t>
      </w:r>
      <w:r>
        <w:rPr>
          <w:spacing w:val="5"/>
          <w:sz w:val="12"/>
        </w:rPr>
        <w:t> </w:t>
      </w:r>
      <w:r>
        <w:rPr>
          <w:position w:val="-6"/>
          <w:sz w:val="12"/>
        </w:rPr>
        <w:t>110</w:t>
      </w:r>
    </w:p>
    <w:p>
      <w:pPr>
        <w:spacing w:before="139"/>
        <w:ind w:left="0" w:right="38" w:firstLine="0"/>
        <w:jc w:val="right"/>
        <w:rPr>
          <w:sz w:val="12"/>
        </w:rPr>
      </w:pPr>
      <w:r>
        <w:rPr/>
        <w:pict>
          <v:line style="position:absolute;mso-position-horizontal-relative:page;mso-position-vertical-relative:paragraph;z-index:15830528" from="207.360001pt,11.051745pt" to="212.360001pt,11.051745pt" stroked="true" strokeweight=".5pt" strokecolor="#000000">
            <v:stroke dashstyle="solid"/>
            <w10:wrap type="none"/>
          </v:line>
        </w:pict>
      </w:r>
      <w:r>
        <w:rPr>
          <w:sz w:val="12"/>
        </w:rPr>
        <w:t>108</w:t>
      </w:r>
    </w:p>
    <w:p>
      <w:pPr>
        <w:pStyle w:val="BodyText"/>
        <w:spacing w:before="7"/>
        <w:rPr>
          <w:sz w:val="10"/>
        </w:rPr>
      </w:pPr>
    </w:p>
    <w:p>
      <w:pPr>
        <w:spacing w:before="0"/>
        <w:ind w:left="0" w:right="38" w:firstLine="0"/>
        <w:jc w:val="right"/>
        <w:rPr>
          <w:sz w:val="12"/>
        </w:rPr>
      </w:pPr>
      <w:r>
        <w:rPr/>
        <w:pict>
          <v:group style="position:absolute;margin-left:43.360001pt;margin-top:3.851563pt;width:169pt;height:96.5pt;mso-position-horizontal-relative:page;mso-position-vertical-relative:paragraph;z-index:15829504" coordorigin="867,77" coordsize="3380,1930">
            <v:shape style="position:absolute;left:2572;top:1549;width:85;height:85" coordorigin="2572,1550" coordsize="85,85" path="m2615,1550l2598,1553,2585,1562,2576,1576,2572,1592,2576,1609,2585,1622,2598,1631,2615,1634,2631,1631,2645,1622,2654,1609,2657,1592,2654,1576,2645,1562,2631,1553,2615,1550xe" filled="true" fillcolor="#ed1b2d" stroked="false">
              <v:path arrowok="t"/>
              <v:fill type="solid"/>
            </v:shape>
            <v:shape style="position:absolute;left:2572;top:1549;width:85;height:85" coordorigin="2572,1550" coordsize="85,85" path="m2615,1634l2631,1631,2645,1622,2654,1609,2657,1592,2654,1576,2645,1562,2631,1553,2615,1550,2598,1553,2585,1562,2576,1576,2572,1592,2576,1609,2585,1622,2598,1631,2615,1634xe" filled="false" stroked="true" strokeweight=".5pt" strokecolor="#000000">
              <v:path arrowok="t"/>
              <v:stroke dashstyle="solid"/>
            </v:shape>
            <v:shape style="position:absolute;left:1047;top:202;width:2860;height:1540" coordorigin="1047,202" coordsize="2860,1540" path="m1047,202l1107,322,1187,442,1327,662,2487,1422,3907,1742e" filled="false" stroked="true" strokeweight="1pt" strokecolor="#faab54">
              <v:path arrowok="t"/>
              <v:stroke dashstyle="solid"/>
            </v:shape>
            <v:shape style="position:absolute;left:1107;top:102;width:2880;height:1140" coordorigin="1107,102" coordsize="2880,1140" path="m1107,102l1187,202,1247,322,1407,542,2547,1122,3987,1242e" filled="false" stroked="true" strokeweight="1pt" strokecolor="#0066a5">
              <v:path arrowok="t"/>
              <v:stroke dashstyle="solid"/>
            </v:shape>
            <v:shape style="position:absolute;left:867;top:82;width:100;height:1660" coordorigin="867,82" coordsize="100,1660" path="m867,82l967,82m867,362l967,362m867,642l967,642m867,922l967,922m867,1182l967,1182m867,1462l967,1462m867,1742l967,1742e" filled="false" stroked="true" strokeweight=".5pt" strokecolor="#000000">
              <v:path arrowok="t"/>
              <v:stroke dashstyle="solid"/>
            </v:shape>
            <v:shape style="position:absolute;left:1187;top:362;width:2860;height:1520" coordorigin="1187,362" coordsize="2860,1520" path="m1187,362l1247,502,1327,622,1467,862,2627,1602,4047,1882e" filled="false" stroked="true" strokeweight="1pt" strokecolor="#ed1b2d">
              <v:path arrowok="t"/>
              <v:stroke dashstyle="solid"/>
            </v:shape>
            <v:shape style="position:absolute;left:1135;top:180;width:107;height:94" coordorigin="1135,181" coordsize="107,94" path="m1242,181l1135,181,1188,274,1242,181xe" filled="true" fillcolor="#b5e1e1" stroked="false">
              <v:path arrowok="t"/>
              <v:fill type="solid"/>
            </v:shape>
            <v:shape style="position:absolute;left:1135;top:180;width:107;height:94" coordorigin="1135,181" coordsize="107,94" path="m1135,181l1242,181,1188,274,1135,181xe" filled="false" stroked="true" strokeweight=".5pt" strokecolor="#000000">
              <v:path arrowok="t"/>
              <v:stroke dashstyle="solid"/>
            </v:shape>
            <v:shape style="position:absolute;left:1059;top:286;width:107;height:94" coordorigin="1060,286" coordsize="107,94" path="m1166,286l1060,286,1113,380,1166,286xe" filled="true" fillcolor="#b5e1e1" stroked="false">
              <v:path arrowok="t"/>
              <v:fill type="solid"/>
            </v:shape>
            <v:shape style="position:absolute;left:1059;top:286;width:107;height:94" coordorigin="1060,286" coordsize="107,94" path="m1060,286l1166,286,1113,380,1060,286xe" filled="false" stroked="true" strokeweight=".5pt" strokecolor="#000000">
              <v:path arrowok="t"/>
              <v:stroke dashstyle="solid"/>
            </v:shape>
            <v:shape style="position:absolute;left:1193;top:265;width:114;height:114" coordorigin="1194,266" coordsize="114,114" path="m1251,266l1194,322,1251,379,1307,322,1251,266xe" filled="true" fillcolor="#a790c4" stroked="false">
              <v:path arrowok="t"/>
              <v:fill type="solid"/>
            </v:shape>
            <v:shape style="position:absolute;left:1193;top:265;width:114;height:114" coordorigin="1194,266" coordsize="114,114" path="m1251,379l1307,322,1251,266,1194,322,1251,379xe" filled="false" stroked="true" strokeweight=".5pt" strokecolor="#000000">
              <v:path arrowok="t"/>
              <v:stroke dashstyle="solid"/>
            </v:shape>
            <v:shape style="position:absolute;left:1131;top:382;width:114;height:114" coordorigin="1131,383" coordsize="114,114" path="m1188,383l1131,439,1188,496,1244,439,1188,383xe" filled="true" fillcolor="#a790c4" stroked="false">
              <v:path arrowok="t"/>
              <v:fill type="solid"/>
            </v:shape>
            <v:shape style="position:absolute;left:1131;top:382;width:114;height:114" coordorigin="1131,383" coordsize="114,114" path="m1188,496l1244,439,1188,383,1131,439,1188,496xe" filled="false" stroked="true" strokeweight=".5pt" strokecolor="#000000">
              <v:path arrowok="t"/>
              <v:stroke dashstyle="solid"/>
            </v:shape>
            <v:shape style="position:absolute;left:1273;top:566;width:114;height:114" coordorigin="1274,566" coordsize="114,114" path="m1331,566l1274,623,1331,679,1387,623,1331,566xe" filled="true" fillcolor="#a790c4" stroked="false">
              <v:path arrowok="t"/>
              <v:fill type="solid"/>
            </v:shape>
            <v:shape style="position:absolute;left:1273;top:566;width:114;height:114" coordorigin="1274,566" coordsize="114,114" path="m1331,679l1387,623,1331,566,1274,623,1331,679xe" filled="false" stroked="true" strokeweight=".5pt" strokecolor="#000000">
              <v:path arrowok="t"/>
              <v:stroke dashstyle="solid"/>
            </v:shape>
            <v:rect style="position:absolute;left:1290;top:638;width:80;height:80" filled="true" fillcolor="#edc5dd" stroked="false">
              <v:fill type="solid"/>
            </v:rect>
            <v:rect style="position:absolute;left:1290;top:638;width:80;height:80" filled="false" stroked="true" strokeweight=".5pt" strokecolor="#000000">
              <v:stroke dashstyle="solid"/>
            </v:rect>
            <v:rect style="position:absolute;left:1437;top:825;width:80;height:80" filled="true" fillcolor="#edc5dd" stroked="false">
              <v:fill type="solid"/>
            </v:rect>
            <v:rect style="position:absolute;left:1437;top:825;width:80;height:80" filled="false" stroked="true" strokeweight=".5pt" strokecolor="#000000">
              <v:stroke dashstyle="solid"/>
            </v:rect>
            <v:rect style="position:absolute;left:1377;top:485;width:80;height:80" filled="true" fillcolor="#edc5dd" stroked="false">
              <v:fill type="solid"/>
            </v:rect>
            <v:rect style="position:absolute;left:1377;top:485;width:80;height:80" filled="false" stroked="true" strokeweight=".5pt" strokecolor="#000000">
              <v:stroke dashstyle="solid"/>
            </v:rect>
            <v:shape style="position:absolute;left:4010;top:1848;width:77;height:77" coordorigin="4010,1849" coordsize="77,77" path="m4087,1849l4010,1925e" filled="true" fillcolor="#ed1b2d" stroked="false">
              <v:path arrowok="t"/>
              <v:fill type="solid"/>
            </v:shape>
            <v:line style="position:absolute" from="4147,2002" to="4247,2002" stroked="true" strokeweight=".5pt" strokecolor="#000000">
              <v:stroke dashstyle="solid"/>
            </v:line>
            <v:line style="position:absolute" from="4010,1925" to="4087,1849" stroked="true" strokeweight=".5pt" strokecolor="#ed1b2d">
              <v:stroke dashstyle="solid"/>
            </v:line>
            <v:shape style="position:absolute;left:4006;top:1842;width:84;height:84" coordorigin="4007,1842" coordsize="84,84" path="m4007,1842l4090,1925e" filled="true" fillcolor="#ed1b2d" stroked="false">
              <v:path arrowok="t"/>
              <v:fill type="solid"/>
            </v:shape>
            <v:line style="position:absolute" from="4007,1842" to="4090,1925" stroked="true" strokeweight=".5pt" strokecolor="#ed1b2d">
              <v:stroke dashstyle="solid"/>
            </v:line>
            <v:shape style="position:absolute;left:3873;top:1713;width:77;height:77" coordorigin="3873,1714" coordsize="77,77" path="m3950,1714l3873,1790e" filled="true" fillcolor="#ed1b2d" stroked="false">
              <v:path arrowok="t"/>
              <v:fill type="solid"/>
            </v:shape>
            <v:line style="position:absolute" from="3873,1790" to="3950,1714" stroked="true" strokeweight=".5pt" strokecolor="#ed1b2d">
              <v:stroke dashstyle="solid"/>
            </v:line>
            <v:shape style="position:absolute;left:3870;top:1707;width:84;height:84" coordorigin="3870,1707" coordsize="84,84" path="m3870,1707l3953,1790e" filled="true" fillcolor="#ed1b2d" stroked="false">
              <v:path arrowok="t"/>
              <v:fill type="solid"/>
            </v:shape>
            <v:line style="position:absolute" from="3870,1707" to="3953,1790" stroked="true" strokeweight=".5pt" strokecolor="#ed1b2d">
              <v:stroke dashstyle="solid"/>
            </v:line>
            <v:shape style="position:absolute;left:3953;top:1213;width:77;height:77" coordorigin="3953,1214" coordsize="77,77" path="m4030,1214l3953,1290e" filled="true" fillcolor="#ed1b2d" stroked="false">
              <v:path arrowok="t"/>
              <v:fill type="solid"/>
            </v:shape>
            <v:line style="position:absolute" from="3953,1290" to="4030,1214" stroked="true" strokeweight=".5pt" strokecolor="#ed1b2d">
              <v:stroke dashstyle="solid"/>
            </v:line>
            <v:shape style="position:absolute;left:3950;top:1207;width:84;height:84" coordorigin="3950,1207" coordsize="84,84" path="m3950,1207l4033,1290e" filled="true" fillcolor="#ed1b2d" stroked="false">
              <v:path arrowok="t"/>
              <v:fill type="solid"/>
            </v:shape>
            <v:line style="position:absolute" from="3950,1207" to="4033,1290" stroked="true" strokeweight=".5pt" strokecolor="#ed1b2d">
              <v:stroke dashstyle="solid"/>
            </v:line>
            <v:shape style="position:absolute;left:2432;top:1369;width:85;height:85" coordorigin="2432,1370" coordsize="85,85" path="m2475,1370l2458,1373,2445,1382,2436,1396,2432,1412,2436,1429,2445,1442,2458,1451,2475,1454,2491,1451,2505,1442,2514,1429,2517,1412,2514,1396,2505,1382,2491,1373,2475,1370xe" filled="true" fillcolor="#ed1b2d" stroked="false">
              <v:path arrowok="t"/>
              <v:fill type="solid"/>
            </v:shape>
            <v:shape style="position:absolute;left:2432;top:1369;width:85;height:85" coordorigin="2432,1370" coordsize="85,85" path="m2475,1454l2491,1451,2505,1442,2514,1429,2517,1412,2514,1396,2505,1382,2491,1373,2475,1370,2458,1373,2445,1382,2436,1396,2432,1412,2436,1429,2445,1442,2458,1451,2475,1454xe" filled="false" stroked="true" strokeweight=".5pt" strokecolor="#000000">
              <v:path arrowok="t"/>
              <v:stroke dashstyle="solid"/>
            </v:shape>
            <v:shape style="position:absolute;left:2501;top:1080;width:85;height:85" coordorigin="2501,1081" coordsize="85,85" path="m2544,1081l2527,1084,2514,1093,2505,1106,2501,1123,2505,1139,2514,1153,2527,1162,2544,1165,2560,1162,2574,1153,2583,1139,2586,1123,2583,1106,2574,1093,2560,1084,2544,1081xe" filled="true" fillcolor="#ed1b2d" stroked="false">
              <v:path arrowok="t"/>
              <v:fill type="solid"/>
            </v:shape>
            <v:shape style="position:absolute;left:2501;top:1080;width:85;height:85" coordorigin="2501,1081" coordsize="85,85" path="m2544,1165l2560,1162,2574,1153,2583,1139,2586,1123,2583,1106,2574,1093,2560,1084,2544,1081,2527,1084,2514,1093,2505,1106,2501,1123,2505,1139,2514,1153,2527,1162,2544,1165xe" filled="false" stroked="true" strokeweight=".5pt" strokecolor="#000000">
              <v:path arrowok="t"/>
              <v:stroke dashstyle="solid"/>
            </v:shape>
            <v:shape style="position:absolute;left:1194;top:472;width:107;height:94" coordorigin="1195,472" coordsize="107,94" path="m1301,472l1195,472,1248,565,1301,472xe" filled="true" fillcolor="#b5e1e1" stroked="false">
              <v:path arrowok="t"/>
              <v:fill type="solid"/>
            </v:shape>
            <v:shape style="position:absolute;left:1194;top:472;width:107;height:94" coordorigin="1195,472" coordsize="107,94" path="m1195,472l1301,472,1248,565,1195,472xe" filled="false" stroked="true" strokeweight=".5pt" strokecolor="#000000">
              <v:path arrowok="t"/>
              <v:stroke dashstyle="solid"/>
            </v:shape>
            <v:shape style="position:absolute;left:2277;top:825;width:330;height:133" type="#_x0000_t202" filled="false" stroked="false">
              <v:textbox inset="0,0,0,0">
                <w:txbxContent>
                  <w:p>
                    <w:pPr>
                      <w:spacing w:line="133" w:lineRule="exact" w:before="0"/>
                      <w:ind w:left="0" w:right="0" w:firstLine="0"/>
                      <w:jc w:val="left"/>
                      <w:rPr>
                        <w:sz w:val="12"/>
                      </w:rPr>
                    </w:pPr>
                    <w:r>
                      <w:rPr>
                        <w:sz w:val="12"/>
                      </w:rPr>
                      <w:t>6 May</w:t>
                    </w:r>
                  </w:p>
                </w:txbxContent>
              </v:textbox>
              <w10:wrap type="none"/>
            </v:shape>
            <v:shape style="position:absolute;left:2630;top:1331;width:677;height:507" type="#_x0000_t202" filled="false" stroked="false">
              <v:textbox inset="0,0,0,0">
                <w:txbxContent>
                  <w:p>
                    <w:pPr>
                      <w:spacing w:line="133" w:lineRule="exact" w:before="0"/>
                      <w:ind w:left="133" w:right="0" w:firstLine="0"/>
                      <w:jc w:val="left"/>
                      <w:rPr>
                        <w:sz w:val="12"/>
                      </w:rPr>
                    </w:pPr>
                    <w:r>
                      <w:rPr>
                        <w:sz w:val="12"/>
                      </w:rPr>
                      <w:t>4 February</w:t>
                    </w:r>
                  </w:p>
                  <w:p>
                    <w:pPr>
                      <w:spacing w:line="240" w:lineRule="auto" w:before="0"/>
                      <w:rPr>
                        <w:sz w:val="12"/>
                      </w:rPr>
                    </w:pPr>
                  </w:p>
                  <w:p>
                    <w:pPr>
                      <w:spacing w:before="97"/>
                      <w:ind w:left="0" w:right="0" w:firstLine="0"/>
                      <w:jc w:val="left"/>
                      <w:rPr>
                        <w:sz w:val="12"/>
                      </w:rPr>
                    </w:pPr>
                    <w:r>
                      <w:rPr>
                        <w:sz w:val="12"/>
                      </w:rPr>
                      <w:t>5 August</w:t>
                    </w:r>
                  </w:p>
                </w:txbxContent>
              </v:textbox>
              <w10:wrap type="none"/>
            </v:shape>
            <w10:wrap type="none"/>
          </v:group>
        </w:pict>
      </w:r>
      <w:r>
        <w:rPr/>
        <w:pict>
          <v:line style="position:absolute;mso-position-horizontal-relative:page;mso-position-vertical-relative:paragraph;z-index:15831040" from="207.360001pt,4.101563pt" to="212.360001pt,4.101563pt" stroked="true" strokeweight=".5pt" strokecolor="#000000">
            <v:stroke dashstyle="solid"/>
            <w10:wrap type="none"/>
          </v:line>
        </w:pict>
      </w:r>
      <w:r>
        <w:rPr>
          <w:sz w:val="12"/>
        </w:rPr>
        <w:t>106</w:t>
      </w:r>
    </w:p>
    <w:p>
      <w:pPr>
        <w:pStyle w:val="BodyText"/>
        <w:spacing w:before="4"/>
        <w:rPr>
          <w:sz w:val="12"/>
        </w:rPr>
      </w:pPr>
    </w:p>
    <w:p>
      <w:pPr>
        <w:spacing w:before="0"/>
        <w:ind w:left="0" w:right="38" w:firstLine="0"/>
        <w:jc w:val="right"/>
        <w:rPr>
          <w:sz w:val="12"/>
        </w:rPr>
      </w:pPr>
      <w:r>
        <w:rPr/>
        <w:pict>
          <v:line style="position:absolute;mso-position-horizontal-relative:page;mso-position-vertical-relative:paragraph;z-index:15831552" from="207.360001pt,4.101746pt" to="212.360001pt,4.101746pt" stroked="true" strokeweight=".5pt" strokecolor="#000000">
            <v:stroke dashstyle="solid"/>
            <w10:wrap type="none"/>
          </v:line>
        </w:pict>
      </w:r>
      <w:r>
        <w:rPr>
          <w:sz w:val="12"/>
        </w:rPr>
        <w:t>104</w:t>
      </w:r>
    </w:p>
    <w:p>
      <w:pPr>
        <w:pStyle w:val="Heading4"/>
        <w:spacing w:line="256" w:lineRule="exact"/>
        <w:ind w:left="395"/>
      </w:pPr>
      <w:r>
        <w:rPr/>
        <w:br w:type="column"/>
      </w:r>
      <w:r>
        <w:rPr>
          <w:color w:val="231F20"/>
        </w:rPr>
        <w:t>suggest lower long-term UK implied forward inflation</w:t>
      </w:r>
    </w:p>
    <w:p>
      <w:pPr>
        <w:spacing w:line="242" w:lineRule="auto" w:before="4"/>
        <w:ind w:left="395" w:right="126" w:firstLine="0"/>
        <w:jc w:val="left"/>
        <w:rPr>
          <w:sz w:val="16"/>
        </w:rPr>
      </w:pPr>
      <w:r>
        <w:rPr>
          <w:color w:val="231F20"/>
          <w:sz w:val="24"/>
        </w:rPr>
        <w:t>rates. Rather, market perceptions of the stance of domestic monetary policy over the shorter term appear to have changed.</w:t>
      </w:r>
      <w:r>
        <w:rPr>
          <w:color w:val="231F20"/>
          <w:position w:val="5"/>
          <w:sz w:val="16"/>
        </w:rPr>
        <w:t>(1)</w:t>
      </w:r>
    </w:p>
    <w:p>
      <w:pPr>
        <w:spacing w:after="0" w:line="242" w:lineRule="auto"/>
        <w:jc w:val="left"/>
        <w:rPr>
          <w:sz w:val="16"/>
        </w:rPr>
        <w:sectPr>
          <w:type w:val="continuous"/>
          <w:pgSz w:w="11900" w:h="16840"/>
          <w:pgMar w:top="1220" w:bottom="280" w:left="620" w:right="640"/>
          <w:cols w:num="4" w:equalWidth="0">
            <w:col w:w="1202" w:space="40"/>
            <w:col w:w="1154" w:space="273"/>
            <w:col w:w="1199" w:space="706"/>
            <w:col w:w="6066"/>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7"/>
        </w:rPr>
      </w:pPr>
    </w:p>
    <w:p>
      <w:pPr>
        <w:pStyle w:val="BodyText"/>
        <w:spacing w:line="20" w:lineRule="exact"/>
        <w:ind w:left="242"/>
        <w:rPr>
          <w:sz w:val="2"/>
        </w:rPr>
      </w:pPr>
      <w:r>
        <w:rPr>
          <w:sz w:val="2"/>
        </w:rPr>
        <w:pict>
          <v:group style="width:5pt;height:.5pt;mso-position-horizontal-relative:char;mso-position-vertical-relative:line" coordorigin="0,0" coordsize="100,10">
            <v:line style="position:absolute" from="0,5" to="100,5" stroked="true" strokeweight=".5pt" strokecolor="#000000">
              <v:stroke dashstyle="solid"/>
            </v:line>
          </v:group>
        </w:pict>
      </w:r>
      <w:r>
        <w:rPr>
          <w:sz w:val="2"/>
        </w:rPr>
      </w:r>
    </w:p>
    <w:p>
      <w:pPr>
        <w:pStyle w:val="BodyText"/>
        <w:spacing w:before="2"/>
        <w:rPr>
          <w:sz w:val="19"/>
        </w:rPr>
      </w:pPr>
      <w:r>
        <w:rPr/>
        <w:pict>
          <v:shape style="position:absolute;margin-left:43.360001pt;margin-top:13.25pt;width:5pt;height:.1pt;mso-position-horizontal-relative:page;mso-position-vertical-relative:paragraph;z-index:-15630336;mso-wrap-distance-left:0;mso-wrap-distance-right:0" coordorigin="867,265" coordsize="100,0" path="m867,265l967,265e" filled="false" stroked="true" strokeweight=".5pt" strokecolor="#000000">
            <v:path arrowok="t"/>
            <v:stroke dashstyle="solid"/>
            <w10:wrap type="topAndBottom"/>
          </v:shape>
        </w:pict>
      </w:r>
      <w:r>
        <w:rPr/>
        <w:pict>
          <v:shape style="position:absolute;margin-left:43.360001pt;margin-top:27.25pt;width:5pt;height:.1pt;mso-position-horizontal-relative:page;mso-position-vertical-relative:paragraph;z-index:-15629824;mso-wrap-distance-left:0;mso-wrap-distance-right:0" coordorigin="867,545" coordsize="100,0" path="m867,545l967,545e" filled="false" stroked="true" strokeweight=".5pt" strokecolor="#000000">
            <v:path arrowok="t"/>
            <v:stroke dashstyle="solid"/>
            <w10:wrap type="topAndBottom"/>
          </v:shape>
        </w:pict>
      </w:r>
    </w:p>
    <w:p>
      <w:pPr>
        <w:pStyle w:val="BodyText"/>
        <w:spacing w:before="6"/>
        <w:rPr>
          <w:sz w:val="17"/>
        </w:rPr>
      </w:pPr>
    </w:p>
    <w:p>
      <w:pPr>
        <w:tabs>
          <w:tab w:pos="677" w:val="left" w:leader="none"/>
          <w:tab w:pos="977" w:val="left" w:leader="none"/>
        </w:tabs>
        <w:spacing w:before="4"/>
        <w:ind w:left="397" w:right="0" w:firstLine="0"/>
        <w:jc w:val="left"/>
        <w:rPr>
          <w:sz w:val="12"/>
        </w:rPr>
      </w:pPr>
      <w:r>
        <w:rPr>
          <w:sz w:val="12"/>
        </w:rPr>
        <w:t>1</w:t>
        <w:tab/>
        <w:t>5</w:t>
        <w:tab/>
        <w:t>9 13 </w:t>
      </w:r>
      <w:r>
        <w:rPr>
          <w:spacing w:val="-10"/>
          <w:sz w:val="12"/>
        </w:rPr>
        <w:t>17</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9"/>
        <w:rPr>
          <w:sz w:val="9"/>
        </w:rPr>
      </w:pPr>
    </w:p>
    <w:p>
      <w:pPr>
        <w:spacing w:before="0"/>
        <w:ind w:left="120" w:right="0" w:firstLine="0"/>
        <w:jc w:val="left"/>
        <w:rPr>
          <w:sz w:val="12"/>
        </w:rPr>
      </w:pPr>
      <w:r>
        <w:rPr>
          <w:sz w:val="12"/>
        </w:rPr>
        <w:t>21 25 29 33 37 41</w:t>
      </w:r>
    </w:p>
    <w:p>
      <w:pPr>
        <w:pStyle w:val="BodyText"/>
        <w:spacing w:before="4"/>
        <w:rPr>
          <w:sz w:val="12"/>
        </w:rPr>
      </w:pPr>
      <w:r>
        <w:rPr/>
        <w:br w:type="column"/>
      </w:r>
      <w:r>
        <w:rPr>
          <w:sz w:val="12"/>
        </w:rPr>
      </w:r>
    </w:p>
    <w:p>
      <w:pPr>
        <w:spacing w:before="0"/>
        <w:ind w:left="0" w:right="38" w:firstLine="0"/>
        <w:jc w:val="right"/>
        <w:rPr>
          <w:sz w:val="12"/>
        </w:rPr>
      </w:pPr>
      <w:r>
        <w:rPr>
          <w:sz w:val="12"/>
        </w:rPr>
        <w:t>102</w:t>
      </w:r>
    </w:p>
    <w:p>
      <w:pPr>
        <w:pStyle w:val="BodyText"/>
        <w:spacing w:before="4"/>
        <w:rPr>
          <w:sz w:val="12"/>
        </w:rPr>
      </w:pPr>
    </w:p>
    <w:p>
      <w:pPr>
        <w:spacing w:before="0"/>
        <w:ind w:left="0" w:right="38" w:firstLine="0"/>
        <w:jc w:val="right"/>
        <w:rPr>
          <w:sz w:val="12"/>
        </w:rPr>
      </w:pPr>
      <w:r>
        <w:rPr/>
        <w:pict>
          <v:line style="position:absolute;mso-position-horizontal-relative:page;mso-position-vertical-relative:paragraph;z-index:15832064" from="207.360001pt,-9.897827pt" to="212.360001pt,-9.897827pt" stroked="true" strokeweight=".5pt" strokecolor="#000000">
            <v:stroke dashstyle="solid"/>
            <w10:wrap type="none"/>
          </v:line>
        </w:pict>
      </w:r>
      <w:r>
        <w:rPr/>
        <w:pict>
          <v:line style="position:absolute;mso-position-horizontal-relative:page;mso-position-vertical-relative:paragraph;z-index:15832576" from="207.360001pt,4.102173pt" to="212.360001pt,4.102173pt" stroked="true" strokeweight=".5pt" strokecolor="#000000">
            <v:stroke dashstyle="solid"/>
            <w10:wrap type="none"/>
          </v:line>
        </w:pict>
      </w:r>
      <w:r>
        <w:rPr>
          <w:sz w:val="12"/>
        </w:rPr>
        <w:t>100</w:t>
      </w:r>
    </w:p>
    <w:p>
      <w:pPr>
        <w:pStyle w:val="BodyText"/>
        <w:spacing w:before="7"/>
        <w:rPr>
          <w:sz w:val="10"/>
        </w:rPr>
      </w:pPr>
    </w:p>
    <w:p>
      <w:pPr>
        <w:spacing w:before="0"/>
        <w:ind w:left="0" w:right="38" w:firstLine="0"/>
        <w:jc w:val="right"/>
        <w:rPr>
          <w:sz w:val="12"/>
        </w:rPr>
      </w:pPr>
      <w:r>
        <w:rPr/>
        <w:pict>
          <v:line style="position:absolute;mso-position-horizontal-relative:page;mso-position-vertical-relative:paragraph;z-index:15833088" from="207.360001pt,4.10199pt" to="212.360001pt,4.10199pt" stroked="true" strokeweight=".5pt" strokecolor="#000000">
            <v:stroke dashstyle="solid"/>
            <w10:wrap type="none"/>
          </v:line>
        </w:pict>
      </w:r>
      <w:r>
        <w:rPr>
          <w:sz w:val="12"/>
        </w:rPr>
        <w:t>98</w:t>
      </w:r>
    </w:p>
    <w:p>
      <w:pPr>
        <w:pStyle w:val="BodyText"/>
        <w:spacing w:before="4"/>
        <w:rPr>
          <w:sz w:val="12"/>
        </w:rPr>
      </w:pPr>
    </w:p>
    <w:p>
      <w:pPr>
        <w:spacing w:before="0"/>
        <w:ind w:left="0" w:right="38" w:firstLine="0"/>
        <w:jc w:val="right"/>
        <w:rPr>
          <w:sz w:val="12"/>
        </w:rPr>
      </w:pPr>
      <w:r>
        <w:rPr/>
        <w:pict>
          <v:line style="position:absolute;mso-position-horizontal-relative:page;mso-position-vertical-relative:paragraph;z-index:15833600" from="207.360001pt,4.102173pt" to="212.360001pt,4.102173pt" stroked="true" strokeweight=".5pt" strokecolor="#000000">
            <v:stroke dashstyle="solid"/>
            <w10:wrap type="none"/>
          </v:line>
        </w:pict>
      </w:r>
      <w:r>
        <w:rPr>
          <w:sz w:val="12"/>
        </w:rPr>
        <w:t>96</w:t>
      </w:r>
    </w:p>
    <w:p>
      <w:pPr>
        <w:pStyle w:val="BodyText"/>
        <w:spacing w:before="4"/>
        <w:rPr>
          <w:sz w:val="12"/>
        </w:rPr>
      </w:pPr>
    </w:p>
    <w:p>
      <w:pPr>
        <w:spacing w:before="0"/>
        <w:ind w:left="0" w:right="38" w:firstLine="0"/>
        <w:jc w:val="right"/>
        <w:rPr>
          <w:sz w:val="12"/>
        </w:rPr>
      </w:pPr>
      <w:r>
        <w:rPr/>
        <w:pict>
          <v:line style="position:absolute;mso-position-horizontal-relative:page;mso-position-vertical-relative:paragraph;z-index:15834112" from="207.360001pt,4.102356pt" to="212.360001pt,4.102356pt" stroked="true" strokeweight=".5pt" strokecolor="#000000">
            <v:stroke dashstyle="solid"/>
            <w10:wrap type="none"/>
          </v:line>
        </w:pict>
      </w:r>
      <w:r>
        <w:rPr>
          <w:sz w:val="12"/>
        </w:rPr>
        <w:t>94</w:t>
      </w:r>
    </w:p>
    <w:p>
      <w:pPr>
        <w:pStyle w:val="BodyText"/>
        <w:spacing w:before="7"/>
        <w:rPr>
          <w:sz w:val="10"/>
        </w:rPr>
      </w:pPr>
    </w:p>
    <w:p>
      <w:pPr>
        <w:spacing w:before="0"/>
        <w:ind w:left="0" w:right="38" w:firstLine="0"/>
        <w:jc w:val="right"/>
        <w:rPr>
          <w:sz w:val="12"/>
        </w:rPr>
      </w:pPr>
      <w:r>
        <w:rPr>
          <w:sz w:val="12"/>
        </w:rPr>
        <w:t>92</w:t>
      </w:r>
    </w:p>
    <w:p>
      <w:pPr>
        <w:pStyle w:val="BodyText"/>
        <w:spacing w:before="4"/>
        <w:rPr>
          <w:sz w:val="12"/>
        </w:rPr>
      </w:pPr>
    </w:p>
    <w:p>
      <w:pPr>
        <w:spacing w:before="0"/>
        <w:ind w:left="0" w:right="38" w:firstLine="0"/>
        <w:jc w:val="right"/>
        <w:rPr>
          <w:sz w:val="12"/>
        </w:rPr>
      </w:pPr>
      <w:r>
        <w:rPr/>
        <w:pict>
          <v:line style="position:absolute;mso-position-horizontal-relative:page;mso-position-vertical-relative:paragraph;z-index:15834624" from="207.360001pt,4.102356pt" to="212.360001pt,4.102356pt" stroked="true" strokeweight=".5pt" strokecolor="#000000">
            <v:stroke dashstyle="solid"/>
            <w10:wrap type="none"/>
          </v:line>
        </w:pict>
      </w:r>
      <w:r>
        <w:rPr>
          <w:sz w:val="12"/>
        </w:rPr>
        <w:t>90</w:t>
      </w:r>
    </w:p>
    <w:p>
      <w:pPr>
        <w:pStyle w:val="BodyText"/>
        <w:spacing w:before="4"/>
        <w:rPr>
          <w:sz w:val="12"/>
        </w:rPr>
      </w:pPr>
    </w:p>
    <w:p>
      <w:pPr>
        <w:spacing w:before="0"/>
        <w:ind w:left="0" w:right="38" w:firstLine="0"/>
        <w:jc w:val="right"/>
        <w:rPr>
          <w:sz w:val="12"/>
        </w:rPr>
      </w:pPr>
      <w:r>
        <w:rPr/>
        <w:pict>
          <v:shape style="position:absolute;margin-left:52.360001pt;margin-top:-1.897461pt;width:150pt;height:6pt;mso-position-horizontal-relative:page;mso-position-vertical-relative:paragraph;z-index:15830016" coordorigin="1047,-38" coordsize="3000,120" path="m3907,-38l3907,82m3607,-38l3607,82m3327,-38l3327,82m3047,-38l3047,82m2767,-38l2767,82m2467,-38l2467,82m2187,-38l2187,82m1907,-38l1907,82m1607,-38l1607,82m1327,-38l1327,82m1047,-38l1047,82m1117,82l1117,22m1187,82l1187,22m1257,82l1257,22m1397,82l1397,22m1467,82l1467,22m1537,82l1537,22m1682,82l1682,22m1757,82l1757,22m1832,82l1832,22m1977,82l1977,22m2047,82l2047,22m2117,82l2117,22m2257,82l2257,22m2327,82l2327,22m2397,82l2397,22m2542,82l2542,22m2617,82l2617,22m2692,82l2692,22m2837,82l2837,22m2907,82l2907,22m2977,82l2977,22m3117,82l3117,22m3187,82l3187,22m3257,82l3257,22m3397,82l3397,22m3467,82l3467,22m3537,82l3537,22m3682,82l3682,22m3757,82l3757,22m3832,82l3832,22m1047,82l3987,82m3987,82l3987,22m4047,82l4047,22m1047,82l4047,82e" filled="false" stroked="true" strokeweight=".5pt" strokecolor="#000000">
            <v:path arrowok="t"/>
            <v:stroke dashstyle="solid"/>
            <w10:wrap type="none"/>
          </v:shape>
        </w:pict>
      </w:r>
      <w:r>
        <w:rPr/>
        <w:pict>
          <v:line style="position:absolute;mso-position-horizontal-relative:page;mso-position-vertical-relative:paragraph;z-index:15835136" from="207.360001pt,4.102539pt" to="212.360001pt,4.102539pt" stroked="true" strokeweight=".5pt" strokecolor="#000000">
            <v:stroke dashstyle="solid"/>
            <w10:wrap type="none"/>
          </v:line>
        </w:pict>
      </w:r>
      <w:r>
        <w:rPr>
          <w:sz w:val="12"/>
        </w:rPr>
        <w:t>88</w:t>
      </w:r>
    </w:p>
    <w:p>
      <w:pPr>
        <w:pStyle w:val="BodyText"/>
        <w:spacing w:before="1"/>
        <w:rPr>
          <w:sz w:val="21"/>
        </w:rPr>
      </w:pPr>
      <w:r>
        <w:rPr/>
        <w:br w:type="column"/>
      </w:r>
      <w:r>
        <w:rPr>
          <w:sz w:val="21"/>
        </w:rPr>
      </w:r>
    </w:p>
    <w:p>
      <w:pPr>
        <w:pStyle w:val="Heading4"/>
        <w:spacing w:line="242" w:lineRule="auto"/>
        <w:ind w:left="397" w:right="282"/>
        <w:jc w:val="both"/>
      </w:pPr>
      <w:r>
        <w:rPr>
          <w:color w:val="231F20"/>
        </w:rPr>
        <w:t>Most other forecasters’ views about inflation and </w:t>
      </w:r>
      <w:r>
        <w:rPr>
          <w:color w:val="231F20"/>
          <w:spacing w:val="-3"/>
        </w:rPr>
        <w:t>output </w:t>
      </w:r>
      <w:r>
        <w:rPr>
          <w:color w:val="231F20"/>
        </w:rPr>
        <w:t>growth are based on a future path of sterling that differs from that implied by interest rate differentials alone.</w:t>
      </w:r>
    </w:p>
    <w:p>
      <w:pPr>
        <w:spacing w:line="280" w:lineRule="exact" w:before="4"/>
        <w:ind w:left="397" w:right="233" w:firstLine="0"/>
        <w:jc w:val="left"/>
        <w:rPr>
          <w:sz w:val="24"/>
        </w:rPr>
      </w:pPr>
      <w:r>
        <w:rPr>
          <w:color w:val="231F20"/>
          <w:sz w:val="24"/>
        </w:rPr>
        <w:t>These projections mostly assume that sterling depreciates more than suggested by interest rate differentials, ie that other forecasters attach a risk premium to sterling such that investors are willing to accept a lower-than-average return on holding sterling.</w:t>
      </w:r>
    </w:p>
    <w:p>
      <w:pPr>
        <w:spacing w:after="0" w:line="280" w:lineRule="exact"/>
        <w:jc w:val="left"/>
        <w:rPr>
          <w:sz w:val="24"/>
        </w:rPr>
        <w:sectPr>
          <w:type w:val="continuous"/>
          <w:pgSz w:w="11900" w:h="16840"/>
          <w:pgMar w:top="1220" w:bottom="280" w:left="620" w:right="640"/>
          <w:cols w:num="4" w:equalWidth="0">
            <w:col w:w="1638" w:space="40"/>
            <w:col w:w="1661" w:space="39"/>
            <w:col w:w="490" w:space="703"/>
            <w:col w:w="6069"/>
          </w:cols>
        </w:sectPr>
      </w:pPr>
    </w:p>
    <w:p>
      <w:pPr>
        <w:spacing w:line="2" w:lineRule="exact" w:before="0"/>
        <w:ind w:left="1438" w:right="1581" w:firstLine="0"/>
        <w:jc w:val="center"/>
        <w:rPr>
          <w:sz w:val="12"/>
        </w:rPr>
      </w:pPr>
      <w:r>
        <w:rPr>
          <w:sz w:val="12"/>
        </w:rPr>
        <w:t>Number of quarters</w:t>
      </w:r>
    </w:p>
    <w:p>
      <w:pPr>
        <w:spacing w:before="46"/>
        <w:ind w:left="187" w:right="0" w:firstLine="0"/>
        <w:jc w:val="left"/>
        <w:rPr>
          <w:sz w:val="12"/>
        </w:rPr>
      </w:pPr>
      <w:r>
        <w:rPr>
          <w:color w:val="231F20"/>
          <w:sz w:val="12"/>
        </w:rPr>
        <w:t>Sources: Bank of International Settlements, Datastream and Bank of England.</w:t>
      </w:r>
    </w:p>
    <w:p>
      <w:pPr>
        <w:spacing w:before="102"/>
        <w:ind w:left="187" w:right="0" w:firstLine="0"/>
        <w:jc w:val="left"/>
        <w:rPr>
          <w:sz w:val="12"/>
        </w:rPr>
      </w:pPr>
      <w:r>
        <w:rPr>
          <w:color w:val="231F20"/>
          <w:sz w:val="12"/>
        </w:rPr>
        <w:t>(a) Assuming uncovered interest rate parity.</w:t>
      </w:r>
    </w:p>
    <w:p>
      <w:pPr>
        <w:pStyle w:val="BodyText"/>
        <w:spacing w:before="1"/>
        <w:rPr>
          <w:sz w:val="26"/>
        </w:rPr>
      </w:pPr>
      <w:r>
        <w:rPr/>
        <w:br w:type="column"/>
      </w:r>
      <w:r>
        <w:rPr>
          <w:sz w:val="26"/>
        </w:rPr>
      </w:r>
    </w:p>
    <w:p>
      <w:pPr>
        <w:pStyle w:val="Heading4"/>
        <w:spacing w:line="242" w:lineRule="auto"/>
        <w:ind w:left="187" w:right="212"/>
      </w:pPr>
      <w:r>
        <w:rPr>
          <w:color w:val="231F20"/>
        </w:rPr>
        <w:t>In judging the likely path for sterling, conditional upon unchanged UK interest rates, the MPC has taken into account both interest rate differentials and risk considerations. In the central projection (the modal or most likely case), the sterling ERI declines to 99.7 at the two-year forecast horizon. This implies bilateral exchange rates, two years hence, of about 1.61 and 2.78 against the US dollar and the Deutsche Mark respectively. In the MPC’s view, a substantial fall in sterling is more likely than a substantial rise. So, on average, the sterling ERI is expected to decline somewhat more steeply in the central projection, and reaches a level of 96.4 in two years’ time.</w:t>
      </w:r>
    </w:p>
    <w:p>
      <w:pPr>
        <w:spacing w:after="0" w:line="242" w:lineRule="auto"/>
        <w:sectPr>
          <w:type w:val="continuous"/>
          <w:pgSz w:w="11900" w:h="16840"/>
          <w:pgMar w:top="1220" w:bottom="280" w:left="620" w:right="640"/>
          <w:cols w:num="2" w:equalWidth="0">
            <w:col w:w="4000" w:space="782"/>
            <w:col w:w="5858"/>
          </w:cols>
        </w:sectPr>
      </w:pPr>
    </w:p>
    <w:p>
      <w:pPr>
        <w:pStyle w:val="BodyText"/>
        <w:spacing w:before="9"/>
        <w:rPr>
          <w:sz w:val="21"/>
        </w:rPr>
      </w:pPr>
    </w:p>
    <w:p>
      <w:pPr>
        <w:pStyle w:val="ListParagraph"/>
        <w:numPr>
          <w:ilvl w:val="1"/>
          <w:numId w:val="9"/>
        </w:numPr>
        <w:tabs>
          <w:tab w:pos="9066" w:val="left" w:leader="none"/>
          <w:tab w:pos="9068" w:val="left" w:leader="none"/>
          <w:tab w:pos="10482" w:val="left" w:leader="none"/>
        </w:tabs>
        <w:spacing w:line="240" w:lineRule="auto" w:before="89" w:after="0"/>
        <w:ind w:left="9067" w:right="0" w:hanging="4099"/>
        <w:jc w:val="left"/>
        <w:rPr>
          <w:b/>
          <w:sz w:val="28"/>
        </w:rPr>
      </w:pPr>
      <w:r>
        <w:rPr>
          <w:b/>
          <w:color w:val="009483"/>
          <w:sz w:val="28"/>
          <w:u w:val="thick" w:color="0093C1"/>
        </w:rPr>
        <w:t>Summary</w:t>
        <w:tab/>
      </w:r>
    </w:p>
    <w:p>
      <w:pPr>
        <w:spacing w:line="242" w:lineRule="auto" w:before="264"/>
        <w:ind w:left="4969" w:right="154" w:firstLine="0"/>
        <w:jc w:val="left"/>
        <w:rPr>
          <w:sz w:val="24"/>
        </w:rPr>
      </w:pPr>
      <w:r>
        <w:rPr>
          <w:color w:val="231F20"/>
          <w:sz w:val="24"/>
        </w:rPr>
        <w:t>Broad money and credit growth continue to </w:t>
      </w:r>
      <w:r>
        <w:rPr>
          <w:color w:val="231F20"/>
          <w:spacing w:val="-5"/>
          <w:sz w:val="24"/>
        </w:rPr>
        <w:t>slow. </w:t>
      </w:r>
      <w:r>
        <w:rPr>
          <w:color w:val="231F20"/>
          <w:sz w:val="24"/>
        </w:rPr>
        <w:t>As in </w:t>
      </w:r>
      <w:r>
        <w:rPr>
          <w:color w:val="231F20"/>
          <w:spacing w:val="-4"/>
          <w:sz w:val="24"/>
        </w:rPr>
        <w:t>May, </w:t>
      </w:r>
      <w:r>
        <w:rPr>
          <w:color w:val="231F20"/>
          <w:sz w:val="24"/>
        </w:rPr>
        <w:t>the </w:t>
      </w:r>
      <w:r>
        <w:rPr>
          <w:color w:val="231F20"/>
          <w:spacing w:val="-3"/>
          <w:sz w:val="24"/>
        </w:rPr>
        <w:t>MPC’s </w:t>
      </w:r>
      <w:r>
        <w:rPr>
          <w:color w:val="231F20"/>
          <w:sz w:val="24"/>
        </w:rPr>
        <w:t>central projection assumes that aggregate broad money velocity will continue to fall during the remainder of 1998 and 1999, but slightly </w:t>
      </w:r>
      <w:r>
        <w:rPr>
          <w:color w:val="231F20"/>
          <w:spacing w:val="-5"/>
          <w:sz w:val="24"/>
        </w:rPr>
        <w:t>more </w:t>
      </w:r>
      <w:r>
        <w:rPr>
          <w:color w:val="231F20"/>
          <w:sz w:val="24"/>
        </w:rPr>
        <w:t>slowly than during the past couple of years. On this basis, broad money growth will need to fall further to remain consistent with the central projection for inflation. The possibility that past rapid money growth could feed through into higher future inflation continues to pose an upside risk to this projection.</w:t>
      </w:r>
    </w:p>
    <w:p>
      <w:pPr>
        <w:pStyle w:val="BodyText"/>
        <w:spacing w:before="5"/>
        <w:rPr>
          <w:sz w:val="25"/>
        </w:rPr>
      </w:pPr>
    </w:p>
    <w:p>
      <w:pPr>
        <w:spacing w:line="242" w:lineRule="auto" w:before="0"/>
        <w:ind w:left="4969" w:right="221" w:firstLine="0"/>
        <w:jc w:val="left"/>
        <w:rPr>
          <w:sz w:val="24"/>
        </w:rPr>
      </w:pPr>
      <w:r>
        <w:rPr>
          <w:color w:val="231F20"/>
          <w:sz w:val="24"/>
        </w:rPr>
        <w:t>The past rise in equity prices has increased personal sector financial wealth, and the MPC assumes in its central projection that equity wealth will grow in line with nominal income. But the extent to which equity</w:t>
      </w:r>
    </w:p>
    <w:p>
      <w:pPr>
        <w:pStyle w:val="BodyText"/>
        <w:spacing w:before="5"/>
        <w:rPr>
          <w:sz w:val="24"/>
        </w:rPr>
      </w:pPr>
      <w:r>
        <w:rPr/>
        <w:pict>
          <v:shape style="position:absolute;margin-left:278.5pt;margin-top:16.146404pt;width:277.5pt;height:.1pt;mso-position-horizontal-relative:page;mso-position-vertical-relative:paragraph;z-index:-15629312;mso-wrap-distance-left:0;mso-wrap-distance-right:0" coordorigin="5570,323" coordsize="5550,0" path="m5570,323l11120,323e" filled="false" stroked="true" strokeweight=".125pt" strokecolor="#231f20">
            <v:path arrowok="t"/>
            <v:stroke dashstyle="solid"/>
            <w10:wrap type="topAndBottom"/>
          </v:shape>
        </w:pict>
      </w:r>
    </w:p>
    <w:p>
      <w:pPr>
        <w:spacing w:line="208" w:lineRule="auto" w:before="1"/>
        <w:ind w:left="5262" w:right="709" w:hanging="288"/>
        <w:jc w:val="left"/>
        <w:rPr>
          <w:sz w:val="16"/>
        </w:rPr>
      </w:pPr>
      <w:r>
        <w:rPr>
          <w:color w:val="231F20"/>
          <w:sz w:val="16"/>
        </w:rPr>
        <w:t>(1) For an analysis of how news in data releases and about monetary policy has influenced interest rate expectations, see the box in ‘Markets and operations’, </w:t>
      </w:r>
      <w:r>
        <w:rPr>
          <w:i/>
          <w:color w:val="231F20"/>
          <w:sz w:val="16"/>
        </w:rPr>
        <w:t>Quarterly Bulletin</w:t>
      </w:r>
      <w:r>
        <w:rPr>
          <w:color w:val="231F20"/>
          <w:sz w:val="16"/>
        </w:rPr>
        <w:t>, August 1998, pages 192–93.</w:t>
      </w:r>
    </w:p>
    <w:p>
      <w:pPr>
        <w:spacing w:after="0" w:line="208" w:lineRule="auto"/>
        <w:jc w:val="left"/>
        <w:rPr>
          <w:sz w:val="16"/>
        </w:rPr>
        <w:sectPr>
          <w:type w:val="continuous"/>
          <w:pgSz w:w="11900" w:h="16840"/>
          <w:pgMar w:top="1220" w:bottom="280" w:left="620" w:right="640"/>
        </w:sectPr>
      </w:pPr>
    </w:p>
    <w:p>
      <w:pPr>
        <w:pStyle w:val="BodyText"/>
        <w:rPr>
          <w:sz w:val="20"/>
        </w:rPr>
      </w:pPr>
    </w:p>
    <w:p>
      <w:pPr>
        <w:pStyle w:val="Heading4"/>
        <w:spacing w:line="242" w:lineRule="auto" w:before="207"/>
        <w:ind w:left="4974" w:right="247"/>
      </w:pPr>
      <w:r>
        <w:rPr>
          <w:color w:val="231F20"/>
        </w:rPr>
        <w:t>prices reflect economic fundamentals is unclear; the MPC judges that there is a greater risk of a fall in equity wealth than of a further rise, relative to the central case.</w:t>
      </w:r>
    </w:p>
    <w:p>
      <w:pPr>
        <w:pStyle w:val="BodyText"/>
        <w:spacing w:before="8"/>
        <w:rPr>
          <w:sz w:val="24"/>
        </w:rPr>
      </w:pPr>
    </w:p>
    <w:p>
      <w:pPr>
        <w:spacing w:line="242" w:lineRule="auto" w:before="0"/>
        <w:ind w:left="4974" w:right="0" w:firstLine="0"/>
        <w:jc w:val="left"/>
        <w:rPr>
          <w:sz w:val="24"/>
        </w:rPr>
      </w:pPr>
      <w:r>
        <w:rPr>
          <w:color w:val="231F20"/>
          <w:sz w:val="24"/>
        </w:rPr>
        <w:t>Official interest rates were raised by 25 basis points to 7.5% on 4 June. Movements in the exchange rate </w:t>
      </w:r>
      <w:r>
        <w:rPr>
          <w:color w:val="231F20"/>
          <w:spacing w:val="-3"/>
          <w:sz w:val="24"/>
        </w:rPr>
        <w:t>during </w:t>
      </w:r>
      <w:r>
        <w:rPr>
          <w:color w:val="231F20"/>
          <w:sz w:val="24"/>
        </w:rPr>
        <w:t>this period appear largely to </w:t>
      </w:r>
      <w:r>
        <w:rPr>
          <w:color w:val="231F20"/>
          <w:spacing w:val="-3"/>
          <w:sz w:val="24"/>
        </w:rPr>
        <w:t>have </w:t>
      </w:r>
      <w:r>
        <w:rPr>
          <w:color w:val="231F20"/>
          <w:sz w:val="24"/>
        </w:rPr>
        <w:t>reflected expectations about the future course of monetary </w:t>
      </w:r>
      <w:r>
        <w:rPr>
          <w:color w:val="231F20"/>
          <w:spacing w:val="-3"/>
          <w:sz w:val="24"/>
        </w:rPr>
        <w:t>policy.</w:t>
      </w:r>
      <w:r>
        <w:rPr>
          <w:color w:val="231F20"/>
          <w:spacing w:val="3"/>
          <w:sz w:val="24"/>
        </w:rPr>
        <w:t> </w:t>
      </w:r>
      <w:r>
        <w:rPr>
          <w:color w:val="231F20"/>
          <w:sz w:val="24"/>
        </w:rPr>
        <w:t>The</w:t>
      </w:r>
    </w:p>
    <w:p>
      <w:pPr>
        <w:spacing w:line="242" w:lineRule="auto" w:before="5"/>
        <w:ind w:left="4974" w:right="232" w:firstLine="0"/>
        <w:jc w:val="left"/>
        <w:rPr>
          <w:sz w:val="24"/>
        </w:rPr>
      </w:pPr>
      <w:r>
        <w:rPr>
          <w:color w:val="231F20"/>
          <w:sz w:val="24"/>
        </w:rPr>
        <w:t>starting-point for the nominal effective exchange rate used in the inflation forecast, based on a 15 working </w:t>
      </w:r>
      <w:r>
        <w:rPr>
          <w:color w:val="231F20"/>
          <w:spacing w:val="-6"/>
          <w:sz w:val="24"/>
        </w:rPr>
        <w:t>day </w:t>
      </w:r>
      <w:r>
        <w:rPr>
          <w:color w:val="231F20"/>
          <w:sz w:val="24"/>
        </w:rPr>
        <w:t>average up to and including 5 August, was 104.7, slightly lower than projected in the May</w:t>
      </w:r>
      <w:r>
        <w:rPr>
          <w:color w:val="231F20"/>
          <w:spacing w:val="-4"/>
          <w:sz w:val="24"/>
        </w:rPr>
        <w:t> </w:t>
      </w:r>
      <w:r>
        <w:rPr>
          <w:i/>
          <w:color w:val="231F20"/>
          <w:sz w:val="24"/>
        </w:rPr>
        <w:t>Report</w:t>
      </w:r>
      <w:r>
        <w:rPr>
          <w:color w:val="231F20"/>
          <w:sz w:val="24"/>
        </w:rPr>
        <w:t>.</w:t>
      </w:r>
    </w:p>
    <w:p>
      <w:pPr>
        <w:spacing w:after="0" w:line="242" w:lineRule="auto"/>
        <w:jc w:val="left"/>
        <w:rPr>
          <w:sz w:val="24"/>
        </w:rPr>
        <w:sectPr>
          <w:pgSz w:w="11900" w:h="16840"/>
          <w:pgMar w:header="566" w:footer="597" w:top="760" w:bottom="780" w:left="620" w:right="640"/>
        </w:sectPr>
      </w:pPr>
    </w:p>
    <w:p>
      <w:pPr>
        <w:pStyle w:val="BodyText"/>
        <w:spacing w:line="20" w:lineRule="exact"/>
        <w:ind w:left="158"/>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rPr>
          <w:sz w:val="20"/>
        </w:rPr>
      </w:pPr>
    </w:p>
    <w:p>
      <w:pPr>
        <w:pStyle w:val="BodyText"/>
        <w:spacing w:before="9"/>
      </w:pPr>
      <w:r>
        <w:rPr/>
        <w:pict>
          <v:shape style="position:absolute;margin-left:40.169998pt;margin-top:12.000977pt;width:517pt;height:47.5pt;mso-position-horizontal-relative:page;mso-position-vertical-relative:paragraph;z-index:-15620096;mso-wrap-distance-left:0;mso-wrap-distance-right:0" type="#_x0000_t202" filled="true" fillcolor="#b5dad6" stroked="false">
            <v:textbox inset="0,0,0,0">
              <w:txbxContent>
                <w:p>
                  <w:pPr>
                    <w:tabs>
                      <w:tab w:pos="10099" w:val="right" w:leader="none"/>
                    </w:tabs>
                    <w:spacing w:before="51"/>
                    <w:ind w:left="260" w:right="0" w:firstLine="0"/>
                    <w:jc w:val="left"/>
                    <w:rPr>
                      <w:b/>
                      <w:sz w:val="72"/>
                    </w:rPr>
                  </w:pPr>
                  <w:bookmarkStart w:name="Demand and output" w:id="37"/>
                  <w:bookmarkEnd w:id="37"/>
                  <w:r>
                    <w:rPr/>
                  </w:r>
                  <w:bookmarkStart w:name="External demand" w:id="38"/>
                  <w:bookmarkEnd w:id="38"/>
                  <w:r>
                    <w:rPr/>
                  </w:r>
                  <w:bookmarkStart w:name="_bookmark14" w:id="39"/>
                  <w:bookmarkEnd w:id="39"/>
                  <w:r>
                    <w:rPr/>
                  </w:r>
                  <w:r>
                    <w:rPr>
                      <w:b/>
                      <w:color w:val="009483"/>
                      <w:sz w:val="48"/>
                    </w:rPr>
                    <w:t>Demand and output</w:t>
                    <w:tab/>
                  </w:r>
                  <w:r>
                    <w:rPr>
                      <w:b/>
                      <w:color w:val="009483"/>
                      <w:sz w:val="72"/>
                    </w:rPr>
                    <w:t>2</w:t>
                  </w:r>
                </w:p>
              </w:txbxContent>
            </v:textbox>
            <v:fill type="solid"/>
            <w10:wrap type="topAndBottom"/>
          </v:shape>
        </w:pict>
      </w:r>
    </w:p>
    <w:p>
      <w:pPr>
        <w:pStyle w:val="BodyText"/>
        <w:rPr>
          <w:sz w:val="20"/>
        </w:rPr>
      </w:pPr>
    </w:p>
    <w:p>
      <w:pPr>
        <w:pStyle w:val="BodyText"/>
        <w:rPr>
          <w:sz w:val="20"/>
        </w:rPr>
      </w:pPr>
    </w:p>
    <w:p>
      <w:pPr>
        <w:spacing w:after="0"/>
        <w:rPr>
          <w:sz w:val="20"/>
        </w:rPr>
        <w:sectPr>
          <w:headerReference w:type="default" r:id="rId27"/>
          <w:footerReference w:type="default" r:id="rId28"/>
          <w:footerReference w:type="even" r:id="rId29"/>
          <w:pgSz w:w="11900" w:h="16840"/>
          <w:pgMar w:header="0" w:footer="597" w:top="760" w:bottom="780" w:left="620" w:right="640"/>
          <w:pgNumType w:start="15"/>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8"/>
        <w:spacing w:before="140"/>
        <w:ind w:left="212"/>
      </w:pPr>
      <w:r>
        <w:rPr>
          <w:color w:val="0093C1"/>
        </w:rPr>
        <w:t>Table 2.A</w:t>
      </w:r>
    </w:p>
    <w:p>
      <w:pPr>
        <w:spacing w:before="10"/>
        <w:ind w:left="212" w:right="0" w:firstLine="0"/>
        <w:jc w:val="left"/>
        <w:rPr>
          <w:b/>
          <w:sz w:val="20"/>
        </w:rPr>
      </w:pPr>
      <w:r>
        <w:rPr>
          <w:b/>
          <w:color w:val="0093C1"/>
          <w:sz w:val="20"/>
        </w:rPr>
        <w:t>Expenditure components of GDP</w:t>
      </w:r>
    </w:p>
    <w:p>
      <w:pPr>
        <w:spacing w:before="106"/>
        <w:ind w:left="212" w:right="0" w:firstLine="0"/>
        <w:jc w:val="left"/>
        <w:rPr>
          <w:sz w:val="14"/>
        </w:rPr>
      </w:pPr>
      <w:r>
        <w:rPr>
          <w:color w:val="231F20"/>
          <w:sz w:val="14"/>
        </w:rPr>
        <w:t>Per cent</w:t>
      </w:r>
    </w:p>
    <w:p>
      <w:pPr>
        <w:tabs>
          <w:tab w:pos="3232" w:val="left" w:leader="none"/>
        </w:tabs>
        <w:spacing w:line="150" w:lineRule="exact" w:before="119"/>
        <w:ind w:left="1852" w:right="0" w:firstLine="0"/>
        <w:jc w:val="left"/>
        <w:rPr>
          <w:sz w:val="14"/>
        </w:rPr>
      </w:pPr>
      <w:r>
        <w:rPr>
          <w:color w:val="231F20"/>
          <w:sz w:val="14"/>
        </w:rPr>
        <w:t>Percentage change</w:t>
        <w:tab/>
        <w:t>Contribution to</w:t>
      </w:r>
    </w:p>
    <w:p>
      <w:pPr>
        <w:tabs>
          <w:tab w:pos="3232" w:val="left" w:leader="none"/>
        </w:tabs>
        <w:spacing w:line="150" w:lineRule="exact" w:before="0"/>
        <w:ind w:left="1852" w:right="0" w:firstLine="0"/>
        <w:jc w:val="left"/>
        <w:rPr>
          <w:sz w:val="12"/>
        </w:rPr>
      </w:pPr>
      <w:r>
        <w:rPr>
          <w:color w:val="231F20"/>
          <w:sz w:val="14"/>
          <w:u w:val="single" w:color="231F20"/>
        </w:rPr>
        <w:t>on previous quarter</w:t>
      </w:r>
      <w:r>
        <w:rPr>
          <w:color w:val="231F20"/>
          <w:sz w:val="14"/>
        </w:rPr>
        <w:tab/>
      </w:r>
      <w:r>
        <w:rPr>
          <w:color w:val="231F20"/>
          <w:sz w:val="14"/>
          <w:u w:val="single" w:color="231F20"/>
        </w:rPr>
        <w:t>quarterly GDP growth</w:t>
      </w:r>
      <w:r>
        <w:rPr>
          <w:color w:val="231F20"/>
          <w:spacing w:val="-1"/>
          <w:sz w:val="14"/>
          <w:u w:val="single" w:color="231F20"/>
        </w:rPr>
        <w:t> </w:t>
      </w:r>
      <w:r>
        <w:rPr>
          <w:color w:val="231F20"/>
          <w:sz w:val="12"/>
          <w:u w:val="single" w:color="231F20"/>
        </w:rPr>
        <w:t>(a</w:t>
      </w:r>
      <w:r>
        <w:rPr>
          <w:color w:val="231F20"/>
          <w:sz w:val="12"/>
        </w:rPr>
        <w:t>)</w:t>
      </w:r>
    </w:p>
    <w:p>
      <w:pPr>
        <w:pStyle w:val="BodyText"/>
        <w:spacing w:before="7"/>
        <w:rPr>
          <w:sz w:val="5"/>
        </w:rPr>
      </w:pPr>
    </w:p>
    <w:tbl>
      <w:tblPr>
        <w:tblW w:w="0" w:type="auto"/>
        <w:jc w:val="left"/>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05"/>
        <w:gridCol w:w="569"/>
        <w:gridCol w:w="769"/>
        <w:gridCol w:w="635"/>
        <w:gridCol w:w="959"/>
      </w:tblGrid>
      <w:tr>
        <w:trPr>
          <w:trHeight w:val="357" w:hRule="atLeast"/>
        </w:trPr>
        <w:tc>
          <w:tcPr>
            <w:tcW w:w="1605" w:type="dxa"/>
          </w:tcPr>
          <w:p>
            <w:pPr>
              <w:pStyle w:val="TableParagraph"/>
              <w:rPr>
                <w:sz w:val="20"/>
              </w:rPr>
            </w:pPr>
          </w:p>
        </w:tc>
        <w:tc>
          <w:tcPr>
            <w:tcW w:w="569" w:type="dxa"/>
          </w:tcPr>
          <w:p>
            <w:pPr>
              <w:pStyle w:val="TableParagraph"/>
              <w:spacing w:line="145" w:lineRule="exact"/>
              <w:ind w:left="75"/>
              <w:rPr>
                <w:sz w:val="14"/>
              </w:rPr>
            </w:pPr>
            <w:r>
              <w:rPr>
                <w:color w:val="231F20"/>
                <w:sz w:val="14"/>
                <w:u w:val="single" w:color="231F20"/>
              </w:rPr>
              <w:t>1997</w:t>
            </w:r>
          </w:p>
          <w:p>
            <w:pPr>
              <w:pStyle w:val="TableParagraph"/>
              <w:spacing w:line="150" w:lineRule="exact"/>
              <w:ind w:left="75"/>
              <w:rPr>
                <w:sz w:val="14"/>
              </w:rPr>
            </w:pPr>
            <w:r>
              <w:rPr>
                <w:color w:val="231F20"/>
                <w:sz w:val="14"/>
                <w:u w:val="single" w:color="231F20"/>
              </w:rPr>
              <w:t>Q4 </w:t>
            </w:r>
          </w:p>
        </w:tc>
        <w:tc>
          <w:tcPr>
            <w:tcW w:w="769" w:type="dxa"/>
          </w:tcPr>
          <w:p>
            <w:pPr>
              <w:pStyle w:val="TableParagraph"/>
              <w:spacing w:line="145" w:lineRule="exact"/>
              <w:ind w:left="196"/>
              <w:rPr>
                <w:sz w:val="14"/>
              </w:rPr>
            </w:pPr>
            <w:r>
              <w:rPr>
                <w:color w:val="231F20"/>
                <w:sz w:val="14"/>
                <w:u w:val="single" w:color="231F20"/>
              </w:rPr>
              <w:t>1998 </w:t>
            </w:r>
          </w:p>
          <w:p>
            <w:pPr>
              <w:pStyle w:val="TableParagraph"/>
              <w:tabs>
                <w:tab w:pos="623" w:val="left" w:leader="none"/>
              </w:tabs>
              <w:spacing w:line="150" w:lineRule="exact"/>
              <w:ind w:left="195"/>
              <w:rPr>
                <w:sz w:val="14"/>
              </w:rPr>
            </w:pPr>
            <w:r>
              <w:rPr>
                <w:color w:val="231F20"/>
                <w:sz w:val="14"/>
                <w:u w:val="single" w:color="231F20"/>
              </w:rPr>
              <w:t>Q1</w:t>
              <w:tab/>
            </w:r>
          </w:p>
        </w:tc>
        <w:tc>
          <w:tcPr>
            <w:tcW w:w="635" w:type="dxa"/>
          </w:tcPr>
          <w:p>
            <w:pPr>
              <w:pStyle w:val="TableParagraph"/>
              <w:spacing w:line="145" w:lineRule="exact"/>
              <w:ind w:left="147"/>
              <w:rPr>
                <w:sz w:val="14"/>
              </w:rPr>
            </w:pPr>
            <w:r>
              <w:rPr>
                <w:color w:val="231F20"/>
                <w:sz w:val="14"/>
                <w:u w:val="single" w:color="231F20"/>
              </w:rPr>
              <w:t>1997</w:t>
            </w:r>
          </w:p>
          <w:p>
            <w:pPr>
              <w:pStyle w:val="TableParagraph"/>
              <w:spacing w:line="150" w:lineRule="exact"/>
              <w:ind w:left="146"/>
              <w:rPr>
                <w:sz w:val="14"/>
              </w:rPr>
            </w:pPr>
            <w:r>
              <w:rPr>
                <w:color w:val="231F20"/>
                <w:sz w:val="14"/>
                <w:u w:val="single" w:color="231F20"/>
              </w:rPr>
              <w:t>Q4 </w:t>
            </w:r>
          </w:p>
        </w:tc>
        <w:tc>
          <w:tcPr>
            <w:tcW w:w="959" w:type="dxa"/>
          </w:tcPr>
          <w:p>
            <w:pPr>
              <w:pStyle w:val="TableParagraph"/>
              <w:tabs>
                <w:tab w:pos="909" w:val="left" w:leader="none"/>
              </w:tabs>
              <w:spacing w:line="145" w:lineRule="exact"/>
              <w:ind w:left="192"/>
              <w:rPr>
                <w:sz w:val="14"/>
              </w:rPr>
            </w:pPr>
            <w:r>
              <w:rPr>
                <w:color w:val="231F20"/>
                <w:sz w:val="14"/>
                <w:u w:val="single" w:color="231F20"/>
              </w:rPr>
              <w:t>1998</w:t>
              <w:tab/>
            </w:r>
          </w:p>
          <w:p>
            <w:pPr>
              <w:pStyle w:val="TableParagraph"/>
              <w:tabs>
                <w:tab w:pos="909" w:val="left" w:leader="none"/>
              </w:tabs>
              <w:spacing w:line="150" w:lineRule="exact"/>
              <w:ind w:left="191"/>
              <w:rPr>
                <w:sz w:val="14"/>
              </w:rPr>
            </w:pPr>
            <w:r>
              <w:rPr>
                <w:color w:val="231F20"/>
                <w:sz w:val="14"/>
                <w:u w:val="single" w:color="231F20"/>
              </w:rPr>
              <w:t>Q1</w:t>
              <w:tab/>
            </w:r>
          </w:p>
        </w:tc>
      </w:tr>
      <w:tr>
        <w:trPr>
          <w:trHeight w:val="210" w:hRule="atLeast"/>
        </w:trPr>
        <w:tc>
          <w:tcPr>
            <w:tcW w:w="1605" w:type="dxa"/>
          </w:tcPr>
          <w:p>
            <w:pPr>
              <w:pStyle w:val="TableParagraph"/>
              <w:spacing w:line="133" w:lineRule="exact" w:before="56"/>
              <w:ind w:left="50"/>
              <w:rPr>
                <w:sz w:val="14"/>
              </w:rPr>
            </w:pPr>
            <w:r>
              <w:rPr>
                <w:color w:val="231F20"/>
                <w:sz w:val="14"/>
              </w:rPr>
              <w:t>Private consumption</w:t>
            </w:r>
          </w:p>
        </w:tc>
        <w:tc>
          <w:tcPr>
            <w:tcW w:w="569" w:type="dxa"/>
          </w:tcPr>
          <w:p>
            <w:pPr>
              <w:pStyle w:val="TableParagraph"/>
              <w:spacing w:line="133" w:lineRule="exact" w:before="56"/>
              <w:ind w:left="120"/>
              <w:rPr>
                <w:sz w:val="14"/>
              </w:rPr>
            </w:pPr>
            <w:r>
              <w:rPr>
                <w:color w:val="231F20"/>
                <w:sz w:val="14"/>
              </w:rPr>
              <w:t>1.4</w:t>
            </w:r>
          </w:p>
        </w:tc>
        <w:tc>
          <w:tcPr>
            <w:tcW w:w="769" w:type="dxa"/>
          </w:tcPr>
          <w:p>
            <w:pPr>
              <w:pStyle w:val="TableParagraph"/>
              <w:spacing w:line="133" w:lineRule="exact" w:before="56"/>
              <w:ind w:left="261"/>
              <w:rPr>
                <w:sz w:val="14"/>
              </w:rPr>
            </w:pPr>
            <w:r>
              <w:rPr>
                <w:color w:val="231F20"/>
                <w:sz w:val="14"/>
              </w:rPr>
              <w:t>0.9</w:t>
            </w:r>
          </w:p>
        </w:tc>
        <w:tc>
          <w:tcPr>
            <w:tcW w:w="635" w:type="dxa"/>
          </w:tcPr>
          <w:p>
            <w:pPr>
              <w:pStyle w:val="TableParagraph"/>
              <w:spacing w:line="133" w:lineRule="exact" w:before="56"/>
              <w:ind w:left="192"/>
              <w:rPr>
                <w:sz w:val="14"/>
              </w:rPr>
            </w:pPr>
            <w:r>
              <w:rPr>
                <w:color w:val="231F20"/>
                <w:sz w:val="14"/>
              </w:rPr>
              <w:t>1.0</w:t>
            </w:r>
          </w:p>
        </w:tc>
        <w:tc>
          <w:tcPr>
            <w:tcW w:w="959" w:type="dxa"/>
          </w:tcPr>
          <w:p>
            <w:pPr>
              <w:pStyle w:val="TableParagraph"/>
              <w:spacing w:line="133" w:lineRule="exact" w:before="56"/>
              <w:ind w:left="227"/>
              <w:rPr>
                <w:sz w:val="14"/>
              </w:rPr>
            </w:pPr>
            <w:r>
              <w:rPr>
                <w:color w:val="231F20"/>
                <w:sz w:val="14"/>
              </w:rPr>
              <w:t>0.6</w:t>
            </w:r>
          </w:p>
        </w:tc>
      </w:tr>
      <w:tr>
        <w:trPr>
          <w:trHeight w:val="140" w:hRule="atLeast"/>
        </w:trPr>
        <w:tc>
          <w:tcPr>
            <w:tcW w:w="1605" w:type="dxa"/>
          </w:tcPr>
          <w:p>
            <w:pPr>
              <w:pStyle w:val="TableParagraph"/>
              <w:spacing w:line="120" w:lineRule="exact"/>
              <w:ind w:left="50"/>
              <w:rPr>
                <w:sz w:val="14"/>
              </w:rPr>
            </w:pPr>
            <w:r>
              <w:rPr>
                <w:color w:val="231F20"/>
                <w:sz w:val="14"/>
              </w:rPr>
              <w:t>Public consumption</w:t>
            </w:r>
          </w:p>
        </w:tc>
        <w:tc>
          <w:tcPr>
            <w:tcW w:w="569" w:type="dxa"/>
          </w:tcPr>
          <w:p>
            <w:pPr>
              <w:pStyle w:val="TableParagraph"/>
              <w:spacing w:line="120" w:lineRule="exact"/>
              <w:ind w:left="73"/>
              <w:rPr>
                <w:sz w:val="14"/>
              </w:rPr>
            </w:pPr>
            <w:r>
              <w:rPr>
                <w:color w:val="231F20"/>
                <w:sz w:val="14"/>
              </w:rPr>
              <w:t>-0.1</w:t>
            </w:r>
          </w:p>
        </w:tc>
        <w:tc>
          <w:tcPr>
            <w:tcW w:w="769" w:type="dxa"/>
          </w:tcPr>
          <w:p>
            <w:pPr>
              <w:pStyle w:val="TableParagraph"/>
              <w:spacing w:line="120" w:lineRule="exact"/>
              <w:ind w:left="214"/>
              <w:rPr>
                <w:sz w:val="14"/>
              </w:rPr>
            </w:pPr>
            <w:r>
              <w:rPr>
                <w:color w:val="231F20"/>
                <w:sz w:val="14"/>
              </w:rPr>
              <w:t>-0.4</w:t>
            </w:r>
          </w:p>
        </w:tc>
        <w:tc>
          <w:tcPr>
            <w:tcW w:w="635" w:type="dxa"/>
          </w:tcPr>
          <w:p>
            <w:pPr>
              <w:pStyle w:val="TableParagraph"/>
              <w:spacing w:line="120" w:lineRule="exact"/>
              <w:ind w:left="192"/>
              <w:rPr>
                <w:sz w:val="14"/>
              </w:rPr>
            </w:pPr>
            <w:r>
              <w:rPr>
                <w:color w:val="231F20"/>
                <w:sz w:val="14"/>
              </w:rPr>
              <w:t>0.0</w:t>
            </w:r>
          </w:p>
        </w:tc>
        <w:tc>
          <w:tcPr>
            <w:tcW w:w="959" w:type="dxa"/>
          </w:tcPr>
          <w:p>
            <w:pPr>
              <w:pStyle w:val="TableParagraph"/>
              <w:spacing w:line="120" w:lineRule="exact"/>
              <w:ind w:left="180"/>
              <w:rPr>
                <w:sz w:val="14"/>
              </w:rPr>
            </w:pPr>
            <w:r>
              <w:rPr>
                <w:color w:val="231F20"/>
                <w:sz w:val="14"/>
              </w:rPr>
              <w:t>-0.1</w:t>
            </w:r>
          </w:p>
        </w:tc>
      </w:tr>
      <w:tr>
        <w:trPr>
          <w:trHeight w:val="140" w:hRule="atLeast"/>
        </w:trPr>
        <w:tc>
          <w:tcPr>
            <w:tcW w:w="1605" w:type="dxa"/>
          </w:tcPr>
          <w:p>
            <w:pPr>
              <w:pStyle w:val="TableParagraph"/>
              <w:spacing w:line="120" w:lineRule="exact"/>
              <w:ind w:left="50"/>
              <w:rPr>
                <w:sz w:val="14"/>
              </w:rPr>
            </w:pPr>
            <w:r>
              <w:rPr>
                <w:color w:val="231F20"/>
                <w:sz w:val="14"/>
              </w:rPr>
              <w:t>Investment</w:t>
            </w:r>
          </w:p>
        </w:tc>
        <w:tc>
          <w:tcPr>
            <w:tcW w:w="569" w:type="dxa"/>
          </w:tcPr>
          <w:p>
            <w:pPr>
              <w:pStyle w:val="TableParagraph"/>
              <w:spacing w:line="120" w:lineRule="exact"/>
              <w:ind w:left="120"/>
              <w:rPr>
                <w:sz w:val="14"/>
              </w:rPr>
            </w:pPr>
            <w:r>
              <w:rPr>
                <w:color w:val="231F20"/>
                <w:sz w:val="14"/>
              </w:rPr>
              <w:t>1.1</w:t>
            </w:r>
          </w:p>
        </w:tc>
        <w:tc>
          <w:tcPr>
            <w:tcW w:w="769" w:type="dxa"/>
          </w:tcPr>
          <w:p>
            <w:pPr>
              <w:pStyle w:val="TableParagraph"/>
              <w:spacing w:line="120" w:lineRule="exact"/>
              <w:ind w:left="260"/>
              <w:rPr>
                <w:sz w:val="14"/>
              </w:rPr>
            </w:pPr>
            <w:r>
              <w:rPr>
                <w:color w:val="231F20"/>
                <w:sz w:val="14"/>
              </w:rPr>
              <w:t>3.8</w:t>
            </w:r>
          </w:p>
        </w:tc>
        <w:tc>
          <w:tcPr>
            <w:tcW w:w="635" w:type="dxa"/>
          </w:tcPr>
          <w:p>
            <w:pPr>
              <w:pStyle w:val="TableParagraph"/>
              <w:spacing w:line="120" w:lineRule="exact"/>
              <w:ind w:left="191"/>
              <w:rPr>
                <w:sz w:val="14"/>
              </w:rPr>
            </w:pPr>
            <w:r>
              <w:rPr>
                <w:color w:val="231F20"/>
                <w:sz w:val="14"/>
              </w:rPr>
              <w:t>0.2</w:t>
            </w:r>
          </w:p>
        </w:tc>
        <w:tc>
          <w:tcPr>
            <w:tcW w:w="959" w:type="dxa"/>
          </w:tcPr>
          <w:p>
            <w:pPr>
              <w:pStyle w:val="TableParagraph"/>
              <w:spacing w:line="120" w:lineRule="exact"/>
              <w:ind w:left="226"/>
              <w:rPr>
                <w:sz w:val="14"/>
              </w:rPr>
            </w:pPr>
            <w:r>
              <w:rPr>
                <w:color w:val="231F20"/>
                <w:sz w:val="14"/>
              </w:rPr>
              <w:t>0.8</w:t>
            </w:r>
          </w:p>
        </w:tc>
      </w:tr>
      <w:tr>
        <w:trPr>
          <w:trHeight w:val="140" w:hRule="atLeast"/>
        </w:trPr>
        <w:tc>
          <w:tcPr>
            <w:tcW w:w="1605" w:type="dxa"/>
          </w:tcPr>
          <w:p>
            <w:pPr>
              <w:pStyle w:val="TableParagraph"/>
              <w:spacing w:line="120" w:lineRule="exact"/>
              <w:ind w:left="50"/>
              <w:rPr>
                <w:sz w:val="12"/>
              </w:rPr>
            </w:pPr>
            <w:r>
              <w:rPr>
                <w:color w:val="231F20"/>
                <w:sz w:val="14"/>
              </w:rPr>
              <w:t>Final domestic demand </w:t>
            </w:r>
            <w:r>
              <w:rPr>
                <w:color w:val="231F20"/>
                <w:sz w:val="12"/>
              </w:rPr>
              <w:t>(b)</w:t>
            </w:r>
          </w:p>
        </w:tc>
        <w:tc>
          <w:tcPr>
            <w:tcW w:w="569" w:type="dxa"/>
          </w:tcPr>
          <w:p>
            <w:pPr>
              <w:pStyle w:val="TableParagraph"/>
              <w:spacing w:line="120" w:lineRule="exact"/>
              <w:ind w:left="120"/>
              <w:rPr>
                <w:sz w:val="14"/>
              </w:rPr>
            </w:pPr>
            <w:r>
              <w:rPr>
                <w:color w:val="231F20"/>
                <w:sz w:val="14"/>
              </w:rPr>
              <w:t>1.1</w:t>
            </w:r>
          </w:p>
        </w:tc>
        <w:tc>
          <w:tcPr>
            <w:tcW w:w="769" w:type="dxa"/>
          </w:tcPr>
          <w:p>
            <w:pPr>
              <w:pStyle w:val="TableParagraph"/>
              <w:spacing w:line="120" w:lineRule="exact"/>
              <w:ind w:left="260"/>
              <w:rPr>
                <w:sz w:val="14"/>
              </w:rPr>
            </w:pPr>
            <w:r>
              <w:rPr>
                <w:color w:val="231F20"/>
                <w:sz w:val="14"/>
              </w:rPr>
              <w:t>1.1</w:t>
            </w:r>
          </w:p>
        </w:tc>
        <w:tc>
          <w:tcPr>
            <w:tcW w:w="635" w:type="dxa"/>
          </w:tcPr>
          <w:p>
            <w:pPr>
              <w:pStyle w:val="TableParagraph"/>
              <w:spacing w:line="120" w:lineRule="exact"/>
              <w:ind w:left="191"/>
              <w:rPr>
                <w:sz w:val="14"/>
              </w:rPr>
            </w:pPr>
            <w:r>
              <w:rPr>
                <w:color w:val="231F20"/>
                <w:sz w:val="14"/>
              </w:rPr>
              <w:t>1.2</w:t>
            </w:r>
          </w:p>
        </w:tc>
        <w:tc>
          <w:tcPr>
            <w:tcW w:w="959" w:type="dxa"/>
          </w:tcPr>
          <w:p>
            <w:pPr>
              <w:pStyle w:val="TableParagraph"/>
              <w:spacing w:line="120" w:lineRule="exact"/>
              <w:ind w:left="226"/>
              <w:rPr>
                <w:sz w:val="14"/>
              </w:rPr>
            </w:pPr>
            <w:r>
              <w:rPr>
                <w:color w:val="231F20"/>
                <w:sz w:val="14"/>
              </w:rPr>
              <w:t>1.3</w:t>
            </w:r>
          </w:p>
        </w:tc>
      </w:tr>
      <w:tr>
        <w:trPr>
          <w:trHeight w:val="140" w:hRule="atLeast"/>
        </w:trPr>
        <w:tc>
          <w:tcPr>
            <w:tcW w:w="1605" w:type="dxa"/>
          </w:tcPr>
          <w:p>
            <w:pPr>
              <w:pStyle w:val="TableParagraph"/>
              <w:spacing w:line="120" w:lineRule="exact"/>
              <w:ind w:left="50"/>
              <w:rPr>
                <w:sz w:val="12"/>
              </w:rPr>
            </w:pPr>
            <w:r>
              <w:rPr>
                <w:color w:val="231F20"/>
                <w:sz w:val="14"/>
              </w:rPr>
              <w:t>Stockbuilding </w:t>
            </w:r>
            <w:r>
              <w:rPr>
                <w:color w:val="231F20"/>
                <w:sz w:val="12"/>
              </w:rPr>
              <w:t>(c)</w:t>
            </w:r>
          </w:p>
        </w:tc>
        <w:tc>
          <w:tcPr>
            <w:tcW w:w="569" w:type="dxa"/>
          </w:tcPr>
          <w:p>
            <w:pPr>
              <w:pStyle w:val="TableParagraph"/>
              <w:spacing w:line="120" w:lineRule="exact"/>
              <w:ind w:left="92"/>
              <w:rPr>
                <w:sz w:val="14"/>
              </w:rPr>
            </w:pPr>
            <w:r>
              <w:rPr>
                <w:color w:val="231F20"/>
                <w:sz w:val="14"/>
              </w:rPr>
              <w:t>n.a.</w:t>
            </w:r>
          </w:p>
        </w:tc>
        <w:tc>
          <w:tcPr>
            <w:tcW w:w="769" w:type="dxa"/>
          </w:tcPr>
          <w:p>
            <w:pPr>
              <w:pStyle w:val="TableParagraph"/>
              <w:spacing w:line="120" w:lineRule="exact"/>
              <w:ind w:left="233"/>
              <w:rPr>
                <w:sz w:val="14"/>
              </w:rPr>
            </w:pPr>
            <w:r>
              <w:rPr>
                <w:color w:val="231F20"/>
                <w:sz w:val="14"/>
              </w:rPr>
              <w:t>n.a.</w:t>
            </w:r>
          </w:p>
        </w:tc>
        <w:tc>
          <w:tcPr>
            <w:tcW w:w="635" w:type="dxa"/>
          </w:tcPr>
          <w:p>
            <w:pPr>
              <w:pStyle w:val="TableParagraph"/>
              <w:spacing w:line="120" w:lineRule="exact"/>
              <w:ind w:left="191"/>
              <w:rPr>
                <w:sz w:val="14"/>
              </w:rPr>
            </w:pPr>
            <w:r>
              <w:rPr>
                <w:color w:val="231F20"/>
                <w:sz w:val="14"/>
              </w:rPr>
              <w:t>0.2</w:t>
            </w:r>
          </w:p>
        </w:tc>
        <w:tc>
          <w:tcPr>
            <w:tcW w:w="959" w:type="dxa"/>
          </w:tcPr>
          <w:p>
            <w:pPr>
              <w:pStyle w:val="TableParagraph"/>
              <w:spacing w:line="120" w:lineRule="exact"/>
              <w:ind w:left="226"/>
              <w:rPr>
                <w:sz w:val="14"/>
              </w:rPr>
            </w:pPr>
            <w:r>
              <w:rPr>
                <w:color w:val="231F20"/>
                <w:sz w:val="14"/>
              </w:rPr>
              <w:t>0.2</w:t>
            </w:r>
          </w:p>
        </w:tc>
      </w:tr>
      <w:tr>
        <w:trPr>
          <w:trHeight w:val="140" w:hRule="atLeast"/>
        </w:trPr>
        <w:tc>
          <w:tcPr>
            <w:tcW w:w="1605" w:type="dxa"/>
          </w:tcPr>
          <w:p>
            <w:pPr>
              <w:pStyle w:val="TableParagraph"/>
              <w:spacing w:line="120" w:lineRule="exact"/>
              <w:ind w:left="50"/>
              <w:rPr>
                <w:sz w:val="14"/>
              </w:rPr>
            </w:pPr>
            <w:r>
              <w:rPr>
                <w:color w:val="231F20"/>
                <w:sz w:val="14"/>
              </w:rPr>
              <w:t>Domestic demand</w:t>
            </w:r>
          </w:p>
        </w:tc>
        <w:tc>
          <w:tcPr>
            <w:tcW w:w="569" w:type="dxa"/>
          </w:tcPr>
          <w:p>
            <w:pPr>
              <w:pStyle w:val="TableParagraph"/>
              <w:spacing w:line="120" w:lineRule="exact"/>
              <w:ind w:left="120"/>
              <w:rPr>
                <w:sz w:val="14"/>
              </w:rPr>
            </w:pPr>
            <w:r>
              <w:rPr>
                <w:color w:val="231F20"/>
                <w:sz w:val="14"/>
              </w:rPr>
              <w:t>1.2</w:t>
            </w:r>
          </w:p>
        </w:tc>
        <w:tc>
          <w:tcPr>
            <w:tcW w:w="769" w:type="dxa"/>
          </w:tcPr>
          <w:p>
            <w:pPr>
              <w:pStyle w:val="TableParagraph"/>
              <w:spacing w:line="120" w:lineRule="exact"/>
              <w:ind w:left="261"/>
              <w:rPr>
                <w:sz w:val="14"/>
              </w:rPr>
            </w:pPr>
            <w:r>
              <w:rPr>
                <w:color w:val="231F20"/>
                <w:sz w:val="14"/>
              </w:rPr>
              <w:t>1.3</w:t>
            </w:r>
          </w:p>
        </w:tc>
        <w:tc>
          <w:tcPr>
            <w:tcW w:w="635" w:type="dxa"/>
          </w:tcPr>
          <w:p>
            <w:pPr>
              <w:pStyle w:val="TableParagraph"/>
              <w:spacing w:line="120" w:lineRule="exact"/>
              <w:ind w:left="192"/>
              <w:rPr>
                <w:sz w:val="14"/>
              </w:rPr>
            </w:pPr>
            <w:r>
              <w:rPr>
                <w:color w:val="231F20"/>
                <w:sz w:val="14"/>
              </w:rPr>
              <w:t>1.4</w:t>
            </w:r>
          </w:p>
        </w:tc>
        <w:tc>
          <w:tcPr>
            <w:tcW w:w="959" w:type="dxa"/>
          </w:tcPr>
          <w:p>
            <w:pPr>
              <w:pStyle w:val="TableParagraph"/>
              <w:spacing w:line="120" w:lineRule="exact"/>
              <w:ind w:left="227"/>
              <w:rPr>
                <w:sz w:val="14"/>
              </w:rPr>
            </w:pPr>
            <w:r>
              <w:rPr>
                <w:color w:val="231F20"/>
                <w:sz w:val="14"/>
              </w:rPr>
              <w:t>1.5</w:t>
            </w:r>
          </w:p>
        </w:tc>
      </w:tr>
      <w:tr>
        <w:trPr>
          <w:trHeight w:val="140" w:hRule="atLeast"/>
        </w:trPr>
        <w:tc>
          <w:tcPr>
            <w:tcW w:w="1605" w:type="dxa"/>
          </w:tcPr>
          <w:p>
            <w:pPr>
              <w:pStyle w:val="TableParagraph"/>
              <w:spacing w:line="120" w:lineRule="exact"/>
              <w:ind w:left="50"/>
              <w:rPr>
                <w:sz w:val="14"/>
              </w:rPr>
            </w:pPr>
            <w:r>
              <w:rPr>
                <w:color w:val="231F20"/>
                <w:sz w:val="14"/>
              </w:rPr>
              <w:t>Exports</w:t>
            </w:r>
          </w:p>
        </w:tc>
        <w:tc>
          <w:tcPr>
            <w:tcW w:w="569" w:type="dxa"/>
          </w:tcPr>
          <w:p>
            <w:pPr>
              <w:pStyle w:val="TableParagraph"/>
              <w:spacing w:line="120" w:lineRule="exact"/>
              <w:ind w:left="120"/>
              <w:rPr>
                <w:sz w:val="14"/>
              </w:rPr>
            </w:pPr>
            <w:r>
              <w:rPr>
                <w:color w:val="231F20"/>
                <w:sz w:val="14"/>
              </w:rPr>
              <w:t>0.0</w:t>
            </w:r>
          </w:p>
        </w:tc>
        <w:tc>
          <w:tcPr>
            <w:tcW w:w="769" w:type="dxa"/>
          </w:tcPr>
          <w:p>
            <w:pPr>
              <w:pStyle w:val="TableParagraph"/>
              <w:spacing w:line="120" w:lineRule="exact"/>
              <w:ind w:left="214"/>
              <w:rPr>
                <w:sz w:val="14"/>
              </w:rPr>
            </w:pPr>
            <w:r>
              <w:rPr>
                <w:color w:val="231F20"/>
                <w:sz w:val="14"/>
              </w:rPr>
              <w:t>-2.4</w:t>
            </w:r>
          </w:p>
        </w:tc>
        <w:tc>
          <w:tcPr>
            <w:tcW w:w="635" w:type="dxa"/>
          </w:tcPr>
          <w:p>
            <w:pPr>
              <w:pStyle w:val="TableParagraph"/>
              <w:spacing w:line="120" w:lineRule="exact"/>
              <w:ind w:left="192"/>
              <w:rPr>
                <w:sz w:val="14"/>
              </w:rPr>
            </w:pPr>
            <w:r>
              <w:rPr>
                <w:color w:val="231F20"/>
                <w:sz w:val="14"/>
              </w:rPr>
              <w:t>0.0</w:t>
            </w:r>
          </w:p>
        </w:tc>
        <w:tc>
          <w:tcPr>
            <w:tcW w:w="959" w:type="dxa"/>
          </w:tcPr>
          <w:p>
            <w:pPr>
              <w:pStyle w:val="TableParagraph"/>
              <w:spacing w:line="120" w:lineRule="exact"/>
              <w:ind w:left="180"/>
              <w:rPr>
                <w:sz w:val="14"/>
              </w:rPr>
            </w:pPr>
            <w:r>
              <w:rPr>
                <w:color w:val="231F20"/>
                <w:sz w:val="14"/>
              </w:rPr>
              <w:t>-0.9</w:t>
            </w:r>
          </w:p>
        </w:tc>
      </w:tr>
      <w:tr>
        <w:trPr>
          <w:trHeight w:val="140" w:hRule="atLeast"/>
        </w:trPr>
        <w:tc>
          <w:tcPr>
            <w:tcW w:w="1605" w:type="dxa"/>
          </w:tcPr>
          <w:p>
            <w:pPr>
              <w:pStyle w:val="TableParagraph"/>
              <w:spacing w:line="120" w:lineRule="exact"/>
              <w:ind w:left="50"/>
              <w:rPr>
                <w:sz w:val="14"/>
              </w:rPr>
            </w:pPr>
            <w:r>
              <w:rPr>
                <w:color w:val="231F20"/>
                <w:sz w:val="14"/>
              </w:rPr>
              <w:t>Imports</w:t>
            </w:r>
          </w:p>
        </w:tc>
        <w:tc>
          <w:tcPr>
            <w:tcW w:w="569" w:type="dxa"/>
          </w:tcPr>
          <w:p>
            <w:pPr>
              <w:pStyle w:val="TableParagraph"/>
              <w:spacing w:line="120" w:lineRule="exact"/>
              <w:ind w:left="120"/>
              <w:rPr>
                <w:sz w:val="14"/>
              </w:rPr>
            </w:pPr>
            <w:r>
              <w:rPr>
                <w:color w:val="231F20"/>
                <w:sz w:val="14"/>
              </w:rPr>
              <w:t>2.0</w:t>
            </w:r>
          </w:p>
        </w:tc>
        <w:tc>
          <w:tcPr>
            <w:tcW w:w="769" w:type="dxa"/>
          </w:tcPr>
          <w:p>
            <w:pPr>
              <w:pStyle w:val="TableParagraph"/>
              <w:spacing w:line="120" w:lineRule="exact"/>
              <w:ind w:left="214"/>
              <w:rPr>
                <w:sz w:val="14"/>
              </w:rPr>
            </w:pPr>
            <w:r>
              <w:rPr>
                <w:color w:val="231F20"/>
                <w:sz w:val="14"/>
              </w:rPr>
              <w:t>-0.6</w:t>
            </w:r>
          </w:p>
        </w:tc>
        <w:tc>
          <w:tcPr>
            <w:tcW w:w="635" w:type="dxa"/>
          </w:tcPr>
          <w:p>
            <w:pPr>
              <w:pStyle w:val="TableParagraph"/>
              <w:spacing w:line="120" w:lineRule="exact"/>
              <w:ind w:left="145"/>
              <w:rPr>
                <w:sz w:val="14"/>
              </w:rPr>
            </w:pPr>
            <w:r>
              <w:rPr>
                <w:color w:val="231F20"/>
                <w:sz w:val="14"/>
              </w:rPr>
              <w:t>-0.8</w:t>
            </w:r>
          </w:p>
        </w:tc>
        <w:tc>
          <w:tcPr>
            <w:tcW w:w="959" w:type="dxa"/>
          </w:tcPr>
          <w:p>
            <w:pPr>
              <w:pStyle w:val="TableParagraph"/>
              <w:spacing w:line="120" w:lineRule="exact"/>
              <w:ind w:left="227"/>
              <w:rPr>
                <w:sz w:val="14"/>
              </w:rPr>
            </w:pPr>
            <w:r>
              <w:rPr>
                <w:color w:val="231F20"/>
                <w:sz w:val="14"/>
              </w:rPr>
              <w:t>0.2</w:t>
            </w:r>
          </w:p>
        </w:tc>
      </w:tr>
      <w:tr>
        <w:trPr>
          <w:trHeight w:val="140" w:hRule="atLeast"/>
        </w:trPr>
        <w:tc>
          <w:tcPr>
            <w:tcW w:w="1605" w:type="dxa"/>
          </w:tcPr>
          <w:p>
            <w:pPr>
              <w:pStyle w:val="TableParagraph"/>
              <w:spacing w:line="120" w:lineRule="exact"/>
              <w:ind w:left="50"/>
              <w:rPr>
                <w:sz w:val="14"/>
              </w:rPr>
            </w:pPr>
            <w:r>
              <w:rPr>
                <w:color w:val="231F20"/>
                <w:sz w:val="14"/>
              </w:rPr>
              <w:t>Net trade</w:t>
            </w:r>
          </w:p>
        </w:tc>
        <w:tc>
          <w:tcPr>
            <w:tcW w:w="569" w:type="dxa"/>
          </w:tcPr>
          <w:p>
            <w:pPr>
              <w:pStyle w:val="TableParagraph"/>
              <w:spacing w:line="120" w:lineRule="exact"/>
              <w:ind w:left="92"/>
              <w:rPr>
                <w:sz w:val="14"/>
              </w:rPr>
            </w:pPr>
            <w:r>
              <w:rPr>
                <w:color w:val="231F20"/>
                <w:sz w:val="14"/>
              </w:rPr>
              <w:t>n.a.</w:t>
            </w:r>
          </w:p>
        </w:tc>
        <w:tc>
          <w:tcPr>
            <w:tcW w:w="769" w:type="dxa"/>
          </w:tcPr>
          <w:p>
            <w:pPr>
              <w:pStyle w:val="TableParagraph"/>
              <w:spacing w:line="120" w:lineRule="exact"/>
              <w:ind w:left="233"/>
              <w:rPr>
                <w:sz w:val="14"/>
              </w:rPr>
            </w:pPr>
            <w:r>
              <w:rPr>
                <w:color w:val="231F20"/>
                <w:sz w:val="14"/>
              </w:rPr>
              <w:t>n.a.</w:t>
            </w:r>
          </w:p>
        </w:tc>
        <w:tc>
          <w:tcPr>
            <w:tcW w:w="635" w:type="dxa"/>
          </w:tcPr>
          <w:p>
            <w:pPr>
              <w:pStyle w:val="TableParagraph"/>
              <w:spacing w:line="120" w:lineRule="exact"/>
              <w:ind w:left="145"/>
              <w:rPr>
                <w:sz w:val="14"/>
              </w:rPr>
            </w:pPr>
            <w:r>
              <w:rPr>
                <w:color w:val="231F20"/>
                <w:sz w:val="14"/>
              </w:rPr>
              <w:t>-0.8</w:t>
            </w:r>
          </w:p>
        </w:tc>
        <w:tc>
          <w:tcPr>
            <w:tcW w:w="959" w:type="dxa"/>
          </w:tcPr>
          <w:p>
            <w:pPr>
              <w:pStyle w:val="TableParagraph"/>
              <w:spacing w:line="120" w:lineRule="exact"/>
              <w:ind w:left="180"/>
              <w:rPr>
                <w:sz w:val="14"/>
              </w:rPr>
            </w:pPr>
            <w:r>
              <w:rPr>
                <w:color w:val="231F20"/>
                <w:sz w:val="14"/>
              </w:rPr>
              <w:t>-0.7</w:t>
            </w:r>
          </w:p>
        </w:tc>
      </w:tr>
      <w:tr>
        <w:trPr>
          <w:trHeight w:val="140" w:hRule="atLeast"/>
        </w:trPr>
        <w:tc>
          <w:tcPr>
            <w:tcW w:w="1605" w:type="dxa"/>
          </w:tcPr>
          <w:p>
            <w:pPr>
              <w:pStyle w:val="TableParagraph"/>
              <w:spacing w:line="120" w:lineRule="exact"/>
              <w:ind w:left="50"/>
              <w:rPr>
                <w:sz w:val="14"/>
              </w:rPr>
            </w:pPr>
            <w:r>
              <w:rPr>
                <w:color w:val="231F20"/>
                <w:sz w:val="14"/>
              </w:rPr>
              <w:t>Factor cost adjustment</w:t>
            </w:r>
          </w:p>
        </w:tc>
        <w:tc>
          <w:tcPr>
            <w:tcW w:w="569" w:type="dxa"/>
          </w:tcPr>
          <w:p>
            <w:pPr>
              <w:pStyle w:val="TableParagraph"/>
              <w:spacing w:line="120" w:lineRule="exact"/>
              <w:ind w:left="92"/>
              <w:rPr>
                <w:sz w:val="14"/>
              </w:rPr>
            </w:pPr>
            <w:r>
              <w:rPr>
                <w:color w:val="231F20"/>
                <w:sz w:val="14"/>
              </w:rPr>
              <w:t>n.a.</w:t>
            </w:r>
          </w:p>
        </w:tc>
        <w:tc>
          <w:tcPr>
            <w:tcW w:w="769" w:type="dxa"/>
          </w:tcPr>
          <w:p>
            <w:pPr>
              <w:pStyle w:val="TableParagraph"/>
              <w:spacing w:line="120" w:lineRule="exact"/>
              <w:ind w:left="233"/>
              <w:rPr>
                <w:sz w:val="14"/>
              </w:rPr>
            </w:pPr>
            <w:r>
              <w:rPr>
                <w:color w:val="231F20"/>
                <w:sz w:val="14"/>
              </w:rPr>
              <w:t>n.a.</w:t>
            </w:r>
          </w:p>
        </w:tc>
        <w:tc>
          <w:tcPr>
            <w:tcW w:w="635" w:type="dxa"/>
          </w:tcPr>
          <w:p>
            <w:pPr>
              <w:pStyle w:val="TableParagraph"/>
              <w:spacing w:line="120" w:lineRule="exact"/>
              <w:ind w:left="145"/>
              <w:rPr>
                <w:sz w:val="14"/>
              </w:rPr>
            </w:pPr>
            <w:r>
              <w:rPr>
                <w:color w:val="231F20"/>
                <w:sz w:val="14"/>
              </w:rPr>
              <w:t>-0.1</w:t>
            </w:r>
          </w:p>
        </w:tc>
        <w:tc>
          <w:tcPr>
            <w:tcW w:w="959" w:type="dxa"/>
          </w:tcPr>
          <w:p>
            <w:pPr>
              <w:pStyle w:val="TableParagraph"/>
              <w:spacing w:line="120" w:lineRule="exact"/>
              <w:ind w:left="180"/>
              <w:rPr>
                <w:sz w:val="14"/>
              </w:rPr>
            </w:pPr>
            <w:r>
              <w:rPr>
                <w:color w:val="231F20"/>
                <w:sz w:val="14"/>
              </w:rPr>
              <w:t>-0.3</w:t>
            </w:r>
          </w:p>
        </w:tc>
      </w:tr>
      <w:tr>
        <w:trPr>
          <w:trHeight w:val="140" w:hRule="atLeast"/>
        </w:trPr>
        <w:tc>
          <w:tcPr>
            <w:tcW w:w="1605" w:type="dxa"/>
          </w:tcPr>
          <w:p>
            <w:pPr>
              <w:pStyle w:val="TableParagraph"/>
              <w:spacing w:line="120" w:lineRule="exact"/>
              <w:ind w:left="50"/>
              <w:rPr>
                <w:b/>
                <w:sz w:val="14"/>
              </w:rPr>
            </w:pPr>
            <w:r>
              <w:rPr>
                <w:b/>
                <w:color w:val="231F20"/>
                <w:sz w:val="14"/>
              </w:rPr>
              <w:t>GDP at factor cost</w:t>
            </w:r>
          </w:p>
        </w:tc>
        <w:tc>
          <w:tcPr>
            <w:tcW w:w="569" w:type="dxa"/>
          </w:tcPr>
          <w:p>
            <w:pPr>
              <w:pStyle w:val="TableParagraph"/>
              <w:spacing w:line="120" w:lineRule="exact"/>
              <w:ind w:left="120"/>
              <w:rPr>
                <w:b/>
                <w:sz w:val="14"/>
              </w:rPr>
            </w:pPr>
            <w:r>
              <w:rPr>
                <w:b/>
                <w:color w:val="231F20"/>
                <w:sz w:val="14"/>
              </w:rPr>
              <w:t>0.6</w:t>
            </w:r>
          </w:p>
        </w:tc>
        <w:tc>
          <w:tcPr>
            <w:tcW w:w="769" w:type="dxa"/>
          </w:tcPr>
          <w:p>
            <w:pPr>
              <w:pStyle w:val="TableParagraph"/>
              <w:spacing w:line="120" w:lineRule="exact"/>
              <w:ind w:left="261"/>
              <w:rPr>
                <w:b/>
                <w:sz w:val="14"/>
              </w:rPr>
            </w:pPr>
            <w:r>
              <w:rPr>
                <w:b/>
                <w:color w:val="231F20"/>
                <w:sz w:val="14"/>
              </w:rPr>
              <w:t>0.5</w:t>
            </w:r>
          </w:p>
        </w:tc>
        <w:tc>
          <w:tcPr>
            <w:tcW w:w="635" w:type="dxa"/>
          </w:tcPr>
          <w:p>
            <w:pPr>
              <w:pStyle w:val="TableParagraph"/>
              <w:spacing w:line="120" w:lineRule="exact"/>
              <w:ind w:left="192"/>
              <w:rPr>
                <w:b/>
                <w:sz w:val="14"/>
              </w:rPr>
            </w:pPr>
            <w:r>
              <w:rPr>
                <w:b/>
                <w:color w:val="231F20"/>
                <w:sz w:val="14"/>
              </w:rPr>
              <w:t>0.6</w:t>
            </w:r>
          </w:p>
        </w:tc>
        <w:tc>
          <w:tcPr>
            <w:tcW w:w="959" w:type="dxa"/>
          </w:tcPr>
          <w:p>
            <w:pPr>
              <w:pStyle w:val="TableParagraph"/>
              <w:spacing w:line="120" w:lineRule="exact"/>
              <w:ind w:left="227"/>
              <w:rPr>
                <w:b/>
                <w:sz w:val="14"/>
              </w:rPr>
            </w:pPr>
            <w:r>
              <w:rPr>
                <w:b/>
                <w:color w:val="231F20"/>
                <w:sz w:val="14"/>
              </w:rPr>
              <w:t>0.5</w:t>
            </w:r>
          </w:p>
        </w:tc>
      </w:tr>
      <w:tr>
        <w:trPr>
          <w:trHeight w:val="147" w:hRule="atLeast"/>
        </w:trPr>
        <w:tc>
          <w:tcPr>
            <w:tcW w:w="1605" w:type="dxa"/>
          </w:tcPr>
          <w:p>
            <w:pPr>
              <w:pStyle w:val="TableParagraph"/>
              <w:spacing w:line="128" w:lineRule="exact"/>
              <w:ind w:left="50"/>
              <w:rPr>
                <w:b/>
                <w:sz w:val="14"/>
              </w:rPr>
            </w:pPr>
            <w:r>
              <w:rPr>
                <w:b/>
                <w:color w:val="231F20"/>
                <w:sz w:val="14"/>
              </w:rPr>
              <w:t>GDP at market prices</w:t>
            </w:r>
          </w:p>
        </w:tc>
        <w:tc>
          <w:tcPr>
            <w:tcW w:w="569" w:type="dxa"/>
          </w:tcPr>
          <w:p>
            <w:pPr>
              <w:pStyle w:val="TableParagraph"/>
              <w:spacing w:line="128" w:lineRule="exact"/>
              <w:ind w:left="120"/>
              <w:rPr>
                <w:b/>
                <w:sz w:val="14"/>
              </w:rPr>
            </w:pPr>
            <w:r>
              <w:rPr>
                <w:b/>
                <w:color w:val="231F20"/>
                <w:sz w:val="14"/>
              </w:rPr>
              <w:t>0.6</w:t>
            </w:r>
          </w:p>
        </w:tc>
        <w:tc>
          <w:tcPr>
            <w:tcW w:w="769" w:type="dxa"/>
          </w:tcPr>
          <w:p>
            <w:pPr>
              <w:pStyle w:val="TableParagraph"/>
              <w:spacing w:line="128" w:lineRule="exact"/>
              <w:ind w:left="261"/>
              <w:rPr>
                <w:b/>
                <w:sz w:val="14"/>
              </w:rPr>
            </w:pPr>
            <w:r>
              <w:rPr>
                <w:b/>
                <w:color w:val="231F20"/>
                <w:sz w:val="14"/>
              </w:rPr>
              <w:t>0.8</w:t>
            </w:r>
          </w:p>
        </w:tc>
        <w:tc>
          <w:tcPr>
            <w:tcW w:w="635" w:type="dxa"/>
          </w:tcPr>
          <w:p>
            <w:pPr>
              <w:pStyle w:val="TableParagraph"/>
              <w:spacing w:line="128" w:lineRule="exact"/>
              <w:ind w:left="192"/>
              <w:rPr>
                <w:b/>
                <w:sz w:val="14"/>
              </w:rPr>
            </w:pPr>
            <w:r>
              <w:rPr>
                <w:b/>
                <w:color w:val="231F20"/>
                <w:sz w:val="14"/>
              </w:rPr>
              <w:t>0.6</w:t>
            </w:r>
          </w:p>
        </w:tc>
        <w:tc>
          <w:tcPr>
            <w:tcW w:w="959" w:type="dxa"/>
          </w:tcPr>
          <w:p>
            <w:pPr>
              <w:pStyle w:val="TableParagraph"/>
              <w:spacing w:line="128" w:lineRule="exact"/>
              <w:ind w:left="227"/>
              <w:rPr>
                <w:b/>
                <w:sz w:val="14"/>
              </w:rPr>
            </w:pPr>
            <w:r>
              <w:rPr>
                <w:b/>
                <w:color w:val="231F20"/>
                <w:sz w:val="14"/>
              </w:rPr>
              <w:t>0.8</w:t>
            </w:r>
          </w:p>
        </w:tc>
      </w:tr>
    </w:tbl>
    <w:p>
      <w:pPr>
        <w:pStyle w:val="ListParagraph"/>
        <w:numPr>
          <w:ilvl w:val="0"/>
          <w:numId w:val="14"/>
        </w:numPr>
        <w:tabs>
          <w:tab w:pos="406" w:val="left" w:leader="none"/>
        </w:tabs>
        <w:spacing w:line="129" w:lineRule="exact" w:before="118" w:after="0"/>
        <w:ind w:left="405" w:right="0" w:hanging="194"/>
        <w:jc w:val="left"/>
        <w:rPr>
          <w:sz w:val="12"/>
        </w:rPr>
      </w:pPr>
      <w:r>
        <w:rPr>
          <w:color w:val="231F20"/>
          <w:sz w:val="12"/>
        </w:rPr>
        <w:t>Contributions may not sum because of rounding.</w:t>
      </w:r>
    </w:p>
    <w:p>
      <w:pPr>
        <w:pStyle w:val="ListParagraph"/>
        <w:numPr>
          <w:ilvl w:val="0"/>
          <w:numId w:val="14"/>
        </w:numPr>
        <w:tabs>
          <w:tab w:pos="413" w:val="left" w:leader="none"/>
        </w:tabs>
        <w:spacing w:line="120" w:lineRule="exact" w:before="0" w:after="0"/>
        <w:ind w:left="412" w:right="0" w:hanging="201"/>
        <w:jc w:val="left"/>
        <w:rPr>
          <w:sz w:val="12"/>
        </w:rPr>
      </w:pPr>
      <w:r>
        <w:rPr>
          <w:color w:val="231F20"/>
          <w:sz w:val="12"/>
        </w:rPr>
        <w:t>Domestic demand excluding stockbuilding.</w:t>
      </w:r>
    </w:p>
    <w:p>
      <w:pPr>
        <w:pStyle w:val="ListParagraph"/>
        <w:numPr>
          <w:ilvl w:val="0"/>
          <w:numId w:val="14"/>
        </w:numPr>
        <w:tabs>
          <w:tab w:pos="406" w:val="left" w:leader="none"/>
        </w:tabs>
        <w:spacing w:line="129" w:lineRule="exact" w:before="0" w:after="0"/>
        <w:ind w:left="405" w:right="0" w:hanging="194"/>
        <w:jc w:val="left"/>
        <w:rPr>
          <w:sz w:val="12"/>
        </w:rPr>
      </w:pPr>
      <w:r>
        <w:rPr>
          <w:color w:val="231F20"/>
          <w:sz w:val="12"/>
        </w:rPr>
        <w:t>Including the alignment adjustment.</w:t>
      </w:r>
    </w:p>
    <w:p>
      <w:pPr>
        <w:pStyle w:val="Heading4"/>
        <w:spacing w:line="242" w:lineRule="auto" w:before="208"/>
        <w:ind w:left="212" w:right="231"/>
      </w:pPr>
      <w:r>
        <w:rPr/>
        <w:br w:type="column"/>
      </w:r>
      <w:r>
        <w:rPr>
          <w:color w:val="231F20"/>
        </w:rPr>
        <w:t>Domestic demand growth was little changed between 1997 Q4 and 1998 Q1 (see </w:t>
      </w:r>
      <w:r>
        <w:rPr>
          <w:color w:val="231F20"/>
          <w:spacing w:val="-5"/>
        </w:rPr>
        <w:t>Table </w:t>
      </w:r>
      <w:r>
        <w:rPr>
          <w:color w:val="231F20"/>
        </w:rPr>
        <w:t>2.A). The slowdown in consumers’ expenditure growth was offset by a</w:t>
      </w:r>
      <w:r>
        <w:rPr>
          <w:color w:val="231F20"/>
          <w:spacing w:val="-23"/>
        </w:rPr>
        <w:t> </w:t>
      </w:r>
      <w:r>
        <w:rPr>
          <w:color w:val="231F20"/>
        </w:rPr>
        <w:t>larger contribution from investment. Net trade made a further negative contribution to GDP growth: exports fell more sharply than imports. Growth in GDP at factor cost fell slightly between 1997 Q4 and 1998 Q1, while growth </w:t>
      </w:r>
      <w:r>
        <w:rPr>
          <w:color w:val="231F20"/>
          <w:spacing w:val="-9"/>
        </w:rPr>
        <w:t>in </w:t>
      </w:r>
      <w:r>
        <w:rPr>
          <w:color w:val="231F20"/>
        </w:rPr>
        <w:t>GDP at market prices rose; the difference is accounted for by strong indirect tax payments in 1998 Q1. From September 1998, the ONS will make GDP at market prices its headline figure instead of GDP at factor cost </w:t>
      </w:r>
      <w:hyperlink w:history="true" w:anchor="_bookmark16">
        <w:r>
          <w:rPr>
            <w:color w:val="231F20"/>
          </w:rPr>
          <w:t>(see the box</w:t>
        </w:r>
      </w:hyperlink>
      <w:r>
        <w:rPr>
          <w:color w:val="231F20"/>
        </w:rPr>
        <w:t> on page 16 describing the new national accounts system).</w:t>
      </w:r>
    </w:p>
    <w:p>
      <w:pPr>
        <w:pStyle w:val="BodyText"/>
        <w:spacing w:before="9"/>
        <w:rPr>
          <w:sz w:val="25"/>
        </w:rPr>
      </w:pPr>
    </w:p>
    <w:p>
      <w:pPr>
        <w:spacing w:line="242" w:lineRule="auto" w:before="1"/>
        <w:ind w:left="212" w:right="231" w:firstLine="0"/>
        <w:jc w:val="left"/>
        <w:rPr>
          <w:sz w:val="24"/>
        </w:rPr>
      </w:pPr>
      <w:r>
        <w:rPr>
          <w:color w:val="231F20"/>
          <w:sz w:val="24"/>
        </w:rPr>
        <w:t>The preliminary estimate for GDP growth at factor cost in 1998 Q2 was 0.5%, the same as in the previous quarter. Excluding the volatile oil and gas sector, which was depressed in 1998 Q1 and boosted in 1998 Q2 by unseasonal weather, the rate of growth slowed from 0.6% to 0.4%.</w:t>
      </w:r>
    </w:p>
    <w:p>
      <w:pPr>
        <w:spacing w:after="0" w:line="242" w:lineRule="auto"/>
        <w:jc w:val="left"/>
        <w:rPr>
          <w:sz w:val="24"/>
        </w:rPr>
        <w:sectPr>
          <w:type w:val="continuous"/>
          <w:pgSz w:w="11900" w:h="16840"/>
          <w:pgMar w:top="1220" w:bottom="280" w:left="620" w:right="640"/>
          <w:cols w:num="2" w:equalWidth="0">
            <w:col w:w="4693" w:space="94"/>
            <w:col w:w="5853"/>
          </w:cols>
        </w:sectPr>
      </w:pPr>
    </w:p>
    <w:p>
      <w:pPr>
        <w:pStyle w:val="BodyText"/>
        <w:spacing w:before="5"/>
        <w:rPr>
          <w:sz w:val="24"/>
        </w:rPr>
      </w:pPr>
    </w:p>
    <w:p>
      <w:pPr>
        <w:pStyle w:val="ListParagraph"/>
        <w:numPr>
          <w:ilvl w:val="1"/>
          <w:numId w:val="15"/>
        </w:numPr>
        <w:tabs>
          <w:tab w:pos="8021" w:val="left" w:leader="none"/>
          <w:tab w:pos="8022" w:val="left" w:leader="none"/>
        </w:tabs>
        <w:spacing w:line="240" w:lineRule="auto" w:before="89" w:after="0"/>
        <w:ind w:left="8021" w:right="0" w:hanging="3022"/>
        <w:jc w:val="left"/>
        <w:rPr>
          <w:color w:val="009483"/>
          <w:sz w:val="28"/>
        </w:rPr>
      </w:pPr>
      <w:r>
        <w:rPr>
          <w:b/>
          <w:color w:val="009483"/>
          <w:sz w:val="28"/>
        </w:rPr>
        <w:t>External</w:t>
      </w:r>
      <w:r>
        <w:rPr>
          <w:b/>
          <w:color w:val="009483"/>
          <w:spacing w:val="-1"/>
          <w:sz w:val="28"/>
        </w:rPr>
        <w:t> </w:t>
      </w:r>
      <w:r>
        <w:rPr>
          <w:b/>
          <w:color w:val="009483"/>
          <w:sz w:val="28"/>
        </w:rPr>
        <w:t>demand</w:t>
      </w:r>
      <w:r>
        <w:rPr>
          <w:color w:val="231F20"/>
          <w:position w:val="5"/>
          <w:sz w:val="16"/>
        </w:rPr>
        <w:t>(1)</w:t>
      </w:r>
    </w:p>
    <w:p>
      <w:pPr>
        <w:pStyle w:val="BodyText"/>
        <w:spacing w:line="40" w:lineRule="exact"/>
        <w:ind w:left="4980"/>
        <w:rPr>
          <w:sz w:val="4"/>
        </w:rPr>
      </w:pPr>
      <w:r>
        <w:rPr>
          <w:position w:val="0"/>
          <w:sz w:val="4"/>
        </w:rPr>
        <w:pict>
          <v:group style="width:274pt;height:2pt;mso-position-horizontal-relative:char;mso-position-vertical-relative:line" coordorigin="0,0" coordsize="5480,40">
            <v:line style="position:absolute" from="0,20" to="5480,20" stroked="true" strokeweight="2pt" strokecolor="#0093c1">
              <v:stroke dashstyle="solid"/>
            </v:line>
          </v:group>
        </w:pict>
      </w:r>
      <w:r>
        <w:rPr>
          <w:position w:val="0"/>
          <w:sz w:val="4"/>
        </w:rPr>
      </w:r>
    </w:p>
    <w:p>
      <w:pPr>
        <w:spacing w:line="242" w:lineRule="auto" w:before="235"/>
        <w:ind w:left="5000" w:right="135" w:firstLine="0"/>
        <w:jc w:val="left"/>
        <w:rPr>
          <w:sz w:val="24"/>
        </w:rPr>
      </w:pPr>
      <w:r>
        <w:rPr>
          <w:color w:val="231F20"/>
          <w:sz w:val="24"/>
        </w:rPr>
        <w:t>Net trade in goods and services made a negative contribution to quarterly GDP growth in 1997 Q4 and 1998 Q1. According to the more timely and detailed monthly goods data, the widening of the deficit has been dominated by trade with non-EU countries, partly reflecting a fall in exports to Asia. Further increases in the goods and services trade deficit are likely in 1998.</w:t>
      </w:r>
    </w:p>
    <w:p>
      <w:pPr>
        <w:spacing w:line="242" w:lineRule="auto" w:before="9"/>
        <w:ind w:left="5000" w:right="247" w:firstLine="0"/>
        <w:jc w:val="left"/>
        <w:rPr>
          <w:sz w:val="24"/>
        </w:rPr>
      </w:pPr>
      <w:r>
        <w:rPr>
          <w:color w:val="231F20"/>
          <w:sz w:val="24"/>
        </w:rPr>
        <w:t>Import growth is likely to fall in 1998 as UK domestic demand slows. But substantially weaker export growth is also projected; this reflects a continuing response to sterling’s appreciation.</w:t>
      </w:r>
    </w:p>
    <w:p>
      <w:pPr>
        <w:pStyle w:val="BodyText"/>
        <w:rPr>
          <w:sz w:val="23"/>
        </w:rPr>
      </w:pPr>
    </w:p>
    <w:p>
      <w:pPr>
        <w:spacing w:line="242" w:lineRule="auto" w:before="1"/>
        <w:ind w:left="5000" w:right="221" w:firstLine="0"/>
        <w:jc w:val="left"/>
        <w:rPr>
          <w:sz w:val="24"/>
        </w:rPr>
      </w:pPr>
      <w:r>
        <w:rPr>
          <w:color w:val="231F20"/>
          <w:sz w:val="24"/>
        </w:rPr>
        <w:t>The prospects for world output have deteriorated somewhat since the May </w:t>
      </w:r>
      <w:r>
        <w:rPr>
          <w:i/>
          <w:color w:val="231F20"/>
          <w:sz w:val="24"/>
        </w:rPr>
        <w:t>Inflation Report. </w:t>
      </w:r>
      <w:r>
        <w:rPr>
          <w:color w:val="231F20"/>
          <w:sz w:val="24"/>
        </w:rPr>
        <w:t>The outlook is for much lower Japanese growth in 1998 than expected in May: an average of private sector forecasters, surveyed in July,</w:t>
      </w:r>
      <w:r>
        <w:rPr>
          <w:color w:val="231F20"/>
          <w:position w:val="5"/>
          <w:sz w:val="16"/>
        </w:rPr>
        <w:t>(2) </w:t>
      </w:r>
      <w:r>
        <w:rPr>
          <w:color w:val="231F20"/>
          <w:sz w:val="24"/>
        </w:rPr>
        <w:t>expected GDP growth to be -1.4% in 1998, compared with -0.3% in a similar survey three months previously. The change in the</w:t>
      </w:r>
    </w:p>
    <w:p>
      <w:pPr>
        <w:pStyle w:val="BodyText"/>
        <w:spacing w:before="2"/>
        <w:rPr>
          <w:sz w:val="14"/>
        </w:rPr>
      </w:pPr>
      <w:r>
        <w:rPr/>
        <w:pict>
          <v:shape style="position:absolute;margin-left:279pt;margin-top:10.244629pt;width:277.5pt;height:.1pt;mso-position-horizontal-relative:page;mso-position-vertical-relative:paragraph;z-index:-15619072;mso-wrap-distance-left:0;mso-wrap-distance-right:0" coordorigin="5580,205" coordsize="5550,0" path="m5580,205l11130,205e" filled="false" stroked="true" strokeweight=".125pt" strokecolor="#231f20">
            <v:path arrowok="t"/>
            <v:stroke dashstyle="solid"/>
            <w10:wrap type="topAndBottom"/>
          </v:shape>
        </w:pict>
      </w:r>
    </w:p>
    <w:p>
      <w:pPr>
        <w:pStyle w:val="ListParagraph"/>
        <w:numPr>
          <w:ilvl w:val="0"/>
          <w:numId w:val="16"/>
        </w:numPr>
        <w:tabs>
          <w:tab w:pos="5231" w:val="left" w:leader="none"/>
        </w:tabs>
        <w:spacing w:line="208" w:lineRule="auto" w:before="11" w:after="0"/>
        <w:ind w:left="5229" w:right="756" w:hanging="240"/>
        <w:jc w:val="left"/>
        <w:rPr>
          <w:sz w:val="16"/>
        </w:rPr>
      </w:pPr>
      <w:r>
        <w:rPr>
          <w:color w:val="231F20"/>
          <w:sz w:val="16"/>
        </w:rPr>
        <w:t>For a detailed discussion of international economic developments, see ‘The international environment’ article in the </w:t>
      </w:r>
      <w:r>
        <w:rPr>
          <w:i/>
          <w:color w:val="231F20"/>
          <w:sz w:val="16"/>
        </w:rPr>
        <w:t>Quarterly Bulletin</w:t>
      </w:r>
      <w:r>
        <w:rPr>
          <w:color w:val="231F20"/>
          <w:sz w:val="16"/>
        </w:rPr>
        <w:t>, </w:t>
      </w:r>
      <w:r>
        <w:rPr>
          <w:color w:val="231F20"/>
          <w:spacing w:val="-3"/>
          <w:sz w:val="16"/>
        </w:rPr>
        <w:t>August </w:t>
      </w:r>
      <w:r>
        <w:rPr>
          <w:color w:val="231F20"/>
          <w:sz w:val="16"/>
        </w:rPr>
        <w:t>1998, pages 206–19.</w:t>
      </w:r>
    </w:p>
    <w:p>
      <w:pPr>
        <w:pStyle w:val="ListParagraph"/>
        <w:numPr>
          <w:ilvl w:val="0"/>
          <w:numId w:val="16"/>
        </w:numPr>
        <w:tabs>
          <w:tab w:pos="5231" w:val="left" w:leader="none"/>
        </w:tabs>
        <w:spacing w:line="164" w:lineRule="exact" w:before="0" w:after="0"/>
        <w:ind w:left="5230" w:right="0" w:hanging="242"/>
        <w:jc w:val="left"/>
        <w:rPr>
          <w:sz w:val="16"/>
        </w:rPr>
      </w:pPr>
      <w:r>
        <w:rPr>
          <w:color w:val="231F20"/>
          <w:sz w:val="16"/>
        </w:rPr>
        <w:t>Source: Consensus Economics Inc.</w:t>
      </w:r>
    </w:p>
    <w:p>
      <w:pPr>
        <w:spacing w:after="0" w:line="164" w:lineRule="exact"/>
        <w:jc w:val="left"/>
        <w:rPr>
          <w:sz w:val="16"/>
        </w:rPr>
        <w:sectPr>
          <w:type w:val="continuous"/>
          <w:pgSz w:w="11900" w:h="16840"/>
          <w:pgMar w:top="1220" w:bottom="280" w:left="620" w:right="640"/>
        </w:sectPr>
      </w:pPr>
    </w:p>
    <w:p>
      <w:pPr>
        <w:pStyle w:val="BodyText"/>
        <w:rPr>
          <w:sz w:val="20"/>
        </w:rPr>
      </w:pPr>
    </w:p>
    <w:p>
      <w:pPr>
        <w:pStyle w:val="Heading2"/>
        <w:spacing w:before="238"/>
        <w:ind w:left="1262" w:right="1264"/>
        <w:jc w:val="center"/>
      </w:pPr>
      <w:bookmarkStart w:name="Changes to the National Accounts" w:id="40"/>
      <w:bookmarkEnd w:id="40"/>
      <w:r>
        <w:rPr>
          <w:b w:val="0"/>
        </w:rPr>
      </w:r>
      <w:bookmarkStart w:name="_bookmark15" w:id="41"/>
      <w:bookmarkEnd w:id="41"/>
      <w:r>
        <w:rPr>
          <w:b w:val="0"/>
        </w:rPr>
      </w:r>
      <w:bookmarkStart w:name="_bookmark16" w:id="42"/>
      <w:bookmarkEnd w:id="42"/>
      <w:r>
        <w:rPr>
          <w:b w:val="0"/>
        </w:rPr>
      </w:r>
      <w:r>
        <w:rPr>
          <w:color w:val="009483"/>
        </w:rPr>
        <w:t>Changes to the National Accounts</w:t>
      </w:r>
    </w:p>
    <w:p>
      <w:pPr>
        <w:pStyle w:val="BodyText"/>
        <w:spacing w:before="7"/>
        <w:rPr>
          <w:b/>
          <w:sz w:val="27"/>
        </w:rPr>
      </w:pPr>
    </w:p>
    <w:p>
      <w:pPr>
        <w:spacing w:after="0"/>
        <w:rPr>
          <w:sz w:val="27"/>
        </w:rPr>
        <w:sectPr>
          <w:headerReference w:type="even" r:id="rId30"/>
          <w:headerReference w:type="default" r:id="rId31"/>
          <w:pgSz w:w="11900" w:h="16840"/>
          <w:pgMar w:header="566" w:footer="603" w:top="760" w:bottom="800" w:left="620" w:right="640"/>
        </w:sectPr>
      </w:pPr>
    </w:p>
    <w:p>
      <w:pPr>
        <w:pStyle w:val="Heading9"/>
        <w:spacing w:line="249" w:lineRule="auto" w:before="91"/>
        <w:ind w:left="405" w:right="110"/>
        <w:rPr>
          <w:sz w:val="12"/>
        </w:rPr>
      </w:pPr>
      <w:r>
        <w:rPr>
          <w:color w:val="231F20"/>
        </w:rPr>
        <w:t>In September 1998, the Office for National Statistics (ONS) will change the way it presents the National Accounts. For the first time, it will publish accounts that comply with the new European System of Accounts (ESA 95).</w:t>
      </w:r>
      <w:r>
        <w:rPr>
          <w:color w:val="231F20"/>
          <w:position w:val="4"/>
          <w:sz w:val="12"/>
        </w:rPr>
        <w:t>(1)</w:t>
      </w:r>
    </w:p>
    <w:p>
      <w:pPr>
        <w:pStyle w:val="BodyText"/>
        <w:spacing w:before="8"/>
        <w:rPr>
          <w:sz w:val="24"/>
        </w:rPr>
      </w:pPr>
    </w:p>
    <w:p>
      <w:pPr>
        <w:spacing w:line="249" w:lineRule="auto" w:before="0"/>
        <w:ind w:left="405" w:right="51" w:firstLine="0"/>
        <w:jc w:val="left"/>
        <w:rPr>
          <w:sz w:val="20"/>
        </w:rPr>
      </w:pPr>
      <w:r>
        <w:rPr>
          <w:color w:val="231F20"/>
          <w:sz w:val="20"/>
        </w:rPr>
        <w:t>At the same time, the ONS will introduce a new base </w:t>
      </w:r>
      <w:r>
        <w:rPr>
          <w:color w:val="231F20"/>
          <w:spacing w:val="-5"/>
          <w:sz w:val="20"/>
        </w:rPr>
        <w:t>year </w:t>
      </w:r>
      <w:r>
        <w:rPr>
          <w:color w:val="231F20"/>
          <w:sz w:val="20"/>
        </w:rPr>
        <w:t>for the calculation of its constant price or volume data, and it will publish data that are consistent with information derived from the Inter-Departmental Business Register. This box indicates how these innovations might affect the published data.</w:t>
      </w:r>
    </w:p>
    <w:p>
      <w:pPr>
        <w:pStyle w:val="BodyText"/>
        <w:spacing w:before="9"/>
        <w:rPr>
          <w:sz w:val="24"/>
        </w:rPr>
      </w:pPr>
    </w:p>
    <w:p>
      <w:pPr>
        <w:spacing w:before="0"/>
        <w:ind w:left="405" w:right="0" w:firstLine="0"/>
        <w:jc w:val="left"/>
        <w:rPr>
          <w:b/>
          <w:sz w:val="20"/>
        </w:rPr>
      </w:pPr>
      <w:r>
        <w:rPr>
          <w:b/>
          <w:color w:val="009483"/>
          <w:sz w:val="20"/>
        </w:rPr>
        <w:t>ESA 95</w:t>
      </w:r>
    </w:p>
    <w:p>
      <w:pPr>
        <w:pStyle w:val="BodyText"/>
        <w:spacing w:before="3"/>
        <w:rPr>
          <w:b/>
        </w:rPr>
      </w:pPr>
    </w:p>
    <w:p>
      <w:pPr>
        <w:spacing w:line="249" w:lineRule="auto" w:before="0"/>
        <w:ind w:left="405" w:right="28" w:firstLine="0"/>
        <w:jc w:val="left"/>
        <w:rPr>
          <w:sz w:val="20"/>
        </w:rPr>
      </w:pPr>
      <w:r>
        <w:rPr>
          <w:color w:val="231F20"/>
          <w:sz w:val="20"/>
        </w:rPr>
        <w:t>The major changes cover presentation of the accounts, changes to the boundaries between intermediate production and capital formation, and a change in the treatment of many taxes. The definition of capital formation will be extended. For instance, spending on computer software, which has been counted as intermediate consumption, will be counted as capital expenditure. This will have the effect of increasing the level of GDP. ESA 95 will introduce new distinctions between taxes and charges for services provided by government. For instance, vehicle excise duty will be treated as a tax on income and wealth, rather than a charge. This will have the effect of reducing GDP(E) at market prices. Overall, the impact of the ESA 95 changes on the level and growth rate of GDP will be small.</w:t>
      </w:r>
    </w:p>
    <w:p>
      <w:pPr>
        <w:spacing w:line="249" w:lineRule="auto" w:before="13"/>
        <w:ind w:left="405" w:right="48" w:firstLine="0"/>
        <w:jc w:val="left"/>
        <w:rPr>
          <w:sz w:val="20"/>
        </w:rPr>
      </w:pPr>
      <w:r>
        <w:rPr>
          <w:color w:val="231F20"/>
          <w:sz w:val="20"/>
        </w:rPr>
        <w:t>Changes to components of GDP will be more marked, </w:t>
      </w:r>
      <w:r>
        <w:rPr>
          <w:color w:val="231F20"/>
          <w:spacing w:val="-6"/>
          <w:sz w:val="20"/>
        </w:rPr>
        <w:t>but </w:t>
      </w:r>
      <w:r>
        <w:rPr>
          <w:color w:val="231F20"/>
          <w:sz w:val="20"/>
        </w:rPr>
        <w:t>these will be largely offsetting. Another notable change will be that, in common with other EU Member States, the ONS will use GDP at market prices as its headline indicator of output in the economy, rather than GDP at factor cost.</w:t>
      </w:r>
    </w:p>
    <w:p>
      <w:pPr>
        <w:pStyle w:val="BodyText"/>
        <w:spacing w:before="9"/>
        <w:rPr>
          <w:sz w:val="24"/>
        </w:rPr>
      </w:pPr>
    </w:p>
    <w:p>
      <w:pPr>
        <w:spacing w:before="0"/>
        <w:ind w:left="405" w:right="0" w:firstLine="0"/>
        <w:jc w:val="left"/>
        <w:rPr>
          <w:b/>
          <w:sz w:val="20"/>
        </w:rPr>
      </w:pPr>
      <w:r>
        <w:rPr>
          <w:b/>
          <w:color w:val="009483"/>
          <w:sz w:val="20"/>
        </w:rPr>
        <w:t>Inter-Departmental Business Register (I</w:t>
      </w:r>
      <w:r>
        <w:rPr>
          <w:b/>
          <w:color w:val="009483"/>
          <w:sz w:val="16"/>
        </w:rPr>
        <w:t>DBR</w:t>
      </w:r>
      <w:r>
        <w:rPr>
          <w:b/>
          <w:color w:val="009483"/>
          <w:sz w:val="20"/>
        </w:rPr>
        <w:t>)</w:t>
      </w:r>
    </w:p>
    <w:p>
      <w:pPr>
        <w:pStyle w:val="BodyText"/>
        <w:spacing w:before="3"/>
        <w:rPr>
          <w:b/>
        </w:rPr>
      </w:pPr>
    </w:p>
    <w:p>
      <w:pPr>
        <w:spacing w:line="249" w:lineRule="auto" w:before="0"/>
        <w:ind w:left="405" w:right="162" w:firstLine="0"/>
        <w:jc w:val="left"/>
        <w:rPr>
          <w:sz w:val="20"/>
        </w:rPr>
      </w:pPr>
      <w:r>
        <w:rPr>
          <w:color w:val="231F20"/>
          <w:sz w:val="20"/>
        </w:rPr>
        <w:t>The ONS has set up a business register from which it can select its samples for estimation of economic aggregates. The main feature of this register is the </w:t>
      </w:r>
      <w:r>
        <w:rPr>
          <w:color w:val="231F20"/>
          <w:spacing w:val="-4"/>
          <w:sz w:val="20"/>
        </w:rPr>
        <w:t>wider </w:t>
      </w:r>
      <w:r>
        <w:rPr>
          <w:color w:val="231F20"/>
          <w:sz w:val="20"/>
        </w:rPr>
        <w:t>coverage of smaller businesses. The results from the I</w:t>
      </w:r>
      <w:r>
        <w:rPr>
          <w:color w:val="231F20"/>
          <w:sz w:val="16"/>
        </w:rPr>
        <w:t>DBR </w:t>
      </w:r>
      <w:r>
        <w:rPr>
          <w:color w:val="231F20"/>
          <w:sz w:val="20"/>
        </w:rPr>
        <w:t>suggest that the measures of GDP currently published are an underestimate of the actual level. The GDP figures to be published in September will be corrected for this. There will be little impact on recent rates of growth.</w:t>
      </w:r>
    </w:p>
    <w:p>
      <w:pPr>
        <w:pStyle w:val="BodyText"/>
        <w:spacing w:before="11"/>
        <w:rPr>
          <w:sz w:val="24"/>
        </w:rPr>
      </w:pPr>
    </w:p>
    <w:p>
      <w:pPr>
        <w:spacing w:before="0"/>
        <w:ind w:left="405" w:right="0" w:firstLine="0"/>
        <w:jc w:val="left"/>
        <w:rPr>
          <w:b/>
          <w:sz w:val="20"/>
        </w:rPr>
      </w:pPr>
      <w:r>
        <w:rPr>
          <w:b/>
          <w:color w:val="009483"/>
          <w:sz w:val="20"/>
        </w:rPr>
        <w:t>Rebasing</w:t>
      </w:r>
    </w:p>
    <w:p>
      <w:pPr>
        <w:pStyle w:val="BodyText"/>
        <w:spacing w:before="3"/>
        <w:rPr>
          <w:b/>
        </w:rPr>
      </w:pPr>
    </w:p>
    <w:p>
      <w:pPr>
        <w:spacing w:line="249" w:lineRule="auto" w:before="0"/>
        <w:ind w:left="405" w:right="193" w:firstLine="0"/>
        <w:jc w:val="left"/>
        <w:rPr>
          <w:sz w:val="20"/>
        </w:rPr>
      </w:pPr>
      <w:r>
        <w:rPr>
          <w:color w:val="231F20"/>
          <w:sz w:val="20"/>
        </w:rPr>
        <w:t>At present, volume (or constant price) measures for the National Accounts are expressed in average 1990 prices</w:t>
      </w:r>
    </w:p>
    <w:p>
      <w:pPr>
        <w:spacing w:line="249" w:lineRule="auto" w:before="91"/>
        <w:ind w:left="405" w:right="432" w:firstLine="0"/>
        <w:jc w:val="left"/>
        <w:rPr>
          <w:sz w:val="20"/>
        </w:rPr>
      </w:pPr>
      <w:r>
        <w:rPr/>
        <w:br w:type="column"/>
      </w:r>
      <w:r>
        <w:rPr>
          <w:color w:val="231F20"/>
          <w:sz w:val="20"/>
        </w:rPr>
        <w:t>or as an index series based on 1990. Rebasing does not mean that a whole series is recalculated using weights from the new base year. Instead, a link year is chosen between the old and the new estimates. The series is only recalculated using the new weights in periods from the link year. Before the link year, data are re-scaled to the new price basis. From September 1998, the ONS will use 1995 as its base year. The ONS has simulated the effects of the imminent rebasing, using pre-ESA 95 definitions </w:t>
      </w:r>
      <w:r>
        <w:rPr>
          <w:color w:val="231F20"/>
          <w:spacing w:val="-9"/>
          <w:sz w:val="20"/>
        </w:rPr>
        <w:t>of </w:t>
      </w:r>
      <w:r>
        <w:rPr>
          <w:color w:val="231F20"/>
          <w:sz w:val="20"/>
        </w:rPr>
        <w:t>GDP. The new link year will be 1994, so growth rates before this period will be unaffected. The results suggest that, by itself, rebasing will lead to lower estimated GDP growth from 1994–97. The estimates of the negative effect on cumulative growth range from -0.6 for GDP(E) at market prices to -1.7 for GDP(O) at factor cost. Lower growth rates are a typical result of rebasing: volume growth tends to be highest for goods and services whose prices and nominal values grow the least. So when the base year moves, the faster growth sectors have a lower weight.</w:t>
      </w:r>
    </w:p>
    <w:p>
      <w:pPr>
        <w:pStyle w:val="BodyText"/>
        <w:spacing w:before="9"/>
        <w:rPr>
          <w:sz w:val="25"/>
        </w:rPr>
      </w:pPr>
    </w:p>
    <w:p>
      <w:pPr>
        <w:spacing w:before="0"/>
        <w:ind w:left="405" w:right="0" w:firstLine="0"/>
        <w:jc w:val="left"/>
        <w:rPr>
          <w:b/>
          <w:sz w:val="20"/>
        </w:rPr>
      </w:pPr>
      <w:r>
        <w:rPr>
          <w:b/>
          <w:color w:val="009483"/>
          <w:sz w:val="20"/>
        </w:rPr>
        <w:t>Other changes</w:t>
      </w:r>
    </w:p>
    <w:p>
      <w:pPr>
        <w:spacing w:line="249" w:lineRule="auto" w:before="190"/>
        <w:ind w:left="405" w:right="470" w:firstLine="0"/>
        <w:jc w:val="left"/>
        <w:rPr>
          <w:sz w:val="20"/>
        </w:rPr>
      </w:pPr>
      <w:r>
        <w:rPr>
          <w:color w:val="231F20"/>
          <w:sz w:val="20"/>
        </w:rPr>
        <w:t>Among other changes, the ONS has been developing an improved methodology for measuring government output at constant prices. Up to now, estimates of government output have been based on measurement of inputs, which takes no account of productivity improvements. From September, estimates for around 50% of government output, dating back to 1986, will be based on output measures.</w:t>
      </w:r>
    </w:p>
    <w:p>
      <w:pPr>
        <w:pStyle w:val="BodyText"/>
        <w:spacing w:before="11"/>
        <w:rPr>
          <w:sz w:val="24"/>
        </w:rPr>
      </w:pPr>
    </w:p>
    <w:p>
      <w:pPr>
        <w:spacing w:line="249" w:lineRule="auto" w:before="0"/>
        <w:ind w:left="405" w:right="426" w:firstLine="0"/>
        <w:jc w:val="left"/>
        <w:rPr>
          <w:sz w:val="20"/>
        </w:rPr>
      </w:pPr>
      <w:r>
        <w:rPr>
          <w:color w:val="231F20"/>
          <w:sz w:val="20"/>
        </w:rPr>
        <w:t>The ONS concludes that the overall effect of the revisions described above on GDP growth at constant prices is likely to be of a similar order to previous Blue Books.</w:t>
      </w:r>
    </w:p>
    <w:p>
      <w:pPr>
        <w:pStyle w:val="BodyText"/>
        <w:spacing w:before="6"/>
        <w:rPr>
          <w:sz w:val="24"/>
        </w:rPr>
      </w:pPr>
    </w:p>
    <w:p>
      <w:pPr>
        <w:spacing w:before="0"/>
        <w:ind w:left="405" w:right="0" w:firstLine="0"/>
        <w:jc w:val="left"/>
        <w:rPr>
          <w:i/>
          <w:sz w:val="20"/>
        </w:rPr>
      </w:pPr>
      <w:r>
        <w:rPr>
          <w:i/>
          <w:color w:val="009483"/>
          <w:sz w:val="20"/>
        </w:rPr>
        <w:t>Further reading</w:t>
      </w:r>
    </w:p>
    <w:p>
      <w:pPr>
        <w:pStyle w:val="Heading9"/>
        <w:spacing w:line="249" w:lineRule="auto" w:before="170"/>
        <w:ind w:left="405" w:right="470"/>
      </w:pPr>
      <w:r>
        <w:rPr>
          <w:color w:val="231F20"/>
        </w:rPr>
        <w:t>‘United Kingdom National Accounts—An </w:t>
      </w:r>
      <w:r>
        <w:rPr>
          <w:color w:val="231F20"/>
          <w:spacing w:val="-2"/>
        </w:rPr>
        <w:t>illustrative </w:t>
      </w:r>
      <w:r>
        <w:rPr>
          <w:color w:val="231F20"/>
        </w:rPr>
        <w:t>guide to the new Blue Book’, Office for National Statistics, 1997.</w:t>
      </w:r>
    </w:p>
    <w:p>
      <w:pPr>
        <w:pStyle w:val="BodyText"/>
        <w:spacing w:before="10"/>
        <w:rPr>
          <w:sz w:val="22"/>
        </w:rPr>
      </w:pPr>
    </w:p>
    <w:p>
      <w:pPr>
        <w:spacing w:line="249" w:lineRule="auto" w:before="0"/>
        <w:ind w:left="405" w:right="631" w:firstLine="0"/>
        <w:jc w:val="left"/>
        <w:rPr>
          <w:sz w:val="20"/>
        </w:rPr>
      </w:pPr>
      <w:r>
        <w:rPr>
          <w:color w:val="231F20"/>
          <w:sz w:val="20"/>
        </w:rPr>
        <w:t>‘Improvements to business inquiries through the introduction of the new Inter-Departmental Business Register’, by Ole Black in </w:t>
      </w:r>
      <w:r>
        <w:rPr>
          <w:i/>
          <w:color w:val="231F20"/>
          <w:sz w:val="20"/>
        </w:rPr>
        <w:t>Economic Trends</w:t>
      </w:r>
      <w:r>
        <w:rPr>
          <w:color w:val="231F20"/>
          <w:sz w:val="20"/>
        </w:rPr>
        <w:t>, Office for National Statistics, February 1998.</w:t>
      </w:r>
    </w:p>
    <w:p>
      <w:pPr>
        <w:pStyle w:val="BodyText"/>
        <w:spacing w:before="10"/>
        <w:rPr>
          <w:sz w:val="22"/>
        </w:rPr>
      </w:pPr>
    </w:p>
    <w:p>
      <w:pPr>
        <w:spacing w:before="0"/>
        <w:ind w:left="405" w:right="0" w:firstLine="0"/>
        <w:jc w:val="left"/>
        <w:rPr>
          <w:sz w:val="20"/>
        </w:rPr>
      </w:pPr>
      <w:r>
        <w:rPr>
          <w:color w:val="231F20"/>
          <w:sz w:val="20"/>
        </w:rPr>
        <w:t>‘Rebasing the National Accounts’, by Francis Jones in</w:t>
      </w:r>
    </w:p>
    <w:p>
      <w:pPr>
        <w:spacing w:line="249" w:lineRule="auto" w:before="10"/>
        <w:ind w:left="405" w:right="1214" w:firstLine="0"/>
        <w:jc w:val="left"/>
        <w:rPr>
          <w:sz w:val="20"/>
        </w:rPr>
      </w:pPr>
      <w:r>
        <w:rPr>
          <w:i/>
          <w:color w:val="231F20"/>
          <w:sz w:val="20"/>
        </w:rPr>
        <w:t>Economic Trends</w:t>
      </w:r>
      <w:r>
        <w:rPr>
          <w:color w:val="231F20"/>
          <w:sz w:val="20"/>
        </w:rPr>
        <w:t>, Office for National Statistics, June 1998.</w:t>
      </w:r>
    </w:p>
    <w:p>
      <w:pPr>
        <w:pStyle w:val="BodyText"/>
        <w:spacing w:before="9"/>
        <w:rPr>
          <w:sz w:val="22"/>
        </w:rPr>
      </w:pPr>
    </w:p>
    <w:p>
      <w:pPr>
        <w:pStyle w:val="Heading9"/>
        <w:spacing w:line="249" w:lineRule="auto" w:before="0"/>
        <w:ind w:left="405" w:right="970"/>
      </w:pPr>
      <w:r>
        <w:rPr>
          <w:color w:val="231F20"/>
        </w:rPr>
        <w:t>‘Forthcoming changes to the national accounts’, by Anna Brueton in </w:t>
      </w:r>
      <w:r>
        <w:rPr>
          <w:i/>
          <w:color w:val="231F20"/>
        </w:rPr>
        <w:t>Economic Trends</w:t>
      </w:r>
      <w:r>
        <w:rPr>
          <w:color w:val="231F20"/>
        </w:rPr>
        <w:t>, August 1998.</w:t>
      </w:r>
    </w:p>
    <w:p>
      <w:pPr>
        <w:spacing w:after="0" w:line="249" w:lineRule="auto"/>
        <w:sectPr>
          <w:type w:val="continuous"/>
          <w:pgSz w:w="11900" w:h="16840"/>
          <w:pgMar w:top="1220" w:bottom="280" w:left="620" w:right="640"/>
          <w:cols w:num="2" w:equalWidth="0">
            <w:col w:w="5100" w:space="40"/>
            <w:col w:w="5500"/>
          </w:cols>
        </w:sectPr>
      </w:pPr>
    </w:p>
    <w:p>
      <w:pPr>
        <w:pStyle w:val="BodyText"/>
        <w:spacing w:before="6"/>
        <w:rPr>
          <w:sz w:val="11"/>
        </w:rPr>
      </w:pPr>
      <w:r>
        <w:rPr/>
        <w:pict>
          <v:group style="position:absolute;margin-left:38.869999pt;margin-top:39pt;width:516pt;height:741.7pt;mso-position-horizontal-relative:page;mso-position-vertical-relative:page;z-index:-21089280" coordorigin="777,780" coordsize="10320,14834">
            <v:shape style="position:absolute;left:797;top:800;width:10281;height:14794" coordorigin="797,800" coordsize="10281,14794" path="m11077,800l5951,800,5923,800,797,800,797,8168,797,8225,797,15593,5923,15593,5951,15593,11077,15593,11077,8168,11077,800xe" filled="true" fillcolor="#c3e0dc" stroked="false">
              <v:path arrowok="t"/>
              <v:fill type="solid"/>
            </v:shape>
            <v:shape style="position:absolute;left:876;top:922;width:10122;height:14549" coordorigin="877,922" coordsize="10122,14549" path="m5937,922l877,8197,5937,15471,10998,8197,5937,922xe" filled="true" fillcolor="#c4e1dd" stroked="false">
              <v:path arrowok="t"/>
              <v:fill type="solid"/>
            </v:shape>
            <v:shape style="position:absolute;left:975;top:1065;width:9923;height:14264" coordorigin="976,1065" coordsize="9923,14264" path="m5937,1065l976,8197,5937,15328,10899,8197,5937,1065xe" filled="true" fillcolor="#c5e1dd" stroked="false">
              <v:path arrowok="t"/>
              <v:fill type="solid"/>
            </v:shape>
            <v:shape style="position:absolute;left:1075;top:1207;width:9725;height:13978" coordorigin="1075,1208" coordsize="9725,13978" path="m5937,1208l1075,8197,5937,15186,10800,8197,5937,1208xe" filled="true" fillcolor="#c6e2de" stroked="false">
              <v:path arrowok="t"/>
              <v:fill type="solid"/>
            </v:shape>
            <v:shape style="position:absolute;left:1174;top:1350;width:9527;height:13693" coordorigin="1174,1350" coordsize="9527,13693" path="m5937,1350l1174,8197,5937,15043,10700,8197,5937,1350xe" filled="true" fillcolor="#c7e2df" stroked="false">
              <v:path arrowok="t"/>
              <v:fill type="solid"/>
            </v:shape>
            <v:shape style="position:absolute;left:1273;top:1492;width:9328;height:13408" coordorigin="1274,1493" coordsize="9328,13408" path="m5937,1493l1274,8197,5937,14900,10601,8197,5937,1493xe" filled="true" fillcolor="#c8e3df" stroked="false">
              <v:path arrowok="t"/>
              <v:fill type="solid"/>
            </v:shape>
            <v:shape style="position:absolute;left:1372;top:1635;width:9130;height:13123" coordorigin="1373,1636" coordsize="9130,13123" path="m5937,1636l1373,8197,5937,14758,10502,8197,5937,1636xe" filled="true" fillcolor="#c9e3e0" stroked="false">
              <v:path arrowok="t"/>
              <v:fill type="solid"/>
            </v:shape>
            <v:shape style="position:absolute;left:1472;top:1778;width:8931;height:12837" coordorigin="1472,1778" coordsize="8931,12837" path="m5937,1778l1472,8197,5937,14615,10403,8197,5937,1778xe" filled="true" fillcolor="#cae4e0" stroked="false">
              <v:path arrowok="t"/>
              <v:fill type="solid"/>
            </v:shape>
            <v:shape style="position:absolute;left:1571;top:1920;width:8733;height:12552" coordorigin="1571,1921" coordsize="8733,12552" path="m5937,1921l1571,8197,5937,14472,10303,8197,5937,1921xe" filled="true" fillcolor="#cbe4e1" stroked="false">
              <v:path arrowok="t"/>
              <v:fill type="solid"/>
            </v:shape>
            <v:shape style="position:absolute;left:1670;top:2063;width:8534;height:12267" coordorigin="1671,2063" coordsize="8534,12267" path="m5937,2063l1671,8197,5937,14330,10204,8197,5937,2063xe" filled="true" fillcolor="#cce5e1" stroked="false">
              <v:path arrowok="t"/>
              <v:fill type="solid"/>
            </v:shape>
            <v:shape style="position:absolute;left:1769;top:2206;width:8336;height:11982" coordorigin="1770,2206" coordsize="8336,11982" path="m5937,2206l1770,8197,5937,14187,10105,8197,5937,2206xe" filled="true" fillcolor="#cde5e2" stroked="false">
              <v:path arrowok="t"/>
              <v:fill type="solid"/>
            </v:shape>
            <v:shape style="position:absolute;left:1868;top:2348;width:8137;height:11696" coordorigin="1869,2349" coordsize="8137,11696" path="m5937,2349l1869,8197,5937,14044,10006,8197,5937,2349xe" filled="true" fillcolor="#cee6e3" stroked="false">
              <v:path arrowok="t"/>
              <v:fill type="solid"/>
            </v:shape>
            <v:shape style="position:absolute;left:1968;top:2491;width:7939;height:11411" coordorigin="1968,2491" coordsize="7939,11411" path="m5937,2491l1968,8197,5937,13902,9907,8197,5937,2491xe" filled="true" fillcolor="#cfe6e3" stroked="false">
              <v:path arrowok="t"/>
              <v:fill type="solid"/>
            </v:shape>
            <v:shape style="position:absolute;left:2067;top:2633;width:7740;height:11126" coordorigin="2067,2634" coordsize="7740,11126" path="m5937,2634l2067,8197,5937,13759,9807,8197,5937,2634xe" filled="true" fillcolor="#d0e7e4" stroked="false">
              <v:path arrowok="t"/>
              <v:fill type="solid"/>
            </v:shape>
            <v:shape style="position:absolute;left:2166;top:2776;width:7542;height:10840" coordorigin="2167,2777" coordsize="7542,10840" path="m5937,2777l2167,8197,5937,13617,9708,8197,5937,2777xe" filled="true" fillcolor="#d1e7e4" stroked="false">
              <v:path arrowok="t"/>
              <v:fill type="solid"/>
            </v:shape>
            <v:shape style="position:absolute;left:2265;top:2919;width:7343;height:10555" coordorigin="2266,2919" coordsize="7343,10555" path="m5937,2919l2266,8197,5937,13474,9609,8197,5937,2919xe" filled="true" fillcolor="#d3e8e5" stroked="false">
              <v:path arrowok="t"/>
              <v:fill type="solid"/>
            </v:shape>
            <v:shape style="position:absolute;left:2365;top:3061;width:7145;height:10270" coordorigin="2365,3062" coordsize="7145,10270" path="m5937,3062l2365,8197,5937,13331,9510,8197,5937,3062xe" filled="true" fillcolor="#d4e8e5" stroked="false">
              <v:path arrowok="t"/>
              <v:fill type="solid"/>
            </v:shape>
            <v:shape style="position:absolute;left:2464;top:3204;width:6947;height:9985" coordorigin="2464,3204" coordsize="6947,9985" path="m5937,3204l2464,8197,5937,13189,9410,8197,5937,3204xe" filled="true" fillcolor="#d5e9e6" stroked="false">
              <v:path arrowok="t"/>
              <v:fill type="solid"/>
            </v:shape>
            <v:shape style="position:absolute;left:2563;top:3347;width:6748;height:9699" coordorigin="2564,3347" coordsize="6748,9699" path="m5937,3347l2564,8197,5937,13046,9311,8197,5937,3347xe" filled="true" fillcolor="#d6eae7" stroked="false">
              <v:path arrowok="t"/>
              <v:fill type="solid"/>
            </v:shape>
            <v:shape style="position:absolute;left:2662;top:3489;width:6550;height:9414" coordorigin="2663,3490" coordsize="6550,9414" path="m5937,3490l2663,8197,5937,12903,9212,8197,5937,3490xe" filled="true" fillcolor="#d7eae7" stroked="false">
              <v:path arrowok="t"/>
              <v:fill type="solid"/>
            </v:shape>
            <v:shape style="position:absolute;left:2762;top:3632;width:6351;height:9129" coordorigin="2762,3632" coordsize="6351,9129" path="m5937,3632l2762,8197,5937,12761,9113,8197,5937,3632xe" filled="true" fillcolor="#d8ebe8" stroked="false">
              <v:path arrowok="t"/>
              <v:fill type="solid"/>
            </v:shape>
            <v:shape style="position:absolute;left:2861;top:3775;width:6153;height:8844" coordorigin="2861,3775" coordsize="6153,8844" path="m5937,3775l2861,8197,5937,12618,9013,8197,5937,3775xe" filled="true" fillcolor="#d9ebe8" stroked="false">
              <v:path arrowok="t"/>
              <v:fill type="solid"/>
            </v:shape>
            <v:shape style="position:absolute;left:2960;top:3917;width:5954;height:8558" coordorigin="2961,3918" coordsize="5954,8558" path="m5937,3918l2961,8197,5937,12476,8914,8197,5937,3918xe" filled="true" fillcolor="#daece9" stroked="false">
              <v:path arrowok="t"/>
              <v:fill type="solid"/>
            </v:shape>
            <v:shape style="position:absolute;left:3059;top:4060;width:5756;height:8273" coordorigin="3060,4060" coordsize="5756,8273" path="m5937,4060l3060,8197,5937,12333,8815,8197,5937,4060xe" filled="true" fillcolor="#dbece9" stroked="false">
              <v:path arrowok="t"/>
              <v:fill type="solid"/>
            </v:shape>
            <v:shape style="position:absolute;left:3158;top:4202;width:5557;height:7988" coordorigin="3159,4203" coordsize="5557,7988" path="m5937,4203l3159,8197,5937,12190,8716,8197,5937,4203xe" filled="true" fillcolor="#dcedea" stroked="false">
              <v:path arrowok="t"/>
              <v:fill type="solid"/>
            </v:shape>
            <v:shape style="position:absolute;left:3258;top:4345;width:5359;height:7703" coordorigin="3258,4346" coordsize="5359,7703" path="m5937,4346l3258,8197,5937,12048,8617,8197,5937,4346xe" filled="true" fillcolor="#ddedeb" stroked="false">
              <v:path arrowok="t"/>
              <v:fill type="solid"/>
            </v:shape>
            <v:shape style="position:absolute;left:3357;top:4488;width:5160;height:7417" coordorigin="3357,4488" coordsize="5160,7417" path="m5937,4488l3357,8197,5937,11905,8517,8197,5937,4488xe" filled="true" fillcolor="#deeeeb" stroked="false">
              <v:path arrowok="t"/>
              <v:fill type="solid"/>
            </v:shape>
            <v:shape style="position:absolute;left:3456;top:4630;width:4962;height:7132" coordorigin="3457,4631" coordsize="4962,7132" path="m5937,4631l3457,8197,5937,11762,8418,8197,5937,4631xe" filled="true" fillcolor="#e0efec" stroked="false">
              <v:path arrowok="t"/>
              <v:fill type="solid"/>
            </v:shape>
            <v:shape style="position:absolute;left:3555;top:4773;width:4764;height:6847" coordorigin="3556,4773" coordsize="4764,6847" path="m5937,4773l3556,8197,5937,11620,8319,8197,5937,4773xe" filled="true" fillcolor="#e1efec" stroked="false">
              <v:path arrowok="t"/>
              <v:fill type="solid"/>
            </v:shape>
            <v:shape style="position:absolute;left:3655;top:4916;width:4565;height:6562" coordorigin="3655,4916" coordsize="4565,6562" path="m5937,4916l3655,8197,5937,11477,8220,8197,5937,4916xe" filled="true" fillcolor="#e2f0ed" stroked="false">
              <v:path arrowok="t"/>
              <v:fill type="solid"/>
            </v:shape>
            <v:shape style="position:absolute;left:3754;top:5058;width:4367;height:6276" coordorigin="3754,5059" coordsize="4367,6276" path="m5937,5059l3754,8197,5937,11334,8120,8197,5937,5059xe" filled="true" fillcolor="#e3f0ee" stroked="false">
              <v:path arrowok="t"/>
              <v:fill type="solid"/>
            </v:shape>
            <v:shape style="position:absolute;left:3853;top:5201;width:4168;height:5991" coordorigin="3854,5201" coordsize="4168,5991" path="m5937,5201l3854,8197,5937,11192,8021,8197,5937,5201xe" filled="true" fillcolor="#e4f1ee" stroked="false">
              <v:path arrowok="t"/>
              <v:fill type="solid"/>
            </v:shape>
            <v:shape style="position:absolute;left:3952;top:5343;width:3970;height:5706" coordorigin="3953,5344" coordsize="3970,5706" path="m5937,5344l3953,8197,5937,11049,7922,8197,5937,5344xe" filled="true" fillcolor="#e5f1ef" stroked="false">
              <v:path arrowok="t"/>
              <v:fill type="solid"/>
            </v:shape>
            <v:shape style="position:absolute;left:4052;top:5486;width:3771;height:5420" coordorigin="4052,5487" coordsize="3771,5420" path="m5937,5487l4052,8197,5937,10907,7823,8197,5937,5487xe" filled="true" fillcolor="#e6f2ef" stroked="false">
              <v:path arrowok="t"/>
              <v:fill type="solid"/>
            </v:shape>
            <v:shape style="position:absolute;left:4151;top:5629;width:3573;height:5135" coordorigin="4151,5629" coordsize="3573,5135" path="m5937,5629l4151,8197,5937,10764,7724,8197,5937,5629xe" filled="true" fillcolor="#e7f3f0" stroked="false">
              <v:path arrowok="t"/>
              <v:fill type="solid"/>
            </v:shape>
            <v:shape style="position:absolute;left:4250;top:5771;width:3374;height:4850" coordorigin="4250,5772" coordsize="3374,4850" path="m5937,5772l4250,8197,5937,10621,7624,8197,5937,5772xe" filled="true" fillcolor="#e9f3f1" stroked="false">
              <v:path arrowok="t"/>
              <v:fill type="solid"/>
            </v:shape>
            <v:shape style="position:absolute;left:4349;top:5914;width:3176;height:4565" coordorigin="4350,5915" coordsize="3176,4565" path="m5937,5915l4350,8197,5937,10479,7525,8197,5937,5915xe" filled="true" fillcolor="#eaf4f2" stroked="false">
              <v:path arrowok="t"/>
              <v:fill type="solid"/>
            </v:shape>
            <v:shape style="position:absolute;left:4448;top:6057;width:2977;height:4279" coordorigin="4449,6057" coordsize="2977,4279" path="m5937,6057l4449,8197,5937,10336,7426,8197,5937,6057xe" filled="true" fillcolor="#ebf4f2" stroked="false">
              <v:path arrowok="t"/>
              <v:fill type="solid"/>
            </v:shape>
            <v:shape style="position:absolute;left:4548;top:6199;width:2779;height:3994" coordorigin="4548,6200" coordsize="2779,3994" path="m5937,6200l4548,8197,5937,10193,7327,8197,5937,6200xe" filled="true" fillcolor="#ecf5f3" stroked="false">
              <v:path arrowok="t"/>
              <v:fill type="solid"/>
            </v:shape>
            <v:shape style="position:absolute;left:4647;top:6342;width:2580;height:3709" coordorigin="4647,6342" coordsize="2580,3709" path="m5937,6342l4647,8197,5937,10051,7227,8197,5937,6342xe" filled="true" fillcolor="#edf6f4" stroked="false">
              <v:path arrowok="t"/>
              <v:fill type="solid"/>
            </v:shape>
            <v:shape style="position:absolute;left:4746;top:6485;width:2382;height:3424" coordorigin="4747,6485" coordsize="2382,3424" path="m5937,6485l4747,8197,5937,9908,7128,8197,5937,6485xe" filled="true" fillcolor="#eff7f5" stroked="false">
              <v:path arrowok="t"/>
              <v:fill type="solid"/>
            </v:shape>
            <v:shape style="position:absolute;left:4845;top:6627;width:2184;height:3138" coordorigin="4846,6628" coordsize="2184,3138" path="m5937,6628l4846,8197,5937,9766,7029,8197,5937,6628xe" filled="true" fillcolor="#f0f7f5" stroked="false">
              <v:path arrowok="t"/>
              <v:fill type="solid"/>
            </v:shape>
            <v:shape style="position:absolute;left:4945;top:6770;width:1985;height:2853" coordorigin="4945,6770" coordsize="1985,2853" path="m5937,6770l4945,8197,5937,9623,6930,8197,5937,6770xe" filled="true" fillcolor="#f1f8f6" stroked="false">
              <v:path arrowok="t"/>
              <v:fill type="solid"/>
            </v:shape>
            <v:shape style="position:absolute;left:5044;top:6912;width:1787;height:2568" coordorigin="5044,6913" coordsize="1787,2568" path="m5937,6913l5044,8197,5937,9480,6830,8197,5937,6913xe" filled="true" fillcolor="#f2f8f7" stroked="false">
              <v:path arrowok="t"/>
              <v:fill type="solid"/>
            </v:shape>
            <v:shape style="position:absolute;left:5143;top:7055;width:1588;height:2283" coordorigin="5144,7056" coordsize="1588,2283" path="m5937,7056l5144,8197,5937,9338,6731,8197,5937,7056xe" filled="true" fillcolor="#f3f9f8" stroked="false">
              <v:path arrowok="t"/>
              <v:fill type="solid"/>
            </v:shape>
            <v:shape style="position:absolute;left:5242;top:7198;width:1390;height:1997" coordorigin="5243,7198" coordsize="1390,1997" path="m5937,7198l5243,8197,5937,9195,6632,8197,5937,7198xe" filled="true" fillcolor="#f5f9f8" stroked="false">
              <v:path arrowok="t"/>
              <v:fill type="solid"/>
            </v:shape>
            <v:shape style="position:absolute;left:5342;top:7340;width:1191;height:1712" coordorigin="5342,7341" coordsize="1191,1712" path="m5937,7341l5342,8197,5937,9052,6533,8197,5937,7341xe" filled="true" fillcolor="#f6faf9" stroked="false">
              <v:path arrowok="t"/>
              <v:fill type="solid"/>
            </v:shape>
            <v:shape style="position:absolute;left:5441;top:7483;width:993;height:1427" coordorigin="5441,7483" coordsize="993,1427" path="m5937,7483l5441,8197,5937,8910,6434,8197,5937,7483xe" filled="true" fillcolor="#f8fbfa" stroked="false">
              <v:path arrowok="t"/>
              <v:fill type="solid"/>
            </v:shape>
            <v:shape style="position:absolute;left:5540;top:7626;width:794;height:1142" coordorigin="5540,7626" coordsize="794,1142" path="m5937,7626l5540,8197,5937,8767,6334,8197,5937,7626xe" filled="true" fillcolor="#f9fcfc" stroked="false">
              <v:path arrowok="t"/>
              <v:fill type="solid"/>
            </v:shape>
            <v:shape style="position:absolute;left:5639;top:7768;width:596;height:856" coordorigin="5640,7769" coordsize="596,856" path="m5937,7769l5640,8197,5937,8624,6235,8197,5937,7769xe" filled="true" fillcolor="#fbfdfd" stroked="false">
              <v:path arrowok="t"/>
              <v:fill type="solid"/>
            </v:shape>
            <v:shape style="position:absolute;left:5738;top:7911;width:397;height:571" coordorigin="5739,7911" coordsize="397,571" path="m5937,7911l5739,8197,5937,8482,6136,8197,5937,7911xe" filled="true" fillcolor="#fdfefe" stroked="false">
              <v:path arrowok="t"/>
              <v:fill type="solid"/>
            </v:shape>
            <v:shape style="position:absolute;left:5838;top:8053;width:199;height:286" coordorigin="5838,8054" coordsize="199,286" path="m5937,8054l5838,8197,5937,8339,6037,8197,5937,8054xe" filled="true" fillcolor="#ffffff" stroked="false">
              <v:path arrowok="t"/>
              <v:fill type="solid"/>
            </v:shape>
            <v:rect style="position:absolute;left:787;top:790;width:10300;height:14814" filled="false" stroked="true" strokeweight="1pt" strokecolor="#009483">
              <v:stroke dashstyle="solid"/>
            </v:rect>
            <v:line style="position:absolute" from="1005,14930" to="10865,14930" stroked="true" strokeweight=".125pt" strokecolor="#231f20">
              <v:stroke dashstyle="solid"/>
            </v:line>
            <w10:wrap type="none"/>
          </v:group>
        </w:pict>
      </w:r>
    </w:p>
    <w:p>
      <w:pPr>
        <w:pStyle w:val="ListParagraph"/>
        <w:numPr>
          <w:ilvl w:val="1"/>
          <w:numId w:val="14"/>
        </w:numPr>
        <w:tabs>
          <w:tab w:pos="628" w:val="left" w:leader="none"/>
        </w:tabs>
        <w:spacing w:line="240" w:lineRule="auto" w:before="95" w:after="0"/>
        <w:ind w:left="627" w:right="0" w:hanging="201"/>
        <w:jc w:val="left"/>
        <w:rPr>
          <w:sz w:val="12"/>
        </w:rPr>
      </w:pPr>
      <w:r>
        <w:rPr>
          <w:color w:val="231F20"/>
          <w:sz w:val="12"/>
        </w:rPr>
        <w:t>New balance of payments statistics will also be published on the basis of the latest International Monetary Fund</w:t>
      </w:r>
      <w:r>
        <w:rPr>
          <w:color w:val="231F20"/>
          <w:spacing w:val="-1"/>
          <w:sz w:val="12"/>
        </w:rPr>
        <w:t> </w:t>
      </w:r>
      <w:r>
        <w:rPr>
          <w:color w:val="231F20"/>
          <w:sz w:val="12"/>
        </w:rPr>
        <w:t>standards.</w:t>
      </w:r>
    </w:p>
    <w:p>
      <w:pPr>
        <w:spacing w:after="0" w:line="240" w:lineRule="auto"/>
        <w:jc w:val="left"/>
        <w:rPr>
          <w:sz w:val="12"/>
        </w:rPr>
        <w:sectPr>
          <w:type w:val="continuous"/>
          <w:pgSz w:w="11900" w:h="16840"/>
          <w:pgMar w:top="1220" w:bottom="280" w:left="620" w:right="640"/>
        </w:sectPr>
      </w:pPr>
    </w:p>
    <w:p>
      <w:pPr>
        <w:pStyle w:val="BodyText"/>
        <w:rPr>
          <w:sz w:val="20"/>
        </w:rPr>
      </w:pPr>
    </w:p>
    <w:p>
      <w:pPr>
        <w:spacing w:line="242" w:lineRule="auto" w:before="217"/>
        <w:ind w:left="4994" w:right="381" w:firstLine="0"/>
        <w:jc w:val="left"/>
        <w:rPr>
          <w:sz w:val="24"/>
        </w:rPr>
      </w:pPr>
      <w:bookmarkStart w:name="Consumption" w:id="43"/>
      <w:bookmarkEnd w:id="43"/>
      <w:r>
        <w:rPr/>
      </w:r>
      <w:bookmarkStart w:name="_bookmark17" w:id="44"/>
      <w:bookmarkEnd w:id="44"/>
      <w:r>
        <w:rPr/>
      </w:r>
      <w:r>
        <w:rPr>
          <w:color w:val="231F20"/>
          <w:sz w:val="24"/>
        </w:rPr>
        <w:t>forecasts partly reflects the particularly weak output in 1998 Q1 (see Table 2.B). Japan is a small market for UK exports (see Chart 2.1).</w:t>
      </w:r>
    </w:p>
    <w:p>
      <w:pPr>
        <w:pStyle w:val="BodyText"/>
        <w:spacing w:before="7"/>
      </w:pPr>
    </w:p>
    <w:p>
      <w:pPr>
        <w:spacing w:after="0"/>
        <w:sectPr>
          <w:footerReference w:type="default" r:id="rId32"/>
          <w:footerReference w:type="even" r:id="rId33"/>
          <w:pgSz w:w="11900" w:h="16840"/>
          <w:pgMar w:footer="597" w:header="566" w:top="760" w:bottom="780" w:left="620" w:right="640"/>
          <w:pgNumType w:start="17"/>
        </w:sectPr>
      </w:pPr>
    </w:p>
    <w:p>
      <w:pPr>
        <w:pStyle w:val="Heading8"/>
        <w:spacing w:before="149"/>
        <w:ind w:left="192"/>
      </w:pPr>
      <w:r>
        <w:rPr>
          <w:color w:val="0093C1"/>
        </w:rPr>
        <w:t>Table 2.B</w:t>
      </w:r>
    </w:p>
    <w:p>
      <w:pPr>
        <w:spacing w:before="10"/>
        <w:ind w:left="192" w:right="0" w:firstLine="0"/>
        <w:jc w:val="left"/>
        <w:rPr>
          <w:b/>
          <w:sz w:val="20"/>
        </w:rPr>
      </w:pPr>
      <w:r>
        <w:rPr>
          <w:b/>
          <w:color w:val="0093C1"/>
          <w:sz w:val="20"/>
        </w:rPr>
        <w:t>International GDP growth</w:t>
      </w:r>
    </w:p>
    <w:p>
      <w:pPr>
        <w:spacing w:before="106"/>
        <w:ind w:left="192" w:right="0" w:firstLine="0"/>
        <w:jc w:val="left"/>
        <w:rPr>
          <w:sz w:val="14"/>
        </w:rPr>
      </w:pPr>
      <w:r>
        <w:rPr>
          <w:color w:val="231F20"/>
          <w:sz w:val="14"/>
        </w:rPr>
        <w:t>Percentage changes on previous period</w:t>
      </w:r>
    </w:p>
    <w:p>
      <w:pPr>
        <w:pStyle w:val="BodyText"/>
        <w:spacing w:before="10"/>
        <w:rPr>
          <w:sz w:val="10"/>
        </w:rPr>
      </w:pPr>
    </w:p>
    <w:tbl>
      <w:tblPr>
        <w:tblW w:w="0" w:type="auto"/>
        <w:jc w:val="left"/>
        <w:tblInd w:w="1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11"/>
        <w:gridCol w:w="714"/>
        <w:gridCol w:w="1024"/>
        <w:gridCol w:w="697"/>
      </w:tblGrid>
      <w:tr>
        <w:trPr>
          <w:trHeight w:val="157" w:hRule="atLeast"/>
        </w:trPr>
        <w:tc>
          <w:tcPr>
            <w:tcW w:w="2325" w:type="dxa"/>
            <w:gridSpan w:val="2"/>
          </w:tcPr>
          <w:p>
            <w:pPr>
              <w:pStyle w:val="TableParagraph"/>
              <w:spacing w:line="138" w:lineRule="exact"/>
              <w:ind w:right="382"/>
              <w:jc w:val="right"/>
              <w:rPr>
                <w:sz w:val="14"/>
              </w:rPr>
            </w:pPr>
            <w:r>
              <w:rPr>
                <w:color w:val="231F20"/>
                <w:sz w:val="14"/>
                <w:u w:val="single" w:color="231F20"/>
              </w:rPr>
              <w:t>1997</w:t>
            </w:r>
          </w:p>
        </w:tc>
        <w:tc>
          <w:tcPr>
            <w:tcW w:w="1024" w:type="dxa"/>
          </w:tcPr>
          <w:p>
            <w:pPr>
              <w:pStyle w:val="TableParagraph"/>
              <w:spacing w:line="138" w:lineRule="exact"/>
              <w:ind w:left="385"/>
              <w:rPr>
                <w:sz w:val="14"/>
              </w:rPr>
            </w:pPr>
            <w:r>
              <w:rPr>
                <w:color w:val="231F20"/>
                <w:sz w:val="14"/>
                <w:u w:val="single" w:color="231F20"/>
              </w:rPr>
              <w:t>1997</w:t>
            </w:r>
          </w:p>
        </w:tc>
        <w:tc>
          <w:tcPr>
            <w:tcW w:w="697" w:type="dxa"/>
          </w:tcPr>
          <w:p>
            <w:pPr>
              <w:pStyle w:val="TableParagraph"/>
              <w:spacing w:line="138" w:lineRule="exact"/>
              <w:ind w:right="53"/>
              <w:jc w:val="right"/>
              <w:rPr>
                <w:sz w:val="14"/>
              </w:rPr>
            </w:pPr>
            <w:r>
              <w:rPr>
                <w:color w:val="231F20"/>
                <w:sz w:val="14"/>
                <w:u w:val="single" w:color="231F20"/>
              </w:rPr>
              <w:t>1998</w:t>
            </w:r>
          </w:p>
        </w:tc>
      </w:tr>
      <w:tr>
        <w:trPr>
          <w:trHeight w:val="157" w:hRule="atLeast"/>
        </w:trPr>
        <w:tc>
          <w:tcPr>
            <w:tcW w:w="2325" w:type="dxa"/>
            <w:gridSpan w:val="2"/>
          </w:tcPr>
          <w:p>
            <w:pPr>
              <w:pStyle w:val="TableParagraph"/>
              <w:spacing w:line="138" w:lineRule="exact"/>
              <w:ind w:right="390"/>
              <w:jc w:val="right"/>
              <w:rPr>
                <w:sz w:val="14"/>
              </w:rPr>
            </w:pPr>
            <w:r>
              <w:rPr>
                <w:color w:val="231F20"/>
                <w:sz w:val="14"/>
                <w:u w:val="single" w:color="231F20"/>
              </w:rPr>
              <w:t>Yea</w:t>
            </w:r>
            <w:r>
              <w:rPr>
                <w:color w:val="231F20"/>
                <w:sz w:val="14"/>
              </w:rPr>
              <w:t>r</w:t>
            </w:r>
          </w:p>
        </w:tc>
        <w:tc>
          <w:tcPr>
            <w:tcW w:w="1024" w:type="dxa"/>
          </w:tcPr>
          <w:p>
            <w:pPr>
              <w:pStyle w:val="TableParagraph"/>
              <w:spacing w:line="138" w:lineRule="exact"/>
              <w:ind w:left="384"/>
              <w:rPr>
                <w:sz w:val="14"/>
              </w:rPr>
            </w:pPr>
            <w:r>
              <w:rPr>
                <w:color w:val="231F20"/>
                <w:sz w:val="14"/>
                <w:u w:val="single" w:color="231F20"/>
              </w:rPr>
              <w:t>Q4 </w:t>
            </w:r>
          </w:p>
        </w:tc>
        <w:tc>
          <w:tcPr>
            <w:tcW w:w="697" w:type="dxa"/>
          </w:tcPr>
          <w:p>
            <w:pPr>
              <w:pStyle w:val="TableParagraph"/>
              <w:spacing w:line="138" w:lineRule="exact"/>
              <w:ind w:right="46"/>
              <w:jc w:val="right"/>
              <w:rPr>
                <w:sz w:val="14"/>
              </w:rPr>
            </w:pPr>
            <w:r>
              <w:rPr>
                <w:color w:val="231F20"/>
                <w:sz w:val="14"/>
                <w:u w:val="single" w:color="231F20"/>
              </w:rPr>
              <w:t>Q1 </w:t>
            </w:r>
          </w:p>
        </w:tc>
      </w:tr>
      <w:tr>
        <w:trPr>
          <w:trHeight w:val="272" w:hRule="atLeast"/>
        </w:trPr>
        <w:tc>
          <w:tcPr>
            <w:tcW w:w="1611" w:type="dxa"/>
          </w:tcPr>
          <w:p>
            <w:pPr>
              <w:pStyle w:val="TableParagraph"/>
              <w:spacing w:line="133" w:lineRule="exact" w:before="119"/>
              <w:ind w:left="50"/>
              <w:rPr>
                <w:sz w:val="14"/>
              </w:rPr>
            </w:pPr>
            <w:r>
              <w:rPr>
                <w:color w:val="231F20"/>
                <w:sz w:val="14"/>
              </w:rPr>
              <w:t>France</w:t>
            </w:r>
          </w:p>
        </w:tc>
        <w:tc>
          <w:tcPr>
            <w:tcW w:w="714" w:type="dxa"/>
          </w:tcPr>
          <w:p>
            <w:pPr>
              <w:pStyle w:val="TableParagraph"/>
              <w:spacing w:line="133" w:lineRule="exact" w:before="119"/>
              <w:ind w:left="50"/>
              <w:rPr>
                <w:sz w:val="14"/>
              </w:rPr>
            </w:pPr>
            <w:r>
              <w:rPr>
                <w:color w:val="231F20"/>
                <w:sz w:val="14"/>
              </w:rPr>
              <w:t>2.3</w:t>
            </w:r>
          </w:p>
        </w:tc>
        <w:tc>
          <w:tcPr>
            <w:tcW w:w="1024" w:type="dxa"/>
          </w:tcPr>
          <w:p>
            <w:pPr>
              <w:pStyle w:val="TableParagraph"/>
              <w:spacing w:line="133" w:lineRule="exact" w:before="119"/>
              <w:ind w:left="420"/>
              <w:rPr>
                <w:sz w:val="14"/>
              </w:rPr>
            </w:pPr>
            <w:r>
              <w:rPr>
                <w:color w:val="231F20"/>
                <w:sz w:val="14"/>
              </w:rPr>
              <w:t>0.8</w:t>
            </w:r>
          </w:p>
        </w:tc>
        <w:tc>
          <w:tcPr>
            <w:tcW w:w="697" w:type="dxa"/>
          </w:tcPr>
          <w:p>
            <w:pPr>
              <w:pStyle w:val="TableParagraph"/>
              <w:spacing w:line="133" w:lineRule="exact" w:before="119"/>
              <w:ind w:right="123"/>
              <w:jc w:val="right"/>
              <w:rPr>
                <w:sz w:val="14"/>
              </w:rPr>
            </w:pPr>
            <w:r>
              <w:rPr>
                <w:color w:val="231F20"/>
                <w:sz w:val="14"/>
              </w:rPr>
              <w:t>0.6</w:t>
            </w:r>
          </w:p>
        </w:tc>
      </w:tr>
      <w:tr>
        <w:trPr>
          <w:trHeight w:val="140" w:hRule="atLeast"/>
        </w:trPr>
        <w:tc>
          <w:tcPr>
            <w:tcW w:w="1611" w:type="dxa"/>
          </w:tcPr>
          <w:p>
            <w:pPr>
              <w:pStyle w:val="TableParagraph"/>
              <w:spacing w:line="120" w:lineRule="exact"/>
              <w:ind w:left="50"/>
              <w:rPr>
                <w:sz w:val="14"/>
              </w:rPr>
            </w:pPr>
            <w:r>
              <w:rPr>
                <w:color w:val="231F20"/>
                <w:sz w:val="14"/>
              </w:rPr>
              <w:t>Germany</w:t>
            </w:r>
          </w:p>
        </w:tc>
        <w:tc>
          <w:tcPr>
            <w:tcW w:w="714" w:type="dxa"/>
          </w:tcPr>
          <w:p>
            <w:pPr>
              <w:pStyle w:val="TableParagraph"/>
              <w:spacing w:line="120" w:lineRule="exact"/>
              <w:ind w:left="50"/>
              <w:rPr>
                <w:sz w:val="14"/>
              </w:rPr>
            </w:pPr>
            <w:r>
              <w:rPr>
                <w:color w:val="231F20"/>
                <w:sz w:val="14"/>
              </w:rPr>
              <w:t>2.3</w:t>
            </w:r>
          </w:p>
        </w:tc>
        <w:tc>
          <w:tcPr>
            <w:tcW w:w="1024" w:type="dxa"/>
          </w:tcPr>
          <w:p>
            <w:pPr>
              <w:pStyle w:val="TableParagraph"/>
              <w:spacing w:line="120" w:lineRule="exact"/>
              <w:ind w:left="420"/>
              <w:rPr>
                <w:sz w:val="14"/>
              </w:rPr>
            </w:pPr>
            <w:r>
              <w:rPr>
                <w:color w:val="231F20"/>
                <w:sz w:val="14"/>
              </w:rPr>
              <w:t>0.3</w:t>
            </w:r>
          </w:p>
        </w:tc>
        <w:tc>
          <w:tcPr>
            <w:tcW w:w="697" w:type="dxa"/>
          </w:tcPr>
          <w:p>
            <w:pPr>
              <w:pStyle w:val="TableParagraph"/>
              <w:spacing w:line="120" w:lineRule="exact"/>
              <w:ind w:right="123"/>
              <w:jc w:val="right"/>
              <w:rPr>
                <w:sz w:val="14"/>
              </w:rPr>
            </w:pPr>
            <w:r>
              <w:rPr>
                <w:color w:val="231F20"/>
                <w:sz w:val="14"/>
              </w:rPr>
              <w:t>1.0</w:t>
            </w:r>
          </w:p>
        </w:tc>
      </w:tr>
      <w:tr>
        <w:trPr>
          <w:trHeight w:val="139" w:hRule="atLeast"/>
        </w:trPr>
        <w:tc>
          <w:tcPr>
            <w:tcW w:w="1611" w:type="dxa"/>
          </w:tcPr>
          <w:p>
            <w:pPr>
              <w:pStyle w:val="TableParagraph"/>
              <w:spacing w:line="120" w:lineRule="exact"/>
              <w:ind w:left="50"/>
              <w:rPr>
                <w:sz w:val="14"/>
              </w:rPr>
            </w:pPr>
            <w:r>
              <w:rPr>
                <w:color w:val="231F20"/>
                <w:sz w:val="14"/>
              </w:rPr>
              <w:t>Italy</w:t>
            </w:r>
          </w:p>
        </w:tc>
        <w:tc>
          <w:tcPr>
            <w:tcW w:w="714" w:type="dxa"/>
          </w:tcPr>
          <w:p>
            <w:pPr>
              <w:pStyle w:val="TableParagraph"/>
              <w:spacing w:line="120" w:lineRule="exact"/>
              <w:ind w:left="49"/>
              <w:rPr>
                <w:sz w:val="14"/>
              </w:rPr>
            </w:pPr>
            <w:r>
              <w:rPr>
                <w:color w:val="231F20"/>
                <w:sz w:val="14"/>
              </w:rPr>
              <w:t>1.5</w:t>
            </w:r>
          </w:p>
        </w:tc>
        <w:tc>
          <w:tcPr>
            <w:tcW w:w="1024" w:type="dxa"/>
          </w:tcPr>
          <w:p>
            <w:pPr>
              <w:pStyle w:val="TableParagraph"/>
              <w:spacing w:line="120" w:lineRule="exact"/>
              <w:ind w:left="419"/>
              <w:rPr>
                <w:sz w:val="14"/>
              </w:rPr>
            </w:pPr>
            <w:r>
              <w:rPr>
                <w:color w:val="231F20"/>
                <w:sz w:val="14"/>
              </w:rPr>
              <w:t>0.2</w:t>
            </w:r>
          </w:p>
        </w:tc>
        <w:tc>
          <w:tcPr>
            <w:tcW w:w="697" w:type="dxa"/>
          </w:tcPr>
          <w:p>
            <w:pPr>
              <w:pStyle w:val="TableParagraph"/>
              <w:spacing w:line="120" w:lineRule="exact"/>
              <w:ind w:right="112"/>
              <w:jc w:val="right"/>
              <w:rPr>
                <w:sz w:val="14"/>
              </w:rPr>
            </w:pPr>
            <w:r>
              <w:rPr>
                <w:color w:val="231F20"/>
                <w:sz w:val="14"/>
              </w:rPr>
              <w:t>-0.1</w:t>
            </w:r>
          </w:p>
        </w:tc>
      </w:tr>
      <w:tr>
        <w:trPr>
          <w:trHeight w:val="210" w:hRule="atLeast"/>
        </w:trPr>
        <w:tc>
          <w:tcPr>
            <w:tcW w:w="1611" w:type="dxa"/>
          </w:tcPr>
          <w:p>
            <w:pPr>
              <w:pStyle w:val="TableParagraph"/>
              <w:spacing w:line="148" w:lineRule="exact"/>
              <w:ind w:left="50"/>
              <w:rPr>
                <w:sz w:val="12"/>
              </w:rPr>
            </w:pPr>
            <w:r>
              <w:rPr>
                <w:color w:val="231F20"/>
                <w:sz w:val="14"/>
              </w:rPr>
              <w:t>Prospective euro area </w:t>
            </w:r>
            <w:r>
              <w:rPr>
                <w:color w:val="231F20"/>
                <w:sz w:val="12"/>
              </w:rPr>
              <w:t>(a)</w:t>
            </w:r>
          </w:p>
        </w:tc>
        <w:tc>
          <w:tcPr>
            <w:tcW w:w="714" w:type="dxa"/>
          </w:tcPr>
          <w:p>
            <w:pPr>
              <w:pStyle w:val="TableParagraph"/>
              <w:spacing w:line="148" w:lineRule="exact"/>
              <w:ind w:left="50"/>
              <w:rPr>
                <w:sz w:val="14"/>
              </w:rPr>
            </w:pPr>
            <w:r>
              <w:rPr>
                <w:color w:val="231F20"/>
                <w:sz w:val="14"/>
              </w:rPr>
              <w:t>2.3</w:t>
            </w:r>
          </w:p>
        </w:tc>
        <w:tc>
          <w:tcPr>
            <w:tcW w:w="1024" w:type="dxa"/>
          </w:tcPr>
          <w:p>
            <w:pPr>
              <w:pStyle w:val="TableParagraph"/>
              <w:spacing w:line="148" w:lineRule="exact"/>
              <w:ind w:left="420"/>
              <w:rPr>
                <w:sz w:val="14"/>
              </w:rPr>
            </w:pPr>
            <w:r>
              <w:rPr>
                <w:color w:val="231F20"/>
                <w:sz w:val="14"/>
              </w:rPr>
              <w:t>0.5</w:t>
            </w:r>
          </w:p>
        </w:tc>
        <w:tc>
          <w:tcPr>
            <w:tcW w:w="697" w:type="dxa"/>
          </w:tcPr>
          <w:p>
            <w:pPr>
              <w:pStyle w:val="TableParagraph"/>
              <w:spacing w:line="148" w:lineRule="exact"/>
              <w:ind w:right="123"/>
              <w:jc w:val="right"/>
              <w:rPr>
                <w:sz w:val="14"/>
              </w:rPr>
            </w:pPr>
            <w:r>
              <w:rPr>
                <w:color w:val="231F20"/>
                <w:sz w:val="14"/>
              </w:rPr>
              <w:t>0.6</w:t>
            </w:r>
          </w:p>
        </w:tc>
      </w:tr>
      <w:tr>
        <w:trPr>
          <w:trHeight w:val="279" w:hRule="atLeast"/>
        </w:trPr>
        <w:tc>
          <w:tcPr>
            <w:tcW w:w="1611" w:type="dxa"/>
          </w:tcPr>
          <w:p>
            <w:pPr>
              <w:pStyle w:val="TableParagraph"/>
              <w:spacing w:before="56"/>
              <w:ind w:left="50"/>
              <w:rPr>
                <w:sz w:val="14"/>
              </w:rPr>
            </w:pPr>
            <w:r>
              <w:rPr>
                <w:color w:val="231F20"/>
                <w:sz w:val="14"/>
              </w:rPr>
              <w:t>United States</w:t>
            </w:r>
          </w:p>
        </w:tc>
        <w:tc>
          <w:tcPr>
            <w:tcW w:w="714" w:type="dxa"/>
          </w:tcPr>
          <w:p>
            <w:pPr>
              <w:pStyle w:val="TableParagraph"/>
              <w:spacing w:before="56"/>
              <w:ind w:left="50"/>
              <w:rPr>
                <w:sz w:val="14"/>
              </w:rPr>
            </w:pPr>
            <w:r>
              <w:rPr>
                <w:color w:val="231F20"/>
                <w:sz w:val="14"/>
              </w:rPr>
              <w:t>3.9</w:t>
            </w:r>
          </w:p>
        </w:tc>
        <w:tc>
          <w:tcPr>
            <w:tcW w:w="1024" w:type="dxa"/>
          </w:tcPr>
          <w:p>
            <w:pPr>
              <w:pStyle w:val="TableParagraph"/>
              <w:spacing w:before="56"/>
              <w:ind w:left="420"/>
              <w:rPr>
                <w:sz w:val="14"/>
              </w:rPr>
            </w:pPr>
            <w:r>
              <w:rPr>
                <w:color w:val="231F20"/>
                <w:sz w:val="14"/>
              </w:rPr>
              <w:t>0.7</w:t>
            </w:r>
          </w:p>
        </w:tc>
        <w:tc>
          <w:tcPr>
            <w:tcW w:w="697" w:type="dxa"/>
          </w:tcPr>
          <w:p>
            <w:pPr>
              <w:pStyle w:val="TableParagraph"/>
              <w:spacing w:before="56"/>
              <w:ind w:right="123"/>
              <w:jc w:val="right"/>
              <w:rPr>
                <w:sz w:val="14"/>
              </w:rPr>
            </w:pPr>
            <w:r>
              <w:rPr>
                <w:color w:val="231F20"/>
                <w:sz w:val="14"/>
              </w:rPr>
              <w:t>1.4</w:t>
            </w:r>
          </w:p>
        </w:tc>
      </w:tr>
      <w:tr>
        <w:trPr>
          <w:trHeight w:val="217" w:hRule="atLeast"/>
        </w:trPr>
        <w:tc>
          <w:tcPr>
            <w:tcW w:w="1611" w:type="dxa"/>
          </w:tcPr>
          <w:p>
            <w:pPr>
              <w:pStyle w:val="TableParagraph"/>
              <w:spacing w:line="141" w:lineRule="exact" w:before="56"/>
              <w:ind w:left="50"/>
              <w:rPr>
                <w:sz w:val="14"/>
              </w:rPr>
            </w:pPr>
            <w:r>
              <w:rPr>
                <w:color w:val="231F20"/>
                <w:sz w:val="14"/>
              </w:rPr>
              <w:t>Japan</w:t>
            </w:r>
          </w:p>
        </w:tc>
        <w:tc>
          <w:tcPr>
            <w:tcW w:w="714" w:type="dxa"/>
          </w:tcPr>
          <w:p>
            <w:pPr>
              <w:pStyle w:val="TableParagraph"/>
              <w:spacing w:line="141" w:lineRule="exact" w:before="56"/>
              <w:ind w:left="49"/>
              <w:rPr>
                <w:sz w:val="14"/>
              </w:rPr>
            </w:pPr>
            <w:r>
              <w:rPr>
                <w:color w:val="231F20"/>
                <w:sz w:val="14"/>
              </w:rPr>
              <w:t>0.8</w:t>
            </w:r>
          </w:p>
        </w:tc>
        <w:tc>
          <w:tcPr>
            <w:tcW w:w="1024" w:type="dxa"/>
          </w:tcPr>
          <w:p>
            <w:pPr>
              <w:pStyle w:val="TableParagraph"/>
              <w:spacing w:line="141" w:lineRule="exact" w:before="56"/>
              <w:ind w:left="384"/>
              <w:rPr>
                <w:sz w:val="14"/>
              </w:rPr>
            </w:pPr>
            <w:r>
              <w:rPr>
                <w:color w:val="231F20"/>
                <w:sz w:val="14"/>
              </w:rPr>
              <w:t>-0.4</w:t>
            </w:r>
          </w:p>
        </w:tc>
        <w:tc>
          <w:tcPr>
            <w:tcW w:w="697" w:type="dxa"/>
          </w:tcPr>
          <w:p>
            <w:pPr>
              <w:pStyle w:val="TableParagraph"/>
              <w:spacing w:line="141" w:lineRule="exact" w:before="56"/>
              <w:ind w:right="112"/>
              <w:jc w:val="right"/>
              <w:rPr>
                <w:sz w:val="14"/>
              </w:rPr>
            </w:pPr>
            <w:r>
              <w:rPr>
                <w:color w:val="231F20"/>
                <w:sz w:val="14"/>
              </w:rPr>
              <w:t>-1.3</w:t>
            </w:r>
          </w:p>
        </w:tc>
      </w:tr>
    </w:tbl>
    <w:p>
      <w:pPr>
        <w:spacing w:line="208" w:lineRule="auto" w:before="132"/>
        <w:ind w:left="432" w:right="38" w:hanging="240"/>
        <w:jc w:val="both"/>
        <w:rPr>
          <w:sz w:val="12"/>
        </w:rPr>
      </w:pPr>
      <w:r>
        <w:rPr>
          <w:color w:val="231F20"/>
          <w:sz w:val="12"/>
        </w:rPr>
        <w:t>(a) Prospective euro area growth is approximated by GDP-weighted growth for France, Germany, Italy, the Netherlands and Spain, which account for 88% of the prospective euro area’s GDP.</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9"/>
        <w:rPr>
          <w:sz w:val="15"/>
        </w:rPr>
      </w:pPr>
    </w:p>
    <w:p>
      <w:pPr>
        <w:pStyle w:val="Heading8"/>
        <w:spacing w:before="0"/>
        <w:ind w:left="189"/>
      </w:pPr>
      <w:r>
        <w:rPr>
          <w:color w:val="0093C1"/>
        </w:rPr>
        <w:t>Chart 2.1</w:t>
      </w:r>
    </w:p>
    <w:p>
      <w:pPr>
        <w:spacing w:line="249" w:lineRule="auto" w:before="10"/>
        <w:ind w:left="189" w:right="550" w:firstLine="0"/>
        <w:jc w:val="left"/>
        <w:rPr>
          <w:b/>
          <w:sz w:val="20"/>
        </w:rPr>
      </w:pPr>
      <w:r>
        <w:rPr>
          <w:b/>
          <w:color w:val="0093C1"/>
          <w:sz w:val="20"/>
        </w:rPr>
        <w:t>Destination of UK exports of goods and services—1996</w:t>
      </w:r>
    </w:p>
    <w:p>
      <w:pPr>
        <w:spacing w:line="242" w:lineRule="auto" w:before="90"/>
        <w:ind w:left="189" w:right="218" w:firstLine="0"/>
        <w:jc w:val="left"/>
        <w:rPr>
          <w:sz w:val="24"/>
        </w:rPr>
      </w:pPr>
      <w:r>
        <w:rPr/>
        <w:br w:type="column"/>
      </w:r>
      <w:r>
        <w:rPr>
          <w:color w:val="231F20"/>
          <w:sz w:val="24"/>
        </w:rPr>
        <w:t>As in </w:t>
      </w:r>
      <w:r>
        <w:rPr>
          <w:color w:val="231F20"/>
          <w:spacing w:val="-4"/>
          <w:sz w:val="24"/>
        </w:rPr>
        <w:t>May, </w:t>
      </w:r>
      <w:r>
        <w:rPr>
          <w:color w:val="231F20"/>
          <w:sz w:val="24"/>
        </w:rPr>
        <w:t>the MPC believes that GDP in the prospective euro area</w:t>
      </w:r>
      <w:r>
        <w:rPr>
          <w:color w:val="231F20"/>
          <w:position w:val="5"/>
          <w:sz w:val="16"/>
        </w:rPr>
        <w:t>(1) </w:t>
      </w:r>
      <w:r>
        <w:rPr>
          <w:color w:val="231F20"/>
          <w:sz w:val="24"/>
        </w:rPr>
        <w:t>is likely to grow more quickly </w:t>
      </w:r>
      <w:r>
        <w:rPr>
          <w:color w:val="231F20"/>
          <w:spacing w:val="-8"/>
          <w:sz w:val="24"/>
        </w:rPr>
        <w:t>in </w:t>
      </w:r>
      <w:r>
        <w:rPr>
          <w:color w:val="231F20"/>
          <w:sz w:val="24"/>
        </w:rPr>
        <w:t>1998 than in 1997. GDP growth in France slowed in 1998 Q1 (see </w:t>
      </w:r>
      <w:r>
        <w:rPr>
          <w:color w:val="231F20"/>
          <w:spacing w:val="-4"/>
          <w:sz w:val="24"/>
        </w:rPr>
        <w:t>Table </w:t>
      </w:r>
      <w:r>
        <w:rPr>
          <w:color w:val="231F20"/>
          <w:sz w:val="24"/>
        </w:rPr>
        <w:t>2.B), but this was partly as a result of warmer than usual weather depressing energy consumption. German GDP growth rose in 1998 Q1, though tax changes probably had significant, but temporary, effects on consumption growth. The prospect is for slower growth during the rest of 1998 than in the first quarter. The </w:t>
      </w:r>
      <w:r>
        <w:rPr>
          <w:color w:val="231F20"/>
          <w:spacing w:val="-3"/>
          <w:sz w:val="24"/>
        </w:rPr>
        <w:t>level </w:t>
      </w:r>
      <w:r>
        <w:rPr>
          <w:color w:val="231F20"/>
          <w:sz w:val="24"/>
        </w:rPr>
        <w:t>of Italian GDP fell in 1998 Q1; but this was partly influenced by temporary factors such as fewer working days, which are not adjusted for in Italian GDP data. Chart 2.1 shows the importance of the prospective euro area for UK</w:t>
      </w:r>
      <w:r>
        <w:rPr>
          <w:color w:val="231F20"/>
          <w:spacing w:val="-13"/>
          <w:sz w:val="24"/>
        </w:rPr>
        <w:t> </w:t>
      </w:r>
      <w:r>
        <w:rPr>
          <w:color w:val="231F20"/>
          <w:sz w:val="24"/>
        </w:rPr>
        <w:t>exports.</w:t>
      </w:r>
    </w:p>
    <w:p>
      <w:pPr>
        <w:pStyle w:val="BodyText"/>
        <w:spacing w:before="4"/>
        <w:rPr>
          <w:sz w:val="29"/>
        </w:rPr>
      </w:pPr>
    </w:p>
    <w:p>
      <w:pPr>
        <w:spacing w:line="242" w:lineRule="auto" w:before="0"/>
        <w:ind w:left="189" w:right="254" w:firstLine="0"/>
        <w:jc w:val="left"/>
        <w:rPr>
          <w:sz w:val="24"/>
        </w:rPr>
      </w:pPr>
      <w:r>
        <w:rPr>
          <w:color w:val="231F20"/>
          <w:sz w:val="24"/>
        </w:rPr>
        <w:t>US growth in 1998 will probably be higher than was expected at the time of the May </w:t>
      </w:r>
      <w:r>
        <w:rPr>
          <w:i/>
          <w:color w:val="231F20"/>
          <w:sz w:val="24"/>
        </w:rPr>
        <w:t>Inflation Report</w:t>
      </w:r>
      <w:r>
        <w:rPr>
          <w:color w:val="231F20"/>
          <w:sz w:val="24"/>
        </w:rPr>
        <w:t>. This largely reflects 1998 Q1, when US GDP rose by 1.4%. The growth rate fell to 0.4% in 1998 Q2. Lower US growth in 1999 than in 1998 is likely.</w:t>
      </w:r>
    </w:p>
    <w:p>
      <w:pPr>
        <w:spacing w:after="0" w:line="242" w:lineRule="auto"/>
        <w:jc w:val="left"/>
        <w:rPr>
          <w:sz w:val="24"/>
        </w:rPr>
        <w:sectPr>
          <w:type w:val="continuous"/>
          <w:pgSz w:w="11900" w:h="16840"/>
          <w:pgMar w:top="1220" w:bottom="280" w:left="620" w:right="640"/>
          <w:cols w:num="2" w:equalWidth="0">
            <w:col w:w="4115" w:space="689"/>
            <w:col w:w="5836"/>
          </w:cols>
        </w:sectPr>
      </w:pPr>
    </w:p>
    <w:p>
      <w:pPr>
        <w:pStyle w:val="BodyText"/>
        <w:rPr>
          <w:sz w:val="12"/>
        </w:rPr>
      </w:pPr>
    </w:p>
    <w:p>
      <w:pPr>
        <w:spacing w:before="74"/>
        <w:ind w:left="563" w:right="0" w:firstLine="0"/>
        <w:jc w:val="left"/>
        <w:rPr>
          <w:sz w:val="12"/>
        </w:rPr>
      </w:pPr>
      <w:r>
        <w:rPr/>
        <w:pict>
          <v:shape style="position:absolute;margin-left:43.948502pt;margin-top:2.051548pt;width:11.75pt;height:54.25pt;mso-position-horizontal-relative:page;mso-position-vertical-relative:paragraph;z-index:15840768"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0"/>
                  </w:tblGrid>
                  <w:tr>
                    <w:trPr>
                      <w:trHeight w:val="205" w:hRule="atLeast"/>
                    </w:trPr>
                    <w:tc>
                      <w:tcPr>
                        <w:tcW w:w="220" w:type="dxa"/>
                        <w:tcBorders>
                          <w:bottom w:val="single" w:sz="6" w:space="0" w:color="000000"/>
                        </w:tcBorders>
                        <w:shd w:val="clear" w:color="auto" w:fill="0066A5"/>
                      </w:tcPr>
                      <w:p>
                        <w:pPr>
                          <w:pStyle w:val="TableParagraph"/>
                          <w:rPr>
                            <w:sz w:val="14"/>
                          </w:rPr>
                        </w:pPr>
                      </w:p>
                    </w:tc>
                  </w:tr>
                  <w:tr>
                    <w:trPr>
                      <w:trHeight w:val="195" w:hRule="atLeast"/>
                    </w:trPr>
                    <w:tc>
                      <w:tcPr>
                        <w:tcW w:w="220" w:type="dxa"/>
                        <w:tcBorders>
                          <w:top w:val="single" w:sz="6" w:space="0" w:color="000000"/>
                          <w:bottom w:val="single" w:sz="8" w:space="0" w:color="000000"/>
                        </w:tcBorders>
                        <w:shd w:val="clear" w:color="auto" w:fill="0099D8"/>
                      </w:tcPr>
                      <w:p>
                        <w:pPr>
                          <w:pStyle w:val="TableParagraph"/>
                          <w:rPr>
                            <w:sz w:val="12"/>
                          </w:rPr>
                        </w:pPr>
                      </w:p>
                    </w:tc>
                  </w:tr>
                  <w:tr>
                    <w:trPr>
                      <w:trHeight w:val="195" w:hRule="atLeast"/>
                    </w:trPr>
                    <w:tc>
                      <w:tcPr>
                        <w:tcW w:w="220" w:type="dxa"/>
                        <w:tcBorders>
                          <w:top w:val="single" w:sz="8" w:space="0" w:color="000000"/>
                          <w:bottom w:val="single" w:sz="6" w:space="0" w:color="000000"/>
                        </w:tcBorders>
                        <w:shd w:val="clear" w:color="auto" w:fill="B5E1E1"/>
                      </w:tcPr>
                      <w:p>
                        <w:pPr>
                          <w:pStyle w:val="TableParagraph"/>
                          <w:rPr>
                            <w:sz w:val="12"/>
                          </w:rPr>
                        </w:pPr>
                      </w:p>
                    </w:tc>
                  </w:tr>
                  <w:tr>
                    <w:trPr>
                      <w:trHeight w:val="200" w:hRule="atLeast"/>
                    </w:trPr>
                    <w:tc>
                      <w:tcPr>
                        <w:tcW w:w="220" w:type="dxa"/>
                        <w:tcBorders>
                          <w:top w:val="single" w:sz="6" w:space="0" w:color="000000"/>
                          <w:bottom w:val="single" w:sz="6" w:space="0" w:color="000000"/>
                        </w:tcBorders>
                        <w:shd w:val="clear" w:color="auto" w:fill="00A995"/>
                      </w:tcPr>
                      <w:p>
                        <w:pPr>
                          <w:pStyle w:val="TableParagraph"/>
                          <w:rPr>
                            <w:sz w:val="12"/>
                          </w:rPr>
                        </w:pPr>
                      </w:p>
                    </w:tc>
                  </w:tr>
                  <w:tr>
                    <w:trPr>
                      <w:trHeight w:val="205" w:hRule="atLeast"/>
                    </w:trPr>
                    <w:tc>
                      <w:tcPr>
                        <w:tcW w:w="220" w:type="dxa"/>
                        <w:tcBorders>
                          <w:top w:val="single" w:sz="6" w:space="0" w:color="000000"/>
                        </w:tcBorders>
                        <w:shd w:val="clear" w:color="auto" w:fill="9BD3AE"/>
                      </w:tcPr>
                      <w:p>
                        <w:pPr>
                          <w:pStyle w:val="TableParagraph"/>
                          <w:rPr>
                            <w:sz w:val="14"/>
                          </w:rPr>
                        </w:pPr>
                      </w:p>
                    </w:tc>
                  </w:tr>
                </w:tbl>
                <w:p>
                  <w:pPr>
                    <w:pStyle w:val="BodyText"/>
                  </w:pPr>
                </w:p>
              </w:txbxContent>
            </v:textbox>
            <w10:wrap type="none"/>
          </v:shape>
        </w:pict>
      </w:r>
      <w:r>
        <w:rPr>
          <w:color w:val="231F20"/>
          <w:sz w:val="12"/>
        </w:rPr>
        <w:t>France</w:t>
      </w:r>
    </w:p>
    <w:p>
      <w:pPr>
        <w:spacing w:line="348" w:lineRule="auto" w:before="102"/>
        <w:ind w:left="563" w:right="455" w:firstLine="0"/>
        <w:jc w:val="left"/>
        <w:rPr>
          <w:sz w:val="12"/>
        </w:rPr>
      </w:pPr>
      <w:r>
        <w:rPr>
          <w:color w:val="231F20"/>
          <w:sz w:val="12"/>
        </w:rPr>
        <w:t>Germany Italy</w:t>
      </w:r>
    </w:p>
    <w:p>
      <w:pPr>
        <w:spacing w:line="175" w:lineRule="auto" w:before="10"/>
        <w:ind w:left="642" w:right="0" w:hanging="80"/>
        <w:jc w:val="left"/>
        <w:rPr>
          <w:sz w:val="12"/>
        </w:rPr>
      </w:pPr>
      <w:r>
        <w:rPr>
          <w:color w:val="231F20"/>
          <w:sz w:val="12"/>
        </w:rPr>
        <w:t>Rest of </w:t>
      </w:r>
      <w:r>
        <w:rPr>
          <w:color w:val="231F20"/>
          <w:spacing w:val="-3"/>
          <w:sz w:val="12"/>
        </w:rPr>
        <w:t>prospective </w:t>
      </w:r>
      <w:r>
        <w:rPr>
          <w:color w:val="231F20"/>
          <w:sz w:val="12"/>
        </w:rPr>
        <w:t>euro area</w:t>
      </w:r>
    </w:p>
    <w:p>
      <w:pPr>
        <w:spacing w:before="43"/>
        <w:ind w:left="563" w:right="0" w:firstLine="0"/>
        <w:jc w:val="left"/>
        <w:rPr>
          <w:sz w:val="12"/>
        </w:rPr>
      </w:pPr>
      <w:r>
        <w:rPr/>
        <w:pict>
          <v:group style="position:absolute;margin-left:46.931751pt;margin-top:25.489548pt;width:150.25pt;height:156.9pt;mso-position-horizontal-relative:page;mso-position-vertical-relative:paragraph;z-index:-21087744" coordorigin="939,510" coordsize="3005,3138">
            <v:shape style="position:absolute;left:1148;top:638;width:1232;height:1437" coordorigin="1149,639" coordsize="1232,1437" path="m2380,639l2299,641,2219,647,2140,657,2063,672,1987,690,1914,712,1842,738,1771,768,1703,802,1637,839,1573,880,1511,925,1452,973,1395,1025,1340,1081,1288,1139,1239,1201,1192,1267,1149,1335,2380,2075,2380,639xe" filled="true" fillcolor="#952e40" stroked="false">
              <v:path arrowok="t"/>
              <v:fill type="solid"/>
            </v:shape>
            <v:shape style="position:absolute;left:1148;top:638;width:1232;height:1437" coordorigin="1149,639" coordsize="1232,1437" path="m2380,2075l1149,1335,1192,1267,1239,1201,1288,1139,1340,1081,1395,1025,1452,973,1511,925,1573,880,1637,839,1703,802,1771,768,1842,738,1914,712,1987,690,2063,672,2140,657,2219,647,2299,641,2380,639,2380,2075xe" filled="false" stroked="true" strokeweight=".5pt" strokecolor="#000000">
              <v:path arrowok="t"/>
              <v:stroke dashstyle="solid"/>
            </v:shape>
            <v:shape style="position:absolute;left:954;top:1335;width:1426;height:740" coordorigin="954,1335" coordsize="1426,740" path="m1149,1335l1111,1402,1077,1469,1047,1538,1021,1607,999,1678,980,1750,965,1824,954,1900,2380,2075,1149,1335xe" filled="true" fillcolor="#faab54" stroked="false">
              <v:path arrowok="t"/>
              <v:fill type="solid"/>
            </v:shape>
            <v:shape style="position:absolute;left:954;top:1335;width:1426;height:740" coordorigin="954,1335" coordsize="1426,740" path="m2380,2075l954,1900,965,1824,980,1750,999,1678,1021,1607,1047,1538,1077,1469,1111,1402,1149,1335,2380,2075xe" filled="false" stroked="true" strokeweight=".5pt" strokecolor="#000000">
              <v:path arrowok="t"/>
              <v:stroke dashstyle="solid"/>
            </v:shape>
            <v:shape style="position:absolute;left:943;top:1899;width:1437;height:276" coordorigin="944,1900" coordsize="1437,276" path="m954,1900l947,1969,944,2037,944,2106,947,2175,2380,2075,954,1900xe" filled="true" fillcolor="#95459a" stroked="false">
              <v:path arrowok="t"/>
              <v:fill type="solid"/>
            </v:shape>
            <v:shape style="position:absolute;left:943;top:1899;width:1437;height:276" coordorigin="944,1900" coordsize="1437,276" path="m2380,2075l947,2175,944,2106,944,2037,947,1969,954,1900,2380,2075xe" filled="false" stroked="true" strokeweight=".5pt" strokecolor="#000000">
              <v:path arrowok="t"/>
              <v:stroke dashstyle="solid"/>
            </v:shape>
            <v:shape style="position:absolute;left:946;top:2075;width:1433;height:1163" coordorigin="947,2075" coordsize="1433,1163" path="m2380,2075l947,2175,955,2258,966,2338,982,2416,1001,2492,1024,2566,1052,2638,1083,2707,1117,2775,1156,2840,1199,2903,1245,2964,1295,3023,1350,3080,1408,3134,1470,3187,1536,3237,2380,2075xe" filled="true" fillcolor="#ed1b2d" stroked="false">
              <v:path arrowok="t"/>
              <v:fill type="solid"/>
            </v:shape>
            <v:shape style="position:absolute;left:946;top:2075;width:1433;height:1163" coordorigin="947,2075" coordsize="1433,1163" path="m947,2175l955,2258,966,2338,982,2416,1001,2492,1024,2566,1052,2638,1083,2707,1117,2775,1156,2840,1199,2903,1245,2964,1295,3023,1350,3080,1408,3134,1470,3187,1536,3237,2380,2075,947,2175xe" filled="false" stroked="true" strokeweight=".5pt" strokecolor="#000000">
              <v:path arrowok="t"/>
              <v:stroke dashstyle="solid"/>
            </v:shape>
            <v:shape style="position:absolute;left:1535;top:2075;width:845;height:1426" coordorigin="1536,2075" coordsize="845,1426" path="m2380,2075l1536,3237,1603,3284,1673,3326,1744,3364,1816,3397,1890,3426,1966,3451,2044,3472,2123,3489,2205,3501,2380,2075xe" filled="true" fillcolor="#ffc40c" stroked="false">
              <v:path arrowok="t"/>
              <v:fill type="solid"/>
            </v:shape>
            <v:shape style="position:absolute;left:1535;top:2075;width:845;height:1426" coordorigin="1536,2075" coordsize="845,1426" path="m1536,3237l1603,3284,1673,3326,1744,3364,1816,3397,1890,3426,1966,3451,2044,3472,2123,3489,2205,3501,2380,2075,1536,3237xe" filled="false" stroked="true" strokeweight=".5pt" strokecolor="#000000">
              <v:path arrowok="t"/>
              <v:stroke dashstyle="solid"/>
            </v:shape>
            <v:shape style="position:absolute;left:2204;top:2075;width:351;height:1438" coordorigin="2205,2075" coordsize="351,1438" path="m2380,2075l2205,3501,2295,3509,2380,3512,2465,3509,2555,3501,2380,2075xe" filled="true" fillcolor="#9bd3ae" stroked="false">
              <v:path arrowok="t"/>
              <v:fill type="solid"/>
            </v:shape>
            <v:shape style="position:absolute;left:2204;top:2075;width:351;height:1438" coordorigin="2205,2075" coordsize="351,1438" path="m2205,3501l2295,3509,2380,3512,2465,3509,2555,3501,2380,2075,2205,3501xe" filled="false" stroked="true" strokeweight=".5pt" strokecolor="#000000">
              <v:path arrowok="t"/>
              <v:stroke dashstyle="solid"/>
            </v:shape>
            <v:shape style="position:absolute;left:2379;top:2075;width:1437;height:1426" coordorigin="2380,2075" coordsize="1437,1426" path="m3816,2075l2380,2075,2555,3501,2632,3489,2708,3474,2782,3455,2854,3432,2924,3406,2993,3376,3059,3343,3123,3307,3185,3268,3245,3226,3302,3181,3357,3133,3409,3082,3458,3029,3505,2974,3549,2916,3590,2856,3627,2793,3662,2729,3693,2663,3721,2594,3746,2525,3767,2453,3785,2380,3798,2306,3808,2230,3814,2153,3816,2075xe" filled="true" fillcolor="#00a995" stroked="false">
              <v:path arrowok="t"/>
              <v:fill type="solid"/>
            </v:shape>
            <v:shape style="position:absolute;left:2379;top:2075;width:1437;height:1426" coordorigin="2380,2075" coordsize="1437,1426" path="m2555,3501l2632,3489,2708,3474,2782,3455,2854,3432,2924,3406,2993,3376,3059,3343,3123,3307,3185,3268,3245,3226,3302,3181,3357,3133,3409,3082,3458,3029,3505,2974,3549,2916,3590,2856,3627,2793,3662,2729,3693,2663,3721,2594,3746,2525,3767,2453,3785,2380,3798,2306,3808,2230,3814,2153,3816,2075,2380,2075,2555,3501xe" filled="false" stroked="true" strokeweight=".5pt" strokecolor="#000000">
              <v:path arrowok="t"/>
              <v:stroke dashstyle="solid"/>
            </v:shape>
            <v:shape style="position:absolute;left:2379;top:1679;width:1437;height:396" coordorigin="2380,1679" coordsize="1437,396" path="m3761,1679l2380,2075,3816,2075,3814,1993,3808,1914,3797,1836,3781,1758,3761,1679xe" filled="true" fillcolor="#b5e1e1" stroked="false">
              <v:path arrowok="t"/>
              <v:fill type="solid"/>
            </v:shape>
            <v:shape style="position:absolute;left:2379;top:1679;width:1437;height:396" coordorigin="2380,1679" coordsize="1437,396" path="m3816,2075l3814,1993,3808,1914,3797,1836,3781,1758,3761,1679,2380,2075,3816,2075xe" filled="false" stroked="true" strokeweight=".5pt" strokecolor="#000000">
              <v:path arrowok="t"/>
              <v:stroke dashstyle="solid"/>
            </v:shape>
            <v:shape style="position:absolute;left:2379;top:870;width:1381;height:1205" coordorigin="2380,870" coordsize="1381,1205" path="m3162,870l2380,2075,3761,1679,3736,1600,3708,1524,3676,1451,3641,1381,3603,1314,3560,1249,3515,1187,3465,1128,3412,1072,3356,1018,3295,966,3230,917,3162,870xe" filled="true" fillcolor="#0099d8" stroked="false">
              <v:path arrowok="t"/>
              <v:fill type="solid"/>
            </v:shape>
            <v:shape style="position:absolute;left:2379;top:870;width:1381;height:1205" coordorigin="2380,870" coordsize="1381,1205" path="m3761,1679l3736,1600,3708,1524,3676,1451,3641,1381,3603,1314,3560,1249,3515,1187,3465,1128,3412,1072,3356,1018,3295,966,3230,917,3162,870,2380,2075,3761,1679xe" filled="false" stroked="true" strokeweight=".5pt" strokecolor="#000000">
              <v:path arrowok="t"/>
              <v:stroke dashstyle="solid"/>
            </v:shape>
            <v:shape style="position:absolute;left:2379;top:638;width:783;height:1437" coordorigin="2380,639" coordsize="783,1437" path="m2380,639l2380,2075,3162,870,3089,825,3015,785,2940,750,2865,720,2789,695,2711,675,2631,659,2550,648,2466,641,2380,639xe" filled="true" fillcolor="#0066a5" stroked="false">
              <v:path arrowok="t"/>
              <v:fill type="solid"/>
            </v:shape>
            <v:shape style="position:absolute;left:2379;top:638;width:783;height:1437" coordorigin="2380,639" coordsize="783,1437" path="m3162,870l3089,825,3015,785,2940,750,2865,720,2789,695,2711,675,2631,659,2550,648,2466,641,2380,639,2380,2075,3162,870xe" filled="false" stroked="true" strokeweight=".5pt" strokecolor="#000000">
              <v:path arrowok="t"/>
              <v:stroke dashstyle="solid"/>
            </v:shape>
            <v:shape style="position:absolute;left:2469;top:534;width:1469;height:3092" coordorigin="2469,534" coordsize="1469,3092" path="m2665,3626l2739,3610,2812,3591,2883,3568,2953,3542,3022,3513,3088,3481,3153,3446,3216,3408,3277,3367,3336,3323,3393,3277,3447,3228,3500,3176,3549,3122,3596,3066,3641,3008,3683,2948,3722,2885,3758,2821,3791,2755,3821,2687,3847,2617,3871,2546,3891,2473,3908,2399,3921,2324,3930,2248,3936,2170,3938,2092,3936,2014,3931,1938,3921,1862,3909,1788,3892,1715,3873,1643,3850,1573,3824,1504,3795,1437,3762,1372,3727,1308,3689,1246,3649,1186,3605,1128,3559,1073,3511,1019,3460,968,3407,919,3351,872,3294,829,3234,787,3173,749,3110,713,3044,681,2977,651,2909,624,2839,601,2768,580,2695,564,2621,550,2546,540,2469,534e" filled="false" stroked="true" strokeweight=".5pt" strokecolor="#231f20">
              <v:path arrowok="t"/>
              <v:stroke dashstyle="solid"/>
            </v:shape>
            <v:shape style="position:absolute;left:2401;top:509;width:285;height:3138" coordorigin="2402,510" coordsize="285,3138" path="m2488,510l2471,515,2459,519,2446,522,2433,525,2421,528,2410,529,2402,530,2410,532,2421,535,2432,539,2445,543,2456,547,2485,560,2488,510xm2686,3647l2677,3598,2662,3607,2651,3614,2639,3620,2627,3626,2616,3631,2606,3635,2598,3638,2607,3638,2618,3638,2630,3639,2643,3640,2655,3642,2686,3647xe" filled="true" fillcolor="#231f20" stroked="false">
              <v:path arrowok="t"/>
              <v:fill type="solid"/>
            </v:shape>
            <w10:wrap type="none"/>
          </v:group>
        </w:pict>
      </w:r>
      <w:r>
        <w:rPr>
          <w:color w:val="231F20"/>
          <w:sz w:val="12"/>
        </w:rPr>
        <w:t>Rest of EU</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7"/>
        <w:rPr>
          <w:sz w:val="11"/>
        </w:rPr>
      </w:pPr>
    </w:p>
    <w:p>
      <w:pPr>
        <w:spacing w:before="1"/>
        <w:ind w:left="0" w:right="47" w:firstLine="0"/>
        <w:jc w:val="right"/>
        <w:rPr>
          <w:sz w:val="12"/>
        </w:rPr>
      </w:pPr>
      <w:r>
        <w:rPr>
          <w:color w:val="231F20"/>
          <w:sz w:val="12"/>
          <w:shd w:fill="FFFFFF" w:color="auto" w:val="clear"/>
        </w:rPr>
        <w:t>  16% </w:t>
      </w:r>
    </w:p>
    <w:p>
      <w:pPr>
        <w:pStyle w:val="BodyText"/>
        <w:spacing w:before="8"/>
        <w:rPr>
          <w:sz w:val="16"/>
        </w:rPr>
      </w:pPr>
      <w:r>
        <w:rPr/>
        <w:br w:type="column"/>
      </w:r>
      <w:r>
        <w:rPr>
          <w:sz w:val="16"/>
        </w:rPr>
      </w:r>
    </w:p>
    <w:p>
      <w:pPr>
        <w:spacing w:before="0"/>
        <w:ind w:left="515" w:right="0" w:firstLine="0"/>
        <w:jc w:val="left"/>
        <w:rPr>
          <w:sz w:val="12"/>
        </w:rPr>
      </w:pPr>
      <w:r>
        <w:rPr>
          <w:color w:val="231F20"/>
          <w:sz w:val="12"/>
        </w:rPr>
        <w:t>Rest of Europe</w:t>
      </w:r>
    </w:p>
    <w:p>
      <w:pPr>
        <w:pStyle w:val="BodyText"/>
        <w:spacing w:before="7"/>
        <w:rPr>
          <w:sz w:val="10"/>
        </w:rPr>
      </w:pPr>
    </w:p>
    <w:p>
      <w:pPr>
        <w:spacing w:line="381" w:lineRule="auto" w:before="0"/>
        <w:ind w:left="515" w:right="823" w:firstLine="0"/>
        <w:jc w:val="left"/>
        <w:rPr>
          <w:sz w:val="12"/>
        </w:rPr>
      </w:pPr>
      <w:r>
        <w:rPr/>
        <w:pict>
          <v:shape style="position:absolute;margin-left:117.741997pt;margin-top:-14.648643pt;width:11.75pt;height:55.25pt;mso-position-horizontal-relative:page;mso-position-vertical-relative:paragraph;z-index:1584128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0"/>
                  </w:tblGrid>
                  <w:tr>
                    <w:trPr>
                      <w:trHeight w:val="210" w:hRule="atLeast"/>
                    </w:trPr>
                    <w:tc>
                      <w:tcPr>
                        <w:tcW w:w="220" w:type="dxa"/>
                        <w:shd w:val="clear" w:color="auto" w:fill="FFC40C"/>
                      </w:tcPr>
                      <w:p>
                        <w:pPr>
                          <w:pStyle w:val="TableParagraph"/>
                          <w:rPr>
                            <w:sz w:val="14"/>
                          </w:rPr>
                        </w:pPr>
                      </w:p>
                    </w:tc>
                  </w:tr>
                  <w:tr>
                    <w:trPr>
                      <w:trHeight w:val="206" w:hRule="atLeast"/>
                    </w:trPr>
                    <w:tc>
                      <w:tcPr>
                        <w:tcW w:w="220" w:type="dxa"/>
                        <w:tcBorders>
                          <w:bottom w:val="single" w:sz="6" w:space="0" w:color="000000"/>
                        </w:tcBorders>
                        <w:shd w:val="clear" w:color="auto" w:fill="ED1B2D"/>
                      </w:tcPr>
                      <w:p>
                        <w:pPr>
                          <w:pStyle w:val="TableParagraph"/>
                          <w:rPr>
                            <w:sz w:val="14"/>
                          </w:rPr>
                        </w:pPr>
                      </w:p>
                    </w:tc>
                  </w:tr>
                  <w:tr>
                    <w:trPr>
                      <w:trHeight w:val="205" w:hRule="atLeast"/>
                    </w:trPr>
                    <w:tc>
                      <w:tcPr>
                        <w:tcW w:w="220" w:type="dxa"/>
                        <w:tcBorders>
                          <w:top w:val="single" w:sz="6" w:space="0" w:color="000000"/>
                          <w:bottom w:val="single" w:sz="6" w:space="0" w:color="000000"/>
                        </w:tcBorders>
                        <w:shd w:val="clear" w:color="auto" w:fill="95459A"/>
                      </w:tcPr>
                      <w:p>
                        <w:pPr>
                          <w:pStyle w:val="TableParagraph"/>
                          <w:rPr>
                            <w:sz w:val="14"/>
                          </w:rPr>
                        </w:pPr>
                      </w:p>
                    </w:tc>
                  </w:tr>
                  <w:tr>
                    <w:trPr>
                      <w:trHeight w:val="203" w:hRule="atLeast"/>
                    </w:trPr>
                    <w:tc>
                      <w:tcPr>
                        <w:tcW w:w="220" w:type="dxa"/>
                        <w:tcBorders>
                          <w:top w:val="single" w:sz="6" w:space="0" w:color="000000"/>
                          <w:bottom w:val="single" w:sz="6" w:space="0" w:color="000000"/>
                        </w:tcBorders>
                        <w:shd w:val="clear" w:color="auto" w:fill="FAAB54"/>
                      </w:tcPr>
                      <w:p>
                        <w:pPr>
                          <w:pStyle w:val="TableParagraph"/>
                          <w:rPr>
                            <w:sz w:val="14"/>
                          </w:rPr>
                        </w:pPr>
                      </w:p>
                    </w:tc>
                  </w:tr>
                  <w:tr>
                    <w:trPr>
                      <w:trHeight w:val="205" w:hRule="atLeast"/>
                    </w:trPr>
                    <w:tc>
                      <w:tcPr>
                        <w:tcW w:w="220" w:type="dxa"/>
                        <w:tcBorders>
                          <w:top w:val="single" w:sz="6" w:space="0" w:color="000000"/>
                        </w:tcBorders>
                        <w:shd w:val="clear" w:color="auto" w:fill="952E40"/>
                      </w:tcPr>
                      <w:p>
                        <w:pPr>
                          <w:pStyle w:val="TableParagraph"/>
                          <w:rPr>
                            <w:sz w:val="14"/>
                          </w:rPr>
                        </w:pPr>
                      </w:p>
                    </w:tc>
                  </w:tr>
                </w:tbl>
                <w:p>
                  <w:pPr>
                    <w:pStyle w:val="BodyText"/>
                  </w:pPr>
                </w:p>
              </w:txbxContent>
            </v:textbox>
            <w10:wrap type="none"/>
          </v:shape>
        </w:pict>
      </w:r>
      <w:r>
        <w:rPr>
          <w:color w:val="231F20"/>
          <w:sz w:val="12"/>
        </w:rPr>
        <w:t>United States Japan</w:t>
      </w:r>
    </w:p>
    <w:p>
      <w:pPr>
        <w:spacing w:line="374" w:lineRule="auto" w:before="1"/>
        <w:ind w:left="515" w:right="14" w:firstLine="0"/>
        <w:jc w:val="left"/>
        <w:rPr>
          <w:sz w:val="12"/>
        </w:rPr>
      </w:pPr>
      <w:r>
        <w:rPr>
          <w:color w:val="231F20"/>
          <w:sz w:val="12"/>
        </w:rPr>
        <w:t>ASEAN-4 and Asian NIEs (a) Rest of world</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4"/>
        <w:rPr>
          <w:sz w:val="17"/>
        </w:rPr>
      </w:pPr>
    </w:p>
    <w:p>
      <w:pPr>
        <w:spacing w:before="0"/>
        <w:ind w:left="300" w:right="0" w:firstLine="0"/>
        <w:jc w:val="left"/>
        <w:rPr>
          <w:sz w:val="12"/>
        </w:rPr>
      </w:pPr>
      <w:r>
        <w:rPr>
          <w:color w:val="231F20"/>
          <w:sz w:val="12"/>
          <w:shd w:fill="FFFFFF" w:color="auto" w:val="clear"/>
        </w:rPr>
        <w:t>   9% </w:t>
      </w:r>
    </w:p>
    <w:p>
      <w:pPr>
        <w:pStyle w:val="Heading4"/>
        <w:spacing w:line="242" w:lineRule="auto" w:before="100"/>
        <w:ind w:left="563" w:right="387"/>
      </w:pPr>
      <w:r>
        <w:rPr/>
        <w:br w:type="column"/>
      </w:r>
      <w:r>
        <w:rPr>
          <w:color w:val="231F20"/>
        </w:rPr>
        <w:t>Compared with its central view in May, the MPC believes that higher US growth will largely offset the impact of the weaker Japanese economy on the United Kingdom’s overseas markets in 1998 as a whole.</w:t>
      </w:r>
    </w:p>
    <w:p>
      <w:pPr>
        <w:spacing w:line="242" w:lineRule="auto" w:before="5"/>
        <w:ind w:left="563" w:right="187" w:firstLine="0"/>
        <w:jc w:val="left"/>
        <w:rPr>
          <w:sz w:val="24"/>
        </w:rPr>
      </w:pPr>
      <w:r>
        <w:rPr>
          <w:color w:val="231F20"/>
          <w:sz w:val="24"/>
        </w:rPr>
        <w:t>Aggregate growth of below 2</w:t>
      </w:r>
      <w:r>
        <w:rPr>
          <w:color w:val="231F20"/>
          <w:position w:val="8"/>
          <w:sz w:val="12"/>
        </w:rPr>
        <w:t>1</w:t>
      </w:r>
      <w:r>
        <w:rPr>
          <w:color w:val="231F20"/>
          <w:sz w:val="24"/>
        </w:rPr>
        <w:t>/</w:t>
      </w:r>
      <w:r>
        <w:rPr>
          <w:color w:val="231F20"/>
          <w:sz w:val="12"/>
        </w:rPr>
        <w:t>2</w:t>
      </w:r>
      <w:r>
        <w:rPr>
          <w:color w:val="231F20"/>
          <w:sz w:val="24"/>
        </w:rPr>
        <w:t>% is likely in the major six overseas economies</w:t>
      </w:r>
      <w:r>
        <w:rPr>
          <w:color w:val="231F20"/>
          <w:position w:val="5"/>
          <w:sz w:val="16"/>
        </w:rPr>
        <w:t>(2) </w:t>
      </w:r>
      <w:r>
        <w:rPr>
          <w:color w:val="231F20"/>
          <w:sz w:val="24"/>
        </w:rPr>
        <w:t>in both 1998 and 1999. There is a risk not only that Japan could be more depressed than predicted, but that growth in the United States</w:t>
      </w:r>
    </w:p>
    <w:p>
      <w:pPr>
        <w:spacing w:after="0" w:line="242" w:lineRule="auto"/>
        <w:jc w:val="left"/>
        <w:rPr>
          <w:sz w:val="24"/>
        </w:rPr>
        <w:sectPr>
          <w:type w:val="continuous"/>
          <w:pgSz w:w="11900" w:h="16840"/>
          <w:pgMar w:top="1220" w:bottom="280" w:left="620" w:right="640"/>
          <w:cols w:num="3" w:equalWidth="0">
            <w:col w:w="1485" w:space="40"/>
            <w:col w:w="2002" w:space="904"/>
            <w:col w:w="6209"/>
          </w:cols>
        </w:sectPr>
      </w:pPr>
    </w:p>
    <w:p>
      <w:pPr>
        <w:pStyle w:val="BodyText"/>
        <w:rPr>
          <w:sz w:val="12"/>
        </w:rPr>
      </w:pPr>
    </w:p>
    <w:p>
      <w:pPr>
        <w:pStyle w:val="BodyText"/>
        <w:rPr>
          <w:sz w:val="12"/>
        </w:rPr>
      </w:pPr>
    </w:p>
    <w:p>
      <w:pPr>
        <w:spacing w:before="77"/>
        <w:ind w:left="492" w:right="0" w:firstLine="0"/>
        <w:jc w:val="left"/>
        <w:rPr>
          <w:sz w:val="12"/>
        </w:rPr>
      </w:pPr>
      <w:r>
        <w:rPr>
          <w:color w:val="231F20"/>
          <w:sz w:val="12"/>
          <w:shd w:fill="FFFFFF" w:color="auto" w:val="clear"/>
        </w:rPr>
        <w:t>   7% </w:t>
      </w:r>
    </w:p>
    <w:p>
      <w:pPr>
        <w:pStyle w:val="BodyText"/>
        <w:spacing w:before="4"/>
        <w:rPr>
          <w:sz w:val="17"/>
        </w:rPr>
      </w:pPr>
    </w:p>
    <w:p>
      <w:pPr>
        <w:spacing w:before="0"/>
        <w:ind w:left="359" w:right="0" w:firstLine="0"/>
        <w:jc w:val="left"/>
        <w:rPr>
          <w:sz w:val="12"/>
        </w:rPr>
      </w:pPr>
      <w:r>
        <w:rPr>
          <w:color w:val="231F20"/>
          <w:sz w:val="12"/>
          <w:shd w:fill="FFFFFF" w:color="auto" w:val="clear"/>
        </w:rPr>
        <w:t>  3% </w:t>
      </w:r>
    </w:p>
    <w:p>
      <w:pPr>
        <w:pStyle w:val="BodyText"/>
        <w:rPr>
          <w:sz w:val="12"/>
        </w:rPr>
      </w:pPr>
    </w:p>
    <w:p>
      <w:pPr>
        <w:pStyle w:val="BodyText"/>
        <w:spacing w:before="3"/>
        <w:rPr>
          <w:sz w:val="15"/>
        </w:rPr>
      </w:pPr>
    </w:p>
    <w:p>
      <w:pPr>
        <w:spacing w:before="0"/>
        <w:ind w:left="734" w:right="0" w:firstLine="0"/>
        <w:jc w:val="left"/>
        <w:rPr>
          <w:sz w:val="12"/>
        </w:rPr>
      </w:pPr>
      <w:r>
        <w:rPr>
          <w:color w:val="231F20"/>
          <w:sz w:val="12"/>
          <w:shd w:fill="FFFFFF" w:color="auto" w:val="clear"/>
        </w:rPr>
        <w:t>   14% </w:t>
      </w:r>
    </w:p>
    <w:p>
      <w:pPr>
        <w:pStyle w:val="BodyText"/>
        <w:spacing w:before="2"/>
        <w:rPr>
          <w:sz w:val="10"/>
        </w:rPr>
      </w:pPr>
      <w:r>
        <w:rPr/>
        <w:br w:type="column"/>
      </w:r>
      <w:r>
        <w:rPr>
          <w:sz w:val="10"/>
        </w:rPr>
      </w:r>
    </w:p>
    <w:p>
      <w:pPr>
        <w:spacing w:before="0"/>
        <w:ind w:left="359" w:right="0" w:firstLine="0"/>
        <w:jc w:val="left"/>
        <w:rPr>
          <w:sz w:val="12"/>
        </w:rPr>
      </w:pPr>
      <w:r>
        <w:rPr>
          <w:color w:val="231F20"/>
          <w:sz w:val="12"/>
          <w:shd w:fill="FFFFFF" w:color="auto" w:val="clear"/>
        </w:rPr>
        <w:t>   11% </w:t>
      </w:r>
    </w:p>
    <w:p>
      <w:pPr>
        <w:pStyle w:val="BodyText"/>
        <w:rPr>
          <w:sz w:val="12"/>
        </w:rPr>
      </w:pPr>
      <w:r>
        <w:rPr/>
        <w:br w:type="column"/>
      </w:r>
      <w:r>
        <w:rPr>
          <w:sz w:val="12"/>
        </w:rPr>
      </w:r>
    </w:p>
    <w:p>
      <w:pPr>
        <w:pStyle w:val="BodyText"/>
        <w:rPr>
          <w:sz w:val="12"/>
        </w:rPr>
      </w:pPr>
    </w:p>
    <w:p>
      <w:pPr>
        <w:pStyle w:val="BodyText"/>
        <w:rPr>
          <w:sz w:val="12"/>
        </w:rPr>
      </w:pPr>
    </w:p>
    <w:p>
      <w:pPr>
        <w:pStyle w:val="BodyText"/>
        <w:spacing w:before="2"/>
        <w:rPr>
          <w:sz w:val="14"/>
        </w:rPr>
      </w:pPr>
    </w:p>
    <w:p>
      <w:pPr>
        <w:spacing w:before="0"/>
        <w:ind w:left="-14" w:right="0" w:firstLine="0"/>
        <w:jc w:val="left"/>
        <w:rPr>
          <w:sz w:val="12"/>
        </w:rPr>
      </w:pPr>
      <w:r>
        <w:rPr>
          <w:color w:val="231F20"/>
          <w:sz w:val="12"/>
          <w:shd w:fill="FFFFFF" w:color="auto" w:val="clear"/>
        </w:rPr>
        <w:t>  4% </w:t>
      </w:r>
    </w:p>
    <w:p>
      <w:pPr>
        <w:spacing w:before="87"/>
        <w:ind w:left="171" w:right="0" w:firstLine="0"/>
        <w:jc w:val="left"/>
        <w:rPr>
          <w:sz w:val="12"/>
        </w:rPr>
      </w:pPr>
      <w:r>
        <w:rPr/>
        <w:br w:type="column"/>
      </w:r>
      <w:r>
        <w:rPr>
          <w:color w:val="231F20"/>
          <w:sz w:val="12"/>
        </w:rPr>
        <w:t>Prospective euro area</w:t>
      </w:r>
    </w:p>
    <w:p>
      <w:pPr>
        <w:pStyle w:val="Heading4"/>
        <w:spacing w:line="242" w:lineRule="auto"/>
        <w:ind w:left="359"/>
      </w:pPr>
      <w:r>
        <w:rPr/>
        <w:br w:type="column"/>
      </w:r>
      <w:r>
        <w:rPr>
          <w:color w:val="231F20"/>
        </w:rPr>
        <w:t>might be lower than reflected in the central projection. Since May, the MPC has increased the downside risks to its central projection for UK demand from lower world growth.</w:t>
      </w:r>
    </w:p>
    <w:p>
      <w:pPr>
        <w:spacing w:after="0" w:line="242" w:lineRule="auto"/>
        <w:sectPr>
          <w:type w:val="continuous"/>
          <w:pgSz w:w="11900" w:h="16840"/>
          <w:pgMar w:top="1220" w:bottom="280" w:left="620" w:right="640"/>
          <w:cols w:num="5" w:equalWidth="0">
            <w:col w:w="1135" w:space="890"/>
            <w:col w:w="720" w:space="40"/>
            <w:col w:w="304" w:space="39"/>
            <w:col w:w="1240" w:space="267"/>
            <w:col w:w="6005"/>
          </w:cols>
        </w:sectPr>
      </w:pPr>
    </w:p>
    <w:p>
      <w:pPr>
        <w:pStyle w:val="BodyText"/>
        <w:spacing w:before="6"/>
        <w:rPr>
          <w:sz w:val="11"/>
        </w:rPr>
      </w:pPr>
    </w:p>
    <w:p>
      <w:pPr>
        <w:spacing w:before="0"/>
        <w:ind w:left="0" w:right="1251" w:firstLine="0"/>
        <w:jc w:val="right"/>
        <w:rPr>
          <w:sz w:val="12"/>
        </w:rPr>
      </w:pPr>
      <w:r>
        <w:rPr>
          <w:color w:val="231F20"/>
          <w:sz w:val="12"/>
          <w:shd w:fill="FFFFFF" w:color="auto" w:val="clear"/>
        </w:rPr>
        <w:t>   23% </w:t>
      </w:r>
    </w:p>
    <w:p>
      <w:pPr>
        <w:pStyle w:val="BodyText"/>
        <w:spacing w:before="6"/>
        <w:rPr>
          <w:sz w:val="9"/>
        </w:rPr>
      </w:pPr>
      <w:r>
        <w:rPr/>
        <w:pict>
          <v:shape style="position:absolute;margin-left:90.489998pt;margin-top:6.691406pt;width:18pt;height:10.5pt;mso-position-horizontal-relative:page;mso-position-vertical-relative:paragraph;z-index:-15618048;mso-wrap-distance-left:0;mso-wrap-distance-right:0" type="#_x0000_t202" filled="true" fillcolor="#ffffff" stroked="false">
            <v:textbox inset="0,0,0,0">
              <w:txbxContent>
                <w:p>
                  <w:pPr>
                    <w:spacing w:before="28"/>
                    <w:ind w:left="110" w:right="0" w:firstLine="0"/>
                    <w:jc w:val="left"/>
                    <w:rPr>
                      <w:sz w:val="12"/>
                    </w:rPr>
                  </w:pPr>
                  <w:r>
                    <w:rPr>
                      <w:color w:val="231F20"/>
                      <w:sz w:val="12"/>
                    </w:rPr>
                    <w:t>8%</w:t>
                  </w:r>
                </w:p>
              </w:txbxContent>
            </v:textbox>
            <v:fill type="solid"/>
            <w10:wrap type="topAndBottom"/>
          </v:shape>
        </w:pict>
      </w:r>
    </w:p>
    <w:p>
      <w:pPr>
        <w:spacing w:before="78"/>
        <w:ind w:left="0" w:right="316" w:firstLine="0"/>
        <w:jc w:val="center"/>
        <w:rPr>
          <w:sz w:val="12"/>
        </w:rPr>
      </w:pPr>
      <w:r>
        <w:rPr>
          <w:color w:val="231F20"/>
          <w:sz w:val="12"/>
          <w:shd w:fill="FFFFFF" w:color="auto" w:val="clear"/>
        </w:rPr>
        <w:t> 4%</w:t>
      </w:r>
    </w:p>
    <w:p>
      <w:pPr>
        <w:pStyle w:val="BodyText"/>
        <w:rPr>
          <w:sz w:val="12"/>
        </w:rPr>
      </w:pPr>
    </w:p>
    <w:p>
      <w:pPr>
        <w:pStyle w:val="BodyText"/>
        <w:rPr>
          <w:sz w:val="12"/>
        </w:rPr>
      </w:pPr>
    </w:p>
    <w:p>
      <w:pPr>
        <w:pStyle w:val="BodyText"/>
        <w:spacing w:before="4"/>
        <w:rPr>
          <w:sz w:val="10"/>
        </w:rPr>
      </w:pPr>
    </w:p>
    <w:p>
      <w:pPr>
        <w:spacing w:before="1"/>
        <w:ind w:left="0" w:right="1264" w:firstLine="0"/>
        <w:jc w:val="right"/>
        <w:rPr>
          <w:sz w:val="12"/>
        </w:rPr>
      </w:pPr>
      <w:r>
        <w:rPr>
          <w:color w:val="231F20"/>
          <w:sz w:val="12"/>
        </w:rPr>
        <w:t>Note: Figures may not sum because of rounding.</w:t>
      </w:r>
    </w:p>
    <w:p>
      <w:pPr>
        <w:pStyle w:val="BodyText"/>
        <w:spacing w:before="1"/>
        <w:rPr>
          <w:sz w:val="10"/>
        </w:rPr>
      </w:pPr>
    </w:p>
    <w:p>
      <w:pPr>
        <w:spacing w:line="208" w:lineRule="auto" w:before="0"/>
        <w:ind w:left="429" w:right="0" w:hanging="240"/>
        <w:jc w:val="left"/>
        <w:rPr>
          <w:sz w:val="12"/>
        </w:rPr>
      </w:pPr>
      <w:r>
        <w:rPr>
          <w:color w:val="231F20"/>
          <w:sz w:val="12"/>
        </w:rPr>
        <w:t>(a) The ASEAN-4 are Malaysia, Indonesia, Thailand and the Philippines, and the Asian NIEs are Hong Kong SAR, Korea, Chinese Taipei and Singapore.</w:t>
      </w:r>
    </w:p>
    <w:p>
      <w:pPr>
        <w:pStyle w:val="Heading2"/>
        <w:numPr>
          <w:ilvl w:val="1"/>
          <w:numId w:val="15"/>
        </w:numPr>
        <w:tabs>
          <w:tab w:pos="3851" w:val="left" w:leader="none"/>
          <w:tab w:pos="3852" w:val="left" w:leader="none"/>
          <w:tab w:pos="5670" w:val="left" w:leader="none"/>
        </w:tabs>
        <w:spacing w:line="240" w:lineRule="auto" w:before="193" w:after="0"/>
        <w:ind w:left="3851" w:right="0" w:hanging="3663"/>
        <w:jc w:val="left"/>
        <w:rPr>
          <w:color w:val="009483"/>
        </w:rPr>
      </w:pPr>
      <w:r>
        <w:rPr>
          <w:color w:val="009483"/>
          <w:u w:val="thick" w:color="0093C1"/>
        </w:rPr>
        <w:br w:type="column"/>
        <w:t>Consumption</w:t>
        <w:tab/>
      </w:r>
    </w:p>
    <w:p>
      <w:pPr>
        <w:pStyle w:val="BodyText"/>
        <w:spacing w:before="10"/>
        <w:rPr>
          <w:b/>
          <w:sz w:val="23"/>
        </w:rPr>
      </w:pPr>
    </w:p>
    <w:p>
      <w:pPr>
        <w:pStyle w:val="Heading4"/>
        <w:spacing w:line="242" w:lineRule="auto"/>
        <w:ind w:left="189" w:right="254"/>
      </w:pPr>
      <w:r>
        <w:rPr>
          <w:color w:val="231F20"/>
        </w:rPr>
        <w:t>Consumers’ expenditure grew by 0.9% in 1998 Q1, compared with 1.4% in 1997 Q4. Much of the slowdown is accounted for by a fall in the level of</w:t>
      </w:r>
    </w:p>
    <w:p>
      <w:pPr>
        <w:spacing w:line="242" w:lineRule="auto" w:before="4"/>
        <w:ind w:left="189" w:right="0" w:firstLine="0"/>
        <w:jc w:val="left"/>
        <w:rPr>
          <w:sz w:val="24"/>
        </w:rPr>
      </w:pPr>
      <w:r>
        <w:rPr>
          <w:color w:val="231F20"/>
          <w:sz w:val="24"/>
        </w:rPr>
        <w:t>non-durable goods consumption, particularly food. By contrast, durables consumption growth rose in 1998 Q1, with the main impetus coming from expenditure on vehicles. Growth in the consumption of services on the previous quarter slowed to 1.4%, still reasonably strong.</w:t>
      </w:r>
    </w:p>
    <w:p>
      <w:pPr>
        <w:spacing w:after="0" w:line="242" w:lineRule="auto"/>
        <w:jc w:val="left"/>
        <w:rPr>
          <w:sz w:val="24"/>
        </w:rPr>
        <w:sectPr>
          <w:type w:val="continuous"/>
          <w:pgSz w:w="11900" w:h="16840"/>
          <w:pgMar w:top="1220" w:bottom="280" w:left="620" w:right="640"/>
          <w:cols w:num="2" w:equalWidth="0">
            <w:col w:w="3826" w:space="978"/>
            <w:col w:w="5836"/>
          </w:cols>
        </w:sectPr>
      </w:pPr>
    </w:p>
    <w:p>
      <w:pPr>
        <w:pStyle w:val="BodyText"/>
        <w:spacing w:before="6"/>
        <w:rPr>
          <w:sz w:val="23"/>
        </w:rPr>
      </w:pPr>
    </w:p>
    <w:p>
      <w:pPr>
        <w:pStyle w:val="BodyText"/>
        <w:spacing w:line="20" w:lineRule="exact"/>
        <w:ind w:left="4958"/>
        <w:rPr>
          <w:sz w:val="2"/>
        </w:rPr>
      </w:pPr>
      <w:r>
        <w:rPr>
          <w:sz w:val="2"/>
        </w:rPr>
        <w:pict>
          <v:group style="width:277.5pt;height:.15pt;mso-position-horizontal-relative:char;mso-position-vertical-relative:line" coordorigin="0,0" coordsize="5550,3">
            <v:line style="position:absolute" from="0,1" to="5550,1" stroked="true" strokeweight=".125pt" strokecolor="#231f20">
              <v:stroke dashstyle="solid"/>
            </v:line>
          </v:group>
        </w:pict>
      </w:r>
      <w:r>
        <w:rPr>
          <w:sz w:val="2"/>
        </w:rPr>
      </w:r>
    </w:p>
    <w:p>
      <w:pPr>
        <w:pStyle w:val="ListParagraph"/>
        <w:numPr>
          <w:ilvl w:val="2"/>
          <w:numId w:val="15"/>
        </w:numPr>
        <w:tabs>
          <w:tab w:pos="5231" w:val="left" w:leader="none"/>
        </w:tabs>
        <w:spacing w:line="208" w:lineRule="auto" w:before="31" w:after="0"/>
        <w:ind w:left="5230" w:right="1062" w:hanging="240"/>
        <w:jc w:val="left"/>
        <w:rPr>
          <w:sz w:val="16"/>
        </w:rPr>
      </w:pPr>
      <w:r>
        <w:rPr>
          <w:color w:val="231F20"/>
          <w:sz w:val="16"/>
        </w:rPr>
        <w:t>The prospective euro area comprises the European Union excluding Denmark, Greece, Sweden and the United Kingdom.</w:t>
      </w:r>
    </w:p>
    <w:p>
      <w:pPr>
        <w:pStyle w:val="ListParagraph"/>
        <w:numPr>
          <w:ilvl w:val="2"/>
          <w:numId w:val="15"/>
        </w:numPr>
        <w:tabs>
          <w:tab w:pos="5231" w:val="left" w:leader="none"/>
        </w:tabs>
        <w:spacing w:line="164" w:lineRule="exact" w:before="0" w:after="0"/>
        <w:ind w:left="5230" w:right="0" w:hanging="241"/>
        <w:jc w:val="left"/>
        <w:rPr>
          <w:sz w:val="16"/>
        </w:rPr>
      </w:pPr>
      <w:r>
        <w:rPr>
          <w:color w:val="231F20"/>
          <w:sz w:val="16"/>
        </w:rPr>
        <w:t>Canada, France, Germany, Italy, Japan and the United States.</w:t>
      </w:r>
    </w:p>
    <w:p>
      <w:pPr>
        <w:spacing w:after="0" w:line="164" w:lineRule="exact"/>
        <w:jc w:val="left"/>
        <w:rPr>
          <w:sz w:val="16"/>
        </w:rPr>
        <w:sectPr>
          <w:type w:val="continuous"/>
          <w:pgSz w:w="11900" w:h="16840"/>
          <w:pgMar w:top="1220" w:bottom="280" w:left="620" w:right="640"/>
        </w:sectPr>
      </w:pPr>
    </w:p>
    <w:p>
      <w:pPr>
        <w:pStyle w:val="BodyText"/>
        <w:rPr>
          <w:sz w:val="20"/>
        </w:rPr>
      </w:pPr>
    </w:p>
    <w:p>
      <w:pPr>
        <w:spacing w:after="0"/>
        <w:rPr>
          <w:sz w:val="20"/>
        </w:rPr>
        <w:sectPr>
          <w:headerReference w:type="even" r:id="rId34"/>
          <w:headerReference w:type="default" r:id="rId35"/>
          <w:pgSz w:w="11900" w:h="16840"/>
          <w:pgMar w:header="566" w:footer="597" w:top="760" w:bottom="780" w:left="620" w:right="64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3"/>
        <w:rPr>
          <w:sz w:val="26"/>
        </w:rPr>
      </w:pPr>
    </w:p>
    <w:p>
      <w:pPr>
        <w:pStyle w:val="Heading8"/>
        <w:spacing w:before="0"/>
        <w:ind w:left="170"/>
      </w:pPr>
      <w:r>
        <w:rPr>
          <w:color w:val="0093C1"/>
        </w:rPr>
        <w:t>Chart 2.2</w:t>
      </w:r>
    </w:p>
    <w:p>
      <w:pPr>
        <w:spacing w:before="10"/>
        <w:ind w:left="170" w:right="0" w:firstLine="0"/>
        <w:jc w:val="left"/>
        <w:rPr>
          <w:b/>
          <w:sz w:val="20"/>
        </w:rPr>
      </w:pPr>
      <w:r>
        <w:rPr>
          <w:b/>
          <w:color w:val="0093C1"/>
          <w:sz w:val="20"/>
        </w:rPr>
        <w:t>Personal sector wealth to income ratios</w:t>
      </w:r>
    </w:p>
    <w:p>
      <w:pPr>
        <w:spacing w:line="124" w:lineRule="exact" w:before="125"/>
        <w:ind w:left="3395" w:right="0" w:firstLine="0"/>
        <w:jc w:val="left"/>
        <w:rPr>
          <w:sz w:val="12"/>
        </w:rPr>
      </w:pPr>
      <w:r>
        <w:rPr>
          <w:sz w:val="12"/>
        </w:rPr>
        <w:t>Ratio</w:t>
      </w:r>
    </w:p>
    <w:p>
      <w:pPr>
        <w:spacing w:line="124" w:lineRule="exact" w:before="0"/>
        <w:ind w:left="3636" w:right="0" w:firstLine="0"/>
        <w:jc w:val="center"/>
        <w:rPr>
          <w:sz w:val="12"/>
        </w:rPr>
      </w:pPr>
      <w:r>
        <w:rPr/>
        <w:pict>
          <v:line style="position:absolute;mso-position-horizontal-relative:page;mso-position-vertical-relative:paragraph;z-index:15844864" from="46.549999pt,2.901855pt" to="42.549999pt,2.901855pt" stroked="true" strokeweight=".5pt" strokecolor="#000000">
            <v:stroke dashstyle="solid"/>
            <w10:wrap type="none"/>
          </v:line>
        </w:pict>
      </w:r>
      <w:r>
        <w:rPr/>
        <w:pict>
          <v:group style="position:absolute;margin-left:52.049999pt;margin-top:2.401855pt;width:151pt;height:117pt;mso-position-horizontal-relative:page;mso-position-vertical-relative:paragraph;z-index:15846912" coordorigin="1041,48" coordsize="3020,2340">
            <v:shape style="position:absolute;left:1051;top:718;width:3000;height:1600" coordorigin="1051,718" coordsize="3000,1600" path="m1051,1678l1071,1718,1131,1778,1151,1778,1171,1798,1191,1838,1231,1878,1251,1818,1311,1758,1331,1758,1351,1738,1411,1738,1431,1778,1451,1878,1491,1878,1511,1918,1531,2038,1571,2118,1591,2198,1631,2318,1671,2238,1691,2098,1711,2098,1751,2118,1771,2118,1791,2138,1831,2158,1851,2158,1871,2118,1891,2118,1951,2058,1971,2058,2011,2078,2051,2118,2091,2058,2131,2098,2151,2138,2231,2138,2271,2118,2311,2078,2331,2138,2371,2078,2391,2058,2411,2058,2451,2018,2491,1938,2531,1898,2551,1898,2571,1878,2591,1838,2631,1898,2651,1838,2671,1798,2711,1778,2731,1818,2751,1798,2791,1738,2811,1618,2831,1638,2851,1678,2891,1598,2931,1358,2971,1318,2991,1558,3011,1478,3051,1438,3071,1498,3091,1538,3111,1378,3151,1358,3231,1438,3251,1378,3271,1518,3311,1498,3331,1358,3351,1378,3371,1338,3411,1418,3451,1458,3491,1418,3511,1358,3571,1298,3591,1238,3611,1118,3631,1198,3671,1258,3691,1238,3711,1238,3751,1218,3771,1198,3791,1138,3831,1118,3871,1078,3931,1078,3971,918,4011,818,4031,818,4051,718e" filled="false" stroked="true" strokeweight="1pt" strokecolor="#faab54">
              <v:path arrowok="t"/>
              <v:stroke dashstyle="solid"/>
            </v:shape>
            <v:shape style="position:absolute;left:1051;top:58;width:3000;height:1580" coordorigin="1051,58" coordsize="3000,1580" path="m1051,1278l1071,1318,1131,1378,1171,1378,1191,1418,1231,1458,1251,1398,1271,1378,1311,1318,1331,1298,1391,1178,1411,1118,1431,1118,1451,1158,1491,1138,1511,1138,1531,1258,1571,1358,1611,1558,1631,1638,1671,1578,1691,1458,1711,1458,1751,1518,1771,1518,1851,1598,1871,1558,1891,1558,1931,1498,2011,1498,2031,1478,2051,1478,2091,1398,2111,1378,2131,1378,2151,1398,2191,1418,2211,1398,2231,1398,2271,1418,2311,1378,2331,1458,2371,1458,2391,1438,2411,1438,2451,1398,2471,1358,2491,1298,2531,1238,2551,1238,2571,1198,2591,1138,2631,1178,2671,1098,2711,1078,2731,1098,2751,1078,2791,998,2811,878,2831,878,2851,898,2891,818,2931,538,2971,458,2991,658,3011,538,3051,398,3071,358,3091,378,3111,198,3151,158,3171,198,3191,298,3231,378,3251,358,3271,518,3311,538,3331,438,3351,498,3371,478,3411,578,3431,638,3451,678,3491,698,3511,658,3571,598,3591,538,3611,458,3631,538,3671,598,3691,598,3711,618,3751,618,3771,598,3791,558,3831,538,3851,538,3871,518,3891,478,3931,478,3951,398,3971,278,4011,158,4031,178,4051,58e" filled="false" stroked="true" strokeweight="1pt" strokecolor="#008256">
              <v:path arrowok="t"/>
              <v:stroke dashstyle="solid"/>
            </v:shape>
            <v:shape style="position:absolute;left:1051;top:1318;width:3000;height:1060" coordorigin="1051,1318" coordsize="3000,1060" path="m1051,2378l1151,2378,1171,2358,1191,2358,1231,2378,1251,2378,1271,2358,1311,2338,1331,2318,1351,2278,1391,2218,1411,2138,1431,2098,1451,2038,1491,1978,1511,1958,1531,1978,1571,1998,1591,2018,1631,2098,1671,2138,1691,2138,1711,2158,1751,2178,1791,2178,1831,2198,1851,2218,1971,2218,2011,2198,2031,2158,2051,2138,2091,2118,2131,2038,2191,2038,2211,2058,2231,2058,2271,2078,2311,2078,2371,2138,2391,2138,2411,2118,2471,2118,2491,2078,2551,2018,2571,2018,2591,1998,2631,1978,2651,1958,2671,1978,2711,1978,2751,1938,2791,1918,2831,1878,2851,1838,2891,1838,2931,1758,2971,1718,2991,1678,3011,1618,3051,1518,3071,1398,3091,1358,3111,1358,3151,1318,3171,1338,3191,1398,3231,1458,3411,1638,3431,1698,3491,1758,3511,1818,3531,1838,3571,1818,3591,1818,3611,1858,3691,1858,3711,1898,3751,1898,3771,1918,3791,1918,3831,1938,3851,1958,3891,1918,3931,1918,3971,1878,4011,1858,4031,1878,4051,1858e" filled="false" stroked="true" strokeweight="1pt" strokecolor="#0099d8">
              <v:path arrowok="t"/>
              <v:stroke dashstyle="solid"/>
            </v:shape>
            <v:shape style="position:absolute;left:2341;top:601;width:544;height:133" type="#_x0000_t202" filled="false" stroked="false">
              <v:textbox inset="0,0,0,0">
                <w:txbxContent>
                  <w:p>
                    <w:pPr>
                      <w:spacing w:line="133" w:lineRule="exact" w:before="0"/>
                      <w:ind w:left="0" w:right="0" w:firstLine="0"/>
                      <w:jc w:val="left"/>
                      <w:rPr>
                        <w:sz w:val="12"/>
                      </w:rPr>
                    </w:pPr>
                    <w:r>
                      <w:rPr>
                        <w:sz w:val="12"/>
                      </w:rPr>
                      <w:t>Net wealth</w:t>
                    </w:r>
                  </w:p>
                </w:txbxContent>
              </v:textbox>
              <w10:wrap type="none"/>
            </v:shape>
            <v:shape style="position:absolute;left:3181;top:821;width:750;height:253" type="#_x0000_t202" filled="false" stroked="false">
              <v:textbox inset="0,0,0,0">
                <w:txbxContent>
                  <w:p>
                    <w:pPr>
                      <w:spacing w:line="208" w:lineRule="auto" w:before="9"/>
                      <w:ind w:left="60" w:right="0" w:hanging="60"/>
                      <w:jc w:val="left"/>
                      <w:rPr>
                        <w:sz w:val="12"/>
                      </w:rPr>
                    </w:pPr>
                    <w:r>
                      <w:rPr>
                        <w:sz w:val="12"/>
                      </w:rPr>
                      <w:t>Gross financial wealth</w:t>
                    </w:r>
                  </w:p>
                </w:txbxContent>
              </v:textbox>
              <w10:wrap type="none"/>
            </v:shape>
            <v:shape style="position:absolute;left:3061;top:1881;width:711;height:253" type="#_x0000_t202" filled="false" stroked="false">
              <v:textbox inset="0,0,0,0">
                <w:txbxContent>
                  <w:p>
                    <w:pPr>
                      <w:spacing w:line="208" w:lineRule="auto" w:before="9"/>
                      <w:ind w:left="60" w:right="0" w:hanging="60"/>
                      <w:jc w:val="left"/>
                      <w:rPr>
                        <w:sz w:val="12"/>
                      </w:rPr>
                    </w:pPr>
                    <w:r>
                      <w:rPr>
                        <w:sz w:val="12"/>
                      </w:rPr>
                      <w:t>Gross housing wealth</w:t>
                    </w:r>
                  </w:p>
                </w:txbxContent>
              </v:textbox>
              <w10:wrap type="none"/>
            </v:shape>
            <w10:wrap type="none"/>
          </v:group>
        </w:pict>
      </w:r>
      <w:r>
        <w:rPr/>
        <w:pict>
          <v:line style="position:absolute;mso-position-horizontal-relative:page;mso-position-vertical-relative:paragraph;z-index:15852032" from="213.550003pt,2.901855pt" to="208.550003pt,2.901855pt" stroked="true" strokeweight=".5pt" strokecolor="#000000">
            <v:stroke dashstyle="solid"/>
            <w10:wrap type="none"/>
          </v:line>
        </w:pict>
      </w:r>
      <w:r>
        <w:rPr>
          <w:sz w:val="12"/>
        </w:rPr>
        <w:t>6</w:t>
      </w:r>
    </w:p>
    <w:p>
      <w:pPr>
        <w:pStyle w:val="BodyText"/>
        <w:rPr>
          <w:sz w:val="12"/>
        </w:rPr>
      </w:pPr>
    </w:p>
    <w:p>
      <w:pPr>
        <w:pStyle w:val="BodyText"/>
        <w:rPr>
          <w:sz w:val="12"/>
        </w:rPr>
      </w:pPr>
    </w:p>
    <w:p>
      <w:pPr>
        <w:spacing w:before="86"/>
        <w:ind w:left="3731" w:right="0" w:firstLine="0"/>
        <w:jc w:val="left"/>
        <w:rPr>
          <w:sz w:val="12"/>
        </w:rPr>
      </w:pPr>
      <w:r>
        <w:rPr/>
        <w:pict>
          <v:line style="position:absolute;mso-position-horizontal-relative:page;mso-position-vertical-relative:paragraph;z-index:15844352" from="46.549999pt,7.901563pt" to="42.549999pt,7.901563pt" stroked="true" strokeweight=".5pt" strokecolor="#000000">
            <v:stroke dashstyle="solid"/>
            <w10:wrap type="none"/>
          </v:line>
        </w:pict>
      </w:r>
      <w:r>
        <w:rPr/>
        <w:pict>
          <v:line style="position:absolute;mso-position-horizontal-relative:page;mso-position-vertical-relative:paragraph;z-index:15851520" from="213.550003pt,7.901563pt" to="208.550003pt,7.901563pt" stroked="true" strokeweight=".5pt" strokecolor="#000000">
            <v:stroke dashstyle="solid"/>
            <w10:wrap type="none"/>
          </v:line>
        </w:pict>
      </w:r>
      <w:r>
        <w:rPr>
          <w:sz w:val="12"/>
        </w:rPr>
        <w:t>5</w:t>
      </w:r>
    </w:p>
    <w:p>
      <w:pPr>
        <w:pStyle w:val="BodyText"/>
        <w:rPr>
          <w:sz w:val="12"/>
        </w:rPr>
      </w:pPr>
    </w:p>
    <w:p>
      <w:pPr>
        <w:pStyle w:val="BodyText"/>
        <w:rPr>
          <w:sz w:val="12"/>
        </w:rPr>
      </w:pPr>
    </w:p>
    <w:p>
      <w:pPr>
        <w:spacing w:before="86"/>
        <w:ind w:left="3731" w:right="0" w:firstLine="0"/>
        <w:jc w:val="left"/>
        <w:rPr>
          <w:sz w:val="12"/>
        </w:rPr>
      </w:pPr>
      <w:r>
        <w:rPr/>
        <w:pict>
          <v:line style="position:absolute;mso-position-horizontal-relative:page;mso-position-vertical-relative:paragraph;z-index:15843840" from="46.549999pt,7.901563pt" to="42.549999pt,7.901563pt" stroked="true" strokeweight=".5pt" strokecolor="#000000">
            <v:stroke dashstyle="solid"/>
            <w10:wrap type="none"/>
          </v:line>
        </w:pict>
      </w:r>
      <w:r>
        <w:rPr/>
        <w:pict>
          <v:line style="position:absolute;mso-position-horizontal-relative:page;mso-position-vertical-relative:paragraph;z-index:15851008" from="213.550003pt,7.901563pt" to="208.550003pt,7.901563pt" stroked="true" strokeweight=".5pt" strokecolor="#000000">
            <v:stroke dashstyle="solid"/>
            <w10:wrap type="none"/>
          </v:line>
        </w:pict>
      </w:r>
      <w:r>
        <w:rPr>
          <w:sz w:val="12"/>
        </w:rPr>
        <w:t>4</w:t>
      </w:r>
    </w:p>
    <w:p>
      <w:pPr>
        <w:pStyle w:val="BodyText"/>
        <w:rPr>
          <w:sz w:val="12"/>
        </w:rPr>
      </w:pPr>
    </w:p>
    <w:p>
      <w:pPr>
        <w:pStyle w:val="BodyText"/>
        <w:rPr>
          <w:sz w:val="12"/>
        </w:rPr>
      </w:pPr>
    </w:p>
    <w:p>
      <w:pPr>
        <w:spacing w:before="86"/>
        <w:ind w:left="3731" w:right="0" w:firstLine="0"/>
        <w:jc w:val="left"/>
        <w:rPr>
          <w:sz w:val="12"/>
        </w:rPr>
      </w:pPr>
      <w:r>
        <w:rPr/>
        <w:pict>
          <v:line style="position:absolute;mso-position-horizontal-relative:page;mso-position-vertical-relative:paragraph;z-index:15843328" from="46.549999pt,7.901563pt" to="42.549999pt,7.901563pt" stroked="true" strokeweight=".5pt" strokecolor="#000000">
            <v:stroke dashstyle="solid"/>
            <w10:wrap type="none"/>
          </v:line>
        </w:pict>
      </w:r>
      <w:r>
        <w:rPr/>
        <w:pict>
          <v:line style="position:absolute;mso-position-horizontal-relative:page;mso-position-vertical-relative:paragraph;z-index:15850496" from="213.550003pt,7.901563pt" to="208.550003pt,7.901563pt" stroked="true" strokeweight=".5pt" strokecolor="#000000">
            <v:stroke dashstyle="solid"/>
            <w10:wrap type="none"/>
          </v:line>
        </w:pict>
      </w:r>
      <w:r>
        <w:rPr>
          <w:sz w:val="12"/>
        </w:rPr>
        <w:t>3</w:t>
      </w:r>
    </w:p>
    <w:p>
      <w:pPr>
        <w:pStyle w:val="BodyText"/>
        <w:rPr>
          <w:sz w:val="12"/>
        </w:rPr>
      </w:pPr>
    </w:p>
    <w:p>
      <w:pPr>
        <w:pStyle w:val="BodyText"/>
        <w:rPr>
          <w:sz w:val="12"/>
        </w:rPr>
      </w:pPr>
    </w:p>
    <w:p>
      <w:pPr>
        <w:spacing w:before="86"/>
        <w:ind w:left="3731" w:right="0" w:firstLine="0"/>
        <w:jc w:val="left"/>
        <w:rPr>
          <w:sz w:val="12"/>
        </w:rPr>
      </w:pPr>
      <w:r>
        <w:rPr/>
        <w:pict>
          <v:line style="position:absolute;mso-position-horizontal-relative:page;mso-position-vertical-relative:paragraph;z-index:15842816" from="46.549999pt,7.901563pt" to="42.549999pt,7.901563pt" stroked="true" strokeweight=".5pt" strokecolor="#000000">
            <v:stroke dashstyle="solid"/>
            <w10:wrap type="none"/>
          </v:line>
        </w:pict>
      </w:r>
      <w:r>
        <w:rPr/>
        <w:pict>
          <v:line style="position:absolute;mso-position-horizontal-relative:page;mso-position-vertical-relative:paragraph;z-index:15849984" from="213.550003pt,7.901563pt" to="208.550003pt,7.901563pt" stroked="true" strokeweight=".5pt" strokecolor="#000000">
            <v:stroke dashstyle="solid"/>
            <w10:wrap type="none"/>
          </v:line>
        </w:pict>
      </w:r>
      <w:r>
        <w:rPr>
          <w:sz w:val="12"/>
        </w:rPr>
        <w:t>2</w:t>
      </w:r>
    </w:p>
    <w:p>
      <w:pPr>
        <w:pStyle w:val="BodyText"/>
        <w:rPr>
          <w:sz w:val="12"/>
        </w:rPr>
      </w:pPr>
    </w:p>
    <w:p>
      <w:pPr>
        <w:pStyle w:val="BodyText"/>
        <w:rPr>
          <w:sz w:val="12"/>
        </w:rPr>
      </w:pPr>
    </w:p>
    <w:p>
      <w:pPr>
        <w:spacing w:before="86"/>
        <w:ind w:left="3731" w:right="0" w:firstLine="0"/>
        <w:jc w:val="left"/>
        <w:rPr>
          <w:sz w:val="12"/>
        </w:rPr>
      </w:pPr>
      <w:r>
        <w:rPr/>
        <w:pict>
          <v:line style="position:absolute;mso-position-horizontal-relative:page;mso-position-vertical-relative:paragraph;z-index:15842304" from="46.549999pt,7.901563pt" to="42.549999pt,7.901563pt" stroked="true" strokeweight=".5pt" strokecolor="#000000">
            <v:stroke dashstyle="solid"/>
            <w10:wrap type="none"/>
          </v:line>
        </w:pict>
      </w:r>
      <w:r>
        <w:rPr/>
        <w:pict>
          <v:group style="position:absolute;margin-left:52.049999pt;margin-top:3.401562pt;width:151pt;height:17pt;mso-position-horizontal-relative:page;mso-position-vertical-relative:paragraph;z-index:15847936" coordorigin="1041,68" coordsize="3020,340">
            <v:shape style="position:absolute;left:1051;top:78;width:3000;height:320" coordorigin="1051,78" coordsize="3000,320" path="m1051,378l1351,378,1391,358,1451,358,1491,338,1511,338,1531,358,1611,358,1631,378,1691,378,1711,398,1751,378,2331,378,2371,358,2411,358,2451,338,2471,338,2491,318,2531,318,2551,298,2591,298,2631,278,2671,278,2711,258,2791,258,2811,238,2831,238,2851,218,2891,218,2931,178,2971,178,2991,158,3011,158,3051,138,3071,138,3091,118,3171,118,3191,98,3251,98,3271,78,3411,78,3431,98,3511,98,3531,118,4051,118e" filled="false" stroked="true" strokeweight="1pt" strokecolor="#ed1b2d">
              <v:path arrowok="t"/>
              <v:stroke dashstyle="solid"/>
            </v:shape>
            <v:shape style="position:absolute;left:1041;top:68;width:3020;height:340" type="#_x0000_t202" filled="false" stroked="false">
              <v:textbox inset="0,0,0,0">
                <w:txbxContent>
                  <w:p>
                    <w:pPr>
                      <w:spacing w:before="8"/>
                      <w:ind w:left="739" w:right="0" w:firstLine="0"/>
                      <w:jc w:val="left"/>
                      <w:rPr>
                        <w:sz w:val="12"/>
                      </w:rPr>
                    </w:pPr>
                    <w:r>
                      <w:rPr>
                        <w:sz w:val="12"/>
                      </w:rPr>
                      <w:t>Financial liabilities</w:t>
                    </w:r>
                  </w:p>
                </w:txbxContent>
              </v:textbox>
              <w10:wrap type="none"/>
            </v:shape>
            <w10:wrap type="none"/>
          </v:group>
        </w:pict>
      </w:r>
      <w:r>
        <w:rPr/>
        <w:pict>
          <v:line style="position:absolute;mso-position-horizontal-relative:page;mso-position-vertical-relative:paragraph;z-index:15849472" from="213.550003pt,7.901563pt" to="208.550003pt,7.901563pt" stroked="true" strokeweight=".5pt" strokecolor="#000000">
            <v:stroke dashstyle="solid"/>
            <w10:wrap type="none"/>
          </v:line>
        </w:pict>
      </w:r>
      <w:r>
        <w:rPr>
          <w:sz w:val="12"/>
        </w:rPr>
        <w:t>1</w:t>
      </w:r>
    </w:p>
    <w:p>
      <w:pPr>
        <w:pStyle w:val="BodyText"/>
        <w:rPr>
          <w:sz w:val="12"/>
        </w:rPr>
      </w:pPr>
    </w:p>
    <w:p>
      <w:pPr>
        <w:pStyle w:val="BodyText"/>
        <w:rPr>
          <w:sz w:val="12"/>
        </w:rPr>
      </w:pPr>
    </w:p>
    <w:p>
      <w:pPr>
        <w:spacing w:before="86"/>
        <w:ind w:left="3731" w:right="0" w:firstLine="0"/>
        <w:jc w:val="left"/>
        <w:rPr>
          <w:sz w:val="12"/>
        </w:rPr>
      </w:pPr>
      <w:r>
        <w:rPr/>
        <w:pict>
          <v:line style="position:absolute;mso-position-horizontal-relative:page;mso-position-vertical-relative:paragraph;z-index:15841792" from="46.549999pt,7.901563pt" to="42.549999pt,7.901563pt" stroked="true" strokeweight=".5pt" strokecolor="#000000">
            <v:stroke dashstyle="solid"/>
            <w10:wrap type="none"/>
          </v:line>
        </w:pict>
      </w:r>
      <w:r>
        <w:rPr/>
        <w:pict>
          <v:shape style="position:absolute;margin-left:52.549999pt;margin-top:3.901562pt;width:150pt;height:4pt;mso-position-horizontal-relative:page;mso-position-vertical-relative:paragraph;z-index:15848448" coordorigin="1051,78" coordsize="3000,80" path="m1051,158l4051,158m1051,158l1051,118m1151,158l1151,118m1251,158l1251,118m1351,158l1351,118m1451,158l1451,118m1571,158l1571,118m1671,158l1671,118m1771,158l1771,118m1871,158l1871,118m1971,158l1971,118m2091,158l2091,118m2191,158l2191,118m2291,158l2291,118m2391,158l2391,118m2491,158l2491,118m2591,158l2591,118m2711,158l2711,118m2811,158l2811,118m2911,158l2911,118m3011,158l3011,118m3111,158l3111,118m3231,158l3231,118m3331,158l3331,118m3431,158l3431,118m3531,158l3531,118m3631,158l3631,118m3751,158l3751,118m3851,158l3851,118m3951,158l3951,118m4051,158l4051,118m1151,158l1151,78m1671,158l1671,78m2191,158l2191,78m2711,158l2711,78m3231,158l3231,78m3751,158l3751,78e" filled="false" stroked="true" strokeweight=".5pt" strokecolor="#000000">
            <v:path arrowok="t"/>
            <v:stroke dashstyle="solid"/>
            <w10:wrap type="none"/>
          </v:shape>
        </w:pict>
      </w:r>
      <w:r>
        <w:rPr/>
        <w:pict>
          <v:line style="position:absolute;mso-position-horizontal-relative:page;mso-position-vertical-relative:paragraph;z-index:15848960" from="213.550003pt,7.901563pt" to="208.550003pt,7.901563pt" stroked="true" strokeweight=".5pt" strokecolor="#000000">
            <v:stroke dashstyle="solid"/>
            <w10:wrap type="none"/>
          </v:line>
        </w:pict>
      </w:r>
      <w:r>
        <w:rPr>
          <w:sz w:val="12"/>
        </w:rPr>
        <w:t>0</w:t>
      </w:r>
    </w:p>
    <w:p>
      <w:pPr>
        <w:tabs>
          <w:tab w:pos="980" w:val="left" w:leader="none"/>
          <w:tab w:pos="1500" w:val="left" w:leader="none"/>
          <w:tab w:pos="2020" w:val="left" w:leader="none"/>
          <w:tab w:pos="2540" w:val="left" w:leader="none"/>
          <w:tab w:pos="3060" w:val="left" w:leader="none"/>
        </w:tabs>
        <w:spacing w:before="2"/>
        <w:ind w:left="281" w:right="0" w:firstLine="0"/>
        <w:jc w:val="left"/>
        <w:rPr>
          <w:sz w:val="12"/>
        </w:rPr>
      </w:pPr>
      <w:r>
        <w:rPr>
          <w:sz w:val="12"/>
        </w:rPr>
        <w:t>1969</w:t>
        <w:tab/>
        <w:t>75</w:t>
        <w:tab/>
        <w:t>80</w:t>
        <w:tab/>
        <w:t>85</w:t>
        <w:tab/>
        <w:t>90</w:t>
        <w:tab/>
        <w:t>95</w:t>
      </w:r>
    </w:p>
    <w:p>
      <w:pPr>
        <w:pStyle w:val="BodyText"/>
        <w:spacing w:before="9"/>
        <w:rPr>
          <w:sz w:val="11"/>
        </w:rPr>
      </w:pPr>
    </w:p>
    <w:p>
      <w:pPr>
        <w:spacing w:before="0"/>
        <w:ind w:left="160" w:right="0" w:firstLine="0"/>
        <w:jc w:val="left"/>
        <w:rPr>
          <w:sz w:val="12"/>
        </w:rPr>
      </w:pPr>
      <w:r>
        <w:rPr>
          <w:color w:val="231F20"/>
          <w:sz w:val="12"/>
        </w:rPr>
        <w:t>Sources: ONS and Bank of England.</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5"/>
        </w:rPr>
      </w:pPr>
    </w:p>
    <w:p>
      <w:pPr>
        <w:pStyle w:val="Heading8"/>
        <w:spacing w:before="1"/>
        <w:ind w:left="171"/>
      </w:pPr>
      <w:r>
        <w:rPr>
          <w:color w:val="0093C1"/>
        </w:rPr>
        <w:t>Chart 2.3</w:t>
      </w:r>
    </w:p>
    <w:p>
      <w:pPr>
        <w:spacing w:before="10"/>
        <w:ind w:left="171" w:right="0" w:firstLine="0"/>
        <w:jc w:val="left"/>
        <w:rPr>
          <w:b/>
          <w:sz w:val="20"/>
        </w:rPr>
      </w:pPr>
      <w:r>
        <w:rPr>
          <w:b/>
          <w:color w:val="0093C1"/>
          <w:sz w:val="20"/>
        </w:rPr>
        <w:t>Flow of mortgage equity withdrawal (net)</w:t>
      </w:r>
    </w:p>
    <w:p>
      <w:pPr>
        <w:spacing w:before="111"/>
        <w:ind w:left="2124" w:right="0" w:firstLine="0"/>
        <w:jc w:val="left"/>
        <w:rPr>
          <w:sz w:val="12"/>
        </w:rPr>
      </w:pPr>
      <w:r>
        <w:rPr/>
        <w:pict>
          <v:line style="position:absolute;mso-position-horizontal-relative:page;mso-position-vertical-relative:paragraph;z-index:15857152" from="48.779999pt,13.65156pt" to="43.779999pt,13.65156pt" stroked="true" strokeweight=".5pt" strokecolor="#000000">
            <v:stroke dashstyle="solid"/>
            <w10:wrap type="none"/>
          </v:line>
        </w:pict>
      </w:r>
      <w:r>
        <w:rPr/>
        <w:pict>
          <v:line style="position:absolute;mso-position-horizontal-relative:page;mso-position-vertical-relative:paragraph;z-index:15862784" from="215.779999pt,13.65156pt" to="210.779999pt,13.65156pt" stroked="true" strokeweight=".5pt" strokecolor="#000000">
            <v:stroke dashstyle="solid"/>
            <w10:wrap type="none"/>
          </v:line>
        </w:pict>
      </w:r>
      <w:r>
        <w:rPr>
          <w:sz w:val="12"/>
        </w:rPr>
        <w:t>Percentage of disposable income </w:t>
      </w:r>
      <w:r>
        <w:rPr>
          <w:spacing w:val="25"/>
          <w:sz w:val="12"/>
        </w:rPr>
        <w:t> </w:t>
      </w:r>
      <w:r>
        <w:rPr>
          <w:position w:val="-5"/>
          <w:sz w:val="12"/>
        </w:rPr>
        <w:t>7</w:t>
      </w:r>
    </w:p>
    <w:p>
      <w:pPr>
        <w:pStyle w:val="BodyText"/>
        <w:spacing w:before="7"/>
        <w:rPr>
          <w:sz w:val="17"/>
        </w:rPr>
      </w:pPr>
    </w:p>
    <w:p>
      <w:pPr>
        <w:spacing w:before="0"/>
        <w:ind w:left="3785" w:right="0" w:firstLine="0"/>
        <w:jc w:val="left"/>
        <w:rPr>
          <w:sz w:val="12"/>
        </w:rPr>
      </w:pPr>
      <w:r>
        <w:rPr/>
        <w:pict>
          <v:line style="position:absolute;mso-position-horizontal-relative:page;mso-position-vertical-relative:paragraph;z-index:15856640" from="48.779999pt,5.10156pt" to="43.779999pt,5.10156pt" stroked="true" strokeweight=".5pt" strokecolor="#000000">
            <v:stroke dashstyle="solid"/>
            <w10:wrap type="none"/>
          </v:line>
        </w:pict>
      </w:r>
      <w:r>
        <w:rPr/>
        <w:pict>
          <v:group style="position:absolute;margin-left:54.279999pt;margin-top:.60156pt;width:152pt;height:138.75pt;mso-position-horizontal-relative:page;mso-position-vertical-relative:paragraph;z-index:15858176" coordorigin="1086,12" coordsize="3040,2775">
            <v:shape style="position:absolute;left:1095;top:2682;width:3000;height:100" coordorigin="1096,2682" coordsize="3000,100" path="m1096,2782l4096,2782m1096,2782l1096,2742m1156,2782l1156,2742m1216,2782l1216,2742m1276,2782l1276,2742m1336,2782l1336,2742m1396,2782l1396,2742m1466,2782l1466,2742m1536,2782l1536,2742m1596,2782l1596,2742m1656,2782l1656,2742m1716,2782l1716,2742m1776,2782l1776,2742m1836,2782l1836,2742m1916,2782l1916,2742m1976,2782l1976,2742m2036,2782l2036,2742m2096,2782l2096,2742m2156,2782l2156,2742m2223,2782l2223,2742m2291,2782l2291,2742m2356,2782l2356,2742m2416,2782l2416,2742m2476,2782l2476,2742m2536,2782l2536,2742m2596,2782l2596,2742m2656,2782l2656,2742m2726,2782l2726,2742m2796,2782l2796,2742m2856,2782l2856,2742m2916,2782l2916,2742m2976,2782l2976,2742m3036,2782l3036,2742m3096,2782l3096,2742m3156,2782l3156,2742m3226,2782l3226,2742m3296,2782l3296,2742m3356,2782l3356,2742m3416,2782l3416,2742m3476,2782l3476,2742m3536,2782l3536,2742m3596,2782l3596,2742m3656,2782l3656,2742m3726,2782l3726,2742m3796,2782l3796,2742m3856,2782l3856,2742m3916,2782l3916,2742m3976,2782l3976,2742m4036,2782l4036,2742m4096,2782l4096,2742m1096,2782l1096,2682m1336,2782l1336,2682m1596,2782l1596,2682m1836,2782l1836,2682m2096,2782l2096,2682m2356,2782l2356,2682m2596,2782l2596,2682m2856,2782l2856,2682m3096,2782l3096,2682m3356,2782l3356,2682m3596,2782l3596,2682m3856,2782l3856,2682m4096,2782l4096,2682e" filled="false" stroked="true" strokeweight=".5pt" strokecolor="#000000">
              <v:path arrowok="t"/>
              <v:stroke dashstyle="solid"/>
            </v:shape>
            <v:shape style="position:absolute;left:1095;top:22;width:3020;height:2580" coordorigin="1096,22" coordsize="3020,2580" path="m1096,882l1156,522,1216,422,1276,402,1356,682,1416,722,1476,1002,1536,462,1596,422,1656,482,1716,22,1776,1162,1856,1642,1916,1382,1976,1422,2036,1062,2096,882,2156,1022,2216,1322,2296,1162,2356,1282,2416,1362,2476,1502,2536,1622,2596,1822,2656,1902,2736,1982,2796,2422,2856,2182,2916,2262,2976,2322,3036,2162,3096,2222,3156,2142,3236,2202,3296,2222,3356,2502,3416,2602,3476,2562,3536,2582,3596,2442,3676,2362,3736,2342,3856,2062,3976,2142,4036,2302,4116,2442e" filled="false" stroked="true" strokeweight="1pt" strokecolor="#952e40">
              <v:path arrowok="t"/>
              <v:stroke dashstyle="solid"/>
            </v:shape>
            <v:shape style="position:absolute;left:1095;top:2005;width:3020;height:133" type="#_x0000_t202" filled="false" stroked="false">
              <v:textbox inset="0,0,0,0">
                <w:txbxContent>
                  <w:p>
                    <w:pPr>
                      <w:tabs>
                        <w:tab w:pos="2999" w:val="left" w:leader="none"/>
                      </w:tabs>
                      <w:spacing w:line="133" w:lineRule="exact" w:before="0"/>
                      <w:ind w:left="0" w:right="0" w:firstLine="0"/>
                      <w:jc w:val="left"/>
                      <w:rPr>
                        <w:sz w:val="12"/>
                      </w:rPr>
                    </w:pPr>
                    <w:r>
                      <w:rPr>
                        <w:sz w:val="12"/>
                        <w:u w:val="single"/>
                      </w:rPr>
                      <w:t> </w:t>
                      <w:tab/>
                    </w:r>
                  </w:p>
                </w:txbxContent>
              </v:textbox>
              <w10:wrap type="none"/>
            </v:shape>
            <w10:wrap type="none"/>
          </v:group>
        </w:pict>
      </w:r>
      <w:r>
        <w:rPr/>
        <w:pict>
          <v:line style="position:absolute;mso-position-horizontal-relative:page;mso-position-vertical-relative:paragraph;z-index:15862272" from="215.779999pt,5.10156pt" to="210.779999pt,5.10156pt" stroked="true" strokeweight=".5pt" strokecolor="#000000">
            <v:stroke dashstyle="solid"/>
            <w10:wrap type="none"/>
          </v:line>
        </w:pict>
      </w:r>
      <w:r>
        <w:rPr>
          <w:sz w:val="12"/>
        </w:rPr>
        <w:t>6</w:t>
      </w:r>
    </w:p>
    <w:p>
      <w:pPr>
        <w:pStyle w:val="BodyText"/>
        <w:spacing w:before="6"/>
        <w:rPr>
          <w:sz w:val="17"/>
        </w:rPr>
      </w:pPr>
    </w:p>
    <w:p>
      <w:pPr>
        <w:spacing w:before="0"/>
        <w:ind w:left="3785" w:right="0" w:firstLine="0"/>
        <w:jc w:val="left"/>
        <w:rPr>
          <w:sz w:val="12"/>
        </w:rPr>
      </w:pPr>
      <w:r>
        <w:rPr/>
        <w:pict>
          <v:line style="position:absolute;mso-position-horizontal-relative:page;mso-position-vertical-relative:paragraph;z-index:15856128" from="48.779999pt,5.10156pt" to="43.779999pt,5.10156pt" stroked="true" strokeweight=".5pt" strokecolor="#000000">
            <v:stroke dashstyle="solid"/>
            <w10:wrap type="none"/>
          </v:line>
        </w:pict>
      </w:r>
      <w:r>
        <w:rPr/>
        <w:pict>
          <v:line style="position:absolute;mso-position-horizontal-relative:page;mso-position-vertical-relative:paragraph;z-index:15861760" from="215.779999pt,5.10156pt" to="210.779999pt,5.10156pt" stroked="true" strokeweight=".5pt" strokecolor="#000000">
            <v:stroke dashstyle="solid"/>
            <w10:wrap type="none"/>
          </v:line>
        </w:pict>
      </w:r>
      <w:r>
        <w:rPr>
          <w:sz w:val="12"/>
        </w:rPr>
        <w:t>5</w:t>
      </w:r>
    </w:p>
    <w:p>
      <w:pPr>
        <w:pStyle w:val="BodyText"/>
        <w:spacing w:before="10"/>
        <w:rPr>
          <w:sz w:val="15"/>
        </w:rPr>
      </w:pPr>
    </w:p>
    <w:p>
      <w:pPr>
        <w:spacing w:before="0"/>
        <w:ind w:left="3785" w:right="0" w:firstLine="0"/>
        <w:jc w:val="left"/>
        <w:rPr>
          <w:sz w:val="12"/>
        </w:rPr>
      </w:pPr>
      <w:r>
        <w:rPr/>
        <w:pict>
          <v:line style="position:absolute;mso-position-horizontal-relative:page;mso-position-vertical-relative:paragraph;z-index:15855616" from="48.779999pt,6.10156pt" to="43.779999pt,6.10156pt" stroked="true" strokeweight=".5pt" strokecolor="#000000">
            <v:stroke dashstyle="solid"/>
            <w10:wrap type="none"/>
          </v:line>
        </w:pict>
      </w:r>
      <w:r>
        <w:rPr/>
        <w:pict>
          <v:line style="position:absolute;mso-position-horizontal-relative:page;mso-position-vertical-relative:paragraph;z-index:15861248" from="215.779999pt,6.10156pt" to="210.779999pt,6.10156pt" stroked="true" strokeweight=".5pt" strokecolor="#000000">
            <v:stroke dashstyle="solid"/>
            <w10:wrap type="none"/>
          </v:line>
        </w:pict>
      </w:r>
      <w:r>
        <w:rPr>
          <w:sz w:val="12"/>
        </w:rPr>
        <w:t>4</w:t>
      </w:r>
    </w:p>
    <w:p>
      <w:pPr>
        <w:pStyle w:val="BodyText"/>
        <w:spacing w:before="6"/>
        <w:rPr>
          <w:sz w:val="17"/>
        </w:rPr>
      </w:pPr>
    </w:p>
    <w:p>
      <w:pPr>
        <w:spacing w:before="0"/>
        <w:ind w:left="3785" w:right="0" w:firstLine="0"/>
        <w:jc w:val="left"/>
        <w:rPr>
          <w:sz w:val="12"/>
        </w:rPr>
      </w:pPr>
      <w:r>
        <w:rPr/>
        <w:pict>
          <v:line style="position:absolute;mso-position-horizontal-relative:page;mso-position-vertical-relative:paragraph;z-index:15855104" from="48.779999pt,5.10156pt" to="43.779999pt,5.10156pt" stroked="true" strokeweight=".5pt" strokecolor="#000000">
            <v:stroke dashstyle="solid"/>
            <w10:wrap type="none"/>
          </v:line>
        </w:pict>
      </w:r>
      <w:r>
        <w:rPr/>
        <w:pict>
          <v:line style="position:absolute;mso-position-horizontal-relative:page;mso-position-vertical-relative:paragraph;z-index:15860736" from="215.779999pt,5.10156pt" to="210.779999pt,5.10156pt" stroked="true" strokeweight=".5pt" strokecolor="#000000">
            <v:stroke dashstyle="solid"/>
            <w10:wrap type="none"/>
          </v:line>
        </w:pict>
      </w:r>
      <w:r>
        <w:rPr>
          <w:sz w:val="12"/>
        </w:rPr>
        <w:t>3</w:t>
      </w:r>
    </w:p>
    <w:p>
      <w:pPr>
        <w:pStyle w:val="BodyText"/>
        <w:spacing w:before="7"/>
        <w:rPr>
          <w:sz w:val="17"/>
        </w:rPr>
      </w:pPr>
    </w:p>
    <w:p>
      <w:pPr>
        <w:spacing w:before="0"/>
        <w:ind w:left="3785" w:right="0" w:firstLine="0"/>
        <w:jc w:val="left"/>
        <w:rPr>
          <w:sz w:val="12"/>
        </w:rPr>
      </w:pPr>
      <w:r>
        <w:rPr/>
        <w:pict>
          <v:line style="position:absolute;mso-position-horizontal-relative:page;mso-position-vertical-relative:paragraph;z-index:15854592" from="48.779999pt,5.10156pt" to="43.779999pt,5.10156pt" stroked="true" strokeweight=".5pt" strokecolor="#000000">
            <v:stroke dashstyle="solid"/>
            <w10:wrap type="none"/>
          </v:line>
        </w:pict>
      </w:r>
      <w:r>
        <w:rPr/>
        <w:pict>
          <v:line style="position:absolute;mso-position-horizontal-relative:page;mso-position-vertical-relative:paragraph;z-index:15860224" from="215.779999pt,5.10156pt" to="210.779999pt,5.10156pt" stroked="true" strokeweight=".5pt" strokecolor="#000000">
            <v:stroke dashstyle="solid"/>
            <w10:wrap type="none"/>
          </v:line>
        </w:pict>
      </w:r>
      <w:r>
        <w:rPr>
          <w:sz w:val="12"/>
        </w:rPr>
        <w:t>2</w:t>
      </w:r>
    </w:p>
    <w:p>
      <w:pPr>
        <w:pStyle w:val="BodyText"/>
        <w:spacing w:before="6"/>
        <w:rPr>
          <w:sz w:val="17"/>
        </w:rPr>
      </w:pPr>
    </w:p>
    <w:p>
      <w:pPr>
        <w:spacing w:before="0"/>
        <w:ind w:left="3785" w:right="0" w:firstLine="0"/>
        <w:jc w:val="left"/>
        <w:rPr>
          <w:sz w:val="12"/>
        </w:rPr>
      </w:pPr>
      <w:r>
        <w:rPr/>
        <w:pict>
          <v:line style="position:absolute;mso-position-horizontal-relative:page;mso-position-vertical-relative:paragraph;z-index:15854080" from="48.779999pt,5.10156pt" to="43.779999pt,5.10156pt" stroked="true" strokeweight=".5pt" strokecolor="#000000">
            <v:stroke dashstyle="solid"/>
            <w10:wrap type="none"/>
          </v:line>
        </w:pict>
      </w:r>
      <w:r>
        <w:rPr/>
        <w:pict>
          <v:line style="position:absolute;mso-position-horizontal-relative:page;mso-position-vertical-relative:paragraph;z-index:15859712" from="215.779999pt,5.10156pt" to="210.779999pt,5.10156pt" stroked="true" strokeweight=".5pt" strokecolor="#000000">
            <v:stroke dashstyle="solid"/>
            <w10:wrap type="none"/>
          </v:line>
        </w:pict>
      </w:r>
      <w:r>
        <w:rPr>
          <w:sz w:val="12"/>
        </w:rPr>
        <w:t>1</w:t>
      </w:r>
    </w:p>
    <w:p>
      <w:pPr>
        <w:spacing w:line="171" w:lineRule="exact" w:before="25"/>
        <w:ind w:left="3705" w:right="0" w:firstLine="0"/>
        <w:jc w:val="left"/>
        <w:rPr>
          <w:sz w:val="16"/>
        </w:rPr>
      </w:pPr>
      <w:r>
        <w:rPr>
          <w:color w:val="231F20"/>
          <w:sz w:val="16"/>
        </w:rPr>
        <w:t>+</w:t>
      </w:r>
    </w:p>
    <w:p>
      <w:pPr>
        <w:spacing w:line="125" w:lineRule="exact" w:before="0"/>
        <w:ind w:left="3555" w:right="0" w:firstLine="0"/>
        <w:jc w:val="center"/>
        <w:rPr>
          <w:sz w:val="12"/>
        </w:rPr>
      </w:pPr>
      <w:r>
        <w:rPr/>
        <w:pict>
          <v:line style="position:absolute;mso-position-horizontal-relative:page;mso-position-vertical-relative:paragraph;z-index:15853568" from="48.779999pt,4.435544pt" to="43.779999pt,4.435544pt" stroked="true" strokeweight=".5pt" strokecolor="#000000">
            <v:stroke dashstyle="solid"/>
            <w10:wrap type="none"/>
          </v:line>
        </w:pict>
      </w:r>
      <w:r>
        <w:rPr>
          <w:sz w:val="12"/>
          <w:u w:val="single"/>
        </w:rPr>
        <w:t>  </w:t>
      </w:r>
      <w:r>
        <w:rPr>
          <w:spacing w:val="10"/>
          <w:sz w:val="12"/>
          <w:u w:val="single"/>
        </w:rPr>
        <w:t> </w:t>
      </w:r>
      <w:r>
        <w:rPr>
          <w:sz w:val="12"/>
        </w:rPr>
        <w:t>   0</w:t>
      </w:r>
    </w:p>
    <w:p>
      <w:pPr>
        <w:spacing w:line="181" w:lineRule="exact" w:before="25"/>
        <w:ind w:left="3705" w:right="0" w:firstLine="0"/>
        <w:jc w:val="left"/>
        <w:rPr>
          <w:sz w:val="16"/>
        </w:rPr>
      </w:pPr>
      <w:r>
        <w:rPr>
          <w:color w:val="231F20"/>
          <w:sz w:val="16"/>
        </w:rPr>
        <w:t>–</w:t>
      </w:r>
    </w:p>
    <w:p>
      <w:pPr>
        <w:spacing w:line="135" w:lineRule="exact" w:before="0"/>
        <w:ind w:left="3785" w:right="0" w:firstLine="0"/>
        <w:jc w:val="left"/>
        <w:rPr>
          <w:sz w:val="12"/>
        </w:rPr>
      </w:pPr>
      <w:r>
        <w:rPr/>
        <w:pict>
          <v:line style="position:absolute;mso-position-horizontal-relative:page;mso-position-vertical-relative:paragraph;z-index:15852544" from="48.779999pt,4.935544pt" to="43.779999pt,4.935544pt" stroked="true" strokeweight=".5pt" strokecolor="#000000">
            <v:stroke dashstyle="solid"/>
            <w10:wrap type="none"/>
          </v:line>
        </w:pict>
      </w:r>
      <w:r>
        <w:rPr/>
        <w:pict>
          <v:line style="position:absolute;mso-position-horizontal-relative:page;mso-position-vertical-relative:paragraph;z-index:15858688" from="215.779999pt,4.935544pt" to="210.779999pt,4.935544pt" stroked="true" strokeweight=".5pt" strokecolor="#000000">
            <v:stroke dashstyle="solid"/>
            <w10:wrap type="none"/>
          </v:line>
        </w:pict>
      </w:r>
      <w:r>
        <w:rPr>
          <w:sz w:val="12"/>
        </w:rPr>
        <w:t>1</w:t>
      </w:r>
    </w:p>
    <w:p>
      <w:pPr>
        <w:pStyle w:val="BodyText"/>
        <w:spacing w:before="6"/>
        <w:rPr>
          <w:sz w:val="17"/>
        </w:rPr>
      </w:pPr>
    </w:p>
    <w:p>
      <w:pPr>
        <w:spacing w:line="129" w:lineRule="exact" w:before="0"/>
        <w:ind w:left="3785" w:right="0" w:firstLine="0"/>
        <w:jc w:val="left"/>
        <w:rPr>
          <w:sz w:val="12"/>
        </w:rPr>
      </w:pPr>
      <w:r>
        <w:rPr/>
        <w:pict>
          <v:line style="position:absolute;mso-position-horizontal-relative:page;mso-position-vertical-relative:paragraph;z-index:15853056" from="48.779999pt,5.10156pt" to="43.779999pt,5.10156pt" stroked="true" strokeweight=".5pt" strokecolor="#000000">
            <v:stroke dashstyle="solid"/>
            <w10:wrap type="none"/>
          </v:line>
        </w:pict>
      </w:r>
      <w:r>
        <w:rPr/>
        <w:pict>
          <v:line style="position:absolute;mso-position-horizontal-relative:page;mso-position-vertical-relative:paragraph;z-index:15859200" from="215.779999pt,5.10156pt" to="210.779999pt,5.10156pt" stroked="true" strokeweight=".5pt" strokecolor="#000000">
            <v:stroke dashstyle="solid"/>
            <w10:wrap type="none"/>
          </v:line>
        </w:pict>
      </w:r>
      <w:r>
        <w:rPr>
          <w:sz w:val="12"/>
        </w:rPr>
        <w:t>2</w:t>
      </w:r>
    </w:p>
    <w:p>
      <w:pPr>
        <w:spacing w:line="129" w:lineRule="exact" w:before="0"/>
        <w:ind w:left="435" w:right="0" w:firstLine="0"/>
        <w:jc w:val="left"/>
        <w:rPr>
          <w:sz w:val="12"/>
        </w:rPr>
      </w:pPr>
      <w:r>
        <w:rPr>
          <w:sz w:val="12"/>
        </w:rPr>
        <w:t>1986 87 88 89 90 91 92 93 94 95 96 97 98</w:t>
      </w:r>
    </w:p>
    <w:p>
      <w:pPr>
        <w:pStyle w:val="BodyText"/>
        <w:spacing w:before="4"/>
        <w:rPr>
          <w:sz w:val="12"/>
        </w:rPr>
      </w:pPr>
    </w:p>
    <w:p>
      <w:pPr>
        <w:spacing w:before="0"/>
        <w:ind w:left="180" w:right="0" w:firstLine="0"/>
        <w:jc w:val="left"/>
        <w:rPr>
          <w:sz w:val="12"/>
        </w:rPr>
      </w:pPr>
      <w:r>
        <w:rPr>
          <w:color w:val="231F20"/>
          <w:sz w:val="12"/>
        </w:rPr>
        <w:t>Source: Bank of England.</w:t>
      </w:r>
    </w:p>
    <w:p>
      <w:pPr>
        <w:pStyle w:val="Heading4"/>
        <w:spacing w:line="242" w:lineRule="auto" w:before="225"/>
        <w:ind w:left="161" w:right="225"/>
      </w:pPr>
      <w:r>
        <w:rPr/>
        <w:br w:type="column"/>
      </w:r>
      <w:r>
        <w:rPr>
          <w:color w:val="231F20"/>
        </w:rPr>
        <w:t>Consumption is influenced less by temporary changes </w:t>
      </w:r>
      <w:r>
        <w:rPr>
          <w:color w:val="231F20"/>
          <w:spacing w:val="-9"/>
        </w:rPr>
        <w:t>in </w:t>
      </w:r>
      <w:r>
        <w:rPr>
          <w:color w:val="231F20"/>
        </w:rPr>
        <w:t>income than by changes in people’s expectations about income over their lifetime, or </w:t>
      </w:r>
      <w:r>
        <w:rPr>
          <w:i/>
          <w:color w:val="231F20"/>
        </w:rPr>
        <w:t>permanent income. </w:t>
      </w:r>
      <w:r>
        <w:rPr>
          <w:color w:val="231F20"/>
        </w:rPr>
        <w:t>Even so, fluctuations in current income can affect consumption: they may </w:t>
      </w:r>
      <w:r>
        <w:rPr>
          <w:color w:val="231F20"/>
          <w:spacing w:val="-3"/>
        </w:rPr>
        <w:t>have </w:t>
      </w:r>
      <w:r>
        <w:rPr>
          <w:color w:val="231F20"/>
        </w:rPr>
        <w:t>an important influence on expectations about permanent income, and will also be important in determining the consumption of those people who </w:t>
      </w:r>
      <w:r>
        <w:rPr>
          <w:color w:val="231F20"/>
          <w:spacing w:val="-3"/>
        </w:rPr>
        <w:t>have </w:t>
      </w:r>
      <w:r>
        <w:rPr>
          <w:color w:val="231F20"/>
        </w:rPr>
        <w:t>little savings and who face high borrowing costs. Employment income continued to grow strongly in 1998 Q1, as a result of high earnings and employment gro</w:t>
      </w:r>
      <w:hyperlink w:history="true" w:anchor="_bookmark22">
        <w:r>
          <w:rPr>
            <w:color w:val="231F20"/>
          </w:rPr>
          <w:t>wth (see Section</w:t>
        </w:r>
        <w:r>
          <w:rPr>
            <w:color w:val="231F20"/>
            <w:spacing w:val="-2"/>
          </w:rPr>
          <w:t> </w:t>
        </w:r>
        <w:r>
          <w:rPr>
            <w:color w:val="231F20"/>
          </w:rPr>
          <w:t>3).</w:t>
        </w:r>
      </w:hyperlink>
    </w:p>
    <w:p>
      <w:pPr>
        <w:pStyle w:val="BodyText"/>
        <w:spacing w:before="1"/>
        <w:rPr>
          <w:sz w:val="22"/>
        </w:rPr>
      </w:pPr>
    </w:p>
    <w:p>
      <w:pPr>
        <w:spacing w:line="242" w:lineRule="auto" w:before="0"/>
        <w:ind w:left="161" w:right="195" w:firstLine="0"/>
        <w:jc w:val="left"/>
        <w:rPr>
          <w:sz w:val="24"/>
        </w:rPr>
      </w:pPr>
      <w:r>
        <w:rPr>
          <w:color w:val="231F20"/>
          <w:sz w:val="24"/>
        </w:rPr>
        <w:t>The value of personal sector financial wealth is an indicator of individuals’ permanent investment income, because it represents expectations about the future income from financial assets. Largely because of rising equity markets, the value of personal sector financial assets increased markedly in 1997 and 1998 Q1, to </w:t>
      </w:r>
      <w:r>
        <w:rPr>
          <w:color w:val="231F20"/>
          <w:spacing w:val="-4"/>
          <w:sz w:val="24"/>
        </w:rPr>
        <w:t>reach </w:t>
      </w:r>
      <w:r>
        <w:rPr>
          <w:color w:val="231F20"/>
          <w:sz w:val="24"/>
        </w:rPr>
        <w:t>a record high as a proportion of personal disposable income (see Chart 2.2); but equity prices, as measured by the F</w:t>
      </w:r>
      <w:r>
        <w:rPr>
          <w:color w:val="231F20"/>
          <w:sz w:val="20"/>
        </w:rPr>
        <w:t>T-SE </w:t>
      </w:r>
      <w:r>
        <w:rPr>
          <w:color w:val="231F20"/>
          <w:sz w:val="24"/>
        </w:rPr>
        <w:t>All-Share index, fell slightly</w:t>
      </w:r>
      <w:r>
        <w:rPr>
          <w:color w:val="231F20"/>
          <w:spacing w:val="7"/>
          <w:sz w:val="24"/>
        </w:rPr>
        <w:t> </w:t>
      </w:r>
      <w:r>
        <w:rPr>
          <w:color w:val="231F20"/>
          <w:sz w:val="24"/>
        </w:rPr>
        <w:t>through</w:t>
      </w:r>
    </w:p>
    <w:p>
      <w:pPr>
        <w:spacing w:line="242" w:lineRule="auto" w:before="11"/>
        <w:ind w:left="161" w:right="234" w:firstLine="0"/>
        <w:jc w:val="left"/>
        <w:rPr>
          <w:sz w:val="24"/>
        </w:rPr>
      </w:pPr>
      <w:r>
        <w:rPr>
          <w:color w:val="231F20"/>
          <w:sz w:val="24"/>
        </w:rPr>
        <w:t>1998 Q2. Outstanding debt reduces the amount of wealth and future income that can be devoted to consumption. But debt has been reasonably stable in </w:t>
      </w:r>
      <w:r>
        <w:rPr>
          <w:color w:val="231F20"/>
          <w:spacing w:val="-6"/>
          <w:sz w:val="24"/>
        </w:rPr>
        <w:t>the </w:t>
      </w:r>
      <w:r>
        <w:rPr>
          <w:color w:val="231F20"/>
          <w:sz w:val="24"/>
        </w:rPr>
        <w:t>past </w:t>
      </w:r>
      <w:r>
        <w:rPr>
          <w:color w:val="231F20"/>
          <w:spacing w:val="-4"/>
          <w:sz w:val="24"/>
        </w:rPr>
        <w:t>five </w:t>
      </w:r>
      <w:r>
        <w:rPr>
          <w:color w:val="231F20"/>
          <w:sz w:val="24"/>
        </w:rPr>
        <w:t>years as a proportion of disposable</w:t>
      </w:r>
      <w:r>
        <w:rPr>
          <w:color w:val="231F20"/>
          <w:spacing w:val="4"/>
          <w:sz w:val="24"/>
        </w:rPr>
        <w:t> </w:t>
      </w:r>
      <w:r>
        <w:rPr>
          <w:color w:val="231F20"/>
          <w:sz w:val="24"/>
        </w:rPr>
        <w:t>income</w:t>
      </w:r>
    </w:p>
    <w:p>
      <w:pPr>
        <w:spacing w:line="242" w:lineRule="auto" w:before="5"/>
        <w:ind w:left="161" w:right="234" w:firstLine="0"/>
        <w:jc w:val="left"/>
        <w:rPr>
          <w:sz w:val="24"/>
        </w:rPr>
      </w:pPr>
      <w:r>
        <w:rPr>
          <w:color w:val="231F20"/>
          <w:sz w:val="24"/>
        </w:rPr>
        <w:t>(see Chart 2.2); this suggests that the direct influence of outstanding debt as a constraint on consumption has changed little in the recent past. Past increases in net financial wealth should continue to underpin future consumption growth, as they typically take several quarters to have most of their effect.</w:t>
      </w:r>
    </w:p>
    <w:p>
      <w:pPr>
        <w:spacing w:line="242" w:lineRule="auto" w:before="208"/>
        <w:ind w:left="161" w:right="221" w:firstLine="0"/>
        <w:jc w:val="left"/>
        <w:rPr>
          <w:sz w:val="24"/>
        </w:rPr>
      </w:pPr>
      <w:r>
        <w:rPr>
          <w:color w:val="231F20"/>
          <w:sz w:val="24"/>
        </w:rPr>
        <w:t>Housing wealth has been rising less quickly than financial wealth (see Chart 2.2). Increases in housing wealth may have different implications for consumption compared with a similar increase in financial wealth.</w:t>
      </w:r>
    </w:p>
    <w:p>
      <w:pPr>
        <w:spacing w:line="242" w:lineRule="auto" w:before="5"/>
        <w:ind w:left="161" w:right="221" w:firstLine="0"/>
        <w:jc w:val="left"/>
        <w:rPr>
          <w:sz w:val="24"/>
        </w:rPr>
      </w:pPr>
      <w:r>
        <w:rPr>
          <w:color w:val="231F20"/>
          <w:sz w:val="24"/>
        </w:rPr>
        <w:t>The price of a house reflects the value of housing services that the house is expected to provide. So consumers cannot use housing wealth directly to boost their other consumption, unless they reduce their future consumption of housing services. If house prices rise, some consumers may sell their houses in order to realise the resulting capital gains and to increase their</w:t>
      </w:r>
    </w:p>
    <w:p>
      <w:pPr>
        <w:spacing w:line="242" w:lineRule="auto" w:before="9"/>
        <w:ind w:left="161" w:right="219" w:firstLine="0"/>
        <w:jc w:val="left"/>
        <w:rPr>
          <w:sz w:val="24"/>
        </w:rPr>
      </w:pPr>
      <w:r>
        <w:rPr>
          <w:color w:val="231F20"/>
          <w:sz w:val="24"/>
        </w:rPr>
        <w:t>non-housing consumption. But the effect of this could be largely offset by individuals who </w:t>
      </w:r>
      <w:r>
        <w:rPr>
          <w:color w:val="231F20"/>
          <w:spacing w:val="-3"/>
          <w:sz w:val="24"/>
        </w:rPr>
        <w:t>have </w:t>
      </w:r>
      <w:r>
        <w:rPr>
          <w:color w:val="231F20"/>
          <w:sz w:val="24"/>
        </w:rPr>
        <w:t>to reduce their other consumption in order to buy more expensive housing. Nevertheless, increases in housing wealth could affect the spending of individuals who would </w:t>
      </w:r>
      <w:r>
        <w:rPr>
          <w:color w:val="231F20"/>
          <w:spacing w:val="-5"/>
          <w:sz w:val="24"/>
        </w:rPr>
        <w:t>need </w:t>
      </w:r>
      <w:r>
        <w:rPr>
          <w:color w:val="231F20"/>
          <w:sz w:val="24"/>
        </w:rPr>
        <w:t>to use their house as collateral against borrowing, or for those who find the cost of borrowing on unsecured </w:t>
      </w:r>
      <w:r>
        <w:rPr>
          <w:color w:val="231F20"/>
          <w:spacing w:val="-3"/>
          <w:sz w:val="24"/>
        </w:rPr>
        <w:t>loans </w:t>
      </w:r>
      <w:r>
        <w:rPr>
          <w:color w:val="231F20"/>
          <w:sz w:val="24"/>
        </w:rPr>
        <w:t>too high. This does not appear to be happening currently, as mortgage equity withdrawal is</w:t>
      </w:r>
      <w:r>
        <w:rPr>
          <w:color w:val="231F20"/>
          <w:spacing w:val="-17"/>
          <w:sz w:val="24"/>
        </w:rPr>
        <w:t> </w:t>
      </w:r>
      <w:r>
        <w:rPr>
          <w:color w:val="231F20"/>
          <w:sz w:val="24"/>
        </w:rPr>
        <w:t>negative</w:t>
      </w:r>
    </w:p>
    <w:p>
      <w:pPr>
        <w:spacing w:after="0" w:line="242" w:lineRule="auto"/>
        <w:jc w:val="left"/>
        <w:rPr>
          <w:sz w:val="24"/>
        </w:rPr>
        <w:sectPr>
          <w:type w:val="continuous"/>
          <w:pgSz w:w="11900" w:h="16840"/>
          <w:pgMar w:top="1220" w:bottom="280" w:left="620" w:right="640"/>
          <w:cols w:num="2" w:equalWidth="0">
            <w:col w:w="3886" w:space="933"/>
            <w:col w:w="5821"/>
          </w:cols>
        </w:sectPr>
      </w:pPr>
    </w:p>
    <w:p>
      <w:pPr>
        <w:pStyle w:val="BodyText"/>
        <w:rPr>
          <w:sz w:val="20"/>
        </w:rPr>
      </w:pPr>
    </w:p>
    <w:p>
      <w:pPr>
        <w:spacing w:after="0"/>
        <w:rPr>
          <w:sz w:val="20"/>
        </w:rPr>
        <w:sectPr>
          <w:pgSz w:w="11900" w:h="16840"/>
          <w:pgMar w:header="566" w:footer="597" w:top="760" w:bottom="780" w:left="620" w:right="640"/>
        </w:sectPr>
      </w:pPr>
    </w:p>
    <w:p>
      <w:pPr>
        <w:pStyle w:val="BodyText"/>
        <w:spacing w:before="6"/>
        <w:rPr>
          <w:sz w:val="19"/>
        </w:rPr>
      </w:pPr>
    </w:p>
    <w:p>
      <w:pPr>
        <w:pStyle w:val="Heading8"/>
        <w:spacing w:before="1"/>
        <w:ind w:left="185"/>
      </w:pPr>
      <w:bookmarkStart w:name="Investment demand" w:id="45"/>
      <w:bookmarkEnd w:id="45"/>
      <w:r>
        <w:rPr>
          <w:b w:val="0"/>
        </w:rPr>
      </w:r>
      <w:bookmarkStart w:name="_bookmark18" w:id="46"/>
      <w:bookmarkEnd w:id="46"/>
      <w:r>
        <w:rPr>
          <w:b w:val="0"/>
        </w:rPr>
      </w:r>
      <w:r>
        <w:rPr>
          <w:color w:val="0093C1"/>
        </w:rPr>
        <w:t>Chart 2.4</w:t>
      </w:r>
    </w:p>
    <w:p>
      <w:pPr>
        <w:spacing w:before="10"/>
        <w:ind w:left="185" w:right="0" w:firstLine="0"/>
        <w:jc w:val="left"/>
        <w:rPr>
          <w:b/>
          <w:sz w:val="20"/>
        </w:rPr>
      </w:pPr>
      <w:r>
        <w:rPr>
          <w:b/>
          <w:color w:val="0093C1"/>
          <w:sz w:val="20"/>
        </w:rPr>
        <w:t>Consumer confidence</w:t>
      </w:r>
    </w:p>
    <w:p>
      <w:pPr>
        <w:pStyle w:val="BodyText"/>
        <w:spacing w:before="7" w:after="40"/>
        <w:rPr>
          <w:b/>
          <w:sz w:val="16"/>
        </w:rPr>
      </w:pPr>
    </w:p>
    <w:p>
      <w:pPr>
        <w:pStyle w:val="BodyText"/>
        <w:spacing w:line="20" w:lineRule="exact"/>
        <w:ind w:left="227"/>
        <w:rPr>
          <w:sz w:val="2"/>
        </w:rPr>
      </w:pPr>
      <w:r>
        <w:rPr>
          <w:sz w:val="2"/>
        </w:rPr>
        <w:pict>
          <v:group style="width:4.850pt;height:.5pt;mso-position-horizontal-relative:char;mso-position-vertical-relative:line" coordorigin="0,0" coordsize="97,10">
            <v:line style="position:absolute" from="96,5" to="0,5" stroked="true" strokeweight=".5pt" strokecolor="#000000">
              <v:stroke dashstyle="solid"/>
            </v:line>
          </v:group>
        </w:pict>
      </w:r>
      <w:r>
        <w:rPr>
          <w:sz w:val="2"/>
        </w:rPr>
      </w:r>
    </w:p>
    <w:p>
      <w:pPr>
        <w:pStyle w:val="BodyText"/>
        <w:spacing w:before="2"/>
        <w:rPr>
          <w:b/>
        </w:rPr>
      </w:pPr>
      <w:r>
        <w:rPr/>
        <w:pict>
          <v:shape style="position:absolute;margin-left:42.617001pt;margin-top:12.696pt;width:4.850pt;height:.1pt;mso-position-horizontal-relative:page;mso-position-vertical-relative:paragraph;z-index:-15593472;mso-wrap-distance-left:0;mso-wrap-distance-right:0" coordorigin="852,254" coordsize="97,0" path="m948,254l852,254e" filled="false" stroked="true" strokeweight=".5pt" strokecolor="#000000">
            <v:path arrowok="t"/>
            <v:stroke dashstyle="solid"/>
            <w10:wrap type="topAndBottom"/>
          </v:shape>
        </w:pict>
      </w:r>
      <w:r>
        <w:rPr/>
        <w:pict>
          <v:shape style="position:absolute;margin-left:42.617001pt;margin-top:28.062pt;width:4.850pt;height:.1pt;mso-position-horizontal-relative:page;mso-position-vertical-relative:paragraph;z-index:-15592960;mso-wrap-distance-left:0;mso-wrap-distance-right:0" coordorigin="852,561" coordsize="97,0" path="m948,561l852,561e" filled="false" stroked="true" strokeweight=".5pt" strokecolor="#000000">
            <v:path arrowok="t"/>
            <v:stroke dashstyle="solid"/>
            <w10:wrap type="topAndBottom"/>
          </v:shape>
        </w:pict>
      </w:r>
      <w:r>
        <w:rPr/>
        <w:pict>
          <v:shape style="position:absolute;margin-left:42.617001pt;margin-top:42.467999pt;width:4.850pt;height:.1pt;mso-position-horizontal-relative:page;mso-position-vertical-relative:paragraph;z-index:-15592448;mso-wrap-distance-left:0;mso-wrap-distance-right:0" coordorigin="852,849" coordsize="97,0" path="m948,849l852,849e" filled="false" stroked="true" strokeweight=".5pt" strokecolor="#000000">
            <v:path arrowok="t"/>
            <v:stroke dashstyle="solid"/>
            <w10:wrap type="topAndBottom"/>
          </v:shape>
        </w:pict>
      </w:r>
      <w:r>
        <w:rPr/>
        <w:pict>
          <v:shape style="position:absolute;margin-left:42.617001pt;margin-top:56.874001pt;width:4.850pt;height:.1pt;mso-position-horizontal-relative:page;mso-position-vertical-relative:paragraph;z-index:-15591936;mso-wrap-distance-left:0;mso-wrap-distance-right:0" coordorigin="852,1137" coordsize="97,0" path="m948,1137l852,1137e" filled="false" stroked="true" strokeweight=".5pt" strokecolor="#000000">
            <v:path arrowok="t"/>
            <v:stroke dashstyle="solid"/>
            <w10:wrap type="topAndBottom"/>
          </v:shape>
        </w:pict>
      </w:r>
      <w:r>
        <w:rPr/>
        <w:pict>
          <v:shape style="position:absolute;margin-left:42.617001pt;margin-top:71.279999pt;width:4.850pt;height:.1pt;mso-position-horizontal-relative:page;mso-position-vertical-relative:paragraph;z-index:-15591424;mso-wrap-distance-left:0;mso-wrap-distance-right:0" coordorigin="852,1426" coordsize="97,0" path="m948,1426l852,1426e" filled="false" stroked="true" strokeweight=".5pt" strokecolor="#000000">
            <v:path arrowok="t"/>
            <v:stroke dashstyle="solid"/>
            <w10:wrap type="topAndBottom"/>
          </v:shape>
        </w:pict>
      </w:r>
      <w:r>
        <w:rPr/>
        <w:pict>
          <v:shape style="position:absolute;margin-left:42.617001pt;margin-top:85.685997pt;width:4.850pt;height:.1pt;mso-position-horizontal-relative:page;mso-position-vertical-relative:paragraph;z-index:-15590912;mso-wrap-distance-left:0;mso-wrap-distance-right:0" coordorigin="852,1714" coordsize="97,0" path="m948,1714l852,1714e" filled="false" stroked="true" strokeweight=".5pt" strokecolor="#000000">
            <v:path arrowok="t"/>
            <v:stroke dashstyle="solid"/>
            <w10:wrap type="topAndBottom"/>
          </v:shape>
        </w:pict>
      </w:r>
      <w:r>
        <w:rPr/>
        <w:pict>
          <v:shape style="position:absolute;margin-left:42.617001pt;margin-top:100.091003pt;width:4.850pt;height:.1pt;mso-position-horizontal-relative:page;mso-position-vertical-relative:paragraph;z-index:-15590400;mso-wrap-distance-left:0;mso-wrap-distance-right:0" coordorigin="852,2002" coordsize="97,0" path="m948,2002l852,2002e" filled="false" stroked="true" strokeweight=".5pt" strokecolor="#000000">
            <v:path arrowok="t"/>
            <v:stroke dashstyle="solid"/>
            <w10:wrap type="topAndBottom"/>
          </v:shape>
        </w:pict>
      </w:r>
      <w:r>
        <w:rPr/>
        <w:pict>
          <v:shape style="position:absolute;margin-left:42.617001pt;margin-top:114.497002pt;width:4.850pt;height:.1pt;mso-position-horizontal-relative:page;mso-position-vertical-relative:paragraph;z-index:-15589888;mso-wrap-distance-left:0;mso-wrap-distance-right:0" coordorigin="852,2290" coordsize="97,0" path="m948,2290l852,2290e" filled="false" stroked="true" strokeweight=".5pt" strokecolor="#000000">
            <v:path arrowok="t"/>
            <v:stroke dashstyle="solid"/>
            <w10:wrap type="topAndBottom"/>
          </v:shape>
        </w:pict>
      </w:r>
      <w:r>
        <w:rPr/>
        <w:pict>
          <v:shape style="position:absolute;margin-left:42.617001pt;margin-top:128.9030pt;width:4.850pt;height:.1pt;mso-position-horizontal-relative:page;mso-position-vertical-relative:paragraph;z-index:-15589376;mso-wrap-distance-left:0;mso-wrap-distance-right:0" coordorigin="852,2578" coordsize="97,0" path="m948,2578l852,2578e" filled="false" stroked="true" strokeweight=".5pt" strokecolor="#000000">
            <v:path arrowok="t"/>
            <v:stroke dashstyle="solid"/>
            <w10:wrap type="topAndBottom"/>
          </v:shape>
        </w:pict>
      </w:r>
      <w:r>
        <w:rPr/>
        <w:pict>
          <v:shape style="position:absolute;margin-left:42.617001pt;margin-top:143.309006pt;width:4.850pt;height:.1pt;mso-position-horizontal-relative:page;mso-position-vertical-relative:paragraph;z-index:-15588864;mso-wrap-distance-left:0;mso-wrap-distance-right:0" coordorigin="852,2866" coordsize="97,0" path="m948,2866l852,2866e" filled="false" stroked="true" strokeweight=".5pt" strokecolor="#000000">
            <v:path arrowok="t"/>
            <v:stroke dashstyle="solid"/>
            <w10:wrap type="topAndBottom"/>
          </v:shape>
        </w:pict>
      </w:r>
    </w:p>
    <w:p>
      <w:pPr>
        <w:pStyle w:val="BodyText"/>
        <w:spacing w:before="10"/>
        <w:rPr>
          <w:b/>
          <w:sz w:val="19"/>
        </w:rPr>
      </w:pPr>
    </w:p>
    <w:p>
      <w:pPr>
        <w:pStyle w:val="BodyText"/>
        <w:spacing w:before="3"/>
        <w:rPr>
          <w:b/>
        </w:rPr>
      </w:pPr>
    </w:p>
    <w:p>
      <w:pPr>
        <w:pStyle w:val="BodyText"/>
        <w:spacing w:before="3"/>
        <w:rPr>
          <w:b/>
        </w:rPr>
      </w:pPr>
    </w:p>
    <w:p>
      <w:pPr>
        <w:pStyle w:val="BodyText"/>
        <w:spacing w:before="3"/>
        <w:rPr>
          <w:b/>
        </w:rPr>
      </w:pPr>
    </w:p>
    <w:p>
      <w:pPr>
        <w:pStyle w:val="BodyText"/>
        <w:spacing w:before="3"/>
        <w:rPr>
          <w:b/>
        </w:rPr>
      </w:pPr>
    </w:p>
    <w:p>
      <w:pPr>
        <w:pStyle w:val="BodyText"/>
        <w:spacing w:before="3"/>
        <w:rPr>
          <w:b/>
        </w:rPr>
      </w:pPr>
    </w:p>
    <w:p>
      <w:pPr>
        <w:pStyle w:val="BodyText"/>
        <w:spacing w:before="3"/>
        <w:rPr>
          <w:b/>
        </w:rPr>
      </w:pPr>
    </w:p>
    <w:p>
      <w:pPr>
        <w:pStyle w:val="BodyText"/>
        <w:spacing w:before="3"/>
        <w:rPr>
          <w:b/>
        </w:rPr>
      </w:pPr>
    </w:p>
    <w:p>
      <w:pPr>
        <w:pStyle w:val="BodyText"/>
        <w:spacing w:before="3"/>
        <w:rPr>
          <w:b/>
        </w:rPr>
      </w:pPr>
    </w:p>
    <w:p>
      <w:pPr>
        <w:pStyle w:val="BodyText"/>
        <w:rPr>
          <w:b/>
          <w:sz w:val="12"/>
        </w:rPr>
      </w:pPr>
      <w:r>
        <w:rPr/>
        <w:br w:type="column"/>
      </w:r>
      <w:r>
        <w:rPr>
          <w:b/>
          <w:sz w:val="12"/>
        </w:rPr>
      </w:r>
    </w:p>
    <w:p>
      <w:pPr>
        <w:pStyle w:val="BodyText"/>
        <w:rPr>
          <w:b/>
          <w:sz w:val="12"/>
        </w:rPr>
      </w:pPr>
    </w:p>
    <w:p>
      <w:pPr>
        <w:pStyle w:val="BodyText"/>
        <w:rPr>
          <w:b/>
          <w:sz w:val="12"/>
        </w:rPr>
      </w:pPr>
    </w:p>
    <w:p>
      <w:pPr>
        <w:pStyle w:val="BodyText"/>
        <w:rPr>
          <w:b/>
          <w:sz w:val="12"/>
        </w:rPr>
      </w:pPr>
    </w:p>
    <w:p>
      <w:pPr>
        <w:pStyle w:val="BodyText"/>
        <w:spacing w:before="4"/>
        <w:rPr>
          <w:b/>
          <w:sz w:val="17"/>
        </w:rPr>
      </w:pPr>
    </w:p>
    <w:p>
      <w:pPr>
        <w:spacing w:line="117" w:lineRule="exact" w:before="0"/>
        <w:ind w:left="57" w:right="0" w:firstLine="0"/>
        <w:jc w:val="left"/>
        <w:rPr>
          <w:sz w:val="12"/>
        </w:rPr>
      </w:pPr>
      <w:r>
        <w:rPr>
          <w:sz w:val="12"/>
        </w:rPr>
        <w:t>Three-month moving average</w:t>
      </w:r>
    </w:p>
    <w:p>
      <w:pPr>
        <w:spacing w:line="117" w:lineRule="exact" w:before="0"/>
        <w:ind w:left="1509" w:right="0" w:firstLine="0"/>
        <w:jc w:val="left"/>
        <w:rPr>
          <w:sz w:val="12"/>
        </w:rPr>
      </w:pPr>
      <w:r>
        <w:rPr/>
        <w:pict>
          <v:line style="position:absolute;mso-position-horizontal-relative:page;mso-position-vertical-relative:paragraph;z-index:15877632" from="205.884001pt,3.111835pt" to="201.082001pt,3.111835pt" stroked="true" strokeweight=".5pt" strokecolor="#000000">
            <v:stroke dashstyle="solid"/>
            <w10:wrap type="none"/>
          </v:line>
        </w:pict>
      </w:r>
      <w:r>
        <w:rPr>
          <w:sz w:val="12"/>
        </w:rPr>
        <w:t>25</w:t>
      </w:r>
    </w:p>
    <w:p>
      <w:pPr>
        <w:pStyle w:val="BodyText"/>
        <w:spacing w:before="1"/>
        <w:rPr>
          <w:sz w:val="13"/>
        </w:rPr>
      </w:pPr>
    </w:p>
    <w:p>
      <w:pPr>
        <w:spacing w:before="0"/>
        <w:ind w:left="0" w:right="38" w:firstLine="0"/>
        <w:jc w:val="right"/>
        <w:rPr>
          <w:sz w:val="12"/>
        </w:rPr>
      </w:pPr>
      <w:r>
        <w:rPr/>
        <w:pict>
          <v:group style="position:absolute;margin-left:51.721001pt;margin-top:2.700535pt;width:145.1pt;height:131.4pt;mso-position-horizontal-relative:page;mso-position-vertical-relative:paragraph;z-index:15872000" coordorigin="1034,54" coordsize="2902,2628">
            <v:line style="position:absolute" from="1044,1236" to="3926,1236" stroked="true" strokeweight=".5pt" strokecolor="#000000">
              <v:stroke dashstyle="solid"/>
            </v:line>
            <v:shape style="position:absolute;left:1044;top:64;width:2843;height:2440" coordorigin="1044,64" coordsize="2843,2440" path="m1044,2503l1083,2254,1121,2119,1160,1543,1217,1082,1256,1044,1294,1178,1352,1140,1390,1159,1429,1505,1467,1697,1525,1658,1563,1505,1601,1677,1659,1831,1698,1908,1736,1639,1774,1543,1832,1581,1870,1562,1909,1562,1966,1485,2043,1754,2082,1927,2139,2331,2216,2407,2274,2234,2312,2100,2351,2177,2389,2158,2447,2311,2485,2234,2523,2254,2562,2196,2619,2100,2658,2100,2696,2119,2754,2023,2792,1870,2831,1601,2869,1658,2927,1428,2965,1389,3004,1236,3061,1274,3100,1428,3138,1409,3177,1370,3234,1178,3273,928,3311,410,3369,64,3407,141,3445,717,3580,852,3618,1255,3676,1409,3714,1293,3753,1140,3791,1101,3849,1120,3887,1562e" filled="false" stroked="true" strokeweight="1pt" strokecolor="#faab54">
              <v:path arrowok="t"/>
              <v:stroke dashstyle="solid"/>
            </v:shape>
            <v:shape style="position:absolute;left:2388;top:736;width:1537;height:1057" coordorigin="2389,736" coordsize="1537,1057" path="m2389,1677l2447,1639,2485,1677,2523,1735,2581,1793,2619,1735,2658,1716,2696,1677,2754,1716,2792,1639,2831,1601,2869,1543,2927,1505,2965,1389,3004,1351,3061,1274,3100,1313,3138,1255,3176,1236,3234,1140,3273,1197,3311,1120,3369,967,3407,794,3445,736,3541,736,3580,871,3618,1024,3676,1082,3753,1044,3791,1044,3849,1005,3887,986,3926,1082e" filled="false" stroked="true" strokeweight="1pt" strokecolor="#008256">
              <v:path arrowok="t"/>
              <v:stroke dashstyle="solid"/>
            </v:shape>
            <v:shape style="position:absolute;left:1044;top:2580;width:2882;height:97" coordorigin="1044,2580" coordsize="2882,97" path="m1044,2676l3926,2676m1044,2676l1044,2638m1160,2676l1160,2638m1294,2676l1294,2638m1429,2676l1429,2638m1563,2676l1563,2638m1698,2676l1698,2638m1832,2676l1832,2638m1966,2676l1966,2638m2082,2676l2082,2638m2216,2676l2216,2638m2351,2676l2351,2638m2485,2676l2485,2638m2619,2676l2619,2638m2735,2676l2735,2638m2869,2676l2869,2638m3004,2676l3004,2638m3138,2676l3138,2638m3273,2676l3273,2638m3407,2676l3407,2638m3541,2676l3541,2638m3657,2676l3657,2638m3791,2676l3791,2638m3926,2676l3926,2638m1044,2676l1044,2580m1563,2676l1563,2580m2082,2676l2082,2580m2619,2676l2619,2580m3138,2676l3138,2580m3657,2676l3657,2580e" filled="false" stroked="true" strokeweight=".5pt" strokecolor="#000000">
              <v:path arrowok="t"/>
              <v:stroke dashstyle="solid"/>
            </v:shape>
            <v:shape style="position:absolute;left:2814;top:192;width:497;height:133" type="#_x0000_t202" filled="false" stroked="false">
              <v:textbox inset="0,0,0,0">
                <w:txbxContent>
                  <w:p>
                    <w:pPr>
                      <w:spacing w:line="133" w:lineRule="exact" w:before="0"/>
                      <w:ind w:left="0" w:right="0" w:firstLine="0"/>
                      <w:jc w:val="left"/>
                      <w:rPr>
                        <w:sz w:val="12"/>
                      </w:rPr>
                    </w:pPr>
                    <w:r>
                      <w:rPr>
                        <w:sz w:val="12"/>
                      </w:rPr>
                      <w:t>MORI (a)</w:t>
                    </w:r>
                  </w:p>
                </w:txbxContent>
              </v:textbox>
              <w10:wrap type="none"/>
            </v:shape>
            <v:shape style="position:absolute;left:2291;top:1502;width:430;height:133" type="#_x0000_t202" filled="false" stroked="false">
              <v:textbox inset="0,0,0,0">
                <w:txbxContent>
                  <w:p>
                    <w:pPr>
                      <w:spacing w:line="133" w:lineRule="exact" w:before="0"/>
                      <w:ind w:left="0" w:right="0" w:firstLine="0"/>
                      <w:jc w:val="left"/>
                      <w:rPr>
                        <w:sz w:val="12"/>
                      </w:rPr>
                    </w:pPr>
                    <w:r>
                      <w:rPr>
                        <w:sz w:val="12"/>
                      </w:rPr>
                      <w:t>GFK (b)</w:t>
                    </w:r>
                  </w:p>
                </w:txbxContent>
              </v:textbox>
              <w10:wrap type="none"/>
            </v:shape>
            <w10:wrap type="none"/>
          </v:group>
        </w:pict>
      </w:r>
      <w:r>
        <w:rPr/>
        <w:pict>
          <v:line style="position:absolute;mso-position-horizontal-relative:page;mso-position-vertical-relative:paragraph;z-index:15877120" from="205.884001pt,3.200535pt" to="201.082001pt,3.200535pt" stroked="true" strokeweight=".5pt" strokecolor="#000000">
            <v:stroke dashstyle="solid"/>
            <w10:wrap type="none"/>
          </v:line>
        </w:pict>
      </w:r>
      <w:r>
        <w:rPr>
          <w:sz w:val="12"/>
        </w:rPr>
        <w:t>20</w:t>
      </w:r>
    </w:p>
    <w:p>
      <w:pPr>
        <w:pStyle w:val="BodyText"/>
        <w:rPr>
          <w:sz w:val="13"/>
        </w:rPr>
      </w:pPr>
    </w:p>
    <w:p>
      <w:pPr>
        <w:spacing w:before="1"/>
        <w:ind w:left="0" w:right="38" w:firstLine="0"/>
        <w:jc w:val="right"/>
        <w:rPr>
          <w:sz w:val="12"/>
        </w:rPr>
      </w:pPr>
      <w:r>
        <w:rPr/>
        <w:pict>
          <v:line style="position:absolute;mso-position-horizontal-relative:page;mso-position-vertical-relative:paragraph;z-index:15876608" from="205.884001pt,4.21059pt" to="201.082001pt,4.21059pt" stroked="true" strokeweight=".5pt" strokecolor="#000000">
            <v:stroke dashstyle="solid"/>
            <w10:wrap type="none"/>
          </v:line>
        </w:pict>
      </w:r>
      <w:r>
        <w:rPr>
          <w:sz w:val="12"/>
        </w:rPr>
        <w:t>15</w:t>
      </w:r>
    </w:p>
    <w:p>
      <w:pPr>
        <w:pStyle w:val="BodyText"/>
        <w:rPr>
          <w:sz w:val="13"/>
        </w:rPr>
      </w:pPr>
    </w:p>
    <w:p>
      <w:pPr>
        <w:spacing w:before="0"/>
        <w:ind w:left="0" w:right="38" w:firstLine="0"/>
        <w:jc w:val="right"/>
        <w:rPr>
          <w:sz w:val="12"/>
        </w:rPr>
      </w:pPr>
      <w:r>
        <w:rPr/>
        <w:pict>
          <v:line style="position:absolute;mso-position-horizontal-relative:page;mso-position-vertical-relative:paragraph;z-index:15876096" from="205.884001pt,4.160584pt" to="201.082001pt,4.160584pt" stroked="true" strokeweight=".5pt" strokecolor="#000000">
            <v:stroke dashstyle="solid"/>
            <w10:wrap type="none"/>
          </v:line>
        </w:pict>
      </w:r>
      <w:r>
        <w:rPr>
          <w:sz w:val="12"/>
        </w:rPr>
        <w:t>10</w:t>
      </w:r>
    </w:p>
    <w:p>
      <w:pPr>
        <w:pStyle w:val="BodyText"/>
        <w:spacing w:before="1"/>
        <w:rPr>
          <w:sz w:val="13"/>
        </w:rPr>
      </w:pPr>
    </w:p>
    <w:p>
      <w:pPr>
        <w:spacing w:line="118" w:lineRule="exact" w:before="0"/>
        <w:ind w:left="1568" w:right="0" w:firstLine="0"/>
        <w:jc w:val="left"/>
        <w:rPr>
          <w:sz w:val="12"/>
        </w:rPr>
      </w:pPr>
      <w:r>
        <w:rPr/>
        <w:pict>
          <v:line style="position:absolute;mso-position-horizontal-relative:page;mso-position-vertical-relative:paragraph;z-index:15875584" from="205.884001pt,4.161555pt" to="201.082001pt,4.161555pt" stroked="true" strokeweight=".5pt" strokecolor="#000000">
            <v:stroke dashstyle="solid"/>
            <w10:wrap type="none"/>
          </v:line>
        </w:pict>
      </w:r>
      <w:r>
        <w:rPr>
          <w:sz w:val="12"/>
        </w:rPr>
        <w:t>5</w:t>
      </w:r>
    </w:p>
    <w:p>
      <w:pPr>
        <w:spacing w:line="164" w:lineRule="exact" w:before="0"/>
        <w:ind w:left="1335" w:right="0" w:firstLine="0"/>
        <w:jc w:val="left"/>
        <w:rPr>
          <w:sz w:val="16"/>
        </w:rPr>
      </w:pPr>
      <w:r>
        <w:rPr>
          <w:sz w:val="16"/>
        </w:rPr>
        <w:t>+</w:t>
      </w:r>
    </w:p>
    <w:p>
      <w:pPr>
        <w:spacing w:before="7"/>
        <w:ind w:left="1335" w:right="0" w:firstLine="0"/>
        <w:jc w:val="left"/>
        <w:rPr>
          <w:sz w:val="12"/>
        </w:rPr>
      </w:pPr>
      <w:r>
        <w:rPr/>
        <w:pict>
          <v:line style="position:absolute;mso-position-horizontal-relative:page;mso-position-vertical-relative:paragraph;z-index:-21052928" from="205.884001pt,4.511549pt" to="201.082001pt,4.511549pt" stroked="true" strokeweight=".5pt" strokecolor="#000000">
            <v:stroke dashstyle="solid"/>
            <w10:wrap type="none"/>
          </v:line>
        </w:pict>
      </w:r>
      <w:r>
        <w:rPr>
          <w:position w:val="-9"/>
          <w:sz w:val="16"/>
        </w:rPr>
        <w:t>_  </w:t>
      </w:r>
      <w:r>
        <w:rPr>
          <w:spacing w:val="32"/>
          <w:position w:val="-9"/>
          <w:sz w:val="16"/>
        </w:rPr>
        <w:t> </w:t>
      </w:r>
      <w:r>
        <w:rPr>
          <w:sz w:val="12"/>
        </w:rPr>
        <w:t>0</w:t>
      </w:r>
    </w:p>
    <w:p>
      <w:pPr>
        <w:spacing w:before="41"/>
        <w:ind w:left="0" w:right="40" w:firstLine="0"/>
        <w:jc w:val="right"/>
        <w:rPr>
          <w:sz w:val="12"/>
        </w:rPr>
      </w:pPr>
      <w:r>
        <w:rPr/>
        <w:pict>
          <v:line style="position:absolute;mso-position-horizontal-relative:page;mso-position-vertical-relative:paragraph;z-index:15872512" from="205.884001pt,6.211544pt" to="201.082001pt,6.211544pt" stroked="true" strokeweight=".5pt" strokecolor="#000000">
            <v:stroke dashstyle="solid"/>
            <w10:wrap type="none"/>
          </v:line>
        </w:pict>
      </w:r>
      <w:r>
        <w:rPr>
          <w:sz w:val="12"/>
        </w:rPr>
        <w:t>5</w:t>
      </w:r>
    </w:p>
    <w:p>
      <w:pPr>
        <w:pStyle w:val="BodyText"/>
        <w:spacing w:before="1"/>
        <w:rPr>
          <w:sz w:val="13"/>
        </w:rPr>
      </w:pPr>
    </w:p>
    <w:p>
      <w:pPr>
        <w:spacing w:before="0"/>
        <w:ind w:left="0" w:right="39" w:firstLine="0"/>
        <w:jc w:val="right"/>
        <w:rPr>
          <w:sz w:val="12"/>
        </w:rPr>
      </w:pPr>
      <w:r>
        <w:rPr/>
        <w:pict>
          <v:line style="position:absolute;mso-position-horizontal-relative:page;mso-position-vertical-relative:paragraph;z-index:15873024" from="205.884001pt,4.160538pt" to="201.082001pt,4.160538pt" stroked="true" strokeweight=".5pt" strokecolor="#000000">
            <v:stroke dashstyle="solid"/>
            <w10:wrap type="none"/>
          </v:line>
        </w:pict>
      </w:r>
      <w:r>
        <w:rPr>
          <w:sz w:val="12"/>
        </w:rPr>
        <w:t>10</w:t>
      </w:r>
    </w:p>
    <w:p>
      <w:pPr>
        <w:pStyle w:val="BodyText"/>
        <w:rPr>
          <w:sz w:val="13"/>
        </w:rPr>
      </w:pPr>
    </w:p>
    <w:p>
      <w:pPr>
        <w:spacing w:before="1"/>
        <w:ind w:left="0" w:right="39" w:firstLine="0"/>
        <w:jc w:val="right"/>
        <w:rPr>
          <w:sz w:val="12"/>
        </w:rPr>
      </w:pPr>
      <w:r>
        <w:rPr/>
        <w:pict>
          <v:line style="position:absolute;mso-position-horizontal-relative:page;mso-position-vertical-relative:paragraph;z-index:15873536" from="205.884001pt,4.210593pt" to="201.082001pt,4.210593pt" stroked="true" strokeweight=".5pt" strokecolor="#000000">
            <v:stroke dashstyle="solid"/>
            <w10:wrap type="none"/>
          </v:line>
        </w:pict>
      </w:r>
      <w:r>
        <w:rPr>
          <w:sz w:val="12"/>
        </w:rPr>
        <w:t>15</w:t>
      </w:r>
    </w:p>
    <w:p>
      <w:pPr>
        <w:pStyle w:val="BodyText"/>
        <w:rPr>
          <w:sz w:val="13"/>
        </w:rPr>
      </w:pPr>
    </w:p>
    <w:p>
      <w:pPr>
        <w:spacing w:before="0"/>
        <w:ind w:left="0" w:right="39" w:firstLine="0"/>
        <w:jc w:val="right"/>
        <w:rPr>
          <w:sz w:val="12"/>
        </w:rPr>
      </w:pPr>
      <w:r>
        <w:rPr/>
        <w:pict>
          <v:line style="position:absolute;mso-position-horizontal-relative:page;mso-position-vertical-relative:paragraph;z-index:15874048" from="205.884001pt,4.160587pt" to="201.082001pt,4.160587pt" stroked="true" strokeweight=".5pt" strokecolor="#000000">
            <v:stroke dashstyle="solid"/>
            <w10:wrap type="none"/>
          </v:line>
        </w:pict>
      </w:r>
      <w:r>
        <w:rPr>
          <w:sz w:val="12"/>
        </w:rPr>
        <w:t>20</w:t>
      </w:r>
    </w:p>
    <w:p>
      <w:pPr>
        <w:pStyle w:val="BodyText"/>
        <w:spacing w:before="1"/>
        <w:rPr>
          <w:sz w:val="13"/>
        </w:rPr>
      </w:pPr>
    </w:p>
    <w:p>
      <w:pPr>
        <w:spacing w:line="120" w:lineRule="exact" w:before="0"/>
        <w:ind w:left="1508" w:right="0" w:firstLine="0"/>
        <w:jc w:val="left"/>
        <w:rPr>
          <w:sz w:val="12"/>
        </w:rPr>
      </w:pPr>
      <w:r>
        <w:rPr/>
        <w:pict>
          <v:line style="position:absolute;mso-position-horizontal-relative:page;mso-position-vertical-relative:paragraph;z-index:15874560" from="205.884001pt,4.160581pt" to="201.082001pt,4.160581pt" stroked="true" strokeweight=".5pt" strokecolor="#000000">
            <v:stroke dashstyle="solid"/>
            <w10:wrap type="none"/>
          </v:line>
        </w:pict>
      </w:r>
      <w:r>
        <w:rPr>
          <w:sz w:val="12"/>
        </w:rPr>
        <w:t>25</w:t>
      </w:r>
    </w:p>
    <w:p>
      <w:pPr>
        <w:pStyle w:val="Heading4"/>
        <w:spacing w:line="242" w:lineRule="auto" w:before="225"/>
        <w:ind w:left="185" w:right="263"/>
      </w:pPr>
      <w:r>
        <w:rPr/>
        <w:br w:type="column"/>
      </w:r>
      <w:r>
        <w:rPr>
          <w:color w:val="231F20"/>
        </w:rPr>
        <w:t>(see Chart 2.3). House prices may also act as a leading indicator of consumption, in that they are a signal of consumers’ confidence about the future. House price </w:t>
      </w:r>
      <w:hyperlink w:history="true" w:anchor="_bookmark0">
        <w:r>
          <w:rPr>
            <w:color w:val="231F20"/>
          </w:rPr>
          <w:t>inflation appears to be moderating (see Section 1).</w:t>
        </w:r>
      </w:hyperlink>
    </w:p>
    <w:p>
      <w:pPr>
        <w:spacing w:line="242" w:lineRule="auto" w:before="5"/>
        <w:ind w:left="185" w:right="802" w:firstLine="0"/>
        <w:jc w:val="left"/>
        <w:rPr>
          <w:sz w:val="24"/>
        </w:rPr>
      </w:pPr>
      <w:r>
        <w:rPr>
          <w:color w:val="231F20"/>
          <w:sz w:val="24"/>
        </w:rPr>
        <w:t>Moreover, consumer confidence has been falling, according to both the M</w:t>
      </w:r>
      <w:r>
        <w:rPr>
          <w:color w:val="231F20"/>
          <w:sz w:val="20"/>
        </w:rPr>
        <w:t>ORI </w:t>
      </w:r>
      <w:r>
        <w:rPr>
          <w:color w:val="231F20"/>
          <w:sz w:val="24"/>
        </w:rPr>
        <w:t>and GFK surveys (see Chart 2.4).</w:t>
      </w:r>
    </w:p>
    <w:p>
      <w:pPr>
        <w:pStyle w:val="BodyText"/>
        <w:spacing w:before="8"/>
        <w:rPr>
          <w:sz w:val="24"/>
        </w:rPr>
      </w:pPr>
    </w:p>
    <w:p>
      <w:pPr>
        <w:spacing w:line="242" w:lineRule="auto" w:before="0"/>
        <w:ind w:left="185" w:right="263" w:firstLine="0"/>
        <w:jc w:val="left"/>
        <w:rPr>
          <w:sz w:val="24"/>
        </w:rPr>
      </w:pPr>
      <w:r>
        <w:rPr>
          <w:color w:val="231F20"/>
          <w:sz w:val="24"/>
        </w:rPr>
        <w:t>Consumption growth may have slowed in 1998 Q2. Quarterly retail sales growth declined from 0.9% in 1998 Q1 to 0.3% in 1998 Q2. There was also a sharp fall in the growth of new private car registrations on a year earlier. The goods covered by the retail sales data</w:t>
      </w:r>
    </w:p>
    <w:p>
      <w:pPr>
        <w:spacing w:after="0" w:line="242" w:lineRule="auto"/>
        <w:jc w:val="left"/>
        <w:rPr>
          <w:sz w:val="24"/>
        </w:rPr>
        <w:sectPr>
          <w:type w:val="continuous"/>
          <w:pgSz w:w="11900" w:h="16840"/>
          <w:pgMar w:top="1220" w:bottom="280" w:left="620" w:right="640"/>
          <w:cols w:num="3" w:equalWidth="0">
            <w:col w:w="2036" w:space="40"/>
            <w:col w:w="1670" w:space="1060"/>
            <w:col w:w="5834"/>
          </w:cols>
        </w:sectPr>
      </w:pPr>
    </w:p>
    <w:p>
      <w:pPr>
        <w:tabs>
          <w:tab w:pos="1163" w:val="left" w:leader="none"/>
          <w:tab w:pos="1682" w:val="left" w:leader="none"/>
          <w:tab w:pos="2201" w:val="left" w:leader="none"/>
          <w:tab w:pos="2738" w:val="left" w:leader="none"/>
          <w:tab w:pos="3123" w:val="left" w:leader="none"/>
        </w:tabs>
        <w:spacing w:line="124" w:lineRule="exact" w:before="0"/>
        <w:ind w:left="549" w:right="0" w:firstLine="0"/>
        <w:jc w:val="left"/>
        <w:rPr>
          <w:sz w:val="12"/>
        </w:rPr>
      </w:pPr>
      <w:r>
        <w:rPr>
          <w:sz w:val="12"/>
        </w:rPr>
        <w:t>1993</w:t>
        <w:tab/>
        <w:t>94</w:t>
        <w:tab/>
        <w:t>95</w:t>
        <w:tab/>
        <w:t>96</w:t>
        <w:tab/>
        <w:t>97</w:t>
        <w:tab/>
        <w:t>98</w:t>
      </w:r>
    </w:p>
    <w:p>
      <w:pPr>
        <w:spacing w:before="93"/>
        <w:ind w:left="190" w:right="0" w:firstLine="0"/>
        <w:jc w:val="left"/>
        <w:rPr>
          <w:sz w:val="12"/>
        </w:rPr>
      </w:pPr>
      <w:r>
        <w:rPr>
          <w:color w:val="231F20"/>
          <w:sz w:val="12"/>
        </w:rPr>
        <w:t>Sources: MORI and GFK.</w:t>
      </w:r>
    </w:p>
    <w:p>
      <w:pPr>
        <w:pStyle w:val="BodyText"/>
        <w:spacing w:before="1"/>
        <w:rPr>
          <w:sz w:val="10"/>
        </w:rPr>
      </w:pPr>
    </w:p>
    <w:p>
      <w:pPr>
        <w:pStyle w:val="ListParagraph"/>
        <w:numPr>
          <w:ilvl w:val="0"/>
          <w:numId w:val="17"/>
        </w:numPr>
        <w:tabs>
          <w:tab w:pos="430" w:val="left" w:leader="none"/>
        </w:tabs>
        <w:spacing w:line="208" w:lineRule="auto" w:before="0" w:after="0"/>
        <w:ind w:left="430" w:right="262" w:hanging="240"/>
        <w:jc w:val="both"/>
        <w:rPr>
          <w:sz w:val="12"/>
        </w:rPr>
      </w:pPr>
      <w:r>
        <w:rPr>
          <w:color w:val="231F20"/>
          <w:sz w:val="12"/>
        </w:rPr>
        <w:t>Balance of responses to question: ‘Do you think that the general economic condition of the country will improve, stay the same </w:t>
      </w:r>
      <w:r>
        <w:rPr>
          <w:color w:val="231F20"/>
          <w:spacing w:val="-9"/>
          <w:sz w:val="12"/>
        </w:rPr>
        <w:t>or </w:t>
      </w:r>
      <w:r>
        <w:rPr>
          <w:color w:val="231F20"/>
          <w:sz w:val="12"/>
        </w:rPr>
        <w:t>get worse over the next twelve months?’</w:t>
      </w:r>
    </w:p>
    <w:p>
      <w:pPr>
        <w:pStyle w:val="ListParagraph"/>
        <w:numPr>
          <w:ilvl w:val="0"/>
          <w:numId w:val="17"/>
        </w:numPr>
        <w:tabs>
          <w:tab w:pos="431" w:val="left" w:leader="none"/>
        </w:tabs>
        <w:spacing w:line="208" w:lineRule="auto" w:before="0" w:after="0"/>
        <w:ind w:left="430" w:right="325" w:hanging="240"/>
        <w:jc w:val="both"/>
        <w:rPr>
          <w:sz w:val="12"/>
        </w:rPr>
      </w:pPr>
      <w:r>
        <w:rPr>
          <w:color w:val="231F20"/>
          <w:sz w:val="12"/>
        </w:rPr>
        <w:t>Bank estimate which weights together response balances from </w:t>
      </w:r>
      <w:r>
        <w:rPr>
          <w:color w:val="231F20"/>
          <w:spacing w:val="-18"/>
          <w:sz w:val="12"/>
        </w:rPr>
        <w:t>a </w:t>
      </w:r>
      <w:r>
        <w:rPr>
          <w:color w:val="231F20"/>
          <w:sz w:val="12"/>
        </w:rPr>
        <w:t>GFK survey about the economic situation.</w:t>
      </w:r>
    </w:p>
    <w:p>
      <w:pPr>
        <w:pStyle w:val="BodyText"/>
        <w:rPr>
          <w:sz w:val="12"/>
        </w:rPr>
      </w:pPr>
    </w:p>
    <w:p>
      <w:pPr>
        <w:pStyle w:val="BodyText"/>
        <w:rPr>
          <w:sz w:val="12"/>
        </w:rPr>
      </w:pPr>
    </w:p>
    <w:p>
      <w:pPr>
        <w:pStyle w:val="Heading8"/>
        <w:spacing w:before="95"/>
        <w:ind w:left="224"/>
      </w:pPr>
      <w:r>
        <w:rPr>
          <w:color w:val="0093C1"/>
        </w:rPr>
        <w:t>Chart 2.5</w:t>
      </w:r>
    </w:p>
    <w:p>
      <w:pPr>
        <w:spacing w:before="10"/>
        <w:ind w:left="224" w:right="0" w:firstLine="0"/>
        <w:jc w:val="left"/>
        <w:rPr>
          <w:b/>
          <w:sz w:val="20"/>
        </w:rPr>
      </w:pPr>
      <w:r>
        <w:rPr>
          <w:b/>
          <w:color w:val="0093C1"/>
          <w:sz w:val="20"/>
        </w:rPr>
        <w:t>Quarterly investment growth</w:t>
      </w:r>
    </w:p>
    <w:p>
      <w:pPr>
        <w:pStyle w:val="BodyText"/>
        <w:spacing w:before="1"/>
        <w:rPr>
          <w:b/>
          <w:sz w:val="22"/>
        </w:rPr>
      </w:pPr>
    </w:p>
    <w:p>
      <w:pPr>
        <w:spacing w:before="1"/>
        <w:ind w:left="0" w:right="69" w:firstLine="0"/>
        <w:jc w:val="right"/>
        <w:rPr>
          <w:sz w:val="12"/>
        </w:rPr>
      </w:pPr>
      <w:r>
        <w:rPr/>
        <w:pict>
          <v:group style="position:absolute;margin-left:46pt;margin-top:-2.69512pt;width:171.05pt;height:144.35pt;mso-position-horizontal-relative:page;mso-position-vertical-relative:paragraph;z-index:15869952" coordorigin="920,-54" coordsize="3421,2887">
            <v:shape style="position:absolute;left:920;top:103;width:100;height:2560" coordorigin="920,103" coordsize="100,2560" path="m1020,2243l920,2243m1020,2663l920,2663m1020,1803l920,1803m1020,1383l920,1383m1020,963l920,963m1020,523l920,523m1020,103l920,103e" filled="false" stroked="true" strokeweight=".5pt" strokecolor="#000000">
              <v:path arrowok="t"/>
              <v:stroke dashstyle="solid"/>
            </v:shape>
            <v:shape style="position:absolute;left:1100;top:163;width:3000;height:2660" coordorigin="1100,163" coordsize="3000,2660" path="m1100,2403l1200,2403,1320,1643,1420,1863,1540,1983,1640,2183,1760,1563,1880,1063,1980,2823,2100,1483,2200,1043,2320,623,2420,2563,2540,863,2660,743,2760,2283,2880,1203,2980,2663,3100,1763,3200,1743,3320,703,3420,1903,3540,1763,3660,1023,3760,623,3880,1503,3980,1363,4100,163e" filled="false" stroked="true" strokeweight="1pt" strokecolor="#ed1b2d">
              <v:path arrowok="t"/>
              <v:stroke dashstyle="solid"/>
            </v:shape>
            <v:shape style="position:absolute;left:4150;top:103;width:100;height:2560" coordorigin="4150,103" coordsize="100,2560" path="m4250,2243l4150,2243m4250,2663l4150,2663m4250,1383l4150,1383m4250,963l4150,963m4250,523l4150,523m4250,103l4150,103e" filled="false" stroked="true" strokeweight=".5pt" strokecolor="#000000">
              <v:path arrowok="t"/>
              <v:stroke dashstyle="solid"/>
            </v:shape>
            <v:shape style="position:absolute;left:2419;top:-54;width:1856;height:133" type="#_x0000_t202" filled="false" stroked="false">
              <v:textbox inset="0,0,0,0">
                <w:txbxContent>
                  <w:p>
                    <w:pPr>
                      <w:spacing w:line="133" w:lineRule="exact" w:before="0"/>
                      <w:ind w:left="0" w:right="0" w:firstLine="0"/>
                      <w:jc w:val="left"/>
                      <w:rPr>
                        <w:sz w:val="12"/>
                      </w:rPr>
                    </w:pPr>
                    <w:r>
                      <w:rPr>
                        <w:sz w:val="12"/>
                      </w:rPr>
                      <w:t>Percentage change on a quarter earlier</w:t>
                    </w:r>
                  </w:p>
                </w:txbxContent>
              </v:textbox>
              <w10:wrap type="none"/>
            </v:shape>
            <v:shape style="position:absolute;left:1080;top:1490;width:3261;height:598" type="#_x0000_t202" filled="false" stroked="false">
              <v:textbox inset="0,0,0,0">
                <w:txbxContent>
                  <w:p>
                    <w:pPr>
                      <w:spacing w:line="177" w:lineRule="exact" w:before="0"/>
                      <w:ind w:left="3150" w:right="0" w:firstLine="0"/>
                      <w:jc w:val="left"/>
                      <w:rPr>
                        <w:sz w:val="16"/>
                      </w:rPr>
                    </w:pPr>
                    <w:r>
                      <w:rPr>
                        <w:sz w:val="16"/>
                      </w:rPr>
                      <w:t>+</w:t>
                    </w:r>
                  </w:p>
                  <w:p>
                    <w:pPr>
                      <w:tabs>
                        <w:tab w:pos="3169" w:val="left" w:leader="none"/>
                      </w:tabs>
                      <w:spacing w:before="53"/>
                      <w:ind w:left="0" w:right="0" w:firstLine="0"/>
                      <w:jc w:val="left"/>
                      <w:rPr>
                        <w:sz w:val="12"/>
                      </w:rPr>
                    </w:pPr>
                    <w:r>
                      <w:rPr>
                        <w:sz w:val="12"/>
                        <w:u w:val="single"/>
                      </w:rPr>
                      <w:t> </w:t>
                      <w:tab/>
                    </w:r>
                  </w:p>
                  <w:p>
                    <w:pPr>
                      <w:spacing w:before="45"/>
                      <w:ind w:left="3160" w:right="0" w:firstLine="0"/>
                      <w:jc w:val="left"/>
                      <w:rPr>
                        <w:sz w:val="16"/>
                      </w:rPr>
                    </w:pPr>
                    <w:r>
                      <w:rPr>
                        <w:color w:val="231F20"/>
                        <w:sz w:val="16"/>
                      </w:rPr>
                      <w:t>–</w:t>
                    </w:r>
                  </w:p>
                </w:txbxContent>
              </v:textbox>
              <w10:wrap type="none"/>
            </v:shape>
            <w10:wrap type="none"/>
          </v:group>
        </w:pict>
      </w:r>
      <w:r>
        <w:rPr>
          <w:sz w:val="12"/>
        </w:rPr>
        <w:t>4</w:t>
      </w:r>
    </w:p>
    <w:p>
      <w:pPr>
        <w:pStyle w:val="BodyText"/>
        <w:rPr>
          <w:sz w:val="12"/>
        </w:rPr>
      </w:pPr>
    </w:p>
    <w:p>
      <w:pPr>
        <w:pStyle w:val="BodyText"/>
        <w:spacing w:before="2"/>
        <w:rPr>
          <w:sz w:val="14"/>
        </w:rPr>
      </w:pPr>
    </w:p>
    <w:p>
      <w:pPr>
        <w:spacing w:before="1"/>
        <w:ind w:left="0" w:right="49" w:firstLine="0"/>
        <w:jc w:val="right"/>
        <w:rPr>
          <w:sz w:val="12"/>
        </w:rPr>
      </w:pPr>
      <w:r>
        <w:rPr>
          <w:sz w:val="12"/>
        </w:rPr>
        <w:t>3</w:t>
      </w:r>
    </w:p>
    <w:p>
      <w:pPr>
        <w:pStyle w:val="BodyText"/>
        <w:rPr>
          <w:sz w:val="12"/>
        </w:rPr>
      </w:pPr>
    </w:p>
    <w:p>
      <w:pPr>
        <w:pStyle w:val="BodyText"/>
        <w:spacing w:before="2"/>
        <w:rPr>
          <w:sz w:val="14"/>
        </w:rPr>
      </w:pPr>
    </w:p>
    <w:p>
      <w:pPr>
        <w:spacing w:before="1"/>
        <w:ind w:left="0" w:right="69" w:firstLine="0"/>
        <w:jc w:val="right"/>
        <w:rPr>
          <w:sz w:val="12"/>
        </w:rPr>
      </w:pPr>
      <w:r>
        <w:rPr>
          <w:sz w:val="12"/>
        </w:rPr>
        <w:t>2</w:t>
      </w:r>
    </w:p>
    <w:p>
      <w:pPr>
        <w:pStyle w:val="BodyText"/>
        <w:rPr>
          <w:sz w:val="12"/>
        </w:rPr>
      </w:pPr>
    </w:p>
    <w:p>
      <w:pPr>
        <w:pStyle w:val="BodyText"/>
        <w:spacing w:before="5"/>
        <w:rPr>
          <w:sz w:val="12"/>
        </w:rPr>
      </w:pPr>
    </w:p>
    <w:p>
      <w:pPr>
        <w:spacing w:before="1"/>
        <w:ind w:left="0" w:right="49" w:firstLine="0"/>
        <w:jc w:val="right"/>
        <w:rPr>
          <w:sz w:val="12"/>
        </w:rPr>
      </w:pPr>
      <w:r>
        <w:rPr>
          <w:sz w:val="12"/>
        </w:rPr>
        <w:t>1</w:t>
      </w:r>
    </w:p>
    <w:p>
      <w:pPr>
        <w:pStyle w:val="BodyText"/>
        <w:rPr>
          <w:sz w:val="12"/>
        </w:rPr>
      </w:pPr>
    </w:p>
    <w:p>
      <w:pPr>
        <w:pStyle w:val="BodyText"/>
        <w:spacing w:before="5"/>
        <w:rPr>
          <w:sz w:val="12"/>
        </w:rPr>
      </w:pPr>
    </w:p>
    <w:p>
      <w:pPr>
        <w:spacing w:before="1"/>
        <w:ind w:left="0" w:right="69" w:firstLine="0"/>
        <w:jc w:val="right"/>
        <w:rPr>
          <w:sz w:val="12"/>
        </w:rPr>
      </w:pPr>
      <w:r>
        <w:rPr>
          <w:sz w:val="12"/>
        </w:rPr>
        <w:t>0</w:t>
      </w:r>
    </w:p>
    <w:p>
      <w:pPr>
        <w:pStyle w:val="BodyText"/>
        <w:rPr>
          <w:sz w:val="12"/>
        </w:rPr>
      </w:pPr>
    </w:p>
    <w:p>
      <w:pPr>
        <w:pStyle w:val="BodyText"/>
        <w:spacing w:before="2"/>
        <w:rPr>
          <w:sz w:val="14"/>
        </w:rPr>
      </w:pPr>
    </w:p>
    <w:p>
      <w:pPr>
        <w:spacing w:before="1"/>
        <w:ind w:left="0" w:right="38" w:firstLine="0"/>
        <w:jc w:val="right"/>
        <w:rPr>
          <w:sz w:val="12"/>
        </w:rPr>
      </w:pPr>
      <w:r>
        <w:rPr>
          <w:sz w:val="12"/>
        </w:rPr>
        <w:t>1</w:t>
      </w:r>
    </w:p>
    <w:p>
      <w:pPr>
        <w:pStyle w:val="Heading4"/>
        <w:spacing w:line="242" w:lineRule="auto" w:before="6"/>
        <w:ind w:left="190" w:right="218"/>
      </w:pPr>
      <w:r>
        <w:rPr/>
        <w:br w:type="column"/>
      </w:r>
      <w:r>
        <w:rPr>
          <w:color w:val="231F20"/>
        </w:rPr>
        <w:t>and car registrations account for approximately half of consumers’ expenditure. The consumers’ expenditure data in 1998 Q2 are likely to be affected by the weather: the wet conditions in April and June discouraged shopping and in particular purchases of seasonal goods such as summer clothes, but the cold temperatures also boosted energy consumption. A number of factors have probably contributed to a slowdown in underlying consumers’ expenditure, albeit from a rapid rate: tighter monetary policy; the fading effect of building society windfalls, which temporarily boosted consumer spending last year; and a declining trend in housing turnover, which may be depressing consumer durables expenditure.</w:t>
      </w:r>
    </w:p>
    <w:p>
      <w:pPr>
        <w:pStyle w:val="BodyText"/>
        <w:spacing w:before="1"/>
        <w:rPr>
          <w:sz w:val="33"/>
        </w:rPr>
      </w:pPr>
    </w:p>
    <w:p>
      <w:pPr>
        <w:pStyle w:val="ListParagraph"/>
        <w:numPr>
          <w:ilvl w:val="1"/>
          <w:numId w:val="15"/>
        </w:numPr>
        <w:tabs>
          <w:tab w:pos="3111" w:val="left" w:leader="none"/>
          <w:tab w:pos="3113" w:val="left" w:leader="none"/>
        </w:tabs>
        <w:spacing w:line="240" w:lineRule="auto" w:before="0" w:after="0"/>
        <w:ind w:left="3112" w:right="0" w:hanging="2923"/>
        <w:jc w:val="left"/>
        <w:rPr>
          <w:b/>
          <w:color w:val="009483"/>
          <w:sz w:val="28"/>
        </w:rPr>
      </w:pPr>
      <w:r>
        <w:rPr>
          <w:b/>
          <w:color w:val="009483"/>
          <w:sz w:val="28"/>
          <w:u w:val="thick" w:color="0093C1"/>
        </w:rPr>
        <w:t>Investment</w:t>
      </w:r>
      <w:r>
        <w:rPr>
          <w:b/>
          <w:color w:val="009483"/>
          <w:spacing w:val="-3"/>
          <w:sz w:val="28"/>
          <w:u w:val="thick" w:color="0093C1"/>
        </w:rPr>
        <w:t> </w:t>
      </w:r>
      <w:r>
        <w:rPr>
          <w:b/>
          <w:color w:val="009483"/>
          <w:sz w:val="28"/>
          <w:u w:val="thick" w:color="0093C1"/>
        </w:rPr>
        <w:t>demand</w:t>
      </w:r>
      <w:r>
        <w:rPr>
          <w:b/>
          <w:color w:val="009483"/>
          <w:spacing w:val="-11"/>
          <w:sz w:val="28"/>
          <w:u w:val="thick" w:color="0093C1"/>
        </w:rPr>
        <w:t> </w:t>
      </w:r>
    </w:p>
    <w:p>
      <w:pPr>
        <w:spacing w:after="0" w:line="240" w:lineRule="auto"/>
        <w:jc w:val="left"/>
        <w:rPr>
          <w:sz w:val="28"/>
        </w:rPr>
        <w:sectPr>
          <w:type w:val="continuous"/>
          <w:pgSz w:w="11900" w:h="16840"/>
          <w:pgMar w:top="1220" w:bottom="280" w:left="620" w:right="640"/>
          <w:cols w:num="2" w:equalWidth="0">
            <w:col w:w="3831" w:space="971"/>
            <w:col w:w="5838"/>
          </w:cols>
        </w:sect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spacing w:before="5"/>
        <w:rPr>
          <w:b/>
          <w:sz w:val="12"/>
        </w:rPr>
      </w:pPr>
    </w:p>
    <w:p>
      <w:pPr>
        <w:spacing w:before="1"/>
        <w:ind w:left="0" w:right="0" w:firstLine="0"/>
        <w:jc w:val="right"/>
        <w:rPr>
          <w:sz w:val="12"/>
        </w:rPr>
      </w:pPr>
      <w:r>
        <w:rPr>
          <w:sz w:val="12"/>
        </w:rPr>
        <w:t>1991</w:t>
      </w:r>
    </w:p>
    <w:p>
      <w:pPr>
        <w:pStyle w:val="BodyText"/>
        <w:spacing w:before="9"/>
        <w:rPr>
          <w:sz w:val="11"/>
        </w:rPr>
      </w:pPr>
      <w:r>
        <w:rPr/>
        <w:br w:type="column"/>
      </w:r>
      <w:r>
        <w:rPr>
          <w:sz w:val="11"/>
        </w:rPr>
      </w:r>
    </w:p>
    <w:p>
      <w:pPr>
        <w:spacing w:before="0"/>
        <w:ind w:left="2909" w:right="0" w:firstLine="0"/>
        <w:jc w:val="left"/>
        <w:rPr>
          <w:sz w:val="12"/>
        </w:rPr>
      </w:pPr>
      <w:r>
        <w:rPr>
          <w:sz w:val="12"/>
        </w:rPr>
        <w:t>2</w:t>
      </w:r>
    </w:p>
    <w:p>
      <w:pPr>
        <w:pStyle w:val="BodyText"/>
        <w:rPr>
          <w:sz w:val="12"/>
        </w:rPr>
      </w:pPr>
    </w:p>
    <w:p>
      <w:pPr>
        <w:pStyle w:val="BodyText"/>
        <w:spacing w:before="3"/>
        <w:rPr>
          <w:sz w:val="14"/>
        </w:rPr>
      </w:pPr>
    </w:p>
    <w:p>
      <w:pPr>
        <w:spacing w:line="129" w:lineRule="exact" w:before="0"/>
        <w:ind w:left="2909" w:right="0" w:firstLine="0"/>
        <w:jc w:val="left"/>
        <w:rPr>
          <w:sz w:val="12"/>
        </w:rPr>
      </w:pPr>
      <w:r>
        <w:rPr/>
        <w:pict>
          <v:shape style="position:absolute;margin-left:46pt;margin-top:-.89844pt;width:166.5pt;height:5pt;mso-position-horizontal-relative:page;mso-position-vertical-relative:paragraph;z-index:15870464" coordorigin="920,-18" coordsize="3330,100" path="m1020,82l920,82m1080,82l4100,82m1080,82l1080,42m1200,82l1200,42m1300,82l1300,42m1420,82l1420,42m1540,82l1540,42m1640,82l1640,42m1760,82l1760,42m1860,82l1860,42m1980,82l1980,42m2100,82l2100,42m2200,82l2200,42m2320,82l2320,42m2420,82l2420,42m2540,82l2540,42m2640,82l2640,42m2760,82l2760,42m2880,82l2880,42m2980,82l2980,42m3100,82l3100,42m3200,82l3200,42m3320,82l3320,42m3420,82l3420,42m3540,82l3540,42m3660,82l3660,42m3760,82l3760,42m3880,82l3880,42m3980,82l3980,42m4100,82l4100,42m1420,82l1420,-18m1860,82l1860,-18m2320,82l2320,-18m2760,82l2760,-18m3200,82l3200,-18m3660,82l3660,-18m4100,82l4100,-18m4250,82l4150,82e" filled="false" stroked="true" strokeweight=".5pt" strokecolor="#000000">
            <v:path arrowok="t"/>
            <v:stroke dashstyle="solid"/>
            <w10:wrap type="none"/>
          </v:shape>
        </w:pict>
      </w:r>
      <w:r>
        <w:rPr>
          <w:sz w:val="12"/>
        </w:rPr>
        <w:t>3</w:t>
      </w:r>
    </w:p>
    <w:p>
      <w:pPr>
        <w:tabs>
          <w:tab w:pos="609" w:val="left" w:leader="none"/>
          <w:tab w:pos="1069" w:val="left" w:leader="none"/>
          <w:tab w:pos="1509" w:val="left" w:leader="none"/>
          <w:tab w:pos="1949" w:val="left" w:leader="none"/>
          <w:tab w:pos="2390" w:val="left" w:leader="none"/>
        </w:tabs>
        <w:spacing w:line="129" w:lineRule="exact" w:before="0"/>
        <w:ind w:left="169" w:right="0" w:firstLine="0"/>
        <w:jc w:val="left"/>
        <w:rPr>
          <w:sz w:val="12"/>
        </w:rPr>
      </w:pPr>
      <w:r>
        <w:rPr>
          <w:sz w:val="12"/>
        </w:rPr>
        <w:t>92</w:t>
        <w:tab/>
        <w:t>93</w:t>
        <w:tab/>
        <w:t>94</w:t>
        <w:tab/>
        <w:t>95</w:t>
        <w:tab/>
        <w:t>96</w:t>
        <w:tab/>
        <w:t>97 98</w:t>
      </w:r>
    </w:p>
    <w:p>
      <w:pPr>
        <w:pStyle w:val="BodyText"/>
        <w:spacing w:before="11"/>
        <w:rPr>
          <w:sz w:val="23"/>
        </w:rPr>
      </w:pPr>
      <w:r>
        <w:rPr/>
        <w:br w:type="column"/>
      </w:r>
      <w:r>
        <w:rPr>
          <w:sz w:val="23"/>
        </w:rPr>
      </w:r>
    </w:p>
    <w:p>
      <w:pPr>
        <w:pStyle w:val="Heading4"/>
        <w:spacing w:line="242" w:lineRule="auto"/>
        <w:ind w:left="520"/>
      </w:pPr>
      <w:r>
        <w:rPr>
          <w:color w:val="231F20"/>
        </w:rPr>
        <w:t>Investment expenditure increased by 3.8% in 1998 Q1 compared with a quarter earlier: the largest quarterly increase in the current recovery, which began in</w:t>
      </w:r>
    </w:p>
    <w:p>
      <w:pPr>
        <w:spacing w:after="0" w:line="242" w:lineRule="auto"/>
        <w:sectPr>
          <w:type w:val="continuous"/>
          <w:pgSz w:w="11900" w:h="16840"/>
          <w:pgMar w:top="1220" w:bottom="280" w:left="620" w:right="640"/>
          <w:cols w:num="3" w:equalWidth="0">
            <w:col w:w="761" w:space="40"/>
            <w:col w:w="3010" w:space="660"/>
            <w:col w:w="6169"/>
          </w:cols>
        </w:sectPr>
      </w:pPr>
    </w:p>
    <w:p>
      <w:pPr>
        <w:pStyle w:val="Heading8"/>
        <w:spacing w:before="83"/>
        <w:ind w:left="190"/>
      </w:pPr>
      <w:r>
        <w:rPr>
          <w:color w:val="0093C1"/>
        </w:rPr>
        <w:t>Table 2.C</w:t>
      </w:r>
    </w:p>
    <w:p>
      <w:pPr>
        <w:spacing w:before="10"/>
        <w:ind w:left="190" w:right="0" w:firstLine="0"/>
        <w:jc w:val="left"/>
        <w:rPr>
          <w:b/>
          <w:sz w:val="20"/>
        </w:rPr>
      </w:pPr>
      <w:r>
        <w:rPr>
          <w:b/>
          <w:color w:val="0093C1"/>
          <w:sz w:val="20"/>
        </w:rPr>
        <w:t>Components of investment expenditure—1998 Q1</w:t>
      </w:r>
    </w:p>
    <w:p>
      <w:pPr>
        <w:pStyle w:val="BodyText"/>
        <w:spacing w:before="8"/>
        <w:rPr>
          <w:b/>
          <w:sz w:val="9"/>
        </w:rPr>
      </w:pP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9"/>
        <w:gridCol w:w="854"/>
        <w:gridCol w:w="888"/>
        <w:gridCol w:w="754"/>
      </w:tblGrid>
      <w:tr>
        <w:trPr>
          <w:trHeight w:val="147" w:hRule="atLeast"/>
        </w:trPr>
        <w:tc>
          <w:tcPr>
            <w:tcW w:w="1849" w:type="dxa"/>
            <w:vMerge w:val="restart"/>
          </w:tcPr>
          <w:p>
            <w:pPr>
              <w:pStyle w:val="TableParagraph"/>
              <w:rPr>
                <w:sz w:val="20"/>
              </w:rPr>
            </w:pPr>
          </w:p>
        </w:tc>
        <w:tc>
          <w:tcPr>
            <w:tcW w:w="854" w:type="dxa"/>
          </w:tcPr>
          <w:p>
            <w:pPr>
              <w:pStyle w:val="TableParagraph"/>
              <w:spacing w:line="128" w:lineRule="exact"/>
              <w:ind w:left="51"/>
              <w:rPr>
                <w:sz w:val="14"/>
              </w:rPr>
            </w:pPr>
            <w:r>
              <w:rPr>
                <w:color w:val="231F20"/>
                <w:sz w:val="14"/>
              </w:rPr>
              <w:t>Level in</w:t>
            </w:r>
          </w:p>
        </w:tc>
        <w:tc>
          <w:tcPr>
            <w:tcW w:w="888" w:type="dxa"/>
          </w:tcPr>
          <w:p>
            <w:pPr>
              <w:pStyle w:val="TableParagraph"/>
              <w:spacing w:line="128" w:lineRule="exact"/>
              <w:ind w:left="107"/>
              <w:rPr>
                <w:sz w:val="14"/>
              </w:rPr>
            </w:pPr>
            <w:r>
              <w:rPr>
                <w:color w:val="231F20"/>
                <w:sz w:val="14"/>
              </w:rPr>
              <w:t>Percentage</w:t>
            </w:r>
          </w:p>
        </w:tc>
        <w:tc>
          <w:tcPr>
            <w:tcW w:w="754" w:type="dxa"/>
          </w:tcPr>
          <w:p>
            <w:pPr>
              <w:pStyle w:val="TableParagraph"/>
              <w:spacing w:line="128" w:lineRule="exact"/>
              <w:ind w:left="59"/>
              <w:rPr>
                <w:sz w:val="14"/>
              </w:rPr>
            </w:pPr>
            <w:r>
              <w:rPr>
                <w:color w:val="231F20"/>
                <w:sz w:val="14"/>
              </w:rPr>
              <w:t>Percentage</w:t>
            </w:r>
          </w:p>
        </w:tc>
      </w:tr>
      <w:tr>
        <w:trPr>
          <w:trHeight w:val="630" w:hRule="atLeast"/>
        </w:trPr>
        <w:tc>
          <w:tcPr>
            <w:tcW w:w="1849" w:type="dxa"/>
            <w:vMerge/>
            <w:tcBorders>
              <w:top w:val="nil"/>
            </w:tcBorders>
          </w:tcPr>
          <w:p>
            <w:pPr>
              <w:rPr>
                <w:sz w:val="2"/>
                <w:szCs w:val="2"/>
              </w:rPr>
            </w:pPr>
          </w:p>
        </w:tc>
        <w:tc>
          <w:tcPr>
            <w:tcW w:w="854" w:type="dxa"/>
          </w:tcPr>
          <w:p>
            <w:pPr>
              <w:pStyle w:val="TableParagraph"/>
              <w:spacing w:line="137" w:lineRule="exact"/>
              <w:ind w:left="51"/>
              <w:rPr>
                <w:sz w:val="14"/>
              </w:rPr>
            </w:pPr>
            <w:r>
              <w:rPr>
                <w:color w:val="231F20"/>
                <w:sz w:val="14"/>
              </w:rPr>
              <w:t>1997</w:t>
            </w:r>
          </w:p>
          <w:p>
            <w:pPr>
              <w:pStyle w:val="TableParagraph"/>
              <w:spacing w:line="208" w:lineRule="auto" w:before="6"/>
              <w:ind w:left="51" w:right="87"/>
              <w:rPr>
                <w:sz w:val="14"/>
              </w:rPr>
            </w:pPr>
            <w:r>
              <w:rPr>
                <w:color w:val="231F20"/>
                <w:sz w:val="14"/>
              </w:rPr>
              <w:t>(£ billion, 1990 prices)</w:t>
            </w:r>
          </w:p>
          <w:p>
            <w:pPr>
              <w:pStyle w:val="TableParagraph"/>
              <w:tabs>
                <w:tab w:pos="735" w:val="left" w:leader="none"/>
              </w:tabs>
              <w:spacing w:line="144" w:lineRule="exact"/>
              <w:ind w:left="41"/>
              <w:rPr>
                <w:sz w:val="14"/>
              </w:rPr>
            </w:pPr>
            <w:r>
              <w:rPr>
                <w:color w:val="231F20"/>
                <w:sz w:val="14"/>
                <w:u w:val="single" w:color="231F20"/>
              </w:rPr>
              <w:t> </w:t>
              <w:tab/>
            </w:r>
          </w:p>
        </w:tc>
        <w:tc>
          <w:tcPr>
            <w:tcW w:w="888" w:type="dxa"/>
          </w:tcPr>
          <w:p>
            <w:pPr>
              <w:pStyle w:val="TableParagraph"/>
              <w:spacing w:line="137" w:lineRule="exact"/>
              <w:ind w:left="107"/>
              <w:rPr>
                <w:sz w:val="14"/>
              </w:rPr>
            </w:pPr>
            <w:r>
              <w:rPr>
                <w:color w:val="231F20"/>
                <w:sz w:val="14"/>
              </w:rPr>
              <w:t>change</w:t>
            </w:r>
          </w:p>
          <w:p>
            <w:pPr>
              <w:pStyle w:val="TableParagraph"/>
              <w:spacing w:line="208" w:lineRule="auto" w:before="6"/>
              <w:ind w:left="107" w:hanging="1"/>
              <w:rPr>
                <w:sz w:val="14"/>
              </w:rPr>
            </w:pPr>
            <w:r>
              <w:rPr>
                <w:color w:val="231F20"/>
                <w:sz w:val="14"/>
              </w:rPr>
              <w:t>on </w:t>
            </w:r>
            <w:r>
              <w:rPr>
                <w:color w:val="231F20"/>
                <w:spacing w:val="-3"/>
                <w:sz w:val="14"/>
              </w:rPr>
              <w:t>previous </w:t>
            </w:r>
            <w:r>
              <w:rPr>
                <w:color w:val="231F20"/>
                <w:sz w:val="14"/>
              </w:rPr>
              <w:t>quarter</w:t>
            </w:r>
          </w:p>
          <w:p>
            <w:pPr>
              <w:pStyle w:val="TableParagraph"/>
              <w:tabs>
                <w:tab w:pos="829" w:val="left" w:leader="none"/>
              </w:tabs>
              <w:spacing w:line="144" w:lineRule="exact"/>
              <w:ind w:left="107"/>
              <w:rPr>
                <w:sz w:val="14"/>
              </w:rPr>
            </w:pPr>
            <w:r>
              <w:rPr>
                <w:color w:val="231F20"/>
                <w:sz w:val="14"/>
                <w:u w:val="single" w:color="231F20"/>
              </w:rPr>
              <w:t> </w:t>
              <w:tab/>
            </w:r>
          </w:p>
        </w:tc>
        <w:tc>
          <w:tcPr>
            <w:tcW w:w="754" w:type="dxa"/>
          </w:tcPr>
          <w:p>
            <w:pPr>
              <w:pStyle w:val="TableParagraph"/>
              <w:spacing w:line="137" w:lineRule="exact"/>
              <w:ind w:left="59"/>
              <w:rPr>
                <w:sz w:val="14"/>
              </w:rPr>
            </w:pPr>
            <w:r>
              <w:rPr>
                <w:color w:val="231F20"/>
                <w:sz w:val="14"/>
              </w:rPr>
              <w:t>change</w:t>
            </w:r>
          </w:p>
          <w:p>
            <w:pPr>
              <w:pStyle w:val="TableParagraph"/>
              <w:tabs>
                <w:tab w:pos="703" w:val="left" w:leader="none"/>
              </w:tabs>
              <w:spacing w:line="208" w:lineRule="auto" w:before="6"/>
              <w:ind w:left="59" w:right="49"/>
              <w:rPr>
                <w:sz w:val="14"/>
              </w:rPr>
            </w:pPr>
            <w:r>
              <w:rPr>
                <w:color w:val="231F20"/>
                <w:sz w:val="14"/>
              </w:rPr>
              <w:t>on quarter a year </w:t>
            </w:r>
            <w:r>
              <w:rPr>
                <w:color w:val="231F20"/>
                <w:sz w:val="14"/>
                <w:u w:val="single" w:color="231F20"/>
              </w:rPr>
              <w:t>earlier</w:t>
              <w:tab/>
            </w:r>
          </w:p>
        </w:tc>
      </w:tr>
      <w:tr>
        <w:trPr>
          <w:trHeight w:val="280" w:hRule="atLeast"/>
        </w:trPr>
        <w:tc>
          <w:tcPr>
            <w:tcW w:w="1849" w:type="dxa"/>
          </w:tcPr>
          <w:p>
            <w:pPr>
              <w:pStyle w:val="TableParagraph"/>
              <w:spacing w:before="56"/>
              <w:ind w:left="50"/>
              <w:rPr>
                <w:i/>
                <w:sz w:val="14"/>
              </w:rPr>
            </w:pPr>
            <w:r>
              <w:rPr>
                <w:i/>
                <w:color w:val="231F20"/>
                <w:sz w:val="14"/>
              </w:rPr>
              <w:t>By sector:</w:t>
            </w:r>
          </w:p>
        </w:tc>
        <w:tc>
          <w:tcPr>
            <w:tcW w:w="854" w:type="dxa"/>
          </w:tcPr>
          <w:p>
            <w:pPr>
              <w:pStyle w:val="TableParagraph"/>
              <w:rPr>
                <w:sz w:val="20"/>
              </w:rPr>
            </w:pPr>
          </w:p>
        </w:tc>
        <w:tc>
          <w:tcPr>
            <w:tcW w:w="888" w:type="dxa"/>
          </w:tcPr>
          <w:p>
            <w:pPr>
              <w:pStyle w:val="TableParagraph"/>
              <w:rPr>
                <w:sz w:val="20"/>
              </w:rPr>
            </w:pPr>
          </w:p>
        </w:tc>
        <w:tc>
          <w:tcPr>
            <w:tcW w:w="754" w:type="dxa"/>
          </w:tcPr>
          <w:p>
            <w:pPr>
              <w:pStyle w:val="TableParagraph"/>
              <w:rPr>
                <w:sz w:val="20"/>
              </w:rPr>
            </w:pPr>
          </w:p>
        </w:tc>
      </w:tr>
      <w:tr>
        <w:trPr>
          <w:trHeight w:val="350" w:hRule="atLeast"/>
        </w:trPr>
        <w:tc>
          <w:tcPr>
            <w:tcW w:w="1849" w:type="dxa"/>
          </w:tcPr>
          <w:p>
            <w:pPr>
              <w:pStyle w:val="TableParagraph"/>
              <w:spacing w:line="67" w:lineRule="exact"/>
              <w:ind w:left="50"/>
              <w:rPr>
                <w:sz w:val="12"/>
              </w:rPr>
            </w:pPr>
            <w:r>
              <w:rPr>
                <w:color w:val="231F20"/>
                <w:sz w:val="14"/>
              </w:rPr>
              <w:t>Business investment </w:t>
            </w:r>
            <w:r>
              <w:rPr>
                <w:color w:val="231F20"/>
                <w:sz w:val="12"/>
              </w:rPr>
              <w:t>(a)</w:t>
            </w:r>
          </w:p>
          <w:p>
            <w:pPr>
              <w:pStyle w:val="TableParagraph"/>
              <w:spacing w:line="140" w:lineRule="exact"/>
              <w:ind w:left="155"/>
              <w:rPr>
                <w:i/>
                <w:sz w:val="14"/>
              </w:rPr>
            </w:pPr>
            <w:r>
              <w:rPr>
                <w:i/>
                <w:color w:val="231F20"/>
                <w:sz w:val="14"/>
              </w:rPr>
              <w:t>of which:</w:t>
            </w:r>
          </w:p>
          <w:p>
            <w:pPr>
              <w:pStyle w:val="TableParagraph"/>
              <w:spacing w:line="123" w:lineRule="exact"/>
              <w:ind w:left="155"/>
              <w:rPr>
                <w:sz w:val="14"/>
              </w:rPr>
            </w:pPr>
            <w:r>
              <w:rPr>
                <w:color w:val="231F20"/>
                <w:sz w:val="14"/>
              </w:rPr>
              <w:t>Services</w:t>
            </w:r>
          </w:p>
        </w:tc>
        <w:tc>
          <w:tcPr>
            <w:tcW w:w="854" w:type="dxa"/>
          </w:tcPr>
          <w:p>
            <w:pPr>
              <w:pStyle w:val="TableParagraph"/>
              <w:spacing w:line="78" w:lineRule="exact"/>
              <w:ind w:left="206"/>
              <w:rPr>
                <w:sz w:val="14"/>
              </w:rPr>
            </w:pPr>
            <w:r>
              <w:rPr>
                <w:color w:val="231F20"/>
                <w:sz w:val="14"/>
              </w:rPr>
              <w:t>73.0</w:t>
            </w:r>
          </w:p>
          <w:p>
            <w:pPr>
              <w:pStyle w:val="TableParagraph"/>
              <w:spacing w:line="133" w:lineRule="exact" w:before="119"/>
              <w:ind w:left="206"/>
              <w:rPr>
                <w:sz w:val="14"/>
              </w:rPr>
            </w:pPr>
            <w:r>
              <w:rPr>
                <w:color w:val="231F20"/>
                <w:sz w:val="14"/>
              </w:rPr>
              <w:t>47.1</w:t>
            </w:r>
          </w:p>
        </w:tc>
        <w:tc>
          <w:tcPr>
            <w:tcW w:w="888" w:type="dxa"/>
          </w:tcPr>
          <w:p>
            <w:pPr>
              <w:pStyle w:val="TableParagraph"/>
              <w:spacing w:line="78" w:lineRule="exact"/>
              <w:ind w:left="232"/>
              <w:rPr>
                <w:sz w:val="14"/>
              </w:rPr>
            </w:pPr>
            <w:r>
              <w:rPr>
                <w:color w:val="231F20"/>
                <w:sz w:val="14"/>
              </w:rPr>
              <w:t>5.8</w:t>
            </w:r>
          </w:p>
          <w:p>
            <w:pPr>
              <w:pStyle w:val="TableParagraph"/>
              <w:spacing w:line="133" w:lineRule="exact" w:before="119"/>
              <w:ind w:left="185"/>
              <w:rPr>
                <w:sz w:val="14"/>
              </w:rPr>
            </w:pPr>
            <w:r>
              <w:rPr>
                <w:color w:val="231F20"/>
                <w:sz w:val="14"/>
              </w:rPr>
              <w:t>-2.0</w:t>
            </w:r>
          </w:p>
        </w:tc>
        <w:tc>
          <w:tcPr>
            <w:tcW w:w="754" w:type="dxa"/>
          </w:tcPr>
          <w:p>
            <w:pPr>
              <w:pStyle w:val="TableParagraph"/>
              <w:spacing w:line="78" w:lineRule="exact"/>
              <w:ind w:left="114"/>
              <w:rPr>
                <w:sz w:val="14"/>
              </w:rPr>
            </w:pPr>
            <w:r>
              <w:rPr>
                <w:color w:val="231F20"/>
                <w:sz w:val="14"/>
              </w:rPr>
              <w:t>10.0</w:t>
            </w:r>
          </w:p>
          <w:p>
            <w:pPr>
              <w:pStyle w:val="TableParagraph"/>
              <w:spacing w:line="133" w:lineRule="exact" w:before="119"/>
              <w:ind w:left="184"/>
              <w:rPr>
                <w:sz w:val="14"/>
              </w:rPr>
            </w:pPr>
            <w:r>
              <w:rPr>
                <w:color w:val="231F20"/>
                <w:sz w:val="14"/>
              </w:rPr>
              <w:t>1.4</w:t>
            </w:r>
          </w:p>
        </w:tc>
      </w:tr>
      <w:tr>
        <w:trPr>
          <w:trHeight w:val="140" w:hRule="atLeast"/>
        </w:trPr>
        <w:tc>
          <w:tcPr>
            <w:tcW w:w="1849" w:type="dxa"/>
          </w:tcPr>
          <w:p>
            <w:pPr>
              <w:pStyle w:val="TableParagraph"/>
              <w:spacing w:line="120" w:lineRule="exact"/>
              <w:ind w:left="155"/>
              <w:rPr>
                <w:sz w:val="12"/>
              </w:rPr>
            </w:pPr>
            <w:r>
              <w:rPr>
                <w:color w:val="231F20"/>
                <w:sz w:val="14"/>
              </w:rPr>
              <w:t>Manufacturing </w:t>
            </w:r>
            <w:r>
              <w:rPr>
                <w:color w:val="231F20"/>
                <w:sz w:val="12"/>
              </w:rPr>
              <w:t>(b)</w:t>
            </w:r>
          </w:p>
        </w:tc>
        <w:tc>
          <w:tcPr>
            <w:tcW w:w="854" w:type="dxa"/>
          </w:tcPr>
          <w:p>
            <w:pPr>
              <w:pStyle w:val="TableParagraph"/>
              <w:spacing w:line="120" w:lineRule="exact"/>
              <w:ind w:left="206"/>
              <w:rPr>
                <w:sz w:val="14"/>
              </w:rPr>
            </w:pPr>
            <w:r>
              <w:rPr>
                <w:color w:val="231F20"/>
                <w:sz w:val="14"/>
              </w:rPr>
              <w:t>13.8</w:t>
            </w:r>
          </w:p>
        </w:tc>
        <w:tc>
          <w:tcPr>
            <w:tcW w:w="888" w:type="dxa"/>
          </w:tcPr>
          <w:p>
            <w:pPr>
              <w:pStyle w:val="TableParagraph"/>
              <w:spacing w:line="120" w:lineRule="exact"/>
              <w:ind w:left="185"/>
              <w:rPr>
                <w:sz w:val="14"/>
              </w:rPr>
            </w:pPr>
            <w:r>
              <w:rPr>
                <w:color w:val="231F20"/>
                <w:sz w:val="14"/>
              </w:rPr>
              <w:t>-1.1</w:t>
            </w:r>
          </w:p>
        </w:tc>
        <w:tc>
          <w:tcPr>
            <w:tcW w:w="754" w:type="dxa"/>
          </w:tcPr>
          <w:p>
            <w:pPr>
              <w:pStyle w:val="TableParagraph"/>
              <w:spacing w:line="120" w:lineRule="exact"/>
              <w:ind w:left="184"/>
              <w:rPr>
                <w:sz w:val="14"/>
              </w:rPr>
            </w:pPr>
            <w:r>
              <w:rPr>
                <w:color w:val="231F20"/>
                <w:sz w:val="14"/>
              </w:rPr>
              <w:t>4.7</w:t>
            </w:r>
          </w:p>
        </w:tc>
      </w:tr>
      <w:tr>
        <w:trPr>
          <w:trHeight w:val="140" w:hRule="atLeast"/>
        </w:trPr>
        <w:tc>
          <w:tcPr>
            <w:tcW w:w="1849" w:type="dxa"/>
          </w:tcPr>
          <w:p>
            <w:pPr>
              <w:pStyle w:val="TableParagraph"/>
              <w:spacing w:line="120" w:lineRule="exact"/>
              <w:ind w:left="155"/>
              <w:rPr>
                <w:sz w:val="12"/>
              </w:rPr>
            </w:pPr>
            <w:r>
              <w:rPr>
                <w:color w:val="231F20"/>
                <w:sz w:val="14"/>
              </w:rPr>
              <w:t>Other production </w:t>
            </w:r>
            <w:r>
              <w:rPr>
                <w:color w:val="231F20"/>
                <w:sz w:val="12"/>
              </w:rPr>
              <w:t>(c)</w:t>
            </w:r>
          </w:p>
        </w:tc>
        <w:tc>
          <w:tcPr>
            <w:tcW w:w="854" w:type="dxa"/>
          </w:tcPr>
          <w:p>
            <w:pPr>
              <w:pStyle w:val="TableParagraph"/>
              <w:spacing w:line="120" w:lineRule="exact"/>
              <w:ind w:left="276"/>
              <w:rPr>
                <w:sz w:val="14"/>
              </w:rPr>
            </w:pPr>
            <w:r>
              <w:rPr>
                <w:color w:val="231F20"/>
                <w:sz w:val="14"/>
              </w:rPr>
              <w:t>9.7</w:t>
            </w:r>
          </w:p>
        </w:tc>
        <w:tc>
          <w:tcPr>
            <w:tcW w:w="888" w:type="dxa"/>
          </w:tcPr>
          <w:p>
            <w:pPr>
              <w:pStyle w:val="TableParagraph"/>
              <w:spacing w:line="120" w:lineRule="exact"/>
              <w:ind w:left="162"/>
              <w:rPr>
                <w:sz w:val="14"/>
              </w:rPr>
            </w:pPr>
            <w:r>
              <w:rPr>
                <w:color w:val="231F20"/>
                <w:sz w:val="14"/>
              </w:rPr>
              <w:t>42.4</w:t>
            </w:r>
          </w:p>
        </w:tc>
        <w:tc>
          <w:tcPr>
            <w:tcW w:w="754" w:type="dxa"/>
          </w:tcPr>
          <w:p>
            <w:pPr>
              <w:pStyle w:val="TableParagraph"/>
              <w:spacing w:line="120" w:lineRule="exact"/>
              <w:ind w:left="114"/>
              <w:rPr>
                <w:sz w:val="14"/>
              </w:rPr>
            </w:pPr>
            <w:r>
              <w:rPr>
                <w:color w:val="231F20"/>
                <w:sz w:val="14"/>
              </w:rPr>
              <w:t>53.8</w:t>
            </w:r>
          </w:p>
        </w:tc>
      </w:tr>
      <w:tr>
        <w:trPr>
          <w:trHeight w:val="140" w:hRule="atLeast"/>
        </w:trPr>
        <w:tc>
          <w:tcPr>
            <w:tcW w:w="1849" w:type="dxa"/>
          </w:tcPr>
          <w:p>
            <w:pPr>
              <w:pStyle w:val="TableParagraph"/>
              <w:spacing w:line="120" w:lineRule="exact"/>
              <w:ind w:left="155"/>
              <w:rPr>
                <w:sz w:val="12"/>
              </w:rPr>
            </w:pPr>
            <w:r>
              <w:rPr>
                <w:color w:val="231F20"/>
                <w:sz w:val="14"/>
              </w:rPr>
              <w:t>Public corporations </w:t>
            </w:r>
            <w:r>
              <w:rPr>
                <w:color w:val="231F20"/>
                <w:sz w:val="12"/>
              </w:rPr>
              <w:t>(d)</w:t>
            </w:r>
          </w:p>
        </w:tc>
        <w:tc>
          <w:tcPr>
            <w:tcW w:w="854" w:type="dxa"/>
          </w:tcPr>
          <w:p>
            <w:pPr>
              <w:pStyle w:val="TableParagraph"/>
              <w:spacing w:line="120" w:lineRule="exact"/>
              <w:ind w:left="276"/>
              <w:rPr>
                <w:sz w:val="14"/>
              </w:rPr>
            </w:pPr>
            <w:r>
              <w:rPr>
                <w:color w:val="231F20"/>
                <w:sz w:val="14"/>
              </w:rPr>
              <w:t>2.4</w:t>
            </w:r>
          </w:p>
        </w:tc>
        <w:tc>
          <w:tcPr>
            <w:tcW w:w="888" w:type="dxa"/>
          </w:tcPr>
          <w:p>
            <w:pPr>
              <w:pStyle w:val="TableParagraph"/>
              <w:spacing w:line="120" w:lineRule="exact"/>
              <w:ind w:left="162"/>
              <w:rPr>
                <w:sz w:val="14"/>
              </w:rPr>
            </w:pPr>
            <w:r>
              <w:rPr>
                <w:color w:val="231F20"/>
                <w:sz w:val="14"/>
              </w:rPr>
              <w:t>60.4</w:t>
            </w:r>
          </w:p>
        </w:tc>
        <w:tc>
          <w:tcPr>
            <w:tcW w:w="754" w:type="dxa"/>
          </w:tcPr>
          <w:p>
            <w:pPr>
              <w:pStyle w:val="TableParagraph"/>
              <w:spacing w:line="120" w:lineRule="exact"/>
              <w:ind w:left="114"/>
              <w:rPr>
                <w:sz w:val="14"/>
              </w:rPr>
            </w:pPr>
            <w:r>
              <w:rPr>
                <w:color w:val="231F20"/>
                <w:sz w:val="14"/>
              </w:rPr>
              <w:t>41.2</w:t>
            </w:r>
          </w:p>
        </w:tc>
      </w:tr>
      <w:tr>
        <w:trPr>
          <w:trHeight w:val="140" w:hRule="atLeast"/>
        </w:trPr>
        <w:tc>
          <w:tcPr>
            <w:tcW w:w="1849" w:type="dxa"/>
          </w:tcPr>
          <w:p>
            <w:pPr>
              <w:pStyle w:val="TableParagraph"/>
              <w:spacing w:line="120" w:lineRule="exact"/>
              <w:ind w:left="50"/>
              <w:rPr>
                <w:sz w:val="14"/>
              </w:rPr>
            </w:pPr>
            <w:r>
              <w:rPr>
                <w:color w:val="231F20"/>
                <w:sz w:val="14"/>
              </w:rPr>
              <w:t>General government</w:t>
            </w:r>
          </w:p>
        </w:tc>
        <w:tc>
          <w:tcPr>
            <w:tcW w:w="854" w:type="dxa"/>
          </w:tcPr>
          <w:p>
            <w:pPr>
              <w:pStyle w:val="TableParagraph"/>
              <w:spacing w:line="120" w:lineRule="exact"/>
              <w:ind w:left="276"/>
              <w:rPr>
                <w:sz w:val="14"/>
              </w:rPr>
            </w:pPr>
            <w:r>
              <w:rPr>
                <w:color w:val="231F20"/>
                <w:sz w:val="14"/>
              </w:rPr>
              <w:t>8.7</w:t>
            </w:r>
          </w:p>
        </w:tc>
        <w:tc>
          <w:tcPr>
            <w:tcW w:w="888" w:type="dxa"/>
          </w:tcPr>
          <w:p>
            <w:pPr>
              <w:pStyle w:val="TableParagraph"/>
              <w:spacing w:line="120" w:lineRule="exact"/>
              <w:ind w:left="185"/>
              <w:rPr>
                <w:sz w:val="14"/>
              </w:rPr>
            </w:pPr>
            <w:r>
              <w:rPr>
                <w:color w:val="231F20"/>
                <w:sz w:val="14"/>
              </w:rPr>
              <w:t>-9.2</w:t>
            </w:r>
          </w:p>
        </w:tc>
        <w:tc>
          <w:tcPr>
            <w:tcW w:w="754" w:type="dxa"/>
          </w:tcPr>
          <w:p>
            <w:pPr>
              <w:pStyle w:val="TableParagraph"/>
              <w:spacing w:line="120" w:lineRule="exact"/>
              <w:ind w:left="67"/>
              <w:rPr>
                <w:sz w:val="14"/>
              </w:rPr>
            </w:pPr>
            <w:r>
              <w:rPr>
                <w:color w:val="231F20"/>
                <w:sz w:val="14"/>
              </w:rPr>
              <w:t>-10.3</w:t>
            </w:r>
          </w:p>
        </w:tc>
      </w:tr>
      <w:tr>
        <w:trPr>
          <w:trHeight w:val="140" w:hRule="atLeast"/>
        </w:trPr>
        <w:tc>
          <w:tcPr>
            <w:tcW w:w="1849" w:type="dxa"/>
          </w:tcPr>
          <w:p>
            <w:pPr>
              <w:pStyle w:val="TableParagraph"/>
              <w:spacing w:line="120" w:lineRule="exact"/>
              <w:ind w:left="50"/>
              <w:rPr>
                <w:sz w:val="14"/>
              </w:rPr>
            </w:pPr>
            <w:r>
              <w:rPr>
                <w:color w:val="231F20"/>
                <w:sz w:val="14"/>
              </w:rPr>
              <w:t>NHS trusts</w:t>
            </w:r>
          </w:p>
        </w:tc>
        <w:tc>
          <w:tcPr>
            <w:tcW w:w="854" w:type="dxa"/>
          </w:tcPr>
          <w:p>
            <w:pPr>
              <w:pStyle w:val="TableParagraph"/>
              <w:spacing w:line="120" w:lineRule="exact"/>
              <w:ind w:left="276"/>
              <w:rPr>
                <w:sz w:val="14"/>
              </w:rPr>
            </w:pPr>
            <w:r>
              <w:rPr>
                <w:color w:val="231F20"/>
                <w:sz w:val="14"/>
              </w:rPr>
              <w:t>1.3</w:t>
            </w:r>
          </w:p>
        </w:tc>
        <w:tc>
          <w:tcPr>
            <w:tcW w:w="888" w:type="dxa"/>
          </w:tcPr>
          <w:p>
            <w:pPr>
              <w:pStyle w:val="TableParagraph"/>
              <w:spacing w:line="120" w:lineRule="exact"/>
              <w:ind w:left="162"/>
              <w:rPr>
                <w:sz w:val="14"/>
              </w:rPr>
            </w:pPr>
            <w:r>
              <w:rPr>
                <w:color w:val="231F20"/>
                <w:sz w:val="14"/>
              </w:rPr>
              <w:t>34.8</w:t>
            </w:r>
          </w:p>
        </w:tc>
        <w:tc>
          <w:tcPr>
            <w:tcW w:w="754" w:type="dxa"/>
          </w:tcPr>
          <w:p>
            <w:pPr>
              <w:pStyle w:val="TableParagraph"/>
              <w:spacing w:line="120" w:lineRule="exact"/>
              <w:ind w:left="114"/>
              <w:rPr>
                <w:sz w:val="14"/>
              </w:rPr>
            </w:pPr>
            <w:r>
              <w:rPr>
                <w:color w:val="231F20"/>
                <w:sz w:val="14"/>
              </w:rPr>
              <w:t>22.9</w:t>
            </w:r>
          </w:p>
        </w:tc>
      </w:tr>
      <w:tr>
        <w:trPr>
          <w:trHeight w:val="140" w:hRule="atLeast"/>
        </w:trPr>
        <w:tc>
          <w:tcPr>
            <w:tcW w:w="1849" w:type="dxa"/>
          </w:tcPr>
          <w:p>
            <w:pPr>
              <w:pStyle w:val="TableParagraph"/>
              <w:spacing w:line="120" w:lineRule="exact"/>
              <w:ind w:left="50"/>
              <w:rPr>
                <w:sz w:val="14"/>
              </w:rPr>
            </w:pPr>
            <w:r>
              <w:rPr>
                <w:color w:val="231F20"/>
                <w:sz w:val="14"/>
              </w:rPr>
              <w:t>Private sector dwellings</w:t>
            </w:r>
          </w:p>
        </w:tc>
        <w:tc>
          <w:tcPr>
            <w:tcW w:w="854" w:type="dxa"/>
          </w:tcPr>
          <w:p>
            <w:pPr>
              <w:pStyle w:val="TableParagraph"/>
              <w:spacing w:line="120" w:lineRule="exact"/>
              <w:ind w:left="206"/>
              <w:rPr>
                <w:sz w:val="14"/>
              </w:rPr>
            </w:pPr>
            <w:r>
              <w:rPr>
                <w:color w:val="231F20"/>
                <w:sz w:val="14"/>
              </w:rPr>
              <w:t>18.9</w:t>
            </w:r>
          </w:p>
        </w:tc>
        <w:tc>
          <w:tcPr>
            <w:tcW w:w="888" w:type="dxa"/>
          </w:tcPr>
          <w:p>
            <w:pPr>
              <w:pStyle w:val="TableParagraph"/>
              <w:spacing w:line="120" w:lineRule="exact"/>
              <w:ind w:left="232"/>
              <w:rPr>
                <w:sz w:val="14"/>
              </w:rPr>
            </w:pPr>
            <w:r>
              <w:rPr>
                <w:color w:val="231F20"/>
                <w:sz w:val="14"/>
              </w:rPr>
              <w:t>3.2</w:t>
            </w:r>
          </w:p>
        </w:tc>
        <w:tc>
          <w:tcPr>
            <w:tcW w:w="754" w:type="dxa"/>
          </w:tcPr>
          <w:p>
            <w:pPr>
              <w:pStyle w:val="TableParagraph"/>
              <w:spacing w:line="120" w:lineRule="exact"/>
              <w:ind w:left="114"/>
              <w:rPr>
                <w:sz w:val="14"/>
              </w:rPr>
            </w:pPr>
            <w:r>
              <w:rPr>
                <w:color w:val="231F20"/>
                <w:sz w:val="14"/>
              </w:rPr>
              <w:t>14.0</w:t>
            </w:r>
          </w:p>
        </w:tc>
      </w:tr>
      <w:tr>
        <w:trPr>
          <w:trHeight w:val="210" w:hRule="atLeast"/>
        </w:trPr>
        <w:tc>
          <w:tcPr>
            <w:tcW w:w="1849" w:type="dxa"/>
          </w:tcPr>
          <w:p>
            <w:pPr>
              <w:pStyle w:val="TableParagraph"/>
              <w:spacing w:line="148" w:lineRule="exact"/>
              <w:ind w:left="50"/>
              <w:rPr>
                <w:sz w:val="12"/>
              </w:rPr>
            </w:pPr>
            <w:r>
              <w:rPr>
                <w:color w:val="231F20"/>
                <w:sz w:val="14"/>
              </w:rPr>
              <w:t>Land and existing buildings </w:t>
            </w:r>
            <w:r>
              <w:rPr>
                <w:color w:val="231F20"/>
                <w:sz w:val="12"/>
              </w:rPr>
              <w:t>(e)</w:t>
            </w:r>
          </w:p>
        </w:tc>
        <w:tc>
          <w:tcPr>
            <w:tcW w:w="854" w:type="dxa"/>
          </w:tcPr>
          <w:p>
            <w:pPr>
              <w:pStyle w:val="TableParagraph"/>
              <w:spacing w:line="148" w:lineRule="exact"/>
              <w:ind w:left="276"/>
              <w:rPr>
                <w:sz w:val="14"/>
              </w:rPr>
            </w:pPr>
            <w:r>
              <w:rPr>
                <w:color w:val="231F20"/>
                <w:sz w:val="14"/>
              </w:rPr>
              <w:t>7.2</w:t>
            </w:r>
          </w:p>
        </w:tc>
        <w:tc>
          <w:tcPr>
            <w:tcW w:w="888" w:type="dxa"/>
          </w:tcPr>
          <w:p>
            <w:pPr>
              <w:pStyle w:val="TableParagraph"/>
              <w:spacing w:line="148" w:lineRule="exact"/>
              <w:ind w:left="185"/>
              <w:rPr>
                <w:sz w:val="14"/>
              </w:rPr>
            </w:pPr>
            <w:r>
              <w:rPr>
                <w:color w:val="231F20"/>
                <w:sz w:val="14"/>
              </w:rPr>
              <w:t>-3.7</w:t>
            </w:r>
          </w:p>
        </w:tc>
        <w:tc>
          <w:tcPr>
            <w:tcW w:w="754" w:type="dxa"/>
          </w:tcPr>
          <w:p>
            <w:pPr>
              <w:pStyle w:val="TableParagraph"/>
              <w:spacing w:line="148" w:lineRule="exact"/>
              <w:ind w:left="184"/>
              <w:rPr>
                <w:sz w:val="14"/>
              </w:rPr>
            </w:pPr>
            <w:r>
              <w:rPr>
                <w:color w:val="231F20"/>
                <w:sz w:val="14"/>
              </w:rPr>
              <w:t>4.0</w:t>
            </w:r>
          </w:p>
        </w:tc>
      </w:tr>
      <w:tr>
        <w:trPr>
          <w:trHeight w:val="350" w:hRule="atLeast"/>
        </w:trPr>
        <w:tc>
          <w:tcPr>
            <w:tcW w:w="1849" w:type="dxa"/>
          </w:tcPr>
          <w:p>
            <w:pPr>
              <w:pStyle w:val="TableParagraph"/>
              <w:spacing w:line="150" w:lineRule="exact" w:before="56"/>
              <w:ind w:left="50"/>
              <w:rPr>
                <w:i/>
                <w:sz w:val="14"/>
              </w:rPr>
            </w:pPr>
            <w:r>
              <w:rPr>
                <w:i/>
                <w:color w:val="231F20"/>
                <w:sz w:val="14"/>
              </w:rPr>
              <w:t>By asset:</w:t>
            </w:r>
          </w:p>
          <w:p>
            <w:pPr>
              <w:pStyle w:val="TableParagraph"/>
              <w:spacing w:line="123" w:lineRule="exact"/>
              <w:ind w:left="50"/>
              <w:rPr>
                <w:sz w:val="14"/>
              </w:rPr>
            </w:pPr>
            <w:r>
              <w:rPr>
                <w:color w:val="231F20"/>
                <w:sz w:val="14"/>
              </w:rPr>
              <w:t>Vehicles, ships and aircraft</w:t>
            </w:r>
          </w:p>
        </w:tc>
        <w:tc>
          <w:tcPr>
            <w:tcW w:w="854" w:type="dxa"/>
          </w:tcPr>
          <w:p>
            <w:pPr>
              <w:pStyle w:val="TableParagraph"/>
              <w:spacing w:before="1"/>
              <w:rPr>
                <w:b/>
                <w:sz w:val="17"/>
              </w:rPr>
            </w:pPr>
          </w:p>
          <w:p>
            <w:pPr>
              <w:pStyle w:val="TableParagraph"/>
              <w:spacing w:line="133" w:lineRule="exact"/>
              <w:ind w:left="206"/>
              <w:rPr>
                <w:sz w:val="14"/>
              </w:rPr>
            </w:pPr>
            <w:r>
              <w:rPr>
                <w:color w:val="231F20"/>
                <w:sz w:val="14"/>
              </w:rPr>
              <w:t>11.4</w:t>
            </w:r>
          </w:p>
        </w:tc>
        <w:tc>
          <w:tcPr>
            <w:tcW w:w="888" w:type="dxa"/>
          </w:tcPr>
          <w:p>
            <w:pPr>
              <w:pStyle w:val="TableParagraph"/>
              <w:spacing w:before="1"/>
              <w:rPr>
                <w:b/>
                <w:sz w:val="17"/>
              </w:rPr>
            </w:pPr>
          </w:p>
          <w:p>
            <w:pPr>
              <w:pStyle w:val="TableParagraph"/>
              <w:spacing w:line="133" w:lineRule="exact"/>
              <w:ind w:left="162"/>
              <w:rPr>
                <w:sz w:val="14"/>
              </w:rPr>
            </w:pPr>
            <w:r>
              <w:rPr>
                <w:color w:val="231F20"/>
                <w:sz w:val="14"/>
              </w:rPr>
              <w:t>12.3</w:t>
            </w:r>
          </w:p>
        </w:tc>
        <w:tc>
          <w:tcPr>
            <w:tcW w:w="754" w:type="dxa"/>
          </w:tcPr>
          <w:p>
            <w:pPr>
              <w:pStyle w:val="TableParagraph"/>
              <w:spacing w:before="1"/>
              <w:rPr>
                <w:b/>
                <w:sz w:val="17"/>
              </w:rPr>
            </w:pPr>
          </w:p>
          <w:p>
            <w:pPr>
              <w:pStyle w:val="TableParagraph"/>
              <w:spacing w:line="133" w:lineRule="exact"/>
              <w:ind w:left="184"/>
              <w:rPr>
                <w:sz w:val="14"/>
              </w:rPr>
            </w:pPr>
            <w:r>
              <w:rPr>
                <w:color w:val="231F20"/>
                <w:sz w:val="14"/>
              </w:rPr>
              <w:t>5.6</w:t>
            </w:r>
          </w:p>
        </w:tc>
      </w:tr>
      <w:tr>
        <w:trPr>
          <w:trHeight w:val="140" w:hRule="atLeast"/>
        </w:trPr>
        <w:tc>
          <w:tcPr>
            <w:tcW w:w="1849" w:type="dxa"/>
          </w:tcPr>
          <w:p>
            <w:pPr>
              <w:pStyle w:val="TableParagraph"/>
              <w:spacing w:line="120" w:lineRule="exact"/>
              <w:ind w:left="50"/>
              <w:rPr>
                <w:sz w:val="14"/>
              </w:rPr>
            </w:pPr>
            <w:r>
              <w:rPr>
                <w:color w:val="231F20"/>
                <w:sz w:val="14"/>
              </w:rPr>
              <w:t>Plant and machinery</w:t>
            </w:r>
          </w:p>
        </w:tc>
        <w:tc>
          <w:tcPr>
            <w:tcW w:w="854" w:type="dxa"/>
          </w:tcPr>
          <w:p>
            <w:pPr>
              <w:pStyle w:val="TableParagraph"/>
              <w:spacing w:line="120" w:lineRule="exact"/>
              <w:ind w:left="206"/>
              <w:rPr>
                <w:sz w:val="14"/>
              </w:rPr>
            </w:pPr>
            <w:r>
              <w:rPr>
                <w:color w:val="231F20"/>
                <w:sz w:val="14"/>
              </w:rPr>
              <w:t>38.4</w:t>
            </w:r>
          </w:p>
        </w:tc>
        <w:tc>
          <w:tcPr>
            <w:tcW w:w="888" w:type="dxa"/>
          </w:tcPr>
          <w:p>
            <w:pPr>
              <w:pStyle w:val="TableParagraph"/>
              <w:spacing w:line="120" w:lineRule="exact"/>
              <w:ind w:left="232"/>
              <w:rPr>
                <w:sz w:val="14"/>
              </w:rPr>
            </w:pPr>
            <w:r>
              <w:rPr>
                <w:color w:val="231F20"/>
                <w:sz w:val="14"/>
              </w:rPr>
              <w:t>2.5</w:t>
            </w:r>
          </w:p>
        </w:tc>
        <w:tc>
          <w:tcPr>
            <w:tcW w:w="754" w:type="dxa"/>
          </w:tcPr>
          <w:p>
            <w:pPr>
              <w:pStyle w:val="TableParagraph"/>
              <w:spacing w:line="120" w:lineRule="exact"/>
              <w:ind w:left="184"/>
              <w:rPr>
                <w:sz w:val="14"/>
              </w:rPr>
            </w:pPr>
            <w:r>
              <w:rPr>
                <w:color w:val="231F20"/>
                <w:sz w:val="14"/>
              </w:rPr>
              <w:t>8.5</w:t>
            </w:r>
          </w:p>
        </w:tc>
      </w:tr>
      <w:tr>
        <w:trPr>
          <w:trHeight w:val="140" w:hRule="atLeast"/>
        </w:trPr>
        <w:tc>
          <w:tcPr>
            <w:tcW w:w="1849" w:type="dxa"/>
          </w:tcPr>
          <w:p>
            <w:pPr>
              <w:pStyle w:val="TableParagraph"/>
              <w:spacing w:line="120" w:lineRule="exact"/>
              <w:ind w:left="50"/>
              <w:rPr>
                <w:sz w:val="14"/>
              </w:rPr>
            </w:pPr>
            <w:r>
              <w:rPr>
                <w:color w:val="231F20"/>
                <w:sz w:val="14"/>
              </w:rPr>
              <w:t>Dwellings</w:t>
            </w:r>
          </w:p>
        </w:tc>
        <w:tc>
          <w:tcPr>
            <w:tcW w:w="854" w:type="dxa"/>
          </w:tcPr>
          <w:p>
            <w:pPr>
              <w:pStyle w:val="TableParagraph"/>
              <w:spacing w:line="120" w:lineRule="exact"/>
              <w:ind w:left="206"/>
              <w:rPr>
                <w:sz w:val="14"/>
              </w:rPr>
            </w:pPr>
            <w:r>
              <w:rPr>
                <w:color w:val="231F20"/>
                <w:sz w:val="14"/>
              </w:rPr>
              <w:t>20.8</w:t>
            </w:r>
          </w:p>
        </w:tc>
        <w:tc>
          <w:tcPr>
            <w:tcW w:w="888" w:type="dxa"/>
          </w:tcPr>
          <w:p>
            <w:pPr>
              <w:pStyle w:val="TableParagraph"/>
              <w:spacing w:line="120" w:lineRule="exact"/>
              <w:ind w:left="232"/>
              <w:rPr>
                <w:sz w:val="14"/>
              </w:rPr>
            </w:pPr>
            <w:r>
              <w:rPr>
                <w:color w:val="231F20"/>
                <w:sz w:val="14"/>
              </w:rPr>
              <w:t>2.5</w:t>
            </w:r>
          </w:p>
        </w:tc>
        <w:tc>
          <w:tcPr>
            <w:tcW w:w="754" w:type="dxa"/>
          </w:tcPr>
          <w:p>
            <w:pPr>
              <w:pStyle w:val="TableParagraph"/>
              <w:spacing w:line="120" w:lineRule="exact"/>
              <w:ind w:left="114"/>
              <w:rPr>
                <w:sz w:val="14"/>
              </w:rPr>
            </w:pPr>
            <w:r>
              <w:rPr>
                <w:color w:val="231F20"/>
                <w:sz w:val="14"/>
              </w:rPr>
              <w:t>12.3</w:t>
            </w:r>
          </w:p>
        </w:tc>
      </w:tr>
      <w:tr>
        <w:trPr>
          <w:trHeight w:val="210" w:hRule="atLeast"/>
        </w:trPr>
        <w:tc>
          <w:tcPr>
            <w:tcW w:w="1849" w:type="dxa"/>
          </w:tcPr>
          <w:p>
            <w:pPr>
              <w:pStyle w:val="TableParagraph"/>
              <w:spacing w:line="148" w:lineRule="exact"/>
              <w:ind w:left="50"/>
              <w:rPr>
                <w:sz w:val="14"/>
              </w:rPr>
            </w:pPr>
            <w:r>
              <w:rPr>
                <w:color w:val="231F20"/>
                <w:sz w:val="14"/>
              </w:rPr>
              <w:t>Other new buildings and works</w:t>
            </w:r>
          </w:p>
        </w:tc>
        <w:tc>
          <w:tcPr>
            <w:tcW w:w="854" w:type="dxa"/>
          </w:tcPr>
          <w:p>
            <w:pPr>
              <w:pStyle w:val="TableParagraph"/>
              <w:spacing w:line="148" w:lineRule="exact"/>
              <w:ind w:left="206"/>
              <w:rPr>
                <w:sz w:val="14"/>
              </w:rPr>
            </w:pPr>
            <w:r>
              <w:rPr>
                <w:color w:val="231F20"/>
                <w:sz w:val="14"/>
              </w:rPr>
              <w:t>38.6</w:t>
            </w:r>
          </w:p>
        </w:tc>
        <w:tc>
          <w:tcPr>
            <w:tcW w:w="888" w:type="dxa"/>
          </w:tcPr>
          <w:p>
            <w:pPr>
              <w:pStyle w:val="TableParagraph"/>
              <w:spacing w:line="148" w:lineRule="exact"/>
              <w:ind w:left="232"/>
              <w:rPr>
                <w:sz w:val="14"/>
              </w:rPr>
            </w:pPr>
            <w:r>
              <w:rPr>
                <w:color w:val="231F20"/>
                <w:sz w:val="14"/>
              </w:rPr>
              <w:t>3.4</w:t>
            </w:r>
          </w:p>
        </w:tc>
        <w:tc>
          <w:tcPr>
            <w:tcW w:w="754" w:type="dxa"/>
          </w:tcPr>
          <w:p>
            <w:pPr>
              <w:pStyle w:val="TableParagraph"/>
              <w:spacing w:line="148" w:lineRule="exact"/>
              <w:ind w:left="184"/>
              <w:rPr>
                <w:sz w:val="14"/>
              </w:rPr>
            </w:pPr>
            <w:r>
              <w:rPr>
                <w:color w:val="231F20"/>
                <w:sz w:val="14"/>
              </w:rPr>
              <w:t>7.8</w:t>
            </w:r>
          </w:p>
        </w:tc>
      </w:tr>
      <w:tr>
        <w:trPr>
          <w:trHeight w:val="217" w:hRule="atLeast"/>
        </w:trPr>
        <w:tc>
          <w:tcPr>
            <w:tcW w:w="1849" w:type="dxa"/>
          </w:tcPr>
          <w:p>
            <w:pPr>
              <w:pStyle w:val="TableParagraph"/>
              <w:spacing w:line="141" w:lineRule="exact" w:before="56"/>
              <w:ind w:left="50"/>
              <w:rPr>
                <w:b/>
                <w:sz w:val="14"/>
              </w:rPr>
            </w:pPr>
            <w:r>
              <w:rPr>
                <w:b/>
                <w:color w:val="231F20"/>
                <w:sz w:val="14"/>
              </w:rPr>
              <w:t>Total</w:t>
            </w:r>
          </w:p>
        </w:tc>
        <w:tc>
          <w:tcPr>
            <w:tcW w:w="854" w:type="dxa"/>
          </w:tcPr>
          <w:p>
            <w:pPr>
              <w:pStyle w:val="TableParagraph"/>
              <w:spacing w:line="141" w:lineRule="exact" w:before="56"/>
              <w:ind w:left="136"/>
              <w:rPr>
                <w:b/>
                <w:sz w:val="14"/>
              </w:rPr>
            </w:pPr>
            <w:r>
              <w:rPr>
                <w:b/>
                <w:color w:val="231F20"/>
                <w:sz w:val="14"/>
              </w:rPr>
              <w:t>109.2</w:t>
            </w:r>
          </w:p>
        </w:tc>
        <w:tc>
          <w:tcPr>
            <w:tcW w:w="888" w:type="dxa"/>
          </w:tcPr>
          <w:p>
            <w:pPr>
              <w:pStyle w:val="TableParagraph"/>
              <w:spacing w:line="141" w:lineRule="exact" w:before="56"/>
              <w:ind w:left="232"/>
              <w:rPr>
                <w:b/>
                <w:sz w:val="14"/>
              </w:rPr>
            </w:pPr>
            <w:r>
              <w:rPr>
                <w:b/>
                <w:color w:val="231F20"/>
                <w:sz w:val="14"/>
              </w:rPr>
              <w:t>3.8</w:t>
            </w:r>
          </w:p>
        </w:tc>
        <w:tc>
          <w:tcPr>
            <w:tcW w:w="754" w:type="dxa"/>
          </w:tcPr>
          <w:p>
            <w:pPr>
              <w:pStyle w:val="TableParagraph"/>
              <w:spacing w:line="141" w:lineRule="exact" w:before="56"/>
              <w:ind w:left="184"/>
              <w:rPr>
                <w:b/>
                <w:sz w:val="14"/>
              </w:rPr>
            </w:pPr>
            <w:r>
              <w:rPr>
                <w:b/>
                <w:color w:val="231F20"/>
                <w:sz w:val="14"/>
              </w:rPr>
              <w:t>8.6</w:t>
            </w:r>
          </w:p>
        </w:tc>
      </w:tr>
    </w:tbl>
    <w:p>
      <w:pPr>
        <w:pStyle w:val="ListParagraph"/>
        <w:numPr>
          <w:ilvl w:val="0"/>
          <w:numId w:val="18"/>
        </w:numPr>
        <w:tabs>
          <w:tab w:pos="430" w:val="left" w:leader="none"/>
        </w:tabs>
        <w:spacing w:line="129" w:lineRule="exact" w:before="117" w:after="0"/>
        <w:ind w:left="429" w:right="0" w:hanging="240"/>
        <w:jc w:val="left"/>
        <w:rPr>
          <w:sz w:val="12"/>
        </w:rPr>
      </w:pPr>
      <w:r>
        <w:rPr>
          <w:color w:val="231F20"/>
          <w:sz w:val="12"/>
        </w:rPr>
        <w:t>Excluding expenditure on land and existing buildings.</w:t>
      </w:r>
    </w:p>
    <w:p>
      <w:pPr>
        <w:pStyle w:val="ListParagraph"/>
        <w:numPr>
          <w:ilvl w:val="0"/>
          <w:numId w:val="18"/>
        </w:numPr>
        <w:tabs>
          <w:tab w:pos="441" w:val="left" w:leader="none"/>
        </w:tabs>
        <w:spacing w:line="120" w:lineRule="exact" w:before="0" w:after="0"/>
        <w:ind w:left="440" w:right="0" w:hanging="251"/>
        <w:jc w:val="left"/>
        <w:rPr>
          <w:sz w:val="12"/>
        </w:rPr>
      </w:pPr>
      <w:r>
        <w:rPr>
          <w:color w:val="231F20"/>
          <w:sz w:val="12"/>
        </w:rPr>
        <w:t>Private sector only.</w:t>
      </w:r>
    </w:p>
    <w:p>
      <w:pPr>
        <w:pStyle w:val="ListParagraph"/>
        <w:numPr>
          <w:ilvl w:val="0"/>
          <w:numId w:val="18"/>
        </w:numPr>
        <w:tabs>
          <w:tab w:pos="440" w:val="left" w:leader="none"/>
        </w:tabs>
        <w:spacing w:line="120" w:lineRule="exact" w:before="0" w:after="0"/>
        <w:ind w:left="439" w:right="0" w:hanging="250"/>
        <w:jc w:val="left"/>
        <w:rPr>
          <w:sz w:val="12"/>
        </w:rPr>
      </w:pPr>
      <w:r>
        <w:rPr>
          <w:color w:val="231F20"/>
          <w:sz w:val="12"/>
        </w:rPr>
        <w:t>Includes construction.</w:t>
      </w:r>
    </w:p>
    <w:p>
      <w:pPr>
        <w:pStyle w:val="ListParagraph"/>
        <w:numPr>
          <w:ilvl w:val="0"/>
          <w:numId w:val="18"/>
        </w:numPr>
        <w:tabs>
          <w:tab w:pos="441" w:val="left" w:leader="none"/>
        </w:tabs>
        <w:spacing w:line="120" w:lineRule="exact" w:before="0" w:after="0"/>
        <w:ind w:left="440" w:right="0" w:hanging="251"/>
        <w:jc w:val="left"/>
        <w:rPr>
          <w:sz w:val="12"/>
        </w:rPr>
      </w:pPr>
      <w:r>
        <w:rPr>
          <w:color w:val="231F20"/>
          <w:sz w:val="12"/>
        </w:rPr>
        <w:t>Excluding NHS trusts.</w:t>
      </w:r>
    </w:p>
    <w:p>
      <w:pPr>
        <w:pStyle w:val="ListParagraph"/>
        <w:numPr>
          <w:ilvl w:val="0"/>
          <w:numId w:val="18"/>
        </w:numPr>
        <w:tabs>
          <w:tab w:pos="440" w:val="left" w:leader="none"/>
        </w:tabs>
        <w:spacing w:line="208" w:lineRule="auto" w:before="6" w:after="0"/>
        <w:ind w:left="439" w:right="424" w:hanging="250"/>
        <w:jc w:val="left"/>
        <w:rPr>
          <w:sz w:val="12"/>
        </w:rPr>
      </w:pPr>
      <w:r>
        <w:rPr>
          <w:color w:val="231F20"/>
          <w:sz w:val="12"/>
        </w:rPr>
        <w:t>Purchases less sales of land and existing buildings by the private sector </w:t>
      </w:r>
      <w:r>
        <w:rPr>
          <w:color w:val="231F20"/>
          <w:spacing w:val="-6"/>
          <w:sz w:val="12"/>
        </w:rPr>
        <w:t>and </w:t>
      </w:r>
      <w:r>
        <w:rPr>
          <w:color w:val="231F20"/>
          <w:sz w:val="12"/>
        </w:rPr>
        <w:t>public corporations.</w:t>
      </w:r>
    </w:p>
    <w:p>
      <w:pPr>
        <w:pStyle w:val="Heading4"/>
        <w:spacing w:line="242" w:lineRule="auto" w:before="4"/>
        <w:ind w:left="190" w:right="218"/>
      </w:pPr>
      <w:r>
        <w:rPr/>
        <w:br w:type="column"/>
      </w:r>
      <w:r>
        <w:rPr>
          <w:color w:val="231F20"/>
        </w:rPr>
        <w:t>1992 Q1. But investment is a volatile series; and as can be seen from Chart 2.5, strong growth in one quarter is often followed by weak, sometimes negative growth in the following quarter. This volatility is magnified when investment is broken down by asset or industry. For instance, in 1998 Q1, investment by public corporations rose by 60.4% on the previous quarter; while general government investment fell by 9.2% (see Table 2.C).</w:t>
      </w:r>
    </w:p>
    <w:p>
      <w:pPr>
        <w:pStyle w:val="BodyText"/>
        <w:spacing w:before="11"/>
        <w:rPr>
          <w:sz w:val="26"/>
        </w:rPr>
      </w:pPr>
    </w:p>
    <w:p>
      <w:pPr>
        <w:spacing w:line="242" w:lineRule="auto" w:before="0"/>
        <w:ind w:left="190" w:right="218" w:firstLine="0"/>
        <w:jc w:val="left"/>
        <w:rPr>
          <w:sz w:val="24"/>
        </w:rPr>
      </w:pPr>
      <w:r>
        <w:rPr>
          <w:color w:val="231F20"/>
          <w:sz w:val="24"/>
        </w:rPr>
        <w:t>Investment is the means by which firms achieve their desired capital stock. The business sector’s</w:t>
      </w:r>
    </w:p>
    <w:p>
      <w:pPr>
        <w:spacing w:line="242" w:lineRule="auto" w:before="2"/>
        <w:ind w:left="190" w:right="231" w:firstLine="0"/>
        <w:jc w:val="left"/>
        <w:rPr>
          <w:sz w:val="24"/>
        </w:rPr>
      </w:pPr>
      <w:r>
        <w:rPr>
          <w:color w:val="231F20"/>
          <w:sz w:val="24"/>
        </w:rPr>
        <w:t>capital-output ratio is currently close to its long-run average (see Chart 2.6). This could indicate that there </w:t>
      </w:r>
      <w:r>
        <w:rPr>
          <w:color w:val="231F20"/>
          <w:spacing w:val="-10"/>
          <w:sz w:val="24"/>
        </w:rPr>
        <w:t>is </w:t>
      </w:r>
      <w:r>
        <w:rPr>
          <w:color w:val="231F20"/>
          <w:sz w:val="24"/>
        </w:rPr>
        <w:t>neither a major shortfall nor an overhang in the capital stock. Capital goods are durable, there is a dearth of second-hand markets for them and there are often long lead times before they can be installed. As a result, firms cannot easily adjust the amount of capital</w:t>
      </w:r>
      <w:r>
        <w:rPr>
          <w:color w:val="231F20"/>
          <w:spacing w:val="-6"/>
          <w:sz w:val="24"/>
        </w:rPr>
        <w:t> </w:t>
      </w:r>
      <w:r>
        <w:rPr>
          <w:color w:val="231F20"/>
          <w:sz w:val="24"/>
        </w:rPr>
        <w:t>they</w:t>
      </w:r>
    </w:p>
    <w:p>
      <w:pPr>
        <w:spacing w:after="0" w:line="242" w:lineRule="auto"/>
        <w:jc w:val="left"/>
        <w:rPr>
          <w:sz w:val="24"/>
        </w:rPr>
        <w:sectPr>
          <w:type w:val="continuous"/>
          <w:pgSz w:w="11900" w:h="16840"/>
          <w:pgMar w:top="1220" w:bottom="280" w:left="620" w:right="640"/>
          <w:cols w:num="2" w:equalWidth="0">
            <w:col w:w="4486" w:space="316"/>
            <w:col w:w="5838"/>
          </w:cols>
        </w:sectPr>
      </w:pPr>
    </w:p>
    <w:p>
      <w:pPr>
        <w:pStyle w:val="BodyText"/>
        <w:rPr>
          <w:sz w:val="20"/>
        </w:rPr>
      </w:pPr>
    </w:p>
    <w:p>
      <w:pPr>
        <w:spacing w:after="0"/>
        <w:rPr>
          <w:sz w:val="20"/>
        </w:rPr>
        <w:sectPr>
          <w:headerReference w:type="even" r:id="rId36"/>
          <w:headerReference w:type="default" r:id="rId37"/>
          <w:footerReference w:type="even" r:id="rId38"/>
          <w:footerReference w:type="default" r:id="rId39"/>
          <w:pgSz w:w="11900" w:h="16840"/>
          <w:pgMar w:header="566" w:footer="940" w:top="760" w:bottom="1140" w:left="620" w:right="640"/>
        </w:sectPr>
      </w:pPr>
    </w:p>
    <w:p>
      <w:pPr>
        <w:pStyle w:val="BodyText"/>
        <w:spacing w:before="1"/>
        <w:rPr>
          <w:sz w:val="22"/>
        </w:rPr>
      </w:pPr>
    </w:p>
    <w:p>
      <w:pPr>
        <w:pStyle w:val="Heading8"/>
        <w:spacing w:before="0"/>
        <w:ind w:left="185"/>
      </w:pPr>
      <w:r>
        <w:rPr>
          <w:color w:val="0093C1"/>
        </w:rPr>
        <w:t>Chart 2.6</w:t>
      </w:r>
    </w:p>
    <w:p>
      <w:pPr>
        <w:spacing w:before="10"/>
        <w:ind w:left="185" w:right="0" w:firstLine="0"/>
        <w:jc w:val="left"/>
        <w:rPr>
          <w:sz w:val="12"/>
        </w:rPr>
      </w:pPr>
      <w:r>
        <w:rPr/>
        <w:pict>
          <v:group style="position:absolute;margin-left:56.279999pt;margin-top:41.345951pt;width:159pt;height:71pt;mso-position-horizontal-relative:page;mso-position-vertical-relative:paragraph;z-index:15883776" coordorigin="1126,827" coordsize="3180,1420">
            <v:line style="position:absolute" from="1136,1477" to="4136,1477" stroked="true" strokeweight=".5pt" strokecolor="#000000">
              <v:stroke dashstyle="dash"/>
            </v:line>
            <v:shape style="position:absolute;left:4225;top:876;width:80;height:1120" coordorigin="4226,877" coordsize="80,1120" path="m4306,1997l4226,1997m4306,1637l4226,1637m4306,1257l4226,1257m4306,877l4226,877e" filled="false" stroked="true" strokeweight=".5pt" strokecolor="#000000">
              <v:path arrowok="t"/>
              <v:stroke dashstyle="solid"/>
            </v:shape>
            <v:shape style="position:absolute;left:1135;top:836;width:3020;height:1400" coordorigin="1136,837" coordsize="3020,1400" path="m1136,2017l1156,2077,1196,2037,1216,2037,1236,1917,1276,1937,1296,1937,1316,1877,1356,1777,1376,1877,1416,1877,1436,1957,1456,2237,1476,2177,1516,2157,1536,2037,1556,1717,1596,1737,1616,1717,1636,1497,1676,1437,1696,1277,1736,1157,1756,1197,1776,1297,1816,1197,1836,1237,1856,1337,1896,1337,1916,1277,1936,1277,1976,1317,1996,1317,2016,1337,2056,1337,2076,1357,2096,1277,2136,1497,2156,1357,2176,1377,2216,1277,2236,1137,2256,1017,2296,857,2316,837,2336,877,2376,937,2396,937,2416,917,2456,997,2476,997,2496,1017,2536,1157,2556,1157,2616,1277,2636,1337,2676,1257,2696,1237,2716,1297,2756,1397,2776,1497,2796,1497,2836,1517,2856,1537,2876,1637,2916,1677,2936,1737,2956,1737,2996,1797,3016,1877,3036,1877,3076,1937,3096,1917,3116,1957,3156,1957,3196,1877,3236,1837,3256,1797,3316,1737,3336,1617,3376,1537,3396,1417,3416,1337,3456,1277,3476,1237,3496,1137,3536,1097,3556,1117,3576,1117,3616,1137,3636,1137,3696,1197,3736,1317,3776,1377,3796,1397,3796,1417,3836,1417,3856,1397,3916,1397,3936,1417,3956,1397,3996,1397,4016,1437,4036,1437,4096,1497,4156,1497e" filled="false" stroked="true" strokeweight="1pt" strokecolor="#faab54">
              <v:path arrowok="t"/>
              <v:stroke dashstyle="solid"/>
            </v:shape>
            <v:line style="position:absolute" from="2266,1587" to="2266,1847" stroked="true" strokeweight=".5pt" strokecolor="#000000">
              <v:stroke dashstyle="solid"/>
            </v:line>
            <v:shape style="position:absolute;left:2240;top:1519;width:51;height:85" coordorigin="2240,1519" coordsize="51,85" path="m2266,1519l2240,1604,2291,1604,2269,1538,2267,1528,2266,1519xe" filled="true" fillcolor="#000000" stroked="false">
              <v:path arrowok="t"/>
              <v:fill type="solid"/>
            </v:shape>
            <v:shape style="position:absolute;left:1845;top:1859;width:877;height:133" type="#_x0000_t202" filled="false" stroked="false">
              <v:textbox inset="0,0,0,0">
                <w:txbxContent>
                  <w:p>
                    <w:pPr>
                      <w:spacing w:line="133" w:lineRule="exact" w:before="0"/>
                      <w:ind w:left="0" w:right="0" w:firstLine="0"/>
                      <w:jc w:val="left"/>
                      <w:rPr>
                        <w:sz w:val="12"/>
                      </w:rPr>
                    </w:pPr>
                    <w:r>
                      <w:rPr>
                        <w:sz w:val="12"/>
                      </w:rPr>
                      <w:t>Average 1970–98</w:t>
                    </w:r>
                  </w:p>
                </w:txbxContent>
              </v:textbox>
              <w10:wrap type="none"/>
            </v:shape>
            <w10:wrap type="none"/>
          </v:group>
        </w:pict>
      </w:r>
      <w:r>
        <w:rPr>
          <w:b/>
          <w:color w:val="0093C1"/>
          <w:sz w:val="20"/>
        </w:rPr>
        <w:t>Business sector capital-output</w:t>
      </w:r>
      <w:r>
        <w:rPr>
          <w:b/>
          <w:color w:val="0093C1"/>
          <w:spacing w:val="11"/>
          <w:sz w:val="20"/>
        </w:rPr>
        <w:t> </w:t>
      </w:r>
      <w:r>
        <w:rPr>
          <w:b/>
          <w:color w:val="0093C1"/>
          <w:spacing w:val="-4"/>
          <w:sz w:val="20"/>
        </w:rPr>
        <w:t>ratio</w:t>
      </w:r>
      <w:r>
        <w:rPr>
          <w:color w:val="231F20"/>
          <w:spacing w:val="-4"/>
          <w:position w:val="4"/>
          <w:sz w:val="12"/>
        </w:rPr>
        <w:t>(a)</w:t>
      </w:r>
    </w:p>
    <w:p>
      <w:pPr>
        <w:pStyle w:val="BodyText"/>
        <w:spacing w:before="6"/>
      </w:pPr>
      <w:r>
        <w:rPr/>
        <w:pict>
          <v:shape style="position:absolute;margin-left:46.779999pt;margin-top:12.853535pt;width:5pt;height:.1pt;mso-position-horizontal-relative:page;mso-position-vertical-relative:paragraph;z-index:-15579136;mso-wrap-distance-left:0;mso-wrap-distance-right:0" coordorigin="936,257" coordsize="100,0" path="m1036,257l936,257e" filled="false" stroked="true" strokeweight=".5pt" strokecolor="#000000">
            <v:path arrowok="t"/>
            <v:stroke dashstyle="solid"/>
            <w10:wrap type="topAndBottom"/>
          </v:shape>
        </w:pict>
      </w:r>
      <w:r>
        <w:rPr/>
        <w:pict>
          <v:shape style="position:absolute;margin-left:46.779999pt;margin-top:31.853535pt;width:5pt;height:.1pt;mso-position-horizontal-relative:page;mso-position-vertical-relative:paragraph;z-index:-15578624;mso-wrap-distance-left:0;mso-wrap-distance-right:0" coordorigin="936,637" coordsize="100,0" path="m1036,637l936,637e" filled="false" stroked="true" strokeweight=".5pt" strokecolor="#000000">
            <v:path arrowok="t"/>
            <v:stroke dashstyle="solid"/>
            <w10:wrap type="topAndBottom"/>
          </v:shape>
        </w:pict>
      </w:r>
      <w:r>
        <w:rPr/>
        <w:pict>
          <v:shape style="position:absolute;margin-left:46.779999pt;margin-top:50.853535pt;width:5pt;height:.1pt;mso-position-horizontal-relative:page;mso-position-vertical-relative:paragraph;z-index:-15578112;mso-wrap-distance-left:0;mso-wrap-distance-right:0" coordorigin="936,1017" coordsize="100,0" path="m1036,1017l936,1017e" filled="false" stroked="true" strokeweight=".5pt" strokecolor="#000000">
            <v:path arrowok="t"/>
            <v:stroke dashstyle="solid"/>
            <w10:wrap type="topAndBottom"/>
          </v:shape>
        </w:pict>
      </w:r>
      <w:r>
        <w:rPr/>
        <w:pict>
          <v:shape style="position:absolute;margin-left:46.779999pt;margin-top:69.853539pt;width:5pt;height:.1pt;mso-position-horizontal-relative:page;mso-position-vertical-relative:paragraph;z-index:-15577600;mso-wrap-distance-left:0;mso-wrap-distance-right:0" coordorigin="936,1397" coordsize="100,0" path="m1036,1397l936,1397e" filled="false" stroked="true" strokeweight=".5pt" strokecolor="#000000">
            <v:path arrowok="t"/>
            <v:stroke dashstyle="solid"/>
            <w10:wrap type="topAndBottom"/>
          </v:shape>
        </w:pict>
      </w:r>
      <w:r>
        <w:rPr/>
        <w:pict>
          <v:shape style="position:absolute;margin-left:46.779999pt;margin-top:87.853539pt;width:5pt;height:.1pt;mso-position-horizontal-relative:page;mso-position-vertical-relative:paragraph;z-index:-15577088;mso-wrap-distance-left:0;mso-wrap-distance-right:0" coordorigin="936,1757" coordsize="100,0" path="m1036,1757l936,1757e" filled="false" stroked="true" strokeweight=".5pt" strokecolor="#000000">
            <v:path arrowok="t"/>
            <v:stroke dashstyle="solid"/>
            <w10:wrap type="topAndBottom"/>
          </v:shape>
        </w:pict>
      </w:r>
      <w:r>
        <w:rPr/>
        <w:pict>
          <v:shape style="position:absolute;margin-left:46.779999pt;margin-top:106.853539pt;width:5pt;height:.1pt;mso-position-horizontal-relative:page;mso-position-vertical-relative:paragraph;z-index:-15576576;mso-wrap-distance-left:0;mso-wrap-distance-right:0" coordorigin="936,2137" coordsize="100,0" path="m1036,2137l936,2137e" filled="false" stroked="true" strokeweight=".5pt" strokecolor="#000000">
            <v:path arrowok="t"/>
            <v:stroke dashstyle="solid"/>
            <w10:wrap type="topAndBottom"/>
          </v:shape>
        </w:pict>
      </w:r>
      <w:r>
        <w:rPr/>
        <w:pict>
          <v:shape style="position:absolute;margin-left:46.779999pt;margin-top:125.853539pt;width:5pt;height:.1pt;mso-position-horizontal-relative:page;mso-position-vertical-relative:paragraph;z-index:-15576064;mso-wrap-distance-left:0;mso-wrap-distance-right:0" coordorigin="936,2517" coordsize="100,0" path="m1036,2517l936,2517e" filled="false" stroked="true" strokeweight=".5pt" strokecolor="#000000">
            <v:path arrowok="t"/>
            <v:stroke dashstyle="solid"/>
            <w10:wrap type="topAndBottom"/>
          </v:shape>
        </w:pict>
      </w:r>
      <w:r>
        <w:rPr/>
        <w:pict>
          <v:shape style="position:absolute;margin-left:46.779999pt;margin-top:144.853531pt;width:5pt;height:.1pt;mso-position-horizontal-relative:page;mso-position-vertical-relative:paragraph;z-index:-15575552;mso-wrap-distance-left:0;mso-wrap-distance-right:0" coordorigin="936,2897" coordsize="100,0" path="m1036,2897l936,2897e" filled="false" stroked="true" strokeweight=".5pt" strokecolor="#000000">
            <v:path arrowok="t"/>
            <v:stroke dashstyle="solid"/>
            <w10:wrap type="topAndBottom"/>
          </v:shape>
        </w:pict>
      </w:r>
      <w:r>
        <w:rPr/>
        <w:pict>
          <v:shape style="position:absolute;margin-left:46.779999pt;margin-top:163.853531pt;width:5pt;height:.1pt;mso-position-horizontal-relative:page;mso-position-vertical-relative:paragraph;z-index:-15575040;mso-wrap-distance-left:0;mso-wrap-distance-right:0" coordorigin="936,3277" coordsize="100,0" path="m1036,3277l936,3277e" filled="false" stroked="true" strokeweight=".5pt" strokecolor="#000000">
            <v:path arrowok="t"/>
            <v:stroke dashstyle="solid"/>
            <w10:wrap type="topAndBottom"/>
          </v:shape>
        </w:pict>
      </w:r>
    </w:p>
    <w:p>
      <w:pPr>
        <w:pStyle w:val="BodyText"/>
        <w:spacing w:before="3"/>
        <w:rPr>
          <w:sz w:val="26"/>
        </w:rPr>
      </w:pPr>
    </w:p>
    <w:p>
      <w:pPr>
        <w:pStyle w:val="BodyText"/>
        <w:spacing w:before="3"/>
        <w:rPr>
          <w:sz w:val="26"/>
        </w:rPr>
      </w:pPr>
    </w:p>
    <w:p>
      <w:pPr>
        <w:pStyle w:val="BodyText"/>
        <w:spacing w:before="3"/>
        <w:rPr>
          <w:sz w:val="26"/>
        </w:rPr>
      </w:pPr>
    </w:p>
    <w:p>
      <w:pPr>
        <w:pStyle w:val="BodyText"/>
        <w:spacing w:before="6"/>
        <w:rPr>
          <w:sz w:val="24"/>
        </w:rPr>
      </w:pPr>
    </w:p>
    <w:p>
      <w:pPr>
        <w:pStyle w:val="BodyText"/>
        <w:spacing w:before="3"/>
        <w:rPr>
          <w:sz w:val="26"/>
        </w:rPr>
      </w:pPr>
    </w:p>
    <w:p>
      <w:pPr>
        <w:pStyle w:val="BodyText"/>
        <w:spacing w:before="3"/>
        <w:rPr>
          <w:sz w:val="26"/>
        </w:rPr>
      </w:pPr>
    </w:p>
    <w:p>
      <w:pPr>
        <w:pStyle w:val="BodyText"/>
        <w:spacing w:before="3"/>
        <w:rPr>
          <w:sz w:val="26"/>
        </w:rPr>
      </w:pPr>
    </w:p>
    <w:p>
      <w:pPr>
        <w:pStyle w:val="BodyText"/>
        <w:spacing w:before="3"/>
        <w:rPr>
          <w:sz w:val="26"/>
        </w:rPr>
      </w:pPr>
    </w:p>
    <w:p>
      <w:pPr>
        <w:tabs>
          <w:tab w:pos="1005" w:val="left" w:leader="none"/>
          <w:tab w:pos="1545" w:val="left" w:leader="none"/>
          <w:tab w:pos="2085" w:val="left" w:leader="none"/>
          <w:tab w:pos="2625" w:val="left" w:leader="none"/>
          <w:tab w:pos="3145" w:val="left" w:leader="none"/>
        </w:tabs>
        <w:spacing w:before="0"/>
        <w:ind w:left="405" w:right="0" w:firstLine="0"/>
        <w:jc w:val="left"/>
        <w:rPr>
          <w:sz w:val="12"/>
        </w:rPr>
      </w:pPr>
      <w:r>
        <w:rPr>
          <w:sz w:val="12"/>
        </w:rPr>
        <w:t>1970</w:t>
        <w:tab/>
        <w:t>75</w:t>
        <w:tab/>
        <w:t>80</w:t>
        <w:tab/>
        <w:t>85</w:t>
        <w:tab/>
        <w:t>90</w:t>
        <w:tab/>
        <w:t>95</w:t>
      </w:r>
    </w:p>
    <w:p>
      <w:pPr>
        <w:spacing w:before="96"/>
        <w:ind w:left="185" w:right="0" w:firstLine="0"/>
        <w:jc w:val="left"/>
        <w:rPr>
          <w:sz w:val="12"/>
        </w:rPr>
      </w:pPr>
      <w:r>
        <w:rPr/>
        <w:pict>
          <v:shape style="position:absolute;margin-left:56.779999pt;margin-top:-12.798445pt;width:150pt;height:5pt;mso-position-horizontal-relative:page;mso-position-vertical-relative:paragraph;z-index:15884288" coordorigin="1136,-256" coordsize="3000,100" path="m1136,-156l4136,-156m1136,-156l1136,-216m1236,-156l1236,-216m1356,-156l1356,-216m1456,-156l1456,-216m1556,-156l1556,-216m1676,-156l1676,-216m1776,-156l1776,-216m1896,-156l1896,-216m1996,-156l1996,-216m2096,-156l2096,-216m2216,-156l2216,-216m2316,-156l2316,-216m2416,-156l2416,-216m2536,-156l2536,-216m2636,-156l2636,-216m2756,-156l2756,-216m2856,-156l2856,-216m2956,-156l2956,-216m3076,-156l3076,-216m3176,-156l3176,-216m3276,-156l3276,-216m3396,-156l3396,-216m3496,-156l3496,-216m3616,-156l3616,-216m3716,-156l3716,-216m3816,-156l3816,-216m3936,-156l3936,-216m4036,-156l4036,-216m4136,-156l4136,-216m1136,-156l1136,-256m1676,-156l1676,-256m2216,-156l2216,-256m2756,-156l2756,-256m3276,-156l3276,-256m3816,-156l3816,-256e" filled="false" stroked="true" strokeweight=".5pt" strokecolor="#000000">
            <v:path arrowok="t"/>
            <v:stroke dashstyle="solid"/>
            <w10:wrap type="none"/>
          </v:shape>
        </w:pict>
      </w:r>
      <w:r>
        <w:rPr>
          <w:color w:val="231F20"/>
          <w:sz w:val="12"/>
        </w:rPr>
        <w:t>Sources: Bank of England and ONS.</w:t>
      </w:r>
    </w:p>
    <w:p>
      <w:pPr>
        <w:pStyle w:val="BodyText"/>
        <w:rPr>
          <w:sz w:val="20"/>
        </w:rPr>
      </w:pPr>
      <w:r>
        <w:rPr/>
        <w:br w:type="column"/>
      </w:r>
      <w:r>
        <w:rPr>
          <w:sz w:val="20"/>
        </w:rPr>
      </w:r>
    </w:p>
    <w:p>
      <w:pPr>
        <w:pStyle w:val="BodyText"/>
        <w:rPr>
          <w:sz w:val="20"/>
        </w:rPr>
      </w:pPr>
    </w:p>
    <w:p>
      <w:pPr>
        <w:pStyle w:val="BodyText"/>
        <w:rPr>
          <w:sz w:val="20"/>
        </w:rPr>
      </w:pPr>
    </w:p>
    <w:p>
      <w:pPr>
        <w:spacing w:before="129"/>
        <w:ind w:left="41" w:right="0" w:firstLine="0"/>
        <w:jc w:val="left"/>
        <w:rPr>
          <w:sz w:val="12"/>
        </w:rPr>
      </w:pPr>
      <w:r>
        <w:rPr>
          <w:sz w:val="12"/>
        </w:rPr>
        <w:t>Ratio </w:t>
      </w:r>
      <w:r>
        <w:rPr>
          <w:spacing w:val="20"/>
          <w:sz w:val="12"/>
        </w:rPr>
        <w:t> </w:t>
      </w:r>
      <w:r>
        <w:rPr>
          <w:position w:val="-7"/>
          <w:sz w:val="12"/>
        </w:rPr>
        <w:t>9.0</w:t>
      </w:r>
    </w:p>
    <w:p>
      <w:pPr>
        <w:pStyle w:val="BodyText"/>
        <w:rPr>
          <w:sz w:val="21"/>
        </w:rPr>
      </w:pPr>
    </w:p>
    <w:p>
      <w:pPr>
        <w:spacing w:before="0"/>
        <w:ind w:left="0" w:right="38" w:firstLine="0"/>
        <w:jc w:val="right"/>
        <w:rPr>
          <w:sz w:val="12"/>
        </w:rPr>
      </w:pPr>
      <w:r>
        <w:rPr/>
        <w:pict>
          <v:line style="position:absolute;mso-position-horizontal-relative:page;mso-position-vertical-relative:paragraph;z-index:-21041152" from="215.279999pt,-14.898433pt" to="211.279999pt,-14.898433pt" stroked="true" strokeweight=".5pt" strokecolor="#000000">
            <v:stroke dashstyle="solid"/>
            <w10:wrap type="none"/>
          </v:line>
        </w:pict>
      </w:r>
      <w:r>
        <w:rPr>
          <w:sz w:val="12"/>
        </w:rPr>
        <w:t>8.5</w:t>
      </w:r>
    </w:p>
    <w:p>
      <w:pPr>
        <w:pStyle w:val="BodyText"/>
        <w:rPr>
          <w:sz w:val="12"/>
        </w:rPr>
      </w:pPr>
    </w:p>
    <w:p>
      <w:pPr>
        <w:spacing w:before="104"/>
        <w:ind w:left="0" w:right="38" w:firstLine="0"/>
        <w:jc w:val="right"/>
        <w:rPr>
          <w:sz w:val="12"/>
        </w:rPr>
      </w:pPr>
      <w:r>
        <w:rPr>
          <w:sz w:val="12"/>
        </w:rPr>
        <w:t>8.0</w:t>
      </w:r>
    </w:p>
    <w:p>
      <w:pPr>
        <w:pStyle w:val="BodyText"/>
        <w:rPr>
          <w:sz w:val="12"/>
        </w:rPr>
      </w:pPr>
    </w:p>
    <w:p>
      <w:pPr>
        <w:spacing w:before="104"/>
        <w:ind w:left="0" w:right="38" w:firstLine="0"/>
        <w:jc w:val="right"/>
        <w:rPr>
          <w:sz w:val="12"/>
        </w:rPr>
      </w:pPr>
      <w:r>
        <w:rPr>
          <w:sz w:val="12"/>
        </w:rPr>
        <w:t>7.5</w:t>
      </w:r>
    </w:p>
    <w:p>
      <w:pPr>
        <w:pStyle w:val="BodyText"/>
        <w:rPr>
          <w:sz w:val="12"/>
        </w:rPr>
      </w:pPr>
    </w:p>
    <w:p>
      <w:pPr>
        <w:spacing w:before="84"/>
        <w:ind w:left="0" w:right="38" w:firstLine="0"/>
        <w:jc w:val="right"/>
        <w:rPr>
          <w:sz w:val="12"/>
        </w:rPr>
      </w:pPr>
      <w:r>
        <w:rPr>
          <w:sz w:val="12"/>
        </w:rPr>
        <w:t>7.0</w:t>
      </w:r>
    </w:p>
    <w:p>
      <w:pPr>
        <w:pStyle w:val="BodyText"/>
        <w:rPr>
          <w:sz w:val="12"/>
        </w:rPr>
      </w:pPr>
    </w:p>
    <w:p>
      <w:pPr>
        <w:spacing w:before="104"/>
        <w:ind w:left="0" w:right="38" w:firstLine="0"/>
        <w:jc w:val="right"/>
        <w:rPr>
          <w:sz w:val="12"/>
        </w:rPr>
      </w:pPr>
      <w:r>
        <w:rPr/>
        <w:pict>
          <v:line style="position:absolute;mso-position-horizontal-relative:page;mso-position-vertical-relative:paragraph;z-index:15886336" from="215.279999pt,9.301567pt" to="211.279999pt,9.301567pt" stroked="true" strokeweight=".5pt" strokecolor="#000000">
            <v:stroke dashstyle="solid"/>
            <w10:wrap type="none"/>
          </v:line>
        </w:pict>
      </w:r>
      <w:r>
        <w:rPr>
          <w:sz w:val="12"/>
        </w:rPr>
        <w:t>6.5</w:t>
      </w:r>
    </w:p>
    <w:p>
      <w:pPr>
        <w:pStyle w:val="BodyText"/>
        <w:rPr>
          <w:sz w:val="12"/>
        </w:rPr>
      </w:pPr>
    </w:p>
    <w:p>
      <w:pPr>
        <w:spacing w:before="104"/>
        <w:ind w:left="0" w:right="38" w:firstLine="0"/>
        <w:jc w:val="right"/>
        <w:rPr>
          <w:sz w:val="12"/>
        </w:rPr>
      </w:pPr>
      <w:r>
        <w:rPr/>
        <w:pict>
          <v:line style="position:absolute;mso-position-horizontal-relative:page;mso-position-vertical-relative:paragraph;z-index:15885824" from="215.279999pt,9.301567pt" to="211.279999pt,9.301567pt" stroked="true" strokeweight=".5pt" strokecolor="#000000">
            <v:stroke dashstyle="solid"/>
            <w10:wrap type="none"/>
          </v:line>
        </w:pict>
      </w:r>
      <w:r>
        <w:rPr>
          <w:sz w:val="12"/>
        </w:rPr>
        <w:t>6.0</w:t>
      </w:r>
    </w:p>
    <w:p>
      <w:pPr>
        <w:pStyle w:val="BodyText"/>
        <w:rPr>
          <w:sz w:val="12"/>
        </w:rPr>
      </w:pPr>
    </w:p>
    <w:p>
      <w:pPr>
        <w:spacing w:before="104"/>
        <w:ind w:left="0" w:right="38" w:firstLine="0"/>
        <w:jc w:val="right"/>
        <w:rPr>
          <w:sz w:val="12"/>
        </w:rPr>
      </w:pPr>
      <w:r>
        <w:rPr/>
        <w:pict>
          <v:line style="position:absolute;mso-position-horizontal-relative:page;mso-position-vertical-relative:paragraph;z-index:15885312" from="215.279999pt,9.301567pt" to="211.279999pt,9.301567pt" stroked="true" strokeweight=".5pt" strokecolor="#000000">
            <v:stroke dashstyle="solid"/>
            <w10:wrap type="none"/>
          </v:line>
        </w:pict>
      </w:r>
      <w:r>
        <w:rPr>
          <w:sz w:val="12"/>
        </w:rPr>
        <w:t>5.5</w:t>
      </w:r>
    </w:p>
    <w:p>
      <w:pPr>
        <w:pStyle w:val="BodyText"/>
        <w:rPr>
          <w:sz w:val="12"/>
        </w:rPr>
      </w:pPr>
    </w:p>
    <w:p>
      <w:pPr>
        <w:spacing w:before="104"/>
        <w:ind w:left="0" w:right="38" w:firstLine="0"/>
        <w:jc w:val="right"/>
        <w:rPr>
          <w:sz w:val="12"/>
        </w:rPr>
      </w:pPr>
      <w:r>
        <w:rPr/>
        <w:pict>
          <v:line style="position:absolute;mso-position-horizontal-relative:page;mso-position-vertical-relative:paragraph;z-index:15884800" from="215.279999pt,9.301567pt" to="211.279999pt,9.301567pt" stroked="true" strokeweight=".5pt" strokecolor="#000000">
            <v:stroke dashstyle="solid"/>
            <w10:wrap type="none"/>
          </v:line>
        </w:pict>
      </w:r>
      <w:r>
        <w:rPr>
          <w:sz w:val="12"/>
        </w:rPr>
        <w:t>5.0</w:t>
      </w:r>
    </w:p>
    <w:p>
      <w:pPr>
        <w:pStyle w:val="BodyText"/>
        <w:spacing w:before="5"/>
        <w:rPr>
          <w:sz w:val="21"/>
        </w:rPr>
      </w:pPr>
      <w:r>
        <w:rPr/>
        <w:br w:type="column"/>
      </w:r>
      <w:r>
        <w:rPr>
          <w:sz w:val="21"/>
        </w:rPr>
      </w:r>
    </w:p>
    <w:p>
      <w:pPr>
        <w:pStyle w:val="Heading4"/>
        <w:spacing w:line="242" w:lineRule="auto" w:before="1"/>
        <w:ind w:left="185" w:right="182"/>
      </w:pPr>
      <w:r>
        <w:rPr>
          <w:color w:val="231F20"/>
        </w:rPr>
        <w:t>own when output changes. So firms’ desired capital stock and hence their investment decision is often based on expectations of their future output. As output growth is likely to decline, this will probably cause investment growth to fall also.</w:t>
      </w:r>
    </w:p>
    <w:p>
      <w:pPr>
        <w:pStyle w:val="BodyText"/>
        <w:spacing w:before="4"/>
        <w:rPr>
          <w:sz w:val="28"/>
        </w:rPr>
      </w:pPr>
    </w:p>
    <w:p>
      <w:pPr>
        <w:spacing w:line="242" w:lineRule="auto" w:before="0"/>
        <w:ind w:left="185" w:right="176" w:firstLine="0"/>
        <w:jc w:val="left"/>
        <w:rPr>
          <w:sz w:val="24"/>
        </w:rPr>
      </w:pPr>
      <w:r>
        <w:rPr>
          <w:color w:val="231F20"/>
          <w:sz w:val="24"/>
        </w:rPr>
        <w:t>Lower costs of longer-term f</w:t>
      </w:r>
      <w:hyperlink w:history="true" w:anchor="_bookmark0">
        <w:r>
          <w:rPr>
            <w:color w:val="231F20"/>
            <w:sz w:val="24"/>
          </w:rPr>
          <w:t>inance (see Section 1)</w:t>
        </w:r>
      </w:hyperlink>
      <w:r>
        <w:rPr>
          <w:color w:val="231F20"/>
          <w:sz w:val="24"/>
        </w:rPr>
        <w:t> in 1998 than in 1997 may partly offset the effects of falling expected output growth on investment. But not all firms </w:t>
      </w:r>
      <w:r>
        <w:rPr>
          <w:color w:val="231F20"/>
          <w:spacing w:val="-3"/>
          <w:sz w:val="24"/>
        </w:rPr>
        <w:t>have </w:t>
      </w:r>
      <w:r>
        <w:rPr>
          <w:color w:val="231F20"/>
          <w:sz w:val="24"/>
        </w:rPr>
        <w:t>ready access to capital markets to finance their investment expenditure:  some </w:t>
      </w:r>
      <w:r>
        <w:rPr>
          <w:color w:val="231F20"/>
          <w:spacing w:val="-3"/>
          <w:sz w:val="24"/>
        </w:rPr>
        <w:t>have </w:t>
      </w:r>
      <w:r>
        <w:rPr>
          <w:color w:val="231F20"/>
          <w:sz w:val="24"/>
        </w:rPr>
        <w:t>to rely principally on internally generated funds.  The level of industrial and commercial companies’ undistributed income that is available to finance investment fell by 13.3% in 1998</w:t>
      </w:r>
      <w:r>
        <w:rPr>
          <w:color w:val="231F20"/>
          <w:spacing w:val="-28"/>
          <w:sz w:val="24"/>
        </w:rPr>
        <w:t> </w:t>
      </w:r>
      <w:r>
        <w:rPr>
          <w:color w:val="231F20"/>
          <w:spacing w:val="-9"/>
          <w:sz w:val="24"/>
        </w:rPr>
        <w:t>Q1 </w:t>
      </w:r>
      <w:r>
        <w:rPr>
          <w:color w:val="231F20"/>
          <w:sz w:val="24"/>
        </w:rPr>
        <w:t>compared with the first quarter of</w:t>
      </w:r>
      <w:r>
        <w:rPr>
          <w:color w:val="231F20"/>
          <w:spacing w:val="-1"/>
          <w:sz w:val="24"/>
        </w:rPr>
        <w:t> </w:t>
      </w:r>
      <w:r>
        <w:rPr>
          <w:color w:val="231F20"/>
          <w:sz w:val="24"/>
        </w:rPr>
        <w:t>1997.</w:t>
      </w:r>
    </w:p>
    <w:p>
      <w:pPr>
        <w:spacing w:after="0" w:line="242" w:lineRule="auto"/>
        <w:jc w:val="left"/>
        <w:rPr>
          <w:sz w:val="24"/>
        </w:rPr>
        <w:sectPr>
          <w:type w:val="continuous"/>
          <w:pgSz w:w="11900" w:h="16840"/>
          <w:pgMar w:top="1220" w:bottom="280" w:left="620" w:right="640"/>
          <w:cols w:num="3" w:equalWidth="0">
            <w:col w:w="3335" w:space="40"/>
            <w:col w:w="572" w:space="867"/>
            <w:col w:w="5826"/>
          </w:cols>
        </w:sectPr>
      </w:pPr>
    </w:p>
    <w:p>
      <w:pPr>
        <w:spacing w:line="208" w:lineRule="auto" w:before="31"/>
        <w:ind w:left="425" w:right="0" w:hanging="240"/>
        <w:jc w:val="left"/>
        <w:rPr>
          <w:sz w:val="12"/>
        </w:rPr>
      </w:pPr>
      <w:r>
        <w:rPr>
          <w:color w:val="231F20"/>
          <w:sz w:val="12"/>
        </w:rPr>
        <w:t>(a) The business sector includes private companies plus public </w:t>
      </w:r>
      <w:r>
        <w:rPr>
          <w:color w:val="231F20"/>
          <w:spacing w:val="-2"/>
          <w:sz w:val="12"/>
        </w:rPr>
        <w:t>corporations. </w:t>
      </w:r>
      <w:r>
        <w:rPr>
          <w:color w:val="231F20"/>
          <w:sz w:val="12"/>
        </w:rPr>
        <w:t>The capital stock (net of depreciation) and output data are measured at 1990 prices.</w:t>
      </w:r>
    </w:p>
    <w:p>
      <w:pPr>
        <w:pStyle w:val="BodyText"/>
        <w:rPr>
          <w:sz w:val="12"/>
        </w:rPr>
      </w:pPr>
    </w:p>
    <w:p>
      <w:pPr>
        <w:pStyle w:val="BodyText"/>
        <w:spacing w:before="5"/>
        <w:rPr>
          <w:sz w:val="11"/>
        </w:rPr>
      </w:pPr>
    </w:p>
    <w:p>
      <w:pPr>
        <w:pStyle w:val="Heading8"/>
        <w:spacing w:before="0"/>
        <w:ind w:left="185"/>
      </w:pPr>
      <w:r>
        <w:rPr>
          <w:color w:val="0093C1"/>
        </w:rPr>
        <w:t>Chart 2.7</w:t>
      </w:r>
    </w:p>
    <w:p>
      <w:pPr>
        <w:spacing w:before="10"/>
        <w:ind w:left="185" w:right="0" w:firstLine="0"/>
        <w:jc w:val="left"/>
        <w:rPr>
          <w:sz w:val="12"/>
        </w:rPr>
      </w:pPr>
      <w:r>
        <w:rPr>
          <w:b/>
          <w:color w:val="0093C1"/>
          <w:sz w:val="20"/>
        </w:rPr>
        <w:t>Manufacturing investment intentions</w:t>
      </w:r>
      <w:r>
        <w:rPr>
          <w:color w:val="231F20"/>
          <w:position w:val="4"/>
          <w:sz w:val="12"/>
        </w:rPr>
        <w:t>(a)</w:t>
      </w:r>
    </w:p>
    <w:p>
      <w:pPr>
        <w:spacing w:before="75"/>
        <w:ind w:left="3210" w:right="0" w:firstLine="0"/>
        <w:jc w:val="left"/>
        <w:rPr>
          <w:sz w:val="12"/>
        </w:rPr>
      </w:pPr>
      <w:r>
        <w:rPr/>
        <w:pict>
          <v:line style="position:absolute;mso-position-horizontal-relative:page;mso-position-vertical-relative:paragraph;z-index:15890432" from="50.779999pt,11.851563pt" to="45.779999pt,11.851563pt" stroked="true" strokeweight=".5pt" strokecolor="#000000">
            <v:stroke dashstyle="solid"/>
            <w10:wrap type="none"/>
          </v:line>
        </w:pict>
      </w:r>
      <w:r>
        <w:rPr/>
        <w:pict>
          <v:line style="position:absolute;mso-position-horizontal-relative:page;mso-position-vertical-relative:paragraph;z-index:15891456" from="210.779999pt,11.851563pt" to="205.779999pt,11.851563pt" stroked="true" strokeweight=".5pt" strokecolor="#000000">
            <v:stroke dashstyle="solid"/>
            <w10:wrap type="none"/>
          </v:line>
        </w:pict>
      </w:r>
      <w:r>
        <w:rPr>
          <w:sz w:val="12"/>
        </w:rPr>
        <w:t>Per cent</w:t>
      </w:r>
      <w:r>
        <w:rPr>
          <w:spacing w:val="15"/>
          <w:sz w:val="12"/>
        </w:rPr>
        <w:t> </w:t>
      </w:r>
      <w:r>
        <w:rPr>
          <w:position w:val="-5"/>
          <w:sz w:val="12"/>
        </w:rPr>
        <w:t>40</w:t>
      </w:r>
    </w:p>
    <w:p>
      <w:pPr>
        <w:pStyle w:val="BodyText"/>
        <w:rPr>
          <w:sz w:val="21"/>
        </w:rPr>
      </w:pPr>
    </w:p>
    <w:p>
      <w:pPr>
        <w:spacing w:before="0"/>
        <w:ind w:left="0" w:right="193" w:firstLine="0"/>
        <w:jc w:val="right"/>
        <w:rPr>
          <w:sz w:val="12"/>
        </w:rPr>
      </w:pPr>
      <w:r>
        <w:rPr/>
        <w:pict>
          <v:group style="position:absolute;margin-left:45.779999pt;margin-top:11.601563pt;width:174.5pt;height:114pt;mso-position-horizontal-relative:page;mso-position-vertical-relative:paragraph;z-index:-21039104" coordorigin="916,232" coordsize="3490,2280">
            <v:shape style="position:absolute;left:915;top:462;width:100;height:1140" coordorigin="916,462" coordsize="100,1140" path="m1016,1602l916,1602m1016,842l916,842m1016,462l916,462e" filled="false" stroked="true" strokeweight=".5pt" strokecolor="#000000">
              <v:path arrowok="t"/>
              <v:stroke dashstyle="solid"/>
            </v:shape>
            <v:shape style="position:absolute;left:1075;top:242;width:3000;height:1620" coordorigin="1076,242" coordsize="3000,1620" path="m1076,542l1156,722,1236,682,1316,842,1396,842,1476,1062,1556,1222,1636,1562,1716,1862,1796,1702,1876,1522,1956,1282,2036,1322,2116,1182,2216,1282,2296,1102,2376,882,2456,722,2536,582,2616,582,2696,462,2776,402,2856,242,2936,282,3016,282,3096,362,3176,362,3256,402,3336,402,3416,502,3496,402,3596,542,3676,282,3756,402,3836,462,3916,362,3996,622,4076,722e" filled="false" stroked="true" strokeweight="1pt" strokecolor="#522e91">
              <v:path arrowok="t"/>
              <v:stroke dashstyle="solid"/>
            </v:shape>
            <v:shape style="position:absolute;left:915;top:462;width:3300;height:1880" coordorigin="916,462" coordsize="3300,1880" path="m4216,1602l4116,1602m4216,842l4116,842m4216,462l4116,462m1016,1962l916,1962m1016,2342l916,2342e" filled="false" stroked="true" strokeweight=".5pt" strokecolor="#000000">
              <v:path arrowok="t"/>
              <v:stroke dashstyle="solid"/>
            </v:shape>
            <v:shape style="position:absolute;left:1075;top:542;width:1540;height:1960" coordorigin="1076,542" coordsize="1540,1960" path="m1076,542l1156,1102,1236,1322,1316,1522,1396,1522,1476,1482,1556,1782,1636,2382,1716,2502,1796,2342,1876,1482,1956,1822,2036,1602,2116,1562,2216,1902,2296,1482,2376,1522,2456,1322,2536,1262,2616,962e" filled="false" stroked="true" strokeweight="1pt" strokecolor="#f89f6d">
              <v:path arrowok="t"/>
              <v:stroke dashstyle="solid"/>
            </v:shape>
            <v:line style="position:absolute" from="4216,1962" to="4116,1962" stroked="true" strokeweight=".5pt" strokecolor="#000000">
              <v:stroke dashstyle="solid"/>
            </v:line>
            <v:shape style="position:absolute;left:2615;top:422;width:1460;height:1580" coordorigin="2616,422" coordsize="1460,1580" path="m2616,962l2696,1062,2776,1002,2856,622,2936,962,3016,722,3096,582,3176,762,3256,842,3416,762,3496,542,3596,682,3676,722,3756,422,3836,882,3916,1002,3996,1642,4076,2002e" filled="false" stroked="true" strokeweight="1pt" strokecolor="#f89f6d">
              <v:path arrowok="t"/>
              <v:stroke dashstyle="solid"/>
            </v:shape>
            <v:shape style="position:absolute;left:915;top:275;width:3490;height:1743" type="#_x0000_t202" filled="false" stroked="false">
              <v:textbox inset="0,0,0,0">
                <w:txbxContent>
                  <w:p>
                    <w:pPr>
                      <w:spacing w:line="119" w:lineRule="exact" w:before="0"/>
                      <w:ind w:left="809" w:right="0" w:firstLine="0"/>
                      <w:jc w:val="left"/>
                      <w:rPr>
                        <w:sz w:val="12"/>
                      </w:rPr>
                    </w:pPr>
                    <w:r>
                      <w:rPr>
                        <w:sz w:val="12"/>
                      </w:rPr>
                      <w:t>BCC survey balance</w:t>
                    </w:r>
                  </w:p>
                  <w:p>
                    <w:pPr>
                      <w:spacing w:line="124" w:lineRule="exact" w:before="0"/>
                      <w:ind w:left="3350" w:right="0" w:firstLine="0"/>
                      <w:jc w:val="left"/>
                      <w:rPr>
                        <w:sz w:val="12"/>
                      </w:rPr>
                    </w:pPr>
                    <w:r>
                      <w:rPr>
                        <w:sz w:val="12"/>
                      </w:rPr>
                      <w:t>20</w:t>
                    </w:r>
                  </w:p>
                  <w:p>
                    <w:pPr>
                      <w:spacing w:line="240" w:lineRule="auto" w:before="0"/>
                      <w:rPr>
                        <w:sz w:val="12"/>
                      </w:rPr>
                    </w:pPr>
                  </w:p>
                  <w:p>
                    <w:pPr>
                      <w:spacing w:before="104"/>
                      <w:ind w:left="0" w:right="18" w:firstLine="0"/>
                      <w:jc w:val="right"/>
                      <w:rPr>
                        <w:sz w:val="12"/>
                      </w:rPr>
                    </w:pPr>
                    <w:r>
                      <w:rPr>
                        <w:sz w:val="12"/>
                      </w:rPr>
                      <w:t>10</w:t>
                    </w:r>
                  </w:p>
                  <w:p>
                    <w:pPr>
                      <w:tabs>
                        <w:tab w:pos="3299" w:val="left" w:leader="none"/>
                      </w:tabs>
                      <w:spacing w:before="34"/>
                      <w:ind w:left="0" w:right="97" w:firstLine="0"/>
                      <w:jc w:val="right"/>
                      <w:rPr>
                        <w:sz w:val="16"/>
                      </w:rPr>
                    </w:pPr>
                    <w:r>
                      <w:rPr>
                        <w:sz w:val="16"/>
                        <w:u w:val="single"/>
                      </w:rPr>
                      <w:t> </w:t>
                      <w:tab/>
                    </w:r>
                    <w:r>
                      <w:rPr>
                        <w:spacing w:val="-17"/>
                        <w:sz w:val="16"/>
                      </w:rPr>
                      <w:t>+</w:t>
                    </w:r>
                  </w:p>
                  <w:p>
                    <w:pPr>
                      <w:spacing w:line="240" w:lineRule="auto" w:before="2"/>
                      <w:rPr>
                        <w:sz w:val="16"/>
                      </w:rPr>
                    </w:pPr>
                  </w:p>
                  <w:p>
                    <w:pPr>
                      <w:spacing w:before="0"/>
                      <w:ind w:left="0" w:right="98" w:firstLine="0"/>
                      <w:jc w:val="right"/>
                      <w:rPr>
                        <w:sz w:val="16"/>
                      </w:rPr>
                    </w:pPr>
                    <w:r>
                      <w:rPr>
                        <w:color w:val="231F20"/>
                        <w:sz w:val="16"/>
                      </w:rPr>
                      <w:t>–</w:t>
                    </w:r>
                  </w:p>
                  <w:p>
                    <w:pPr>
                      <w:spacing w:before="34"/>
                      <w:ind w:left="0" w:right="18" w:firstLine="0"/>
                      <w:jc w:val="right"/>
                      <w:rPr>
                        <w:sz w:val="12"/>
                      </w:rPr>
                    </w:pPr>
                    <w:r>
                      <w:rPr>
                        <w:sz w:val="12"/>
                      </w:rPr>
                      <w:t>10</w:t>
                    </w:r>
                  </w:p>
                  <w:p>
                    <w:pPr>
                      <w:spacing w:line="240" w:lineRule="auto" w:before="0"/>
                      <w:rPr>
                        <w:sz w:val="12"/>
                      </w:rPr>
                    </w:pPr>
                  </w:p>
                  <w:p>
                    <w:pPr>
                      <w:spacing w:before="84"/>
                      <w:ind w:left="0" w:right="18" w:firstLine="0"/>
                      <w:jc w:val="right"/>
                      <w:rPr>
                        <w:sz w:val="12"/>
                      </w:rPr>
                    </w:pPr>
                    <w:r>
                      <w:rPr>
                        <w:sz w:val="12"/>
                      </w:rPr>
                      <w:t>20</w:t>
                    </w:r>
                  </w:p>
                </w:txbxContent>
              </v:textbox>
              <w10:wrap type="none"/>
            </v:shape>
            <v:shape style="position:absolute;left:1805;top:2355;width:967;height:133" type="#_x0000_t202" filled="false" stroked="false">
              <v:textbox inset="0,0,0,0">
                <w:txbxContent>
                  <w:p>
                    <w:pPr>
                      <w:spacing w:line="133" w:lineRule="exact" w:before="0"/>
                      <w:ind w:left="0" w:right="0" w:firstLine="0"/>
                      <w:jc w:val="left"/>
                      <w:rPr>
                        <w:sz w:val="12"/>
                      </w:rPr>
                    </w:pPr>
                    <w:r>
                      <w:rPr>
                        <w:sz w:val="12"/>
                      </w:rPr>
                      <w:t>CBI survey balance</w:t>
                    </w:r>
                  </w:p>
                </w:txbxContent>
              </v:textbox>
              <w10:wrap type="none"/>
            </v:shape>
            <v:shape style="position:absolute;left:4265;top:2265;width:140;height:133" type="#_x0000_t202" filled="false" stroked="false">
              <v:textbox inset="0,0,0,0">
                <w:txbxContent>
                  <w:p>
                    <w:pPr>
                      <w:spacing w:line="133" w:lineRule="exact" w:before="0"/>
                      <w:ind w:left="0" w:right="0" w:firstLine="0"/>
                      <w:jc w:val="left"/>
                      <w:rPr>
                        <w:sz w:val="12"/>
                      </w:rPr>
                    </w:pPr>
                    <w:r>
                      <w:rPr>
                        <w:sz w:val="12"/>
                      </w:rPr>
                      <w:t>30</w:t>
                    </w:r>
                  </w:p>
                </w:txbxContent>
              </v:textbox>
              <w10:wrap type="none"/>
            </v:shape>
            <w10:wrap type="none"/>
          </v:group>
        </w:pict>
      </w:r>
      <w:r>
        <w:rPr/>
        <w:pict>
          <v:line style="position:absolute;mso-position-horizontal-relative:page;mso-position-vertical-relative:paragraph;z-index:15889920" from="50.779999pt,4.101563pt" to="45.779999pt,4.101563pt" stroked="true" strokeweight=".5pt" strokecolor="#000000">
            <v:stroke dashstyle="solid"/>
            <w10:wrap type="none"/>
          </v:line>
        </w:pict>
      </w:r>
      <w:r>
        <w:rPr/>
        <w:pict>
          <v:line style="position:absolute;mso-position-horizontal-relative:page;mso-position-vertical-relative:paragraph;z-index:15890944" from="210.779999pt,4.101563pt" to="205.779999pt,4.101563pt" stroked="true" strokeweight=".5pt" strokecolor="#000000">
            <v:stroke dashstyle="solid"/>
            <w10:wrap type="none"/>
          </v:line>
        </w:pict>
      </w:r>
      <w:r>
        <w:rPr>
          <w:sz w:val="12"/>
        </w:rPr>
        <w:t>30</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2"/>
        <w:rPr>
          <w:sz w:val="15"/>
        </w:rPr>
      </w:pPr>
    </w:p>
    <w:p>
      <w:pPr>
        <w:spacing w:before="0"/>
        <w:ind w:left="0" w:right="193" w:firstLine="0"/>
        <w:jc w:val="right"/>
        <w:rPr>
          <w:sz w:val="12"/>
        </w:rPr>
      </w:pPr>
      <w:r>
        <w:rPr>
          <w:sz w:val="12"/>
        </w:rPr>
        <w:t>0</w:t>
      </w:r>
    </w:p>
    <w:p>
      <w:pPr>
        <w:pStyle w:val="BodyText"/>
        <w:rPr>
          <w:sz w:val="20"/>
        </w:rPr>
      </w:pPr>
    </w:p>
    <w:p>
      <w:pPr>
        <w:pStyle w:val="BodyText"/>
        <w:rPr>
          <w:sz w:val="20"/>
        </w:rPr>
      </w:pPr>
    </w:p>
    <w:p>
      <w:pPr>
        <w:pStyle w:val="BodyText"/>
        <w:rPr>
          <w:sz w:val="20"/>
        </w:rPr>
      </w:pPr>
    </w:p>
    <w:p>
      <w:pPr>
        <w:pStyle w:val="BodyText"/>
        <w:spacing w:before="8"/>
        <w:rPr>
          <w:sz w:val="28"/>
        </w:rPr>
      </w:pPr>
      <w:r>
        <w:rPr/>
        <w:pict>
          <v:shape style="position:absolute;margin-left:205.779999pt;margin-top:18.723038pt;width:5pt;height:.1pt;mso-position-horizontal-relative:page;mso-position-vertical-relative:paragraph;z-index:-15574528;mso-wrap-distance-left:0;mso-wrap-distance-right:0" coordorigin="4116,374" coordsize="100,0" path="m4216,374l4116,374e" filled="false" stroked="true" strokeweight=".5pt" strokecolor="#000000">
            <v:path arrowok="t"/>
            <v:stroke dashstyle="solid"/>
            <w10:wrap type="topAndBottom"/>
          </v:shape>
        </w:pict>
      </w:r>
    </w:p>
    <w:p>
      <w:pPr>
        <w:pStyle w:val="BodyText"/>
        <w:rPr>
          <w:sz w:val="12"/>
        </w:rPr>
      </w:pPr>
    </w:p>
    <w:p>
      <w:pPr>
        <w:pStyle w:val="BodyText"/>
        <w:spacing w:before="11"/>
        <w:rPr>
          <w:sz w:val="10"/>
        </w:rPr>
      </w:pPr>
    </w:p>
    <w:p>
      <w:pPr>
        <w:spacing w:line="134" w:lineRule="exact" w:before="0"/>
        <w:ind w:left="3645" w:right="0" w:firstLine="0"/>
        <w:jc w:val="left"/>
        <w:rPr>
          <w:sz w:val="12"/>
        </w:rPr>
      </w:pPr>
      <w:r>
        <w:rPr/>
        <w:pict>
          <v:shape style="position:absolute;margin-left:45.779999pt;margin-top:-.898438pt;width:165pt;height:5pt;mso-position-horizontal-relative:page;mso-position-vertical-relative:paragraph;z-index:15889408" coordorigin="916,-18" coordsize="3300,100" path="m1016,82l916,82m4216,82l4116,82m1056,82l4076,82m1056,82l1056,42m1136,82l1136,42m1216,82l1216,42m1316,82l1316,42m1396,82l1396,42m1476,82l1476,42m1556,82l1556,42m1636,82l1636,42m1716,82l1716,42m1796,82l1796,42m1876,82l1876,42m1956,82l1956,42m2036,82l2036,42m2116,82l2116,42m2196,82l2196,42m2276,82l2276,42m2376,82l2376,42m2456,82l2456,42m2536,82l2536,42m2616,82l2616,42m2696,82l2696,42m2776,82l2776,42m2856,82l2856,42m2936,82l2936,42m3016,82l3016,42m3096,82l3096,42m3176,82l3176,42m3256,82l3256,42m3336,82l3336,42m3416,82l3416,42m3496,82l3496,42m3576,82l3576,42m3676,82l3676,42m3756,82l3756,42m3836,82l3836,42m3916,82l3916,42m3996,82l3996,42m4076,82l4076,42m1056,82l1056,-18m1396,82l1396,-18m1716,82l1716,-18m2036,82l2036,-18m2376,82l2376,-18m2696,82l2696,-18m3016,82l3016,-18m3336,82l3336,-18m3676,82l3676,-18m3996,82l3996,-18e" filled="false" stroked="true" strokeweight=".5pt" strokecolor="#000000">
            <v:path arrowok="t"/>
            <v:stroke dashstyle="solid"/>
            <w10:wrap type="none"/>
          </v:shape>
        </w:pict>
      </w:r>
      <w:r>
        <w:rPr>
          <w:sz w:val="12"/>
        </w:rPr>
        <w:t>40</w:t>
      </w:r>
    </w:p>
    <w:p>
      <w:pPr>
        <w:tabs>
          <w:tab w:pos="1845" w:val="left" w:leader="none"/>
          <w:tab w:pos="3145" w:val="left" w:leader="none"/>
        </w:tabs>
        <w:spacing w:line="134" w:lineRule="exact" w:before="0"/>
        <w:ind w:left="485" w:right="0" w:firstLine="0"/>
        <w:jc w:val="left"/>
        <w:rPr>
          <w:sz w:val="12"/>
        </w:rPr>
      </w:pPr>
      <w:r>
        <w:rPr>
          <w:sz w:val="12"/>
        </w:rPr>
        <w:t>1989     90     </w:t>
      </w:r>
      <w:r>
        <w:rPr>
          <w:spacing w:val="10"/>
          <w:sz w:val="12"/>
        </w:rPr>
        <w:t> </w:t>
      </w:r>
      <w:r>
        <w:rPr>
          <w:sz w:val="12"/>
        </w:rPr>
        <w:t>91     </w:t>
      </w:r>
      <w:r>
        <w:rPr>
          <w:spacing w:val="20"/>
          <w:sz w:val="12"/>
        </w:rPr>
        <w:t> </w:t>
      </w:r>
      <w:r>
        <w:rPr>
          <w:sz w:val="12"/>
        </w:rPr>
        <w:t>92</w:t>
        <w:tab/>
        <w:t>93       94     </w:t>
      </w:r>
      <w:r>
        <w:rPr>
          <w:spacing w:val="10"/>
          <w:sz w:val="12"/>
        </w:rPr>
        <w:t> </w:t>
      </w:r>
      <w:r>
        <w:rPr>
          <w:sz w:val="12"/>
        </w:rPr>
        <w:t>95     </w:t>
      </w:r>
      <w:r>
        <w:rPr>
          <w:spacing w:val="20"/>
          <w:sz w:val="12"/>
        </w:rPr>
        <w:t> </w:t>
      </w:r>
      <w:r>
        <w:rPr>
          <w:sz w:val="12"/>
        </w:rPr>
        <w:t>96</w:t>
        <w:tab/>
        <w:t>97 98</w:t>
      </w:r>
    </w:p>
    <w:p>
      <w:pPr>
        <w:spacing w:before="76"/>
        <w:ind w:left="185" w:right="0" w:firstLine="0"/>
        <w:jc w:val="left"/>
        <w:rPr>
          <w:sz w:val="12"/>
        </w:rPr>
      </w:pPr>
      <w:r>
        <w:rPr>
          <w:color w:val="231F20"/>
          <w:sz w:val="12"/>
        </w:rPr>
        <w:t>Sources: British Chambers of Commerce and CBI.</w:t>
      </w:r>
    </w:p>
    <w:p>
      <w:pPr>
        <w:pStyle w:val="BodyText"/>
        <w:spacing w:before="1"/>
        <w:rPr>
          <w:sz w:val="10"/>
        </w:rPr>
      </w:pPr>
    </w:p>
    <w:p>
      <w:pPr>
        <w:spacing w:line="208" w:lineRule="auto" w:before="0"/>
        <w:ind w:left="425" w:right="381" w:hanging="240"/>
        <w:jc w:val="left"/>
        <w:rPr>
          <w:sz w:val="12"/>
        </w:rPr>
      </w:pPr>
      <w:r>
        <w:rPr>
          <w:color w:val="231F20"/>
          <w:sz w:val="12"/>
        </w:rPr>
        <w:t>(a) Survey balances are determined by subtracting the percentage of companies reporting decreases from the percentage of companies reporting increases.</w:t>
      </w:r>
    </w:p>
    <w:p>
      <w:pPr>
        <w:pStyle w:val="BodyText"/>
        <w:rPr>
          <w:sz w:val="12"/>
        </w:rPr>
      </w:pPr>
    </w:p>
    <w:p>
      <w:pPr>
        <w:pStyle w:val="BodyText"/>
        <w:spacing w:before="5"/>
        <w:rPr>
          <w:sz w:val="9"/>
        </w:rPr>
      </w:pPr>
    </w:p>
    <w:p>
      <w:pPr>
        <w:pStyle w:val="Heading8"/>
        <w:spacing w:before="0"/>
        <w:ind w:left="195"/>
      </w:pPr>
      <w:r>
        <w:rPr>
          <w:color w:val="0093C1"/>
        </w:rPr>
        <w:t>Chart 2.8</w:t>
      </w:r>
    </w:p>
    <w:p>
      <w:pPr>
        <w:spacing w:before="10"/>
        <w:ind w:left="195" w:right="0" w:firstLine="0"/>
        <w:jc w:val="left"/>
        <w:rPr>
          <w:b/>
          <w:sz w:val="20"/>
        </w:rPr>
      </w:pPr>
      <w:r>
        <w:rPr>
          <w:b/>
          <w:color w:val="0093C1"/>
          <w:sz w:val="20"/>
        </w:rPr>
        <w:t>Services investment intentions</w:t>
      </w:r>
    </w:p>
    <w:p>
      <w:pPr>
        <w:spacing w:before="98"/>
        <w:ind w:left="3190" w:right="0" w:firstLine="0"/>
        <w:jc w:val="left"/>
        <w:rPr>
          <w:sz w:val="12"/>
        </w:rPr>
      </w:pPr>
      <w:r>
        <w:rPr/>
        <w:pict>
          <v:line style="position:absolute;mso-position-horizontal-relative:page;mso-position-vertical-relative:paragraph;z-index:15893504" from="48.779999pt,13.33457pt" to="43.779999pt,13.33457pt" stroked="true" strokeweight=".5pt" strokecolor="#000000">
            <v:stroke dashstyle="solid"/>
            <w10:wrap type="none"/>
          </v:line>
        </w:pict>
      </w:r>
      <w:r>
        <w:rPr/>
        <w:pict>
          <v:line style="position:absolute;mso-position-horizontal-relative:page;mso-position-vertical-relative:paragraph;z-index:15894016" from="209.779999pt,13.33457pt" to="205.779999pt,13.33457pt" stroked="true" strokeweight=".5pt" strokecolor="#000000">
            <v:stroke dashstyle="solid"/>
            <w10:wrap type="none"/>
          </v:line>
        </w:pict>
      </w:r>
      <w:r>
        <w:rPr>
          <w:sz w:val="12"/>
        </w:rPr>
        <w:t>Per cent</w:t>
      </w:r>
      <w:r>
        <w:rPr>
          <w:spacing w:val="5"/>
          <w:sz w:val="12"/>
        </w:rPr>
        <w:t> </w:t>
      </w:r>
      <w:r>
        <w:rPr>
          <w:position w:val="-6"/>
          <w:sz w:val="12"/>
        </w:rPr>
        <w:t>40</w:t>
      </w:r>
    </w:p>
    <w:p>
      <w:pPr>
        <w:pStyle w:val="BodyText"/>
        <w:rPr>
          <w:sz w:val="20"/>
        </w:rPr>
      </w:pPr>
    </w:p>
    <w:p>
      <w:pPr>
        <w:spacing w:before="129"/>
        <w:ind w:left="0" w:right="223" w:firstLine="0"/>
        <w:jc w:val="right"/>
        <w:rPr>
          <w:sz w:val="12"/>
        </w:rPr>
      </w:pPr>
      <w:r>
        <w:rPr/>
        <w:pict>
          <v:group style="position:absolute;margin-left:43.779999pt;margin-top:6.051562pt;width:166pt;height:119pt;mso-position-horizontal-relative:page;mso-position-vertical-relative:paragraph;z-index:15892992" coordorigin="876,121" coordsize="3320,2380">
            <v:shape style="position:absolute;left:875;top:231;width:100;height:2000" coordorigin="876,231" coordsize="100,2000" path="m976,2231l876,2231m976,1731l876,1731m976,1231l876,1231m976,731l876,731m976,231l876,231e" filled="false" stroked="true" strokeweight=".5pt" strokecolor="#000000">
              <v:path arrowok="t"/>
              <v:stroke dashstyle="solid"/>
            </v:shape>
            <v:shape style="position:absolute;left:1055;top:131;width:3000;height:2360" coordorigin="1056,131" coordsize="3000,2360" path="m1056,331l1136,831,1296,1031,1376,1031,1456,1291,1536,1631,1616,1991,1696,2491,1776,2231,1856,1991,1936,2031,2016,1791,2096,1591,2176,1931,2256,1691,2356,1431,2436,1231,2516,991,2596,991,2676,931,2756,891,2836,991,2916,831,2996,391,3076,731,3156,791,3236,791,3316,531,3396,531,3476,671,3576,531,3656,331,3736,331,3816,131,3896,531,3976,431,4056,391e" filled="false" stroked="true" strokeweight="1pt" strokecolor="#95459a">
              <v:path arrowok="t"/>
              <v:stroke dashstyle="solid"/>
            </v:shape>
            <v:shape style="position:absolute;left:4115;top:231;width:80;height:2000" coordorigin="4116,231" coordsize="80,2000" path="m4196,2231l4116,2231m4196,1731l4116,1731m4196,1231l4116,1231m4196,731l4116,731m4196,231l4116,231e" filled="false" stroked="true" strokeweight=".5pt" strokecolor="#000000">
              <v:path arrowok="t"/>
              <v:stroke dashstyle="solid"/>
            </v:shape>
            <v:shape style="position:absolute;left:1532;top:454;width:1433;height:133" type="#_x0000_t202" filled="false" stroked="false">
              <v:textbox inset="0,0,0,0">
                <w:txbxContent>
                  <w:p>
                    <w:pPr>
                      <w:spacing w:line="133" w:lineRule="exact" w:before="0"/>
                      <w:ind w:left="0" w:right="0" w:firstLine="0"/>
                      <w:jc w:val="left"/>
                      <w:rPr>
                        <w:sz w:val="12"/>
                      </w:rPr>
                    </w:pPr>
                    <w:r>
                      <w:rPr>
                        <w:sz w:val="12"/>
                      </w:rPr>
                      <w:t>BCC plant and machinery (a)</w:t>
                    </w:r>
                  </w:p>
                </w:txbxContent>
              </v:textbox>
              <w10:wrap type="none"/>
            </v:shape>
            <v:shape style="position:absolute;left:1035;top:1405;width:3040;height:178" type="#_x0000_t202" filled="false" stroked="false">
              <v:textbox inset="0,0,0,0">
                <w:txbxContent>
                  <w:p>
                    <w:pPr>
                      <w:tabs>
                        <w:tab w:pos="3019" w:val="left" w:leader="none"/>
                      </w:tabs>
                      <w:spacing w:line="177" w:lineRule="exact" w:before="0"/>
                      <w:ind w:left="0" w:right="0" w:firstLine="0"/>
                      <w:jc w:val="left"/>
                      <w:rPr>
                        <w:sz w:val="16"/>
                      </w:rPr>
                    </w:pPr>
                    <w:r>
                      <w:rPr>
                        <w:sz w:val="16"/>
                        <w:u w:val="single"/>
                      </w:rPr>
                      <w:t> </w:t>
                      <w:tab/>
                    </w:r>
                  </w:p>
                </w:txbxContent>
              </v:textbox>
              <w10:wrap type="none"/>
            </v:shape>
            <w10:wrap type="none"/>
          </v:group>
        </w:pict>
      </w:r>
      <w:r>
        <w:rPr>
          <w:sz w:val="12"/>
        </w:rPr>
        <w:t>30</w:t>
      </w:r>
    </w:p>
    <w:p>
      <w:pPr>
        <w:pStyle w:val="BodyText"/>
        <w:rPr>
          <w:sz w:val="12"/>
        </w:rPr>
      </w:pPr>
    </w:p>
    <w:p>
      <w:pPr>
        <w:pStyle w:val="BodyText"/>
        <w:rPr>
          <w:sz w:val="12"/>
        </w:rPr>
      </w:pPr>
    </w:p>
    <w:p>
      <w:pPr>
        <w:spacing w:before="86"/>
        <w:ind w:left="0" w:right="223" w:firstLine="0"/>
        <w:jc w:val="right"/>
        <w:rPr>
          <w:sz w:val="12"/>
        </w:rPr>
      </w:pPr>
      <w:r>
        <w:rPr>
          <w:sz w:val="12"/>
        </w:rPr>
        <w:t>20</w:t>
      </w:r>
    </w:p>
    <w:p>
      <w:pPr>
        <w:pStyle w:val="BodyText"/>
        <w:rPr>
          <w:sz w:val="12"/>
        </w:rPr>
      </w:pPr>
    </w:p>
    <w:p>
      <w:pPr>
        <w:pStyle w:val="BodyText"/>
        <w:rPr>
          <w:sz w:val="12"/>
        </w:rPr>
      </w:pPr>
    </w:p>
    <w:p>
      <w:pPr>
        <w:spacing w:before="86"/>
        <w:ind w:left="0" w:right="223" w:firstLine="0"/>
        <w:jc w:val="right"/>
        <w:rPr>
          <w:sz w:val="12"/>
        </w:rPr>
      </w:pPr>
      <w:r>
        <w:rPr>
          <w:sz w:val="12"/>
        </w:rPr>
        <w:t>10</w:t>
      </w:r>
    </w:p>
    <w:p>
      <w:pPr>
        <w:pStyle w:val="BodyText"/>
        <w:spacing w:before="5"/>
        <w:rPr>
          <w:sz w:val="11"/>
        </w:rPr>
      </w:pPr>
    </w:p>
    <w:p>
      <w:pPr>
        <w:spacing w:before="0"/>
        <w:ind w:left="3558" w:right="0" w:firstLine="0"/>
        <w:jc w:val="left"/>
        <w:rPr>
          <w:sz w:val="16"/>
        </w:rPr>
      </w:pPr>
      <w:r>
        <w:rPr>
          <w:sz w:val="16"/>
        </w:rPr>
        <w:t>+</w:t>
      </w:r>
    </w:p>
    <w:p>
      <w:pPr>
        <w:spacing w:before="67"/>
        <w:ind w:left="0" w:right="223" w:firstLine="0"/>
        <w:jc w:val="right"/>
        <w:rPr>
          <w:sz w:val="12"/>
        </w:rPr>
      </w:pPr>
      <w:r>
        <w:rPr>
          <w:sz w:val="12"/>
        </w:rPr>
        <w:t>0</w:t>
      </w:r>
    </w:p>
    <w:p>
      <w:pPr>
        <w:spacing w:before="51"/>
        <w:ind w:left="3572" w:right="0" w:firstLine="0"/>
        <w:jc w:val="left"/>
        <w:rPr>
          <w:sz w:val="16"/>
        </w:rPr>
      </w:pPr>
      <w:r>
        <w:rPr>
          <w:color w:val="231F20"/>
          <w:sz w:val="16"/>
        </w:rPr>
        <w:t>–</w:t>
      </w:r>
    </w:p>
    <w:p>
      <w:pPr>
        <w:spacing w:before="127"/>
        <w:ind w:left="0" w:right="223" w:firstLine="0"/>
        <w:jc w:val="right"/>
        <w:rPr>
          <w:sz w:val="12"/>
        </w:rPr>
      </w:pPr>
      <w:r>
        <w:rPr>
          <w:sz w:val="12"/>
        </w:rPr>
        <w:t>10</w:t>
      </w:r>
    </w:p>
    <w:p>
      <w:pPr>
        <w:pStyle w:val="BodyText"/>
        <w:rPr>
          <w:sz w:val="12"/>
        </w:rPr>
      </w:pPr>
    </w:p>
    <w:p>
      <w:pPr>
        <w:pStyle w:val="BodyText"/>
        <w:rPr>
          <w:sz w:val="12"/>
        </w:rPr>
      </w:pPr>
    </w:p>
    <w:p>
      <w:pPr>
        <w:spacing w:line="126" w:lineRule="exact" w:before="86"/>
        <w:ind w:left="3615" w:right="0" w:firstLine="0"/>
        <w:jc w:val="left"/>
        <w:rPr>
          <w:sz w:val="12"/>
        </w:rPr>
      </w:pPr>
      <w:r>
        <w:rPr>
          <w:sz w:val="12"/>
        </w:rPr>
        <w:t>20</w:t>
      </w:r>
    </w:p>
    <w:p>
      <w:pPr>
        <w:tabs>
          <w:tab w:pos="1182" w:val="left" w:leader="none"/>
          <w:tab w:pos="1845" w:val="left" w:leader="none"/>
          <w:tab w:pos="2475" w:val="left" w:leader="none"/>
          <w:tab w:pos="2815" w:val="left" w:leader="none"/>
          <w:tab w:pos="3145" w:val="left" w:leader="none"/>
        </w:tabs>
        <w:spacing w:line="126" w:lineRule="exact" w:before="0"/>
        <w:ind w:left="448" w:right="0" w:firstLine="0"/>
        <w:jc w:val="left"/>
        <w:rPr>
          <w:sz w:val="12"/>
        </w:rPr>
      </w:pPr>
      <w:r>
        <w:rPr>
          <w:sz w:val="12"/>
        </w:rPr>
        <w:t>1989    </w:t>
      </w:r>
      <w:r>
        <w:rPr>
          <w:spacing w:val="20"/>
          <w:sz w:val="12"/>
        </w:rPr>
        <w:t> </w:t>
      </w:r>
      <w:r>
        <w:rPr>
          <w:sz w:val="12"/>
        </w:rPr>
        <w:t>90</w:t>
        <w:tab/>
        <w:t>91     </w:t>
      </w:r>
      <w:r>
        <w:rPr>
          <w:spacing w:val="9"/>
          <w:sz w:val="12"/>
        </w:rPr>
        <w:t> </w:t>
      </w:r>
      <w:r>
        <w:rPr>
          <w:sz w:val="12"/>
        </w:rPr>
        <w:t>92</w:t>
        <w:tab/>
        <w:t>93     </w:t>
      </w:r>
      <w:r>
        <w:rPr>
          <w:spacing w:val="6"/>
          <w:sz w:val="12"/>
        </w:rPr>
        <w:t> </w:t>
      </w:r>
      <w:r>
        <w:rPr>
          <w:sz w:val="12"/>
        </w:rPr>
        <w:t>94</w:t>
        <w:tab/>
        <w:t>95</w:t>
        <w:tab/>
        <w:t>96</w:t>
        <w:tab/>
        <w:t>97</w:t>
      </w:r>
      <w:r>
        <w:rPr>
          <w:spacing w:val="16"/>
          <w:sz w:val="12"/>
        </w:rPr>
        <w:t> </w:t>
      </w:r>
      <w:r>
        <w:rPr>
          <w:sz w:val="12"/>
        </w:rPr>
        <w:t>98</w:t>
      </w:r>
    </w:p>
    <w:p>
      <w:pPr>
        <w:pStyle w:val="BodyText"/>
        <w:spacing w:before="6"/>
        <w:rPr>
          <w:sz w:val="11"/>
        </w:rPr>
      </w:pPr>
    </w:p>
    <w:p>
      <w:pPr>
        <w:spacing w:before="0"/>
        <w:ind w:left="185" w:right="0" w:firstLine="0"/>
        <w:jc w:val="left"/>
        <w:rPr>
          <w:sz w:val="12"/>
        </w:rPr>
      </w:pPr>
      <w:r>
        <w:rPr>
          <w:color w:val="231F20"/>
          <w:sz w:val="12"/>
        </w:rPr>
        <w:t>Source: British Chambers of Commerce.</w:t>
      </w:r>
    </w:p>
    <w:p>
      <w:pPr>
        <w:pStyle w:val="BodyText"/>
        <w:spacing w:before="1"/>
        <w:rPr>
          <w:sz w:val="10"/>
        </w:rPr>
      </w:pPr>
    </w:p>
    <w:p>
      <w:pPr>
        <w:spacing w:line="208" w:lineRule="auto" w:before="0"/>
        <w:ind w:left="425" w:right="381" w:hanging="240"/>
        <w:jc w:val="left"/>
        <w:rPr>
          <w:sz w:val="12"/>
        </w:rPr>
      </w:pPr>
      <w:r>
        <w:rPr>
          <w:color w:val="231F20"/>
          <w:sz w:val="12"/>
        </w:rPr>
        <w:t>(a) Survey balances are determined by subtracting the percentage of companies reporting decreases from the percentage of companies reporting increases.</w:t>
      </w:r>
    </w:p>
    <w:p>
      <w:pPr>
        <w:pStyle w:val="BodyText"/>
        <w:spacing w:before="9"/>
        <w:rPr>
          <w:sz w:val="28"/>
        </w:rPr>
      </w:pPr>
      <w:r>
        <w:rPr/>
        <w:br w:type="column"/>
      </w:r>
      <w:r>
        <w:rPr>
          <w:sz w:val="28"/>
        </w:rPr>
      </w:r>
    </w:p>
    <w:p>
      <w:pPr>
        <w:pStyle w:val="Heading4"/>
        <w:spacing w:line="242" w:lineRule="auto"/>
        <w:ind w:left="185" w:right="206"/>
      </w:pPr>
      <w:r>
        <w:rPr>
          <w:color w:val="231F20"/>
        </w:rPr>
        <w:t>Surveys show weakening investment intentions, particularly in manufacturing (see Charts 2.7 and 2.8). According to the CBI Industrial Trends </w:t>
      </w:r>
      <w:r>
        <w:rPr>
          <w:color w:val="231F20"/>
          <w:spacing w:val="-4"/>
        </w:rPr>
        <w:t>Survey, </w:t>
      </w:r>
      <w:r>
        <w:rPr>
          <w:color w:val="231F20"/>
        </w:rPr>
        <w:t>manufacturers’ investment intentions </w:t>
      </w:r>
      <w:r>
        <w:rPr>
          <w:color w:val="231F20"/>
          <w:spacing w:val="-3"/>
        </w:rPr>
        <w:t>have </w:t>
      </w:r>
      <w:r>
        <w:rPr>
          <w:color w:val="231F20"/>
        </w:rPr>
        <w:t>fallen</w:t>
      </w:r>
      <w:r>
        <w:rPr>
          <w:color w:val="231F20"/>
          <w:spacing w:val="-26"/>
        </w:rPr>
        <w:t> </w:t>
      </w:r>
      <w:r>
        <w:rPr>
          <w:color w:val="231F20"/>
        </w:rPr>
        <w:t>sharply during the past twelve months. In </w:t>
      </w:r>
      <w:r>
        <w:rPr>
          <w:color w:val="231F20"/>
          <w:spacing w:val="-4"/>
        </w:rPr>
        <w:t>July, </w:t>
      </w:r>
      <w:r>
        <w:rPr>
          <w:color w:val="231F20"/>
        </w:rPr>
        <w:t>the survey balance on plant and machinery intentions reached -21, its lowest level since July 1991. The British Chambers of Commerce (BCC) also reported a large fall in manufacturing investment intentions in 1998 Q2, compared with 1997. The BCC service sector investment intentions in 1998 Q2 were below their level in 1997, but still high compared with a longer time horizon.</w:t>
      </w:r>
    </w:p>
    <w:p>
      <w:pPr>
        <w:pStyle w:val="BodyText"/>
        <w:spacing w:before="3"/>
        <w:rPr>
          <w:sz w:val="29"/>
        </w:rPr>
      </w:pPr>
    </w:p>
    <w:p>
      <w:pPr>
        <w:spacing w:line="242" w:lineRule="auto" w:before="0"/>
        <w:ind w:left="185" w:right="463" w:firstLine="0"/>
        <w:jc w:val="left"/>
        <w:rPr>
          <w:sz w:val="24"/>
        </w:rPr>
      </w:pPr>
      <w:r>
        <w:rPr>
          <w:color w:val="231F20"/>
          <w:sz w:val="24"/>
        </w:rPr>
        <w:t>Millennium and lottery-related construction projects may continue to raise investment during the next two years. But this does not mean that they will all be a net addition to future investment. Other investment may be crowded out, and some of the Millennium spending would probably have taken place anyway.</w:t>
      </w:r>
    </w:p>
    <w:p>
      <w:pPr>
        <w:spacing w:line="242" w:lineRule="auto" w:before="8"/>
        <w:ind w:left="185" w:right="150" w:firstLine="0"/>
        <w:jc w:val="left"/>
        <w:rPr>
          <w:sz w:val="24"/>
        </w:rPr>
      </w:pPr>
      <w:r>
        <w:rPr>
          <w:color w:val="231F20"/>
          <w:sz w:val="24"/>
        </w:rPr>
        <w:t>General government investment has fallen sharply in the past four years, from £14.4 billion in 1994 to</w:t>
      </w:r>
    </w:p>
    <w:p>
      <w:pPr>
        <w:spacing w:line="242" w:lineRule="auto" w:before="3"/>
        <w:ind w:left="185" w:right="150" w:firstLine="0"/>
        <w:jc w:val="left"/>
        <w:rPr>
          <w:sz w:val="24"/>
        </w:rPr>
      </w:pPr>
      <w:r>
        <w:rPr>
          <w:color w:val="231F20"/>
          <w:sz w:val="24"/>
        </w:rPr>
        <w:t>£8.7 billion in 1997. But the Government’s new fiscal strategy (see below) promises to raise public sector investment.</w:t>
      </w:r>
    </w:p>
    <w:p>
      <w:pPr>
        <w:pStyle w:val="BodyText"/>
        <w:spacing w:before="7"/>
        <w:rPr>
          <w:sz w:val="24"/>
        </w:rPr>
      </w:pPr>
    </w:p>
    <w:p>
      <w:pPr>
        <w:spacing w:line="242" w:lineRule="auto" w:before="0"/>
        <w:ind w:left="185" w:right="427" w:firstLine="0"/>
        <w:jc w:val="left"/>
        <w:rPr>
          <w:sz w:val="24"/>
        </w:rPr>
      </w:pPr>
      <w:r>
        <w:rPr>
          <w:color w:val="231F20"/>
          <w:sz w:val="24"/>
        </w:rPr>
        <w:t>Dwellings investment growth was strong in 1998 Q1, 2.5% higher than in the previous quarter and 12.3% up on a year earlier. Investment in dwellings accounts for around 20% of total investment; of that, roughly half is in new dwellings and half is in</w:t>
      </w:r>
      <w:r>
        <w:rPr>
          <w:color w:val="231F20"/>
          <w:spacing w:val="-3"/>
          <w:sz w:val="24"/>
        </w:rPr>
        <w:t> </w:t>
      </w:r>
      <w:r>
        <w:rPr>
          <w:color w:val="231F20"/>
          <w:sz w:val="24"/>
        </w:rPr>
        <w:t>home</w:t>
      </w:r>
    </w:p>
    <w:p>
      <w:pPr>
        <w:spacing w:line="242" w:lineRule="auto" w:before="7"/>
        <w:ind w:left="185" w:right="150" w:firstLine="0"/>
        <w:jc w:val="left"/>
        <w:rPr>
          <w:sz w:val="24"/>
        </w:rPr>
      </w:pPr>
      <w:r>
        <w:rPr>
          <w:color w:val="231F20"/>
          <w:sz w:val="24"/>
        </w:rPr>
        <w:t>improvements. Dwellings investment is expenditure by the personal sector, and so will be influenced by similar factors to consumers’ expenditure. Housebuilding activity appears to be slowing. The number of housing</w:t>
      </w:r>
    </w:p>
    <w:p>
      <w:pPr>
        <w:spacing w:after="0" w:line="242" w:lineRule="auto"/>
        <w:jc w:val="left"/>
        <w:rPr>
          <w:sz w:val="24"/>
        </w:rPr>
        <w:sectPr>
          <w:type w:val="continuous"/>
          <w:pgSz w:w="11900" w:h="16840"/>
          <w:pgMar w:top="1220" w:bottom="280" w:left="620" w:right="640"/>
          <w:cols w:num="2" w:equalWidth="0">
            <w:col w:w="3962" w:space="851"/>
            <w:col w:w="5827"/>
          </w:cols>
        </w:sectPr>
      </w:pPr>
    </w:p>
    <w:p>
      <w:pPr>
        <w:pStyle w:val="BodyText"/>
        <w:rPr>
          <w:sz w:val="20"/>
        </w:rPr>
      </w:pPr>
    </w:p>
    <w:p>
      <w:pPr>
        <w:pStyle w:val="BodyText"/>
        <w:spacing w:before="5"/>
        <w:rPr>
          <w:sz w:val="21"/>
        </w:rPr>
      </w:pPr>
    </w:p>
    <w:p>
      <w:pPr>
        <w:spacing w:line="242" w:lineRule="auto" w:before="1"/>
        <w:ind w:left="5011" w:right="348" w:firstLine="0"/>
        <w:jc w:val="left"/>
        <w:rPr>
          <w:sz w:val="24"/>
        </w:rPr>
      </w:pPr>
      <w:bookmarkStart w:name="Stockbuilding" w:id="47"/>
      <w:bookmarkEnd w:id="47"/>
      <w:r>
        <w:rPr/>
      </w:r>
      <w:bookmarkStart w:name="Public sector demand" w:id="48"/>
      <w:bookmarkEnd w:id="48"/>
      <w:r>
        <w:rPr/>
      </w:r>
      <w:bookmarkStart w:name="_bookmark19" w:id="49"/>
      <w:bookmarkEnd w:id="49"/>
      <w:r>
        <w:rPr/>
      </w:r>
      <w:r>
        <w:rPr>
          <w:color w:val="231F20"/>
          <w:sz w:val="24"/>
        </w:rPr>
        <w:t>starts fell in 1998 Q2 compared with the previous quarter; and the volume of orders for new dwellings was also well down.</w:t>
      </w:r>
    </w:p>
    <w:p>
      <w:pPr>
        <w:pStyle w:val="BodyText"/>
        <w:spacing w:before="7"/>
        <w:rPr>
          <w:sz w:val="24"/>
        </w:rPr>
      </w:pPr>
    </w:p>
    <w:p>
      <w:pPr>
        <w:spacing w:line="242" w:lineRule="auto" w:before="0"/>
        <w:ind w:left="5011" w:right="0" w:firstLine="0"/>
        <w:jc w:val="left"/>
        <w:rPr>
          <w:sz w:val="24"/>
        </w:rPr>
      </w:pPr>
      <w:r>
        <w:rPr>
          <w:color w:val="231F20"/>
          <w:sz w:val="24"/>
        </w:rPr>
        <w:t>In the </w:t>
      </w:r>
      <w:r>
        <w:rPr>
          <w:color w:val="231F20"/>
          <w:spacing w:val="-3"/>
          <w:sz w:val="24"/>
        </w:rPr>
        <w:t>MPC’s </w:t>
      </w:r>
      <w:r>
        <w:rPr>
          <w:color w:val="231F20"/>
          <w:sz w:val="24"/>
        </w:rPr>
        <w:t>central projection, aggregate </w:t>
      </w:r>
      <w:r>
        <w:rPr>
          <w:color w:val="231F20"/>
          <w:spacing w:val="-4"/>
          <w:sz w:val="24"/>
        </w:rPr>
        <w:t>investment </w:t>
      </w:r>
      <w:r>
        <w:rPr>
          <w:color w:val="231F20"/>
          <w:sz w:val="24"/>
        </w:rPr>
        <w:t>growth slows in 1998 and 1999.</w:t>
      </w:r>
      <w:r>
        <w:rPr>
          <w:color w:val="231F20"/>
          <w:spacing w:val="56"/>
          <w:sz w:val="24"/>
        </w:rPr>
        <w:t> </w:t>
      </w:r>
      <w:r>
        <w:rPr>
          <w:color w:val="231F20"/>
          <w:sz w:val="24"/>
        </w:rPr>
        <w:t>Though</w:t>
      </w:r>
    </w:p>
    <w:p>
      <w:pPr>
        <w:spacing w:line="242" w:lineRule="auto" w:before="3"/>
        <w:ind w:left="5011" w:right="183" w:firstLine="0"/>
        <w:jc w:val="left"/>
        <w:rPr>
          <w:sz w:val="24"/>
        </w:rPr>
      </w:pPr>
      <w:r>
        <w:rPr>
          <w:color w:val="231F20"/>
          <w:sz w:val="24"/>
        </w:rPr>
        <w:t>Millennium-related spending will probably add to the level, the growth of private sector investment is likely to fall: lower output growth and corporate cashflow may hold back investment, particularly in the manufacturing sector; and dwellings investment will also probably slow. But lower private sector investment growth is likely to be partly offset by higher public sector investment growth.</w:t>
      </w:r>
    </w:p>
    <w:p>
      <w:pPr>
        <w:pStyle w:val="BodyText"/>
        <w:spacing w:before="2"/>
        <w:rPr>
          <w:sz w:val="22"/>
        </w:rPr>
      </w:pPr>
    </w:p>
    <w:p>
      <w:pPr>
        <w:spacing w:after="0"/>
        <w:rPr>
          <w:sz w:val="22"/>
        </w:rPr>
        <w:sectPr>
          <w:pgSz w:w="11900" w:h="16840"/>
          <w:pgMar w:header="566" w:footer="597" w:top="760" w:bottom="780" w:left="620" w:right="640"/>
        </w:sectPr>
      </w:pPr>
    </w:p>
    <w:p>
      <w:pPr>
        <w:pStyle w:val="Heading8"/>
        <w:spacing w:before="92"/>
      </w:pPr>
      <w:r>
        <w:rPr>
          <w:color w:val="0093C1"/>
        </w:rPr>
        <w:t>Chart 2.9</w:t>
      </w:r>
    </w:p>
    <w:p>
      <w:pPr>
        <w:spacing w:before="10"/>
        <w:ind w:left="200" w:right="0" w:firstLine="0"/>
        <w:jc w:val="left"/>
        <w:rPr>
          <w:sz w:val="12"/>
        </w:rPr>
      </w:pPr>
      <w:r>
        <w:rPr>
          <w:b/>
          <w:color w:val="0093C1"/>
          <w:sz w:val="20"/>
        </w:rPr>
        <w:t>UK stock-output ratio</w:t>
      </w:r>
      <w:r>
        <w:rPr>
          <w:color w:val="231F20"/>
          <w:position w:val="4"/>
          <w:sz w:val="12"/>
        </w:rPr>
        <w:t>(a)(b)</w:t>
      </w:r>
    </w:p>
    <w:p>
      <w:pPr>
        <w:pStyle w:val="BodyText"/>
        <w:spacing w:before="9" w:after="40"/>
        <w:rPr>
          <w:sz w:val="21"/>
        </w:rPr>
      </w:pPr>
    </w:p>
    <w:p>
      <w:pPr>
        <w:pStyle w:val="BodyText"/>
        <w:spacing w:line="20" w:lineRule="exact"/>
        <w:ind w:left="277"/>
        <w:rPr>
          <w:sz w:val="2"/>
        </w:rPr>
      </w:pPr>
      <w:r>
        <w:rPr>
          <w:sz w:val="2"/>
        </w:rPr>
        <w:pict>
          <v:group style="width:4.8pt;height:.5pt;mso-position-horizontal-relative:char;mso-position-vertical-relative:line" coordorigin="0,0" coordsize="96,10">
            <v:line style="position:absolute" from="95,5" to="0,5" stroked="true" strokeweight=".5pt" strokecolor="#000000">
              <v:stroke dashstyle="solid"/>
            </v:line>
          </v:group>
        </w:pict>
      </w:r>
      <w:r>
        <w:rPr>
          <w:sz w:val="2"/>
        </w:rPr>
      </w:r>
    </w:p>
    <w:p>
      <w:pPr>
        <w:pStyle w:val="BodyText"/>
        <w:rPr>
          <w:sz w:val="20"/>
        </w:rPr>
      </w:pPr>
    </w:p>
    <w:p>
      <w:pPr>
        <w:pStyle w:val="BodyText"/>
        <w:spacing w:before="11"/>
        <w:rPr>
          <w:sz w:val="21"/>
        </w:rPr>
      </w:pPr>
      <w:r>
        <w:rPr/>
        <w:pict>
          <v:shape style="position:absolute;margin-left:45.099998pt;margin-top:14.825976pt;width:4.8pt;height:.1pt;mso-position-horizontal-relative:page;mso-position-vertical-relative:paragraph;z-index:-15562240;mso-wrap-distance-left:0;mso-wrap-distance-right:0" coordorigin="902,297" coordsize="96,0" path="m997,297l902,297e" filled="false" stroked="true" strokeweight=".5pt" strokecolor="#000000">
            <v:path arrowok="t"/>
            <v:stroke dashstyle="solid"/>
            <w10:wrap type="topAndBottom"/>
          </v:shape>
        </w:pict>
      </w:r>
    </w:p>
    <w:p>
      <w:pPr>
        <w:pStyle w:val="BodyText"/>
        <w:rPr>
          <w:sz w:val="20"/>
        </w:rPr>
      </w:pPr>
    </w:p>
    <w:p>
      <w:pPr>
        <w:pStyle w:val="BodyText"/>
        <w:spacing w:before="3"/>
        <w:rPr>
          <w:sz w:val="20"/>
        </w:rPr>
      </w:pPr>
      <w:r>
        <w:rPr/>
        <w:pict>
          <v:shape style="position:absolute;margin-left:45.099998pt;margin-top:13.875977pt;width:4.8pt;height:.1pt;mso-position-horizontal-relative:page;mso-position-vertical-relative:paragraph;z-index:-15561728;mso-wrap-distance-left:0;mso-wrap-distance-right:0" coordorigin="902,278" coordsize="96,0" path="m997,278l902,278e" filled="false" stroked="true" strokeweight=".5pt" strokecolor="#000000">
            <v:path arrowok="t"/>
            <v:stroke dashstyle="solid"/>
            <w10:wrap type="topAndBottom"/>
          </v:shape>
        </w:pict>
      </w:r>
    </w:p>
    <w:p>
      <w:pPr>
        <w:pStyle w:val="BodyText"/>
        <w:rPr>
          <w:sz w:val="20"/>
        </w:rPr>
      </w:pPr>
    </w:p>
    <w:p>
      <w:pPr>
        <w:pStyle w:val="BodyText"/>
        <w:spacing w:before="3"/>
        <w:rPr>
          <w:sz w:val="20"/>
        </w:rPr>
      </w:pPr>
      <w:r>
        <w:rPr/>
        <w:pict>
          <v:shape style="position:absolute;margin-left:45.099998pt;margin-top:13.874976pt;width:4.8pt;height:.1pt;mso-position-horizontal-relative:page;mso-position-vertical-relative:paragraph;z-index:-15561216;mso-wrap-distance-left:0;mso-wrap-distance-right:0" coordorigin="902,277" coordsize="96,0" path="m997,277l902,277e" filled="false" stroked="true" strokeweight=".5pt" strokecolor="#000000">
            <v:path arrowok="t"/>
            <v:stroke dashstyle="solid"/>
            <w10:wrap type="topAndBottom"/>
          </v:shape>
        </w:pict>
      </w:r>
    </w:p>
    <w:p>
      <w:pPr>
        <w:pStyle w:val="BodyText"/>
        <w:rPr>
          <w:sz w:val="20"/>
        </w:rPr>
      </w:pPr>
    </w:p>
    <w:p>
      <w:pPr>
        <w:pStyle w:val="BodyText"/>
        <w:spacing w:before="3"/>
        <w:rPr>
          <w:sz w:val="20"/>
        </w:rPr>
      </w:pPr>
      <w:r>
        <w:rPr/>
        <w:pict>
          <v:shape style="position:absolute;margin-left:45.099998pt;margin-top:13.875977pt;width:4.8pt;height:.1pt;mso-position-horizontal-relative:page;mso-position-vertical-relative:paragraph;z-index:-15560704;mso-wrap-distance-left:0;mso-wrap-distance-right:0" coordorigin="902,278" coordsize="96,0" path="m997,278l902,278e" filled="false" stroked="true" strokeweight=".5pt" strokecolor="#000000">
            <v:path arrowok="t"/>
            <v:stroke dashstyle="solid"/>
            <w10:wrap type="topAndBottom"/>
          </v:shape>
        </w:pic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spacing w:before="4"/>
        <w:rPr>
          <w:sz w:val="9"/>
        </w:rPr>
      </w:pPr>
    </w:p>
    <w:p>
      <w:pPr>
        <w:spacing w:line="125" w:lineRule="exact" w:before="0"/>
        <w:ind w:left="174" w:right="0" w:firstLine="0"/>
        <w:jc w:val="left"/>
        <w:rPr>
          <w:sz w:val="12"/>
        </w:rPr>
      </w:pPr>
      <w:r>
        <w:rPr>
          <w:sz w:val="12"/>
        </w:rPr>
        <w:t>Weeks of stock cover</w:t>
      </w:r>
    </w:p>
    <w:p>
      <w:pPr>
        <w:spacing w:line="125" w:lineRule="exact" w:before="0"/>
        <w:ind w:left="1233" w:right="0" w:firstLine="0"/>
        <w:jc w:val="left"/>
        <w:rPr>
          <w:sz w:val="12"/>
        </w:rPr>
      </w:pPr>
      <w:r>
        <w:rPr/>
        <w:pict>
          <v:line style="position:absolute;mso-position-horizontal-relative:page;mso-position-vertical-relative:paragraph;z-index:15900672" from="211.350006pt,3.602843pt" to="206.600006pt,3.602843pt" stroked="true" strokeweight=".5pt" strokecolor="#000000">
            <v:stroke dashstyle="solid"/>
            <w10:wrap type="none"/>
          </v:line>
        </w:pict>
      </w:r>
      <w:r>
        <w:rPr>
          <w:sz w:val="12"/>
        </w:rPr>
        <w:t>14</w:t>
      </w:r>
    </w:p>
    <w:p>
      <w:pPr>
        <w:pStyle w:val="BodyText"/>
        <w:rPr>
          <w:sz w:val="12"/>
        </w:rPr>
      </w:pPr>
    </w:p>
    <w:p>
      <w:pPr>
        <w:pStyle w:val="BodyText"/>
        <w:rPr>
          <w:sz w:val="12"/>
        </w:rPr>
      </w:pPr>
    </w:p>
    <w:p>
      <w:pPr>
        <w:pStyle w:val="BodyText"/>
        <w:spacing w:before="1"/>
        <w:rPr>
          <w:sz w:val="11"/>
        </w:rPr>
      </w:pPr>
    </w:p>
    <w:p>
      <w:pPr>
        <w:spacing w:before="0"/>
        <w:ind w:left="0" w:right="38" w:firstLine="0"/>
        <w:jc w:val="right"/>
        <w:rPr>
          <w:sz w:val="12"/>
        </w:rPr>
      </w:pPr>
      <w:r>
        <w:rPr/>
        <w:pict>
          <v:shape style="position:absolute;margin-left:55.550999pt;margin-top:-9.290424pt;width:143.450pt;height:95.7pt;mso-position-horizontal-relative:page;mso-position-vertical-relative:paragraph;z-index:15898112" coordorigin="1111,-186" coordsize="2869,1914" path="m1111,-59l1149,-186,1187,-168,1244,-132,1358,193,1396,211,1434,175,1472,193,1510,283,1548,428,1586,536,1624,536,1681,554,1719,608,1757,644,1795,608,1833,590,1871,626,1909,735,1947,807,1985,807,2023,825,2061,879,2118,951,2156,1042,2232,1114,2346,1276,2384,1312,2422,1294,2460,1348,2498,1258,2555,1222,2593,1186,2631,1168,2669,1168,2745,1204,2783,1186,2859,1258,2897,1276,2935,1312,2992,1385,3030,1385,3106,1457,3144,1475,3182,1565,3220,1565,3258,1619,3296,1619,3334,1655,3372,1673,3429,1727,3505,1727,3543,1709,3581,1655,3657,1619,3695,1619,3771,1655,3809,1637,3866,1655,3942,1727,3980,1727e" filled="false" stroked="true" strokeweight="1pt" strokecolor="#008256">
            <v:path arrowok="t"/>
            <v:stroke dashstyle="solid"/>
            <w10:wrap type="none"/>
          </v:shape>
        </w:pict>
      </w:r>
      <w:r>
        <w:rPr/>
        <w:pict>
          <v:line style="position:absolute;mso-position-horizontal-relative:page;mso-position-vertical-relative:paragraph;z-index:15900160" from="211.350006pt,4.247576pt" to="206.600006pt,4.247576pt" stroked="true" strokeweight=".5pt" strokecolor="#000000">
            <v:stroke dashstyle="solid"/>
            <w10:wrap type="none"/>
          </v:line>
        </w:pict>
      </w:r>
      <w:r>
        <w:rPr>
          <w:sz w:val="12"/>
        </w:rPr>
        <w:t>13</w:t>
      </w:r>
    </w:p>
    <w:p>
      <w:pPr>
        <w:pStyle w:val="BodyText"/>
        <w:rPr>
          <w:sz w:val="12"/>
        </w:rPr>
      </w:pPr>
    </w:p>
    <w:p>
      <w:pPr>
        <w:pStyle w:val="BodyText"/>
        <w:rPr>
          <w:sz w:val="12"/>
        </w:rPr>
      </w:pPr>
    </w:p>
    <w:p>
      <w:pPr>
        <w:pStyle w:val="BodyText"/>
        <w:spacing w:before="1"/>
        <w:rPr>
          <w:sz w:val="11"/>
        </w:rPr>
      </w:pPr>
    </w:p>
    <w:p>
      <w:pPr>
        <w:spacing w:before="0"/>
        <w:ind w:left="0" w:right="38" w:firstLine="0"/>
        <w:jc w:val="right"/>
        <w:rPr>
          <w:sz w:val="12"/>
        </w:rPr>
      </w:pPr>
      <w:r>
        <w:rPr/>
        <w:pict>
          <v:line style="position:absolute;mso-position-horizontal-relative:page;mso-position-vertical-relative:paragraph;z-index:15899648" from="211.350006pt,4.248571pt" to="206.600006pt,4.248571pt" stroked="true" strokeweight=".5pt" strokecolor="#000000">
            <v:stroke dashstyle="solid"/>
            <w10:wrap type="none"/>
          </v:line>
        </w:pict>
      </w:r>
      <w:r>
        <w:rPr>
          <w:sz w:val="12"/>
        </w:rPr>
        <w:t>12</w:t>
      </w:r>
    </w:p>
    <w:p>
      <w:pPr>
        <w:pStyle w:val="BodyText"/>
        <w:rPr>
          <w:sz w:val="12"/>
        </w:rPr>
      </w:pPr>
    </w:p>
    <w:p>
      <w:pPr>
        <w:pStyle w:val="BodyText"/>
        <w:rPr>
          <w:sz w:val="12"/>
        </w:rPr>
      </w:pPr>
    </w:p>
    <w:p>
      <w:pPr>
        <w:pStyle w:val="BodyText"/>
        <w:spacing w:before="8"/>
        <w:rPr>
          <w:sz w:val="12"/>
        </w:rPr>
      </w:pPr>
    </w:p>
    <w:p>
      <w:pPr>
        <w:spacing w:before="0"/>
        <w:ind w:left="0" w:right="38" w:firstLine="0"/>
        <w:jc w:val="right"/>
        <w:rPr>
          <w:sz w:val="12"/>
        </w:rPr>
      </w:pPr>
      <w:r>
        <w:rPr/>
        <w:pict>
          <v:line style="position:absolute;mso-position-horizontal-relative:page;mso-position-vertical-relative:paragraph;z-index:15899136" from="211.350006pt,3.344574pt" to="206.600006pt,3.344574pt" stroked="true" strokeweight=".5pt" strokecolor="#000000">
            <v:stroke dashstyle="solid"/>
            <w10:wrap type="none"/>
          </v:line>
        </w:pict>
      </w:r>
      <w:r>
        <w:rPr>
          <w:sz w:val="12"/>
        </w:rPr>
        <w:t>11</w:t>
      </w:r>
    </w:p>
    <w:p>
      <w:pPr>
        <w:pStyle w:val="BodyText"/>
        <w:rPr>
          <w:sz w:val="12"/>
        </w:rPr>
      </w:pPr>
    </w:p>
    <w:p>
      <w:pPr>
        <w:pStyle w:val="BodyText"/>
        <w:rPr>
          <w:sz w:val="12"/>
        </w:rPr>
      </w:pPr>
    </w:p>
    <w:p>
      <w:pPr>
        <w:pStyle w:val="BodyText"/>
        <w:spacing w:before="1"/>
        <w:rPr>
          <w:sz w:val="11"/>
        </w:rPr>
      </w:pPr>
    </w:p>
    <w:p>
      <w:pPr>
        <w:spacing w:before="0"/>
        <w:ind w:left="0" w:right="38" w:firstLine="0"/>
        <w:jc w:val="right"/>
        <w:rPr>
          <w:sz w:val="12"/>
        </w:rPr>
      </w:pPr>
      <w:r>
        <w:rPr/>
        <w:pict>
          <v:line style="position:absolute;mso-position-horizontal-relative:page;mso-position-vertical-relative:paragraph;z-index:15898624" from="211.350006pt,3.345569pt" to="206.600006pt,3.345569pt" stroked="true" strokeweight=".5pt" strokecolor="#000000">
            <v:stroke dashstyle="solid"/>
            <w10:wrap type="none"/>
          </v:line>
        </w:pict>
      </w:r>
      <w:r>
        <w:rPr>
          <w:sz w:val="12"/>
        </w:rPr>
        <w:t>10</w:t>
      </w:r>
    </w:p>
    <w:p>
      <w:pPr>
        <w:pStyle w:val="BodyText"/>
        <w:rPr>
          <w:sz w:val="12"/>
        </w:rPr>
      </w:pPr>
    </w:p>
    <w:p>
      <w:pPr>
        <w:pStyle w:val="BodyText"/>
        <w:rPr>
          <w:sz w:val="12"/>
        </w:rPr>
      </w:pPr>
    </w:p>
    <w:p>
      <w:pPr>
        <w:pStyle w:val="BodyText"/>
        <w:spacing w:before="1"/>
        <w:rPr>
          <w:sz w:val="11"/>
        </w:rPr>
      </w:pPr>
    </w:p>
    <w:p>
      <w:pPr>
        <w:spacing w:line="132" w:lineRule="exact" w:before="0"/>
        <w:ind w:left="1292" w:right="0" w:firstLine="0"/>
        <w:jc w:val="left"/>
        <w:rPr>
          <w:sz w:val="12"/>
        </w:rPr>
      </w:pPr>
      <w:r>
        <w:rPr/>
        <w:pict>
          <v:group style="position:absolute;margin-left:45.099998pt;margin-top:3.089557pt;width:167.75pt;height:7.75pt;mso-position-horizontal-relative:page;mso-position-vertical-relative:paragraph;z-index:15897600" coordorigin="902,62" coordsize="3355,155">
            <v:shape style="position:absolute;left:902;top:66;width:3325;height:145" coordorigin="902,67" coordsize="3325,145" path="m997,67l902,67m997,211l4132,211m1111,211l1111,175m1282,211l1282,175m1434,211l1434,175m1586,211l1586,175m1757,211l1757,175m1909,211l1909,175m2061,211l2061,175m2232,211l2232,175m2384,211l2384,175m2555,211l2555,175m2707,211l2707,175m2859,211l2859,175m3030,211l3030,175m3182,211l3182,175m3334,211l3334,175m3505,211l3505,175m3657,211l3657,175m3809,211l3809,175m3980,211l3980,175m1111,211l1111,121m1909,211l1909,121m2707,211l2707,121m3505,211l3505,121m4227,67l4132,67m997,67l902,67m4227,67l4132,67m997,211l902,211m4227,211l4132,211e" filled="false" stroked="true" strokeweight=".5pt" strokecolor="#000000">
              <v:path arrowok="t"/>
              <v:stroke dashstyle="solid"/>
            </v:shape>
            <v:shape style="position:absolute;left:985;top:66;width:3267;height:141" coordorigin="986,67" coordsize="3267,141" path="m4233,75l4233,110,4214,126,4252,139,4214,158,4252,175,4230,184,4229,207m1005,67l1005,101,986,117,1024,130,986,149,1024,166,1002,175,1001,205e" filled="false" stroked="true" strokeweight=".5pt" strokecolor="#000000">
              <v:path arrowok="t"/>
              <v:stroke dashstyle="solid"/>
            </v:shape>
            <w10:wrap type="none"/>
          </v:group>
        </w:pict>
      </w:r>
      <w:r>
        <w:rPr>
          <w:sz w:val="12"/>
        </w:rPr>
        <w:t>9</w:t>
      </w:r>
    </w:p>
    <w:p>
      <w:pPr>
        <w:spacing w:line="90" w:lineRule="exact" w:before="0"/>
        <w:ind w:left="1290" w:right="0" w:firstLine="0"/>
        <w:jc w:val="left"/>
        <w:rPr>
          <w:sz w:val="12"/>
        </w:rPr>
      </w:pPr>
      <w:r>
        <w:rPr>
          <w:sz w:val="12"/>
        </w:rPr>
        <w:t>0</w:t>
      </w:r>
    </w:p>
    <w:p>
      <w:pPr>
        <w:pStyle w:val="Heading2"/>
        <w:numPr>
          <w:ilvl w:val="1"/>
          <w:numId w:val="15"/>
        </w:numPr>
        <w:tabs>
          <w:tab w:pos="3820" w:val="left" w:leader="none"/>
          <w:tab w:pos="3821" w:val="left" w:leader="none"/>
          <w:tab w:pos="5680" w:val="left" w:leader="none"/>
        </w:tabs>
        <w:spacing w:line="240" w:lineRule="auto" w:before="118" w:after="0"/>
        <w:ind w:left="3820" w:right="0" w:hanging="3621"/>
        <w:jc w:val="left"/>
        <w:rPr>
          <w:color w:val="009483"/>
        </w:rPr>
      </w:pPr>
      <w:r>
        <w:rPr>
          <w:color w:val="009483"/>
          <w:u w:val="thick" w:color="0093C1"/>
        </w:rPr>
        <w:br w:type="column"/>
        <w:t>Stockbuilding</w:t>
        <w:tab/>
      </w:r>
    </w:p>
    <w:p>
      <w:pPr>
        <w:pStyle w:val="BodyText"/>
        <w:spacing w:before="10"/>
        <w:rPr>
          <w:b/>
          <w:sz w:val="23"/>
        </w:rPr>
      </w:pPr>
    </w:p>
    <w:p>
      <w:pPr>
        <w:pStyle w:val="Heading4"/>
        <w:spacing w:line="242" w:lineRule="auto" w:before="1"/>
        <w:ind w:right="203"/>
      </w:pPr>
      <w:r>
        <w:rPr>
          <w:color w:val="231F20"/>
        </w:rPr>
        <w:t>Improved stock-management techniques led firms to reduce their desired level of stocks as a proportion of output during the 1980s and early 1990s (see Chart 2.9). An important factor for the GDP outlook is whether this ratio will fall further. Firms’ desired stock levels are negatively affected by the cost of borrowing and</w:t>
      </w:r>
    </w:p>
    <w:p>
      <w:pPr>
        <w:spacing w:line="242" w:lineRule="auto" w:before="7"/>
        <w:ind w:left="200" w:right="124" w:firstLine="0"/>
        <w:jc w:val="left"/>
        <w:rPr>
          <w:sz w:val="24"/>
        </w:rPr>
      </w:pPr>
      <w:r>
        <w:rPr>
          <w:color w:val="231F20"/>
          <w:sz w:val="24"/>
        </w:rPr>
        <w:t>short-term interest rates have been rising. So this may lead firms to reduce their stock levels relative to output. It is also possible that there will be further improvements in stock-management practices.</w:t>
      </w:r>
    </w:p>
    <w:p>
      <w:pPr>
        <w:spacing w:after="0" w:line="242" w:lineRule="auto"/>
        <w:jc w:val="left"/>
        <w:rPr>
          <w:sz w:val="24"/>
        </w:rPr>
        <w:sectPr>
          <w:type w:val="continuous"/>
          <w:pgSz w:w="11900" w:h="16840"/>
          <w:pgMar w:top="1220" w:bottom="280" w:left="620" w:right="640"/>
          <w:cols w:num="3" w:equalWidth="0">
            <w:col w:w="2362" w:space="40"/>
            <w:col w:w="1394" w:space="1015"/>
            <w:col w:w="5829"/>
          </w:cols>
        </w:sectPr>
      </w:pPr>
    </w:p>
    <w:p>
      <w:pPr>
        <w:tabs>
          <w:tab w:pos="1222" w:val="left" w:leader="none"/>
          <w:tab w:pos="2020" w:val="left" w:leader="none"/>
          <w:tab w:pos="2818" w:val="left" w:leader="none"/>
        </w:tabs>
        <w:spacing w:line="133" w:lineRule="exact" w:before="0"/>
        <w:ind w:left="405" w:right="0" w:firstLine="0"/>
        <w:jc w:val="left"/>
        <w:rPr>
          <w:sz w:val="12"/>
        </w:rPr>
      </w:pPr>
      <w:r>
        <w:rPr>
          <w:sz w:val="12"/>
        </w:rPr>
        <w:t>1980</w:t>
        <w:tab/>
        <w:t>85</w:t>
        <w:tab/>
        <w:t>90</w:t>
        <w:tab/>
        <w:t>95</w:t>
      </w:r>
    </w:p>
    <w:p>
      <w:pPr>
        <w:pStyle w:val="BodyText"/>
        <w:spacing w:before="3"/>
        <w:rPr>
          <w:sz w:val="17"/>
        </w:rPr>
      </w:pPr>
    </w:p>
    <w:p>
      <w:pPr>
        <w:spacing w:before="0"/>
        <w:ind w:left="200" w:right="0" w:firstLine="0"/>
        <w:jc w:val="left"/>
        <w:rPr>
          <w:sz w:val="12"/>
        </w:rPr>
      </w:pPr>
      <w:r>
        <w:rPr>
          <w:color w:val="231F20"/>
          <w:sz w:val="12"/>
        </w:rPr>
        <w:t>Sources: ONS and Bank of England.</w:t>
      </w:r>
    </w:p>
    <w:p>
      <w:pPr>
        <w:pStyle w:val="ListParagraph"/>
        <w:numPr>
          <w:ilvl w:val="0"/>
          <w:numId w:val="19"/>
        </w:numPr>
        <w:tabs>
          <w:tab w:pos="440" w:val="left" w:leader="none"/>
        </w:tabs>
        <w:spacing w:line="129" w:lineRule="exact" w:before="102" w:after="0"/>
        <w:ind w:left="439" w:right="0" w:hanging="240"/>
        <w:jc w:val="left"/>
        <w:rPr>
          <w:sz w:val="12"/>
        </w:rPr>
      </w:pPr>
      <w:r>
        <w:rPr>
          <w:color w:val="231F20"/>
          <w:sz w:val="12"/>
        </w:rPr>
        <w:t>Level of stocks outstanding relative to quarterly GDP in 1990 prices.</w:t>
      </w:r>
    </w:p>
    <w:p>
      <w:pPr>
        <w:pStyle w:val="ListParagraph"/>
        <w:numPr>
          <w:ilvl w:val="0"/>
          <w:numId w:val="19"/>
        </w:numPr>
        <w:tabs>
          <w:tab w:pos="441" w:val="left" w:leader="none"/>
        </w:tabs>
        <w:spacing w:line="129" w:lineRule="exact" w:before="0" w:after="0"/>
        <w:ind w:left="440" w:right="0" w:hanging="241"/>
        <w:jc w:val="left"/>
        <w:rPr>
          <w:sz w:val="12"/>
        </w:rPr>
      </w:pPr>
      <w:r>
        <w:rPr>
          <w:color w:val="231F20"/>
          <w:sz w:val="12"/>
        </w:rPr>
        <w:t>Stock numbers exclude the alignment adjustment.</w:t>
      </w:r>
    </w:p>
    <w:p>
      <w:pPr>
        <w:pStyle w:val="Heading2"/>
        <w:numPr>
          <w:ilvl w:val="1"/>
          <w:numId w:val="15"/>
        </w:numPr>
        <w:tabs>
          <w:tab w:pos="2898" w:val="left" w:leader="none"/>
          <w:tab w:pos="2899" w:val="left" w:leader="none"/>
          <w:tab w:pos="5680" w:val="left" w:leader="none"/>
        </w:tabs>
        <w:spacing w:line="240" w:lineRule="auto" w:before="159" w:after="0"/>
        <w:ind w:left="2898" w:right="0" w:hanging="2699"/>
        <w:jc w:val="left"/>
        <w:rPr>
          <w:color w:val="009483"/>
        </w:rPr>
      </w:pPr>
      <w:r>
        <w:rPr>
          <w:color w:val="009483"/>
          <w:u w:val="thick" w:color="0093C1"/>
        </w:rPr>
        <w:br w:type="column"/>
        <w:t>Public sector demand</w:t>
        <w:tab/>
      </w:r>
    </w:p>
    <w:p>
      <w:pPr>
        <w:pStyle w:val="BodyText"/>
        <w:spacing w:before="10"/>
        <w:rPr>
          <w:b/>
          <w:sz w:val="23"/>
        </w:rPr>
      </w:pPr>
    </w:p>
    <w:p>
      <w:pPr>
        <w:pStyle w:val="Heading4"/>
        <w:spacing w:line="242" w:lineRule="auto"/>
        <w:ind w:right="668"/>
      </w:pPr>
      <w:r>
        <w:rPr>
          <w:color w:val="231F20"/>
        </w:rPr>
        <w:t>In June, the Chancellor published the Economic and Fiscal Strategy Report (E</w:t>
      </w:r>
      <w:r>
        <w:rPr>
          <w:color w:val="231F20"/>
          <w:sz w:val="20"/>
        </w:rPr>
        <w:t>FSR</w:t>
      </w:r>
      <w:r>
        <w:rPr>
          <w:color w:val="231F20"/>
        </w:rPr>
        <w:t>), and in July he completed the Comprehensive Spending Review</w:t>
      </w:r>
      <w:r>
        <w:rPr>
          <w:color w:val="231F20"/>
          <w:spacing w:val="-20"/>
        </w:rPr>
        <w:t> </w:t>
      </w:r>
      <w:r>
        <w:rPr>
          <w:color w:val="231F20"/>
          <w:spacing w:val="-9"/>
        </w:rPr>
        <w:t>by</w:t>
      </w:r>
    </w:p>
    <w:p>
      <w:pPr>
        <w:spacing w:line="242" w:lineRule="auto" w:before="4"/>
        <w:ind w:left="200" w:right="366" w:firstLine="0"/>
        <w:jc w:val="left"/>
        <w:rPr>
          <w:sz w:val="24"/>
        </w:rPr>
      </w:pPr>
      <w:r>
        <w:rPr>
          <w:color w:val="231F20"/>
          <w:sz w:val="24"/>
        </w:rPr>
        <w:t>announcing spending plans for individual government departments. The E</w:t>
      </w:r>
      <w:r>
        <w:rPr>
          <w:color w:val="231F20"/>
          <w:sz w:val="20"/>
        </w:rPr>
        <w:t>FSR </w:t>
      </w:r>
      <w:r>
        <w:rPr>
          <w:color w:val="231F20"/>
          <w:sz w:val="24"/>
        </w:rPr>
        <w:t>outlined a new three-year framework for the control of public expenditure. It stated that real current government expenditure </w:t>
      </w:r>
      <w:r>
        <w:rPr>
          <w:color w:val="231F20"/>
          <w:spacing w:val="-4"/>
          <w:sz w:val="24"/>
        </w:rPr>
        <w:t>growth </w:t>
      </w:r>
      <w:r>
        <w:rPr>
          <w:color w:val="231F20"/>
          <w:sz w:val="24"/>
        </w:rPr>
        <w:t>would average 2</w:t>
      </w:r>
      <w:r>
        <w:rPr>
          <w:color w:val="231F20"/>
          <w:position w:val="8"/>
          <w:sz w:val="12"/>
        </w:rPr>
        <w:t>1</w:t>
      </w:r>
      <w:r>
        <w:rPr>
          <w:color w:val="231F20"/>
          <w:sz w:val="24"/>
        </w:rPr>
        <w:t>/</w:t>
      </w:r>
      <w:r>
        <w:rPr>
          <w:color w:val="231F20"/>
          <w:sz w:val="12"/>
        </w:rPr>
        <w:t>4</w:t>
      </w:r>
      <w:r>
        <w:rPr>
          <w:color w:val="231F20"/>
          <w:sz w:val="24"/>
        </w:rPr>
        <w:t>% per annum for the years from 1999–2000 to 2001–02. Additionally, the report set out plans to raise public sector investment: net public investment</w:t>
      </w:r>
      <w:r>
        <w:rPr>
          <w:color w:val="231F20"/>
          <w:position w:val="5"/>
          <w:sz w:val="16"/>
        </w:rPr>
        <w:t>(1) </w:t>
      </w:r>
      <w:r>
        <w:rPr>
          <w:color w:val="231F20"/>
          <w:sz w:val="24"/>
        </w:rPr>
        <w:t>is set to increase from its projected level in 1998–99 of </w:t>
      </w:r>
      <w:r>
        <w:rPr>
          <w:color w:val="231F20"/>
          <w:position w:val="8"/>
          <w:sz w:val="12"/>
        </w:rPr>
        <w:t>3</w:t>
      </w:r>
      <w:r>
        <w:rPr>
          <w:color w:val="231F20"/>
          <w:sz w:val="24"/>
        </w:rPr>
        <w:t>/</w:t>
      </w:r>
      <w:r>
        <w:rPr>
          <w:color w:val="231F20"/>
          <w:sz w:val="12"/>
        </w:rPr>
        <w:t>4</w:t>
      </w:r>
      <w:r>
        <w:rPr>
          <w:color w:val="231F20"/>
          <w:sz w:val="24"/>
        </w:rPr>
        <w:t>% of GDP to just under 1</w:t>
      </w:r>
      <w:r>
        <w:rPr>
          <w:color w:val="231F20"/>
          <w:position w:val="8"/>
          <w:sz w:val="12"/>
        </w:rPr>
        <w:t>1</w:t>
      </w:r>
      <w:r>
        <w:rPr>
          <w:color w:val="231F20"/>
          <w:sz w:val="24"/>
        </w:rPr>
        <w:t>/</w:t>
      </w:r>
      <w:r>
        <w:rPr>
          <w:color w:val="231F20"/>
          <w:sz w:val="12"/>
        </w:rPr>
        <w:t>2</w:t>
      </w:r>
      <w:r>
        <w:rPr>
          <w:color w:val="231F20"/>
          <w:sz w:val="24"/>
        </w:rPr>
        <w:t>% of GDP by 2001–02. The E</w:t>
      </w:r>
      <w:r>
        <w:rPr>
          <w:color w:val="231F20"/>
          <w:sz w:val="20"/>
        </w:rPr>
        <w:t>FSR </w:t>
      </w:r>
      <w:r>
        <w:rPr>
          <w:color w:val="231F20"/>
          <w:sz w:val="24"/>
        </w:rPr>
        <w:t>also articulated two</w:t>
      </w:r>
      <w:r>
        <w:rPr>
          <w:color w:val="231F20"/>
          <w:spacing w:val="4"/>
          <w:sz w:val="24"/>
        </w:rPr>
        <w:t> </w:t>
      </w:r>
      <w:r>
        <w:rPr>
          <w:color w:val="231F20"/>
          <w:sz w:val="24"/>
        </w:rPr>
        <w:t>fiscal</w:t>
      </w:r>
    </w:p>
    <w:p>
      <w:pPr>
        <w:spacing w:line="242" w:lineRule="auto" w:before="13"/>
        <w:ind w:left="200" w:right="162" w:firstLine="0"/>
        <w:jc w:val="left"/>
        <w:rPr>
          <w:sz w:val="24"/>
        </w:rPr>
      </w:pPr>
      <w:r>
        <w:rPr>
          <w:color w:val="231F20"/>
          <w:sz w:val="24"/>
        </w:rPr>
        <w:t>rules: a ‘golden rule’ that limits government borrowing to financing investment, not current spending, over</w:t>
      </w:r>
    </w:p>
    <w:p>
      <w:pPr>
        <w:spacing w:line="242" w:lineRule="auto" w:before="2"/>
        <w:ind w:left="200" w:right="543" w:firstLine="0"/>
        <w:jc w:val="left"/>
        <w:rPr>
          <w:sz w:val="24"/>
        </w:rPr>
      </w:pPr>
      <w:r>
        <w:rPr>
          <w:color w:val="231F20"/>
          <w:sz w:val="24"/>
        </w:rPr>
        <w:t>the economic cycle; and a sustainable investment rule that implies net public sector debt will be reduced to below 40% of GDP over the economic cycle.</w:t>
      </w:r>
    </w:p>
    <w:p>
      <w:pPr>
        <w:spacing w:after="0" w:line="242" w:lineRule="auto"/>
        <w:jc w:val="left"/>
        <w:rPr>
          <w:sz w:val="24"/>
        </w:rPr>
        <w:sectPr>
          <w:type w:val="continuous"/>
          <w:pgSz w:w="11900" w:h="16840"/>
          <w:pgMar w:top="1220" w:bottom="280" w:left="620" w:right="640"/>
          <w:cols w:num="2" w:equalWidth="0">
            <w:col w:w="3790" w:space="1022"/>
            <w:col w:w="5828"/>
          </w:cols>
        </w:sectPr>
      </w:pPr>
    </w:p>
    <w:p>
      <w:pPr>
        <w:pStyle w:val="BodyText"/>
        <w:spacing w:before="3"/>
      </w:pPr>
    </w:p>
    <w:p>
      <w:pPr>
        <w:pStyle w:val="BodyText"/>
        <w:spacing w:line="20" w:lineRule="exact"/>
        <w:ind w:left="4958"/>
        <w:rPr>
          <w:sz w:val="2"/>
        </w:rPr>
      </w:pPr>
      <w:r>
        <w:rPr>
          <w:sz w:val="2"/>
        </w:rPr>
        <w:pict>
          <v:group style="width:277.5pt;height:.15pt;mso-position-horizontal-relative:char;mso-position-vertical-relative:line" coordorigin="0,0" coordsize="5550,3">
            <v:line style="position:absolute" from="0,1" to="5550,1" stroked="true" strokeweight=".125pt" strokecolor="#231f20">
              <v:stroke dashstyle="solid"/>
            </v:line>
          </v:group>
        </w:pict>
      </w:r>
      <w:r>
        <w:rPr>
          <w:sz w:val="2"/>
        </w:rPr>
      </w:r>
    </w:p>
    <w:p>
      <w:pPr>
        <w:pStyle w:val="ListParagraph"/>
        <w:numPr>
          <w:ilvl w:val="2"/>
          <w:numId w:val="15"/>
        </w:numPr>
        <w:tabs>
          <w:tab w:pos="5225" w:val="left" w:leader="none"/>
        </w:tabs>
        <w:spacing w:line="240" w:lineRule="auto" w:before="24" w:after="0"/>
        <w:ind w:left="5224" w:right="0" w:hanging="241"/>
        <w:jc w:val="left"/>
        <w:rPr>
          <w:sz w:val="16"/>
        </w:rPr>
      </w:pPr>
      <w:r>
        <w:rPr>
          <w:color w:val="231F20"/>
          <w:sz w:val="16"/>
        </w:rPr>
        <w:t>Net of asset sales and depreciation.</w:t>
      </w:r>
    </w:p>
    <w:p>
      <w:pPr>
        <w:spacing w:after="0" w:line="240" w:lineRule="auto"/>
        <w:jc w:val="left"/>
        <w:rPr>
          <w:sz w:val="16"/>
        </w:rPr>
        <w:sectPr>
          <w:type w:val="continuous"/>
          <w:pgSz w:w="11900" w:h="16840"/>
          <w:pgMar w:top="1220" w:bottom="280" w:left="620" w:right="640"/>
        </w:sectPr>
      </w:pPr>
    </w:p>
    <w:p>
      <w:pPr>
        <w:pStyle w:val="BodyText"/>
        <w:rPr>
          <w:sz w:val="20"/>
        </w:rPr>
      </w:pPr>
    </w:p>
    <w:p>
      <w:pPr>
        <w:pStyle w:val="BodyText"/>
        <w:spacing w:before="5"/>
        <w:rPr>
          <w:sz w:val="21"/>
        </w:rPr>
      </w:pPr>
    </w:p>
    <w:p>
      <w:pPr>
        <w:pStyle w:val="Heading4"/>
        <w:spacing w:line="242" w:lineRule="auto" w:before="1"/>
        <w:ind w:left="5005" w:right="189"/>
      </w:pPr>
      <w:bookmarkStart w:name="Output" w:id="50"/>
      <w:bookmarkEnd w:id="50"/>
      <w:r>
        <w:rPr/>
      </w:r>
      <w:bookmarkStart w:name="_bookmark20" w:id="51"/>
      <w:bookmarkEnd w:id="51"/>
      <w:r>
        <w:rPr/>
      </w:r>
      <w:r>
        <w:rPr>
          <w:color w:val="231F20"/>
        </w:rPr>
        <w:t>The E</w:t>
      </w:r>
      <w:r>
        <w:rPr>
          <w:color w:val="231F20"/>
          <w:sz w:val="20"/>
        </w:rPr>
        <w:t>FSR </w:t>
      </w:r>
      <w:r>
        <w:rPr>
          <w:color w:val="231F20"/>
        </w:rPr>
        <w:t>announced a new headline fiscal indicator to replace the public sector borrowing requirement: public sector net borrowing is more consistent with concepts of borrowing used for other sectors in the national accounts, and is a concept used internationally. Public sector net borrowing fell substantially in 1997–98 to</w:t>
      </w:r>
    </w:p>
    <w:p>
      <w:pPr>
        <w:spacing w:line="242" w:lineRule="auto" w:before="7"/>
        <w:ind w:left="5005" w:right="206" w:firstLine="0"/>
        <w:jc w:val="left"/>
        <w:rPr>
          <w:sz w:val="24"/>
        </w:rPr>
      </w:pPr>
      <w:r>
        <w:rPr>
          <w:color w:val="231F20"/>
          <w:sz w:val="24"/>
        </w:rPr>
        <w:t>£5.5 billion from £27.4 billion in the previous fiscal year. The Chancellor has forecast a further fall in public sector net borrowing to zero in 1998–99. The data for June 1998 indicate that the cumulative outturn in the fiscal year to date was £5.9 billion, already £4.3 billion below the outturn to June last year.</w:t>
      </w:r>
    </w:p>
    <w:p>
      <w:pPr>
        <w:pStyle w:val="BodyText"/>
        <w:rPr>
          <w:sz w:val="25"/>
        </w:rPr>
      </w:pPr>
    </w:p>
    <w:p>
      <w:pPr>
        <w:spacing w:line="242" w:lineRule="auto" w:before="0"/>
        <w:ind w:left="5005" w:right="206" w:firstLine="0"/>
        <w:jc w:val="left"/>
        <w:rPr>
          <w:sz w:val="24"/>
        </w:rPr>
      </w:pPr>
      <w:r>
        <w:rPr>
          <w:color w:val="231F20"/>
          <w:sz w:val="24"/>
        </w:rPr>
        <w:t>The new fiscal plans contained in the E</w:t>
      </w:r>
      <w:r>
        <w:rPr>
          <w:color w:val="231F20"/>
          <w:sz w:val="20"/>
        </w:rPr>
        <w:t>FSR </w:t>
      </w:r>
      <w:r>
        <w:rPr>
          <w:color w:val="231F20"/>
          <w:sz w:val="24"/>
        </w:rPr>
        <w:t>imply slightly higher government expenditure towards the end of the </w:t>
      </w:r>
      <w:r>
        <w:rPr>
          <w:i/>
          <w:color w:val="231F20"/>
          <w:sz w:val="24"/>
        </w:rPr>
        <w:t>Inflation Report </w:t>
      </w:r>
      <w:r>
        <w:rPr>
          <w:color w:val="231F20"/>
          <w:sz w:val="24"/>
        </w:rPr>
        <w:t>forecast than had been incorporated in </w:t>
      </w:r>
      <w:r>
        <w:rPr>
          <w:color w:val="231F20"/>
          <w:spacing w:val="-4"/>
          <w:sz w:val="24"/>
        </w:rPr>
        <w:t>May. </w:t>
      </w:r>
      <w:r>
        <w:rPr>
          <w:color w:val="231F20"/>
          <w:sz w:val="24"/>
        </w:rPr>
        <w:t>Higher tax receipts than in the May forecast are also projected; some of the recent strong increase in receipts, following the introduction of self-assessment, is assumed to be permanent. There is a possibility that the increase in government spending </w:t>
      </w:r>
      <w:r>
        <w:rPr>
          <w:color w:val="231F20"/>
          <w:spacing w:val="-4"/>
          <w:sz w:val="24"/>
        </w:rPr>
        <w:t>will </w:t>
      </w:r>
      <w:r>
        <w:rPr>
          <w:color w:val="231F20"/>
          <w:sz w:val="24"/>
        </w:rPr>
        <w:t>be proportionately greatest for those items that </w:t>
      </w:r>
      <w:r>
        <w:rPr>
          <w:color w:val="231F20"/>
          <w:spacing w:val="-3"/>
          <w:sz w:val="24"/>
        </w:rPr>
        <w:t>have </w:t>
      </w:r>
      <w:r>
        <w:rPr>
          <w:color w:val="231F20"/>
          <w:sz w:val="24"/>
        </w:rPr>
        <w:t>the biggest impact on demand; this is partly accounted for in the </w:t>
      </w:r>
      <w:r>
        <w:rPr>
          <w:color w:val="231F20"/>
          <w:spacing w:val="-3"/>
          <w:sz w:val="24"/>
        </w:rPr>
        <w:t>MPC’s </w:t>
      </w:r>
      <w:r>
        <w:rPr>
          <w:color w:val="231F20"/>
          <w:sz w:val="24"/>
        </w:rPr>
        <w:t>central projection for inflation and partly in the upside risks. By itself, the change in the fiscal outlook implies a positive, but small, increase in the central inflation projection two years ahead compared with the May forecast.</w:t>
      </w:r>
    </w:p>
    <w:p>
      <w:pPr>
        <w:pStyle w:val="BodyText"/>
        <w:spacing w:before="1"/>
        <w:rPr>
          <w:sz w:val="22"/>
        </w:rPr>
      </w:pPr>
    </w:p>
    <w:p>
      <w:pPr>
        <w:pStyle w:val="ListParagraph"/>
        <w:numPr>
          <w:ilvl w:val="1"/>
          <w:numId w:val="15"/>
        </w:numPr>
        <w:tabs>
          <w:tab w:pos="9414" w:val="left" w:leader="none"/>
          <w:tab w:pos="9415" w:val="left" w:leader="none"/>
        </w:tabs>
        <w:spacing w:line="240" w:lineRule="auto" w:before="88" w:after="0"/>
        <w:ind w:left="9414" w:right="0" w:hanging="4410"/>
        <w:jc w:val="left"/>
        <w:rPr>
          <w:b/>
          <w:color w:val="009483"/>
          <w:sz w:val="28"/>
        </w:rPr>
      </w:pPr>
      <w:r>
        <w:rPr>
          <w:b/>
          <w:color w:val="009483"/>
          <w:sz w:val="28"/>
          <w:u w:val="thick" w:color="0093C1"/>
        </w:rPr>
        <w:t>Output</w:t>
      </w:r>
      <w:r>
        <w:rPr>
          <w:b/>
          <w:color w:val="009483"/>
          <w:spacing w:val="-12"/>
          <w:sz w:val="28"/>
          <w:u w:val="thick" w:color="0093C1"/>
        </w:rPr>
        <w:t> </w:t>
      </w:r>
    </w:p>
    <w:p>
      <w:pPr>
        <w:pStyle w:val="BodyText"/>
        <w:spacing w:before="11"/>
        <w:rPr>
          <w:b/>
          <w:sz w:val="23"/>
        </w:rPr>
      </w:pPr>
    </w:p>
    <w:p>
      <w:pPr>
        <w:spacing w:line="242" w:lineRule="auto" w:before="0"/>
        <w:ind w:left="5005" w:right="400" w:firstLine="0"/>
        <w:jc w:val="left"/>
        <w:rPr>
          <w:sz w:val="24"/>
        </w:rPr>
      </w:pPr>
      <w:r>
        <w:rPr>
          <w:color w:val="231F20"/>
          <w:sz w:val="24"/>
        </w:rPr>
        <w:t>The preliminary estimate for real GDP growth in 1998 Q2 was 0.5%; the same as in 1998 Q1. Energy production</w:t>
      </w:r>
      <w:r>
        <w:rPr>
          <w:color w:val="231F20"/>
          <w:position w:val="5"/>
          <w:sz w:val="16"/>
        </w:rPr>
        <w:t>(1) </w:t>
      </w:r>
      <w:r>
        <w:rPr>
          <w:color w:val="231F20"/>
          <w:sz w:val="24"/>
        </w:rPr>
        <w:t>fell in 1998 Q1, because of the unusually mild winter; but it subsequently recovered strongly because of the cold weather in April and June.</w:t>
      </w:r>
    </w:p>
    <w:p>
      <w:pPr>
        <w:spacing w:line="242" w:lineRule="auto" w:before="6"/>
        <w:ind w:left="5005" w:right="221" w:firstLine="0"/>
        <w:jc w:val="left"/>
        <w:rPr>
          <w:sz w:val="24"/>
        </w:rPr>
      </w:pPr>
      <w:r>
        <w:rPr>
          <w:color w:val="231F20"/>
          <w:sz w:val="24"/>
        </w:rPr>
        <w:t>Excluding this weather-related effect on the energy sector, GDP growth probably fell.</w:t>
      </w:r>
    </w:p>
    <w:p>
      <w:pPr>
        <w:pStyle w:val="BodyText"/>
        <w:spacing w:before="6"/>
        <w:rPr>
          <w:sz w:val="24"/>
        </w:rPr>
      </w:pPr>
    </w:p>
    <w:p>
      <w:pPr>
        <w:spacing w:line="242" w:lineRule="auto" w:before="1"/>
        <w:ind w:left="5005" w:right="356" w:firstLine="0"/>
        <w:jc w:val="left"/>
        <w:rPr>
          <w:sz w:val="24"/>
        </w:rPr>
      </w:pPr>
      <w:r>
        <w:rPr>
          <w:color w:val="231F20"/>
          <w:sz w:val="24"/>
        </w:rPr>
        <w:t>According to the ONS, manufacturing output has been broadly flat since 1997 Q4. Survey data had suggested that manufacturing output growth was stronger up to 1998 Q1. But, more recently, the surveys </w:t>
      </w:r>
      <w:r>
        <w:rPr>
          <w:color w:val="231F20"/>
          <w:spacing w:val="-3"/>
          <w:sz w:val="24"/>
        </w:rPr>
        <w:t>have </w:t>
      </w:r>
      <w:r>
        <w:rPr>
          <w:color w:val="231F20"/>
          <w:sz w:val="24"/>
        </w:rPr>
        <w:t>weakened. The CBI Industrial Trends Survey showed a negative balance on past output in July for the first time since April 1993. According to the C</w:t>
      </w:r>
      <w:r>
        <w:rPr>
          <w:color w:val="231F20"/>
          <w:sz w:val="20"/>
        </w:rPr>
        <w:t>IPS </w:t>
      </w:r>
      <w:r>
        <w:rPr>
          <w:color w:val="231F20"/>
          <w:sz w:val="24"/>
        </w:rPr>
        <w:t>index, manufacturing output growth was positive until March this year, but then output started to fall. The</w:t>
      </w:r>
      <w:r>
        <w:rPr>
          <w:color w:val="231F20"/>
          <w:spacing w:val="-14"/>
          <w:sz w:val="24"/>
        </w:rPr>
        <w:t> </w:t>
      </w:r>
      <w:r>
        <w:rPr>
          <w:color w:val="231F20"/>
          <w:sz w:val="24"/>
        </w:rPr>
        <w:t>figure</w:t>
      </w:r>
    </w:p>
    <w:p>
      <w:pPr>
        <w:spacing w:before="11"/>
        <w:ind w:left="5005" w:right="0" w:firstLine="0"/>
        <w:jc w:val="left"/>
        <w:rPr>
          <w:sz w:val="24"/>
        </w:rPr>
      </w:pPr>
      <w:r>
        <w:rPr>
          <w:color w:val="231F20"/>
          <w:sz w:val="24"/>
        </w:rPr>
        <w:t>for July was particularly weak: the index for output</w:t>
      </w:r>
    </w:p>
    <w:p>
      <w:pPr>
        <w:pStyle w:val="BodyText"/>
        <w:spacing w:before="7"/>
        <w:rPr>
          <w:sz w:val="15"/>
        </w:rPr>
      </w:pPr>
      <w:r>
        <w:rPr/>
        <w:pict>
          <v:shape style="position:absolute;margin-left:278.5pt;margin-top:11.030557pt;width:276.75pt;height:.1pt;mso-position-horizontal-relative:page;mso-position-vertical-relative:paragraph;z-index:-15556096;mso-wrap-distance-left:0;mso-wrap-distance-right:0" coordorigin="5570,221" coordsize="5535,0" path="m5570,221l11105,221e" filled="false" stroked="true" strokeweight=".125pt" strokecolor="#231f20">
            <v:path arrowok="t"/>
            <v:stroke dashstyle="solid"/>
            <w10:wrap type="topAndBottom"/>
          </v:shape>
        </w:pict>
      </w:r>
    </w:p>
    <w:p>
      <w:pPr>
        <w:spacing w:line="208" w:lineRule="auto" w:before="13"/>
        <w:ind w:left="5227" w:right="709" w:hanging="240"/>
        <w:jc w:val="left"/>
        <w:rPr>
          <w:sz w:val="16"/>
        </w:rPr>
      </w:pPr>
      <w:r>
        <w:rPr>
          <w:color w:val="231F20"/>
          <w:sz w:val="16"/>
        </w:rPr>
        <w:t>(1) Output of the mining and quarrying, and electricity, gas and water supply industries.</w:t>
      </w:r>
    </w:p>
    <w:p>
      <w:pPr>
        <w:spacing w:after="0" w:line="208" w:lineRule="auto"/>
        <w:jc w:val="left"/>
        <w:rPr>
          <w:sz w:val="16"/>
        </w:rPr>
        <w:sectPr>
          <w:headerReference w:type="even" r:id="rId40"/>
          <w:headerReference w:type="default" r:id="rId41"/>
          <w:footerReference w:type="even" r:id="rId42"/>
          <w:footerReference w:type="default" r:id="rId43"/>
          <w:pgSz w:w="11900" w:h="16840"/>
          <w:pgMar w:header="566" w:footer="597" w:top="760" w:bottom="780" w:left="620" w:right="640"/>
          <w:pgNumType w:start="22"/>
        </w:sectPr>
      </w:pPr>
    </w:p>
    <w:p>
      <w:pPr>
        <w:pStyle w:val="BodyText"/>
        <w:rPr>
          <w:sz w:val="20"/>
        </w:rPr>
      </w:pPr>
    </w:p>
    <w:p>
      <w:pPr>
        <w:pStyle w:val="BodyText"/>
        <w:spacing w:before="3"/>
        <w:rPr>
          <w:sz w:val="21"/>
        </w:rPr>
      </w:pPr>
    </w:p>
    <w:p>
      <w:pPr>
        <w:pStyle w:val="Heading4"/>
        <w:spacing w:line="242" w:lineRule="auto"/>
        <w:ind w:left="5009" w:right="709"/>
      </w:pPr>
      <w:bookmarkStart w:name="Summary" w:id="52"/>
      <w:bookmarkEnd w:id="52"/>
      <w:r>
        <w:rPr/>
      </w:r>
      <w:bookmarkStart w:name="_bookmark21" w:id="53"/>
      <w:bookmarkEnd w:id="53"/>
      <w:r>
        <w:rPr/>
      </w:r>
      <w:r>
        <w:rPr>
          <w:color w:val="231F20"/>
        </w:rPr>
        <w:t>reached its lowest level since the survey began in July 1991.</w:t>
      </w:r>
    </w:p>
    <w:p>
      <w:pPr>
        <w:spacing w:line="242" w:lineRule="auto" w:before="203"/>
        <w:ind w:left="5009" w:right="178" w:firstLine="0"/>
        <w:jc w:val="left"/>
        <w:rPr>
          <w:sz w:val="24"/>
        </w:rPr>
      </w:pPr>
      <w:r>
        <w:rPr>
          <w:color w:val="231F20"/>
          <w:sz w:val="24"/>
        </w:rPr>
        <w:t>Quarterly service sector output growth slowed from 0.7% in 1998 Q1 to 0.6% in 1998 Q2. Growth of distribution, hotels and catering, which accounts for around one fifth of service output, was especially weak at 0.1%.  The BCC survey also indicated a slowing of the growth in service activity in 1998 Q2. The C</w:t>
      </w:r>
      <w:r>
        <w:rPr>
          <w:color w:val="231F20"/>
          <w:sz w:val="20"/>
        </w:rPr>
        <w:t>IPS </w:t>
      </w:r>
      <w:r>
        <w:rPr>
          <w:color w:val="231F20"/>
          <w:sz w:val="24"/>
        </w:rPr>
        <w:t>survey for July suggested continued increases in </w:t>
      </w:r>
      <w:r>
        <w:rPr>
          <w:color w:val="231F20"/>
          <w:spacing w:val="-5"/>
          <w:sz w:val="24"/>
        </w:rPr>
        <w:t>activity, </w:t>
      </w:r>
      <w:r>
        <w:rPr>
          <w:color w:val="231F20"/>
          <w:sz w:val="24"/>
        </w:rPr>
        <w:t>but the index has fallen for </w:t>
      </w:r>
      <w:r>
        <w:rPr>
          <w:color w:val="231F20"/>
          <w:spacing w:val="-4"/>
          <w:sz w:val="24"/>
        </w:rPr>
        <w:t>five </w:t>
      </w:r>
      <w:r>
        <w:rPr>
          <w:color w:val="231F20"/>
          <w:sz w:val="24"/>
        </w:rPr>
        <w:t>consecutive months indicating a slowing of</w:t>
      </w:r>
      <w:r>
        <w:rPr>
          <w:color w:val="231F20"/>
          <w:spacing w:val="-2"/>
          <w:sz w:val="24"/>
        </w:rPr>
        <w:t> </w:t>
      </w:r>
      <w:r>
        <w:rPr>
          <w:color w:val="231F20"/>
          <w:sz w:val="24"/>
        </w:rPr>
        <w:t>growth.</w:t>
      </w:r>
    </w:p>
    <w:p>
      <w:pPr>
        <w:spacing w:line="242" w:lineRule="auto" w:before="211"/>
        <w:ind w:left="5009" w:right="178" w:firstLine="0"/>
        <w:jc w:val="left"/>
        <w:rPr>
          <w:sz w:val="24"/>
        </w:rPr>
      </w:pPr>
      <w:r>
        <w:rPr>
          <w:color w:val="231F20"/>
          <w:sz w:val="24"/>
        </w:rPr>
        <w:t>Construction output growth was strong in 1998 Q1, increasing by 2% on the previous quarter. Though no official data are available for 1998 Q2, it is likely that growth fell. In 1998 Q2, the C</w:t>
      </w:r>
      <w:r>
        <w:rPr>
          <w:color w:val="231F20"/>
          <w:sz w:val="20"/>
        </w:rPr>
        <w:t>IPS </w:t>
      </w:r>
      <w:r>
        <w:rPr>
          <w:color w:val="231F20"/>
          <w:sz w:val="24"/>
        </w:rPr>
        <w:t>construction activity index was well below its level in the previous quarter, though it was still above 50, which indicates that the level of construction output continued to grow on a monthly basis. Construction new orders were 4.1% lower in 1998 Q2 than in the previous quarter, a </w:t>
      </w:r>
      <w:r>
        <w:rPr>
          <w:color w:val="231F20"/>
          <w:spacing w:val="-3"/>
          <w:sz w:val="24"/>
        </w:rPr>
        <w:t>possible </w:t>
      </w:r>
      <w:r>
        <w:rPr>
          <w:color w:val="231F20"/>
          <w:sz w:val="24"/>
        </w:rPr>
        <w:t>indication that construction growth will slow later in 1998. Agricultural output is quite volatile, but it fell in the four quarters to 1998 Q1.</w:t>
      </w:r>
    </w:p>
    <w:p>
      <w:pPr>
        <w:pStyle w:val="BodyText"/>
        <w:spacing w:before="2"/>
        <w:rPr>
          <w:sz w:val="24"/>
        </w:rPr>
      </w:pPr>
    </w:p>
    <w:p>
      <w:pPr>
        <w:pStyle w:val="ListParagraph"/>
        <w:numPr>
          <w:ilvl w:val="1"/>
          <w:numId w:val="15"/>
        </w:numPr>
        <w:tabs>
          <w:tab w:pos="9107" w:val="left" w:leader="none"/>
          <w:tab w:pos="9108" w:val="left" w:leader="none"/>
          <w:tab w:pos="10489" w:val="left" w:leader="none"/>
        </w:tabs>
        <w:spacing w:line="240" w:lineRule="auto" w:before="0" w:after="0"/>
        <w:ind w:left="9107" w:right="0" w:hanging="4099"/>
        <w:jc w:val="left"/>
        <w:rPr>
          <w:b/>
          <w:color w:val="009483"/>
          <w:sz w:val="28"/>
        </w:rPr>
      </w:pPr>
      <w:r>
        <w:rPr>
          <w:b/>
          <w:color w:val="009483"/>
          <w:sz w:val="28"/>
          <w:u w:val="thick" w:color="0093C1"/>
        </w:rPr>
        <w:t>Summary</w:t>
        <w:tab/>
      </w:r>
    </w:p>
    <w:p>
      <w:pPr>
        <w:spacing w:line="242" w:lineRule="auto" w:before="264"/>
        <w:ind w:left="5009" w:right="165" w:firstLine="0"/>
        <w:jc w:val="left"/>
        <w:rPr>
          <w:sz w:val="24"/>
        </w:rPr>
      </w:pPr>
      <w:r>
        <w:rPr>
          <w:color w:val="231F20"/>
          <w:sz w:val="24"/>
        </w:rPr>
        <w:t>The central projection in May was for a slowdown—to below trend—of GDP growth.  Output growth of 0.5% in the second quarter was a little stronger than envisaged in the central case of the May </w:t>
      </w:r>
      <w:r>
        <w:rPr>
          <w:i/>
          <w:color w:val="231F20"/>
          <w:sz w:val="24"/>
        </w:rPr>
        <w:t>Inflation Report </w:t>
      </w:r>
      <w:r>
        <w:rPr>
          <w:color w:val="231F20"/>
          <w:sz w:val="24"/>
        </w:rPr>
        <w:t>projection, largely because of the volatile energy component. The GDP figures, together with recent survey evidence, suggest that output growth slowed to around trend in the first half of the year, reflecting both </w:t>
      </w:r>
      <w:r>
        <w:rPr>
          <w:color w:val="231F20"/>
          <w:spacing w:val="-17"/>
          <w:sz w:val="24"/>
        </w:rPr>
        <w:t>a </w:t>
      </w:r>
      <w:r>
        <w:rPr>
          <w:color w:val="231F20"/>
          <w:sz w:val="24"/>
        </w:rPr>
        <w:t>fall in net exports, and also a decline in the growth of final domestic</w:t>
      </w:r>
      <w:r>
        <w:rPr>
          <w:color w:val="231F20"/>
          <w:spacing w:val="-1"/>
          <w:sz w:val="24"/>
        </w:rPr>
        <w:t> </w:t>
      </w:r>
      <w:r>
        <w:rPr>
          <w:color w:val="231F20"/>
          <w:sz w:val="24"/>
        </w:rPr>
        <w:t>demand.</w:t>
      </w:r>
    </w:p>
    <w:p>
      <w:pPr>
        <w:spacing w:line="242" w:lineRule="auto" w:before="213"/>
        <w:ind w:left="5009" w:right="178" w:firstLine="0"/>
        <w:jc w:val="left"/>
        <w:rPr>
          <w:sz w:val="24"/>
        </w:rPr>
      </w:pPr>
      <w:r>
        <w:rPr>
          <w:color w:val="231F20"/>
          <w:sz w:val="24"/>
        </w:rPr>
        <w:t>The </w:t>
      </w:r>
      <w:r>
        <w:rPr>
          <w:color w:val="231F20"/>
          <w:spacing w:val="-3"/>
          <w:sz w:val="24"/>
        </w:rPr>
        <w:t>MPC’s </w:t>
      </w:r>
      <w:r>
        <w:rPr>
          <w:color w:val="231F20"/>
          <w:sz w:val="24"/>
        </w:rPr>
        <w:t>current central view is for a steeper slowdown in GDP growth than projected in </w:t>
      </w:r>
      <w:r>
        <w:rPr>
          <w:color w:val="231F20"/>
          <w:spacing w:val="-4"/>
          <w:sz w:val="24"/>
        </w:rPr>
        <w:t>May. </w:t>
      </w:r>
      <w:r>
        <w:rPr>
          <w:color w:val="231F20"/>
          <w:sz w:val="24"/>
        </w:rPr>
        <w:t>The most likely investment profile is considerably weaker, offset to some extent by higher government spending over the next two years. There is also a smaller negative contribution from net trade: the August central projection contains a lower value for sterling and </w:t>
      </w:r>
      <w:r>
        <w:rPr>
          <w:color w:val="231F20"/>
          <w:spacing w:val="-4"/>
          <w:sz w:val="24"/>
        </w:rPr>
        <w:t>weaker </w:t>
      </w:r>
      <w:r>
        <w:rPr>
          <w:color w:val="231F20"/>
          <w:sz w:val="24"/>
        </w:rPr>
        <w:t>domestic demand. But the MPC has increased the downside risk to its central GDP projection from the possibility of lower world</w:t>
      </w:r>
      <w:r>
        <w:rPr>
          <w:color w:val="231F20"/>
          <w:spacing w:val="-2"/>
          <w:sz w:val="24"/>
        </w:rPr>
        <w:t> </w:t>
      </w:r>
      <w:r>
        <w:rPr>
          <w:color w:val="231F20"/>
          <w:sz w:val="24"/>
        </w:rPr>
        <w:t>growth.</w:t>
      </w:r>
    </w:p>
    <w:p>
      <w:pPr>
        <w:spacing w:after="0" w:line="242" w:lineRule="auto"/>
        <w:jc w:val="left"/>
        <w:rPr>
          <w:sz w:val="24"/>
        </w:rPr>
        <w:sectPr>
          <w:pgSz w:w="11900" w:h="16840"/>
          <w:pgMar w:header="566" w:footer="597" w:top="760" w:bottom="780" w:left="620" w:right="640"/>
        </w:sectPr>
      </w:pPr>
    </w:p>
    <w:p>
      <w:pPr>
        <w:pStyle w:val="BodyText"/>
        <w:spacing w:line="20" w:lineRule="exact"/>
        <w:ind w:left="158"/>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rPr>
          <w:sz w:val="20"/>
        </w:rPr>
      </w:pPr>
    </w:p>
    <w:p>
      <w:pPr>
        <w:pStyle w:val="BodyText"/>
        <w:spacing w:before="7"/>
        <w:rPr>
          <w:sz w:val="16"/>
        </w:rPr>
      </w:pPr>
      <w:r>
        <w:rPr/>
        <w:pict>
          <v:group style="position:absolute;margin-left:40.090pt;margin-top:11.500977pt;width:516pt;height:48pt;mso-position-horizontal-relative:page;mso-position-vertical-relative:paragraph;z-index:-15554048;mso-wrap-distance-left:0;mso-wrap-distance-right:0" coordorigin="802,230" coordsize="10320,960">
            <v:rect style="position:absolute;left:801;top:230;width:10320;height:960" filled="true" fillcolor="#b5dad6" stroked="false">
              <v:fill type="solid"/>
            </v:rect>
            <v:shape style="position:absolute;left:1061;top:291;width:380;height:798" type="#_x0000_t202" filled="false" stroked="false">
              <v:textbox inset="0,0,0,0">
                <w:txbxContent>
                  <w:p>
                    <w:pPr>
                      <w:spacing w:line="797" w:lineRule="exact" w:before="0"/>
                      <w:ind w:left="0" w:right="0" w:firstLine="0"/>
                      <w:jc w:val="left"/>
                      <w:rPr>
                        <w:b/>
                        <w:sz w:val="72"/>
                      </w:rPr>
                    </w:pPr>
                    <w:bookmarkStart w:name="The labour market" w:id="54"/>
                    <w:bookmarkEnd w:id="54"/>
                    <w:r>
                      <w:rPr/>
                    </w:r>
                    <w:bookmarkStart w:name="Earnings" w:id="55"/>
                    <w:bookmarkEnd w:id="55"/>
                    <w:r>
                      <w:rPr/>
                    </w:r>
                    <w:bookmarkStart w:name="_bookmark22" w:id="56"/>
                    <w:bookmarkEnd w:id="56"/>
                    <w:r>
                      <w:rPr/>
                    </w:r>
                    <w:bookmarkStart w:name="_bookmark23" w:id="57"/>
                    <w:bookmarkEnd w:id="57"/>
                    <w:r>
                      <w:rPr/>
                    </w:r>
                    <w:r>
                      <w:rPr>
                        <w:b/>
                        <w:color w:val="009483"/>
                        <w:sz w:val="72"/>
                      </w:rPr>
                      <w:t>3</w:t>
                    </w:r>
                  </w:p>
                </w:txbxContent>
              </v:textbox>
              <w10:wrap type="none"/>
            </v:shape>
            <v:shape style="position:absolute;left:7014;top:445;width:3909;height:532" type="#_x0000_t202" filled="false" stroked="false">
              <v:textbox inset="0,0,0,0">
                <w:txbxContent>
                  <w:p>
                    <w:pPr>
                      <w:spacing w:line="532" w:lineRule="exact" w:before="0"/>
                      <w:ind w:left="0" w:right="0" w:firstLine="0"/>
                      <w:jc w:val="left"/>
                      <w:rPr>
                        <w:b/>
                        <w:sz w:val="48"/>
                      </w:rPr>
                    </w:pPr>
                    <w:r>
                      <w:rPr>
                        <w:b/>
                        <w:color w:val="009483"/>
                        <w:sz w:val="48"/>
                      </w:rPr>
                      <w:t>The labour market</w:t>
                    </w:r>
                  </w:p>
                </w:txbxContent>
              </v:textbox>
              <w10:wrap type="none"/>
            </v:shape>
            <w10:wrap type="topAndBottom"/>
          </v:group>
        </w:pict>
      </w:r>
    </w:p>
    <w:p>
      <w:pPr>
        <w:pStyle w:val="BodyText"/>
        <w:rPr>
          <w:sz w:val="20"/>
        </w:rPr>
      </w:pPr>
    </w:p>
    <w:p>
      <w:pPr>
        <w:pStyle w:val="BodyText"/>
        <w:spacing w:before="1"/>
        <w:rPr>
          <w:sz w:val="29"/>
        </w:rPr>
      </w:pPr>
    </w:p>
    <w:p>
      <w:pPr>
        <w:spacing w:after="0"/>
        <w:rPr>
          <w:sz w:val="29"/>
        </w:rPr>
        <w:sectPr>
          <w:headerReference w:type="even" r:id="rId44"/>
          <w:footerReference w:type="even" r:id="rId45"/>
          <w:footerReference w:type="default" r:id="rId46"/>
          <w:pgSz w:w="11900" w:h="16840"/>
          <w:pgMar w:header="0" w:footer="597" w:top="780" w:bottom="780" w:left="620" w:right="640"/>
          <w:pgNumType w:start="24"/>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2"/>
        <w:rPr>
          <w:sz w:val="22"/>
        </w:rPr>
      </w:pPr>
    </w:p>
    <w:p>
      <w:pPr>
        <w:pStyle w:val="Heading8"/>
        <w:spacing w:before="1"/>
      </w:pPr>
      <w:r>
        <w:rPr>
          <w:color w:val="0093C1"/>
        </w:rPr>
        <w:t>Chart 3.1</w:t>
      </w:r>
    </w:p>
    <w:p>
      <w:pPr>
        <w:spacing w:before="10"/>
        <w:ind w:left="200" w:right="0" w:firstLine="0"/>
        <w:jc w:val="left"/>
        <w:rPr>
          <w:b/>
          <w:sz w:val="20"/>
        </w:rPr>
      </w:pPr>
      <w:r>
        <w:rPr>
          <w:b/>
          <w:color w:val="0093C1"/>
          <w:sz w:val="20"/>
        </w:rPr>
        <w:t>Headline average earnings growth</w:t>
      </w:r>
    </w:p>
    <w:p>
      <w:pPr>
        <w:spacing w:before="111"/>
        <w:ind w:left="1872" w:right="0" w:firstLine="0"/>
        <w:jc w:val="left"/>
        <w:rPr>
          <w:sz w:val="12"/>
        </w:rPr>
      </w:pPr>
      <w:r>
        <w:rPr/>
        <w:pict>
          <v:line style="position:absolute;mso-position-horizontal-relative:page;mso-position-vertical-relative:paragraph;z-index:15908864" from="44.833pt,13.651189pt" to="40.833pt,13.651189pt" stroked="true" strokeweight=".5pt" strokecolor="#000000">
            <v:stroke dashstyle="solid"/>
            <w10:wrap type="none"/>
          </v:line>
        </w:pict>
      </w:r>
      <w:r>
        <w:rPr/>
        <w:pict>
          <v:line style="position:absolute;mso-position-horizontal-relative:page;mso-position-vertical-relative:paragraph;z-index:-21012480" from="211.832993pt,13.651189pt" to="206.832993pt,13.651189pt" stroked="true" strokeweight=".5pt" strokecolor="#000000">
            <v:stroke dashstyle="solid"/>
            <w10:wrap type="none"/>
          </v:line>
        </w:pict>
      </w:r>
      <w:r>
        <w:rPr>
          <w:sz w:val="12"/>
        </w:rPr>
        <w:t>Percentage changes on a year earlier </w:t>
      </w:r>
      <w:r>
        <w:rPr>
          <w:spacing w:val="25"/>
          <w:sz w:val="12"/>
        </w:rPr>
        <w:t> </w:t>
      </w:r>
      <w:r>
        <w:rPr>
          <w:position w:val="-7"/>
          <w:sz w:val="12"/>
        </w:rPr>
        <w:t>9</w:t>
      </w:r>
    </w:p>
    <w:p>
      <w:pPr>
        <w:pStyle w:val="BodyText"/>
        <w:spacing w:before="6"/>
        <w:rPr>
          <w:sz w:val="17"/>
        </w:rPr>
      </w:pPr>
    </w:p>
    <w:p>
      <w:pPr>
        <w:spacing w:before="1"/>
        <w:ind w:left="0" w:right="98" w:firstLine="0"/>
        <w:jc w:val="right"/>
        <w:rPr>
          <w:sz w:val="12"/>
        </w:rPr>
      </w:pPr>
      <w:r>
        <w:rPr/>
        <w:pict>
          <v:line style="position:absolute;mso-position-horizontal-relative:page;mso-position-vertical-relative:paragraph;z-index:15908352" from="44.833pt,4.151188pt" to="40.833pt,4.151188pt" stroked="true" strokeweight=".5pt" strokecolor="#000000">
            <v:stroke dashstyle="solid"/>
            <w10:wrap type="none"/>
          </v:line>
        </w:pict>
      </w:r>
      <w:r>
        <w:rPr/>
        <w:pict>
          <v:group style="position:absolute;margin-left:50.333pt;margin-top:-.348812pt;width:152pt;height:101pt;mso-position-horizontal-relative:page;mso-position-vertical-relative:paragraph;z-index:-21018112" coordorigin="1007,-7" coordsize="3040,2020">
            <v:shape style="position:absolute;left:1016;top:3;width:3020;height:1440" coordorigin="1017,3" coordsize="3020,1440" path="m1017,163l1057,3,1097,163,1137,243,1177,663,1257,663,1297,743,1337,743,1377,843,1417,843,1537,1083,1697,1083,1777,1243,1817,1343,1857,1343,1897,1423,1937,1343,1977,1243,2017,1183,2057,1183,2097,1143,2137,1243,2177,1323,2217,1303,2257,1243,2297,1163,2357,1123,2377,983,2417,1003,2457,963,2497,1103,2557,1063,2577,1143,2637,1183,2677,1183,2697,1243,2757,1283,2777,1363,2837,1423,2877,1443,2917,1443,2957,1423,2977,1343,3117,1343,3157,1323,3197,1243,3237,1223,3277,1243,3317,1243,3357,1223,3397,1183,3437,1223,3477,1243,3517,1283,3557,1283,3597,1323,3677,1323,3717,1343,3757,1283,3797,1243,3837,1223,3877,1223,3917,1183,3957,983,3997,883,4037,843e" filled="false" stroked="true" strokeweight="1pt" strokecolor="#0066a5">
              <v:path arrowok="t"/>
              <v:stroke dashstyle="solid"/>
            </v:shape>
            <v:shape style="position:absolute;left:1016;top:243;width:3020;height:1500" coordorigin="1017,243" coordsize="3020,1500" path="m1017,323l1057,243,1097,243,1137,423,1177,663,1217,663,1257,743,1297,843,1457,1163,1497,1163,1537,1243,1577,1423,1617,1423,1657,1503,1697,1503,1817,1743,1897,1743,1937,1663,1977,1503,2017,1383,2057,1403,2097,1463,2137,1503,2177,1483,2217,1483,2297,1443,2357,1523,2377,1503,2417,1543,2457,1563,2557,1563,2577,1463,2637,1583,2677,1623,2697,1683,2757,1683,2777,1623,2877,1623,2917,1643,2957,1643,2977,1583,3037,1523,3077,1543,3117,1523,3157,1543,3197,1443,3237,1423,3277,1423,3317,1383,3357,1323,3397,1223,3437,1223,3477,1243,3517,1323,3557,1323,3597,1343,3637,1323,3677,1283,3717,1323,3757,1283,3797,1283,3837,1223,3877,1243,3917,1223,3957,1083,3997,983,4037,943e" filled="false" stroked="true" strokeweight="1pt" strokecolor="#ed1b2d">
              <v:path arrowok="t"/>
              <v:stroke dashstyle="solid"/>
            </v:shape>
            <v:shape style="position:absolute;left:1016;top:323;width:3020;height:1680" coordorigin="1017,323" coordsize="3020,1680" path="m1017,423l1057,323,1097,323,1137,423,1177,583,1257,743,1297,1003,1337,923,1377,1003,1417,1163,1457,1243,1497,1243,1537,1343,1617,1663,1657,1743,1697,1843,1777,1843,1817,2003,1857,2003,1937,1843,1977,1663,2017,1423,2057,1423,2097,1563,2137,1583,2177,1543,2217,1523,2257,1543,2297,1543,2357,1663,2377,1723,2417,1783,2457,1883,2497,1803,2557,1803,2577,1603,2637,1803,2677,1843,2697,1963,2757,1923,2777,1883,2837,1783,2877,1743,2917,1743,2957,1783,2977,1683,3037,1583,3077,1623,3117,1543,3157,1583,3197,1443,3277,1443,3317,1423,3357,1383,3397,1243,3437,1223,3477,1183,3517,1243,3557,1283,3597,1343,3637,1343,3677,1283,3757,1283,3797,1243,3837,1223,3877,1223,3917,1143,3957,1043,3997,923,4037,883e" filled="false" stroked="true" strokeweight="1pt" strokecolor="#faab54">
              <v:path arrowok="t"/>
              <v:stroke dashstyle="solid"/>
            </v:shape>
            <v:shape style="position:absolute;left:1006;top:-7;width:3040;height:2020" type="#_x0000_t202" filled="false" stroked="false">
              <v:textbox inset="0,0,0,0">
                <w:txbxContent>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3"/>
                      <w:rPr>
                        <w:sz w:val="10"/>
                      </w:rPr>
                    </w:pPr>
                  </w:p>
                  <w:p>
                    <w:pPr>
                      <w:spacing w:before="0"/>
                      <w:ind w:left="1121" w:right="1165" w:firstLine="0"/>
                      <w:jc w:val="center"/>
                      <w:rPr>
                        <w:sz w:val="12"/>
                      </w:rPr>
                    </w:pPr>
                    <w:r>
                      <w:rPr>
                        <w:sz w:val="12"/>
                      </w:rPr>
                      <w:t>Manufacturing</w:t>
                    </w:r>
                  </w:p>
                  <w:p>
                    <w:pPr>
                      <w:spacing w:line="240" w:lineRule="auto" w:before="0"/>
                      <w:rPr>
                        <w:sz w:val="12"/>
                      </w:rPr>
                    </w:pPr>
                  </w:p>
                  <w:p>
                    <w:pPr>
                      <w:spacing w:line="240" w:lineRule="auto" w:before="0"/>
                      <w:rPr>
                        <w:sz w:val="12"/>
                      </w:rPr>
                    </w:pPr>
                  </w:p>
                  <w:p>
                    <w:pPr>
                      <w:spacing w:before="92"/>
                      <w:ind w:left="1067" w:right="1165" w:firstLine="0"/>
                      <w:jc w:val="center"/>
                      <w:rPr>
                        <w:sz w:val="12"/>
                      </w:rPr>
                    </w:pPr>
                    <w:r>
                      <w:rPr>
                        <w:sz w:val="12"/>
                      </w:rPr>
                      <w:t>Economy</w:t>
                    </w:r>
                  </w:p>
                </w:txbxContent>
              </v:textbox>
              <w10:wrap type="none"/>
            </v:shape>
            <w10:wrap type="none"/>
          </v:group>
        </w:pict>
      </w:r>
      <w:r>
        <w:rPr/>
        <w:pict>
          <v:line style="position:absolute;mso-position-horizontal-relative:page;mso-position-vertical-relative:paragraph;z-index:15915008" from="211.832993pt,4.151188pt" to="206.832993pt,4.151188pt" stroked="true" strokeweight=".5pt" strokecolor="#000000">
            <v:stroke dashstyle="solid"/>
            <w10:wrap type="none"/>
          </v:line>
        </w:pict>
      </w:r>
      <w:r>
        <w:rPr>
          <w:sz w:val="12"/>
        </w:rPr>
        <w:t>8</w:t>
      </w:r>
    </w:p>
    <w:p>
      <w:pPr>
        <w:pStyle w:val="BodyText"/>
        <w:spacing w:before="9"/>
        <w:rPr>
          <w:sz w:val="15"/>
        </w:rPr>
      </w:pPr>
    </w:p>
    <w:p>
      <w:pPr>
        <w:spacing w:before="0"/>
        <w:ind w:left="0" w:right="98" w:firstLine="0"/>
        <w:jc w:val="right"/>
        <w:rPr>
          <w:sz w:val="12"/>
        </w:rPr>
      </w:pPr>
      <w:r>
        <w:rPr/>
        <w:pict>
          <v:line style="position:absolute;mso-position-horizontal-relative:page;mso-position-vertical-relative:paragraph;z-index:15907840" from="44.833pt,5.100945pt" to="40.833pt,5.100945pt" stroked="true" strokeweight=".5pt" strokecolor="#000000">
            <v:stroke dashstyle="solid"/>
            <w10:wrap type="none"/>
          </v:line>
        </w:pict>
      </w:r>
      <w:r>
        <w:rPr/>
        <w:pict>
          <v:line style="position:absolute;mso-position-horizontal-relative:page;mso-position-vertical-relative:paragraph;z-index:15914496" from="211.832993pt,5.100945pt" to="206.832993pt,5.100945pt" stroked="true" strokeweight=".5pt" strokecolor="#000000">
            <v:stroke dashstyle="solid"/>
            <w10:wrap type="none"/>
          </v:line>
        </w:pict>
      </w:r>
      <w:r>
        <w:rPr>
          <w:sz w:val="12"/>
        </w:rPr>
        <w:t>7</w:t>
      </w:r>
    </w:p>
    <w:p>
      <w:pPr>
        <w:pStyle w:val="BodyText"/>
        <w:spacing w:before="7"/>
        <w:rPr>
          <w:sz w:val="17"/>
        </w:rPr>
      </w:pPr>
    </w:p>
    <w:p>
      <w:pPr>
        <w:spacing w:before="0"/>
        <w:ind w:left="0" w:right="98" w:firstLine="0"/>
        <w:jc w:val="right"/>
        <w:rPr>
          <w:sz w:val="12"/>
        </w:rPr>
      </w:pPr>
      <w:r>
        <w:rPr/>
        <w:pict>
          <v:line style="position:absolute;mso-position-horizontal-relative:page;mso-position-vertical-relative:paragraph;z-index:15907328" from="44.833pt,4.101158pt" to="40.833pt,4.101158pt" stroked="true" strokeweight=".5pt" strokecolor="#000000">
            <v:stroke dashstyle="solid"/>
            <w10:wrap type="none"/>
          </v:line>
        </w:pict>
      </w:r>
      <w:r>
        <w:rPr/>
        <w:pict>
          <v:line style="position:absolute;mso-position-horizontal-relative:page;mso-position-vertical-relative:paragraph;z-index:15913984" from="211.832993pt,4.101158pt" to="206.832993pt,4.101158pt" stroked="true" strokeweight=".5pt" strokecolor="#000000">
            <v:stroke dashstyle="solid"/>
            <w10:wrap type="none"/>
          </v:line>
        </w:pict>
      </w:r>
      <w:r>
        <w:rPr>
          <w:sz w:val="12"/>
        </w:rPr>
        <w:t>6</w:t>
      </w:r>
    </w:p>
    <w:p>
      <w:pPr>
        <w:pStyle w:val="BodyText"/>
        <w:spacing w:before="6"/>
        <w:rPr>
          <w:sz w:val="17"/>
        </w:rPr>
      </w:pPr>
    </w:p>
    <w:p>
      <w:pPr>
        <w:spacing w:before="0"/>
        <w:ind w:left="0" w:right="98" w:firstLine="0"/>
        <w:jc w:val="right"/>
        <w:rPr>
          <w:sz w:val="12"/>
        </w:rPr>
      </w:pPr>
      <w:r>
        <w:rPr/>
        <w:pict>
          <v:line style="position:absolute;mso-position-horizontal-relative:page;mso-position-vertical-relative:paragraph;z-index:15906816" from="44.833pt,4.101372pt" to="40.833pt,4.101372pt" stroked="true" strokeweight=".5pt" strokecolor="#000000">
            <v:stroke dashstyle="solid"/>
            <w10:wrap type="none"/>
          </v:line>
        </w:pict>
      </w:r>
      <w:r>
        <w:rPr/>
        <w:pict>
          <v:line style="position:absolute;mso-position-horizontal-relative:page;mso-position-vertical-relative:paragraph;z-index:15913472" from="211.832993pt,4.101372pt" to="206.832993pt,4.101372pt" stroked="true" strokeweight=".5pt" strokecolor="#000000">
            <v:stroke dashstyle="solid"/>
            <w10:wrap type="none"/>
          </v:line>
        </w:pict>
      </w:r>
      <w:r>
        <w:rPr>
          <w:sz w:val="12"/>
        </w:rPr>
        <w:t>5</w:t>
      </w:r>
    </w:p>
    <w:p>
      <w:pPr>
        <w:pStyle w:val="BodyText"/>
        <w:spacing w:before="10"/>
        <w:rPr>
          <w:sz w:val="15"/>
        </w:rPr>
      </w:pPr>
    </w:p>
    <w:p>
      <w:pPr>
        <w:spacing w:before="0"/>
        <w:ind w:left="0" w:right="98" w:firstLine="0"/>
        <w:jc w:val="right"/>
        <w:rPr>
          <w:sz w:val="12"/>
        </w:rPr>
      </w:pPr>
      <w:r>
        <w:rPr/>
        <w:pict>
          <v:line style="position:absolute;mso-position-horizontal-relative:page;mso-position-vertical-relative:paragraph;z-index:15906304" from="44.833pt,5.101158pt" to="40.833pt,5.101158pt" stroked="true" strokeweight=".5pt" strokecolor="#000000">
            <v:stroke dashstyle="solid"/>
            <w10:wrap type="none"/>
          </v:line>
        </w:pict>
      </w:r>
      <w:r>
        <w:rPr/>
        <w:pict>
          <v:line style="position:absolute;mso-position-horizontal-relative:page;mso-position-vertical-relative:paragraph;z-index:15912960" from="211.832993pt,5.101158pt" to="206.832993pt,5.101158pt" stroked="true" strokeweight=".5pt" strokecolor="#000000">
            <v:stroke dashstyle="solid"/>
            <w10:wrap type="none"/>
          </v:line>
        </w:pict>
      </w:r>
      <w:r>
        <w:rPr>
          <w:sz w:val="12"/>
        </w:rPr>
        <w:t>4</w:t>
      </w:r>
    </w:p>
    <w:p>
      <w:pPr>
        <w:pStyle w:val="BodyText"/>
        <w:spacing w:before="6"/>
        <w:rPr>
          <w:sz w:val="17"/>
        </w:rPr>
      </w:pPr>
    </w:p>
    <w:p>
      <w:pPr>
        <w:spacing w:before="0"/>
        <w:ind w:left="0" w:right="98" w:firstLine="0"/>
        <w:jc w:val="right"/>
        <w:rPr>
          <w:sz w:val="12"/>
        </w:rPr>
      </w:pPr>
      <w:r>
        <w:rPr/>
        <w:pict>
          <v:line style="position:absolute;mso-position-horizontal-relative:page;mso-position-vertical-relative:paragraph;z-index:15905792" from="44.833pt,4.101372pt" to="40.833pt,4.101372pt" stroked="true" strokeweight=".5pt" strokecolor="#000000">
            <v:stroke dashstyle="solid"/>
            <w10:wrap type="none"/>
          </v:line>
        </w:pict>
      </w:r>
      <w:r>
        <w:rPr/>
        <w:pict>
          <v:line style="position:absolute;mso-position-horizontal-relative:page;mso-position-vertical-relative:paragraph;z-index:15912448" from="211.832993pt,4.101372pt" to="206.832993pt,4.101372pt" stroked="true" strokeweight=".5pt" strokecolor="#000000">
            <v:stroke dashstyle="solid"/>
            <w10:wrap type="none"/>
          </v:line>
        </w:pict>
      </w:r>
      <w:r>
        <w:rPr>
          <w:sz w:val="12"/>
        </w:rPr>
        <w:t>3</w:t>
      </w:r>
    </w:p>
    <w:p>
      <w:pPr>
        <w:tabs>
          <w:tab w:pos="3766" w:val="right" w:leader="none"/>
        </w:tabs>
        <w:spacing w:before="142"/>
        <w:ind w:left="1926" w:right="0" w:firstLine="0"/>
        <w:jc w:val="left"/>
        <w:rPr>
          <w:sz w:val="12"/>
        </w:rPr>
      </w:pPr>
      <w:r>
        <w:rPr/>
        <w:pict>
          <v:line style="position:absolute;mso-position-horizontal-relative:page;mso-position-vertical-relative:paragraph;z-index:15905280" from="44.833pt,14.200974pt" to="40.833pt,14.200974pt" stroked="true" strokeweight=".5pt" strokecolor="#000000">
            <v:stroke dashstyle="solid"/>
            <w10:wrap type="none"/>
          </v:line>
        </w:pict>
      </w:r>
      <w:r>
        <w:rPr/>
        <w:pict>
          <v:line style="position:absolute;mso-position-horizontal-relative:page;mso-position-vertical-relative:paragraph;z-index:-21016064" from="211.832993pt,14.200974pt" to="206.832993pt,14.200974pt" stroked="true" strokeweight=".5pt" strokecolor="#000000">
            <v:stroke dashstyle="solid"/>
            <w10:wrap type="none"/>
          </v:line>
        </w:pict>
      </w:r>
      <w:r>
        <w:rPr>
          <w:sz w:val="12"/>
        </w:rPr>
        <w:t>Services</w:t>
        <w:tab/>
      </w:r>
      <w:r>
        <w:rPr>
          <w:position w:val="-5"/>
          <w:sz w:val="12"/>
        </w:rPr>
        <w:t>2</w:t>
      </w:r>
    </w:p>
    <w:p>
      <w:pPr>
        <w:pStyle w:val="BodyText"/>
        <w:spacing w:before="7"/>
        <w:rPr>
          <w:sz w:val="17"/>
        </w:rPr>
      </w:pPr>
    </w:p>
    <w:p>
      <w:pPr>
        <w:spacing w:before="0"/>
        <w:ind w:left="0" w:right="98" w:firstLine="0"/>
        <w:jc w:val="right"/>
        <w:rPr>
          <w:sz w:val="12"/>
        </w:rPr>
      </w:pPr>
      <w:r>
        <w:rPr/>
        <w:pict>
          <v:line style="position:absolute;mso-position-horizontal-relative:page;mso-position-vertical-relative:paragraph;z-index:15904768" from="44.833pt,4.101768pt" to="40.833pt,4.101768pt" stroked="true" strokeweight=".5pt" strokecolor="#000000">
            <v:stroke dashstyle="solid"/>
            <w10:wrap type="none"/>
          </v:line>
        </w:pict>
      </w:r>
      <w:r>
        <w:rPr/>
        <w:pict>
          <v:line style="position:absolute;mso-position-horizontal-relative:page;mso-position-vertical-relative:paragraph;z-index:15911424" from="211.832993pt,4.101768pt" to="206.832993pt,4.101768pt" stroked="true" strokeweight=".5pt" strokecolor="#000000">
            <v:stroke dashstyle="solid"/>
            <w10:wrap type="none"/>
          </v:line>
        </w:pict>
      </w:r>
      <w:r>
        <w:rPr>
          <w:sz w:val="12"/>
        </w:rPr>
        <w:t>1</w:t>
      </w:r>
    </w:p>
    <w:p>
      <w:pPr>
        <w:pStyle w:val="BodyText"/>
        <w:spacing w:before="9"/>
        <w:rPr>
          <w:sz w:val="15"/>
        </w:rPr>
      </w:pPr>
    </w:p>
    <w:p>
      <w:pPr>
        <w:spacing w:line="129" w:lineRule="exact" w:before="0"/>
        <w:ind w:left="3706" w:right="0" w:firstLine="0"/>
        <w:jc w:val="left"/>
        <w:rPr>
          <w:sz w:val="12"/>
        </w:rPr>
      </w:pPr>
      <w:r>
        <w:rPr/>
        <w:pict>
          <v:line style="position:absolute;mso-position-horizontal-relative:page;mso-position-vertical-relative:paragraph;z-index:15904256" from="44.833pt,5.101555pt" to="40.833pt,5.101555pt" stroked="true" strokeweight=".5pt" strokecolor="#000000">
            <v:stroke dashstyle="solid"/>
            <w10:wrap type="none"/>
          </v:line>
        </w:pict>
      </w:r>
      <w:r>
        <w:rPr/>
        <w:pict>
          <v:shape style="position:absolute;margin-left:50.833pt;margin-top:.101555pt;width:151pt;height:5pt;mso-position-horizontal-relative:page;mso-position-vertical-relative:paragraph;z-index:15910400" coordorigin="1017,2" coordsize="3020,100" path="m1017,102l4037,102m1017,102l1017,42m1137,102l1137,42m1257,102l1257,42m1377,102l1377,42m1497,102l1497,42m1617,102l1617,42m1737,102l1737,42m1857,102l1857,42m1977,102l1977,42m2097,102l2097,42m2217,102l2217,42m2337,102l2337,42m2457,102l2457,42m2577,102l2577,42m2697,102l2697,42m2817,102l2817,42m2937,102l2937,42m3057,102l3057,42m3177,102l3177,42m3297,102l3297,42m3437,102l3437,42m3557,102l3557,42m3677,102l3677,42m3797,102l3797,42m3917,102l3917,42m4037,102l4037,42m1017,102l1017,2m1497,102l1497,2m1977,102l1977,2m2457,102l2457,2m2937,102l2937,2m3437,102l3437,2m3917,102l3917,2e" filled="false" stroked="true" strokeweight=".5pt" strokecolor="#000000">
            <v:path arrowok="t"/>
            <v:stroke dashstyle="solid"/>
            <w10:wrap type="none"/>
          </v:shape>
        </w:pict>
      </w:r>
      <w:r>
        <w:rPr/>
        <w:pict>
          <v:line style="position:absolute;mso-position-horizontal-relative:page;mso-position-vertical-relative:paragraph;z-index:15910912" from="211.832993pt,5.101555pt" to="206.832993pt,5.101555pt" stroked="true" strokeweight=".5pt" strokecolor="#000000">
            <v:stroke dashstyle="solid"/>
            <w10:wrap type="none"/>
          </v:line>
        </w:pict>
      </w:r>
      <w:r>
        <w:rPr>
          <w:sz w:val="12"/>
        </w:rPr>
        <w:t>0</w:t>
      </w:r>
    </w:p>
    <w:p>
      <w:pPr>
        <w:tabs>
          <w:tab w:pos="1046" w:val="left" w:leader="none"/>
          <w:tab w:pos="1526" w:val="left" w:leader="none"/>
          <w:tab w:pos="2026" w:val="left" w:leader="none"/>
          <w:tab w:pos="2506" w:val="left" w:leader="none"/>
          <w:tab w:pos="2986" w:val="left" w:leader="none"/>
        </w:tabs>
        <w:spacing w:line="129" w:lineRule="exact" w:before="0"/>
        <w:ind w:left="486" w:right="0" w:firstLine="0"/>
        <w:jc w:val="left"/>
        <w:rPr>
          <w:sz w:val="12"/>
        </w:rPr>
      </w:pPr>
      <w:r>
        <w:rPr>
          <w:sz w:val="12"/>
        </w:rPr>
        <w:t>1992</w:t>
        <w:tab/>
        <w:t>93</w:t>
        <w:tab/>
        <w:t>94</w:t>
        <w:tab/>
        <w:t>95</w:t>
        <w:tab/>
        <w:t>96</w:t>
        <w:tab/>
        <w:t>97 98</w:t>
      </w: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1"/>
        <w:rPr>
          <w:sz w:val="12"/>
        </w:rPr>
      </w:pPr>
    </w:p>
    <w:p>
      <w:pPr>
        <w:pStyle w:val="Heading8"/>
        <w:spacing w:before="0"/>
      </w:pPr>
      <w:r>
        <w:rPr>
          <w:color w:val="0093C1"/>
        </w:rPr>
        <w:t>Chart 3.2</w:t>
      </w:r>
    </w:p>
    <w:p>
      <w:pPr>
        <w:spacing w:line="249" w:lineRule="auto" w:before="10"/>
        <w:ind w:left="200" w:right="224" w:firstLine="0"/>
        <w:jc w:val="left"/>
        <w:rPr>
          <w:sz w:val="12"/>
        </w:rPr>
      </w:pPr>
      <w:r>
        <w:rPr>
          <w:b/>
          <w:color w:val="0093C1"/>
          <w:sz w:val="20"/>
        </w:rPr>
        <w:t>Sectoral distribution of earnings growth in April</w:t>
      </w:r>
      <w:r>
        <w:rPr>
          <w:color w:val="231F20"/>
          <w:position w:val="4"/>
          <w:sz w:val="12"/>
        </w:rPr>
        <w:t>(a)(b)</w:t>
      </w:r>
    </w:p>
    <w:p>
      <w:pPr>
        <w:spacing w:before="76"/>
        <w:ind w:left="2551" w:right="0" w:firstLine="0"/>
        <w:jc w:val="left"/>
        <w:rPr>
          <w:sz w:val="12"/>
        </w:rPr>
      </w:pPr>
      <w:r>
        <w:rPr/>
        <w:pict>
          <v:line style="position:absolute;mso-position-horizontal-relative:page;mso-position-vertical-relative:paragraph;z-index:15918592" from="45.833pt,12.234349pt" to="40.833pt,12.234349pt" stroked="true" strokeweight=".5pt" strokecolor="#000000">
            <v:stroke dashstyle="solid"/>
            <w10:wrap type="none"/>
          </v:line>
        </w:pict>
      </w:r>
      <w:r>
        <w:rPr/>
        <w:pict>
          <v:line style="position:absolute;mso-position-horizontal-relative:page;mso-position-vertical-relative:paragraph;z-index:15921664" from="210.832993pt,12.234349pt" to="205.832993pt,12.234349pt" stroked="true" strokeweight=".5pt" strokecolor="#000000">
            <v:stroke dashstyle="solid"/>
            <w10:wrap type="none"/>
          </v:line>
        </w:pict>
      </w:r>
      <w:r>
        <w:rPr/>
        <w:pict>
          <v:group style="position:absolute;margin-left:51.583pt;margin-top:11.922349pt;width:153.1pt;height:153.35pt;mso-position-horizontal-relative:page;mso-position-vertical-relative:paragraph;z-index:-21004288" coordorigin="1032,238" coordsize="3062,3067">
            <v:rect style="position:absolute;left:1896;top:3144;width:200;height:100" filled="true" fillcolor="#b5e1e1" stroked="false">
              <v:fill type="solid"/>
            </v:rect>
            <v:rect style="position:absolute;left:1896;top:3144;width:200;height:100" filled="false" stroked="true" strokeweight=".5pt" strokecolor="#000000">
              <v:stroke dashstyle="solid"/>
            </v:rect>
            <v:rect style="position:absolute;left:3616;top:2944;width:188;height:300" filled="true" fillcolor="#b5e1e1" stroked="false">
              <v:fill type="solid"/>
            </v:rect>
            <v:rect style="position:absolute;left:3616;top:2944;width:188;height:300" filled="false" stroked="true" strokeweight=".5pt" strokecolor="#000000">
              <v:stroke dashstyle="solid"/>
            </v:rect>
            <v:rect style="position:absolute;left:3836;top:3004;width:180;height:240" filled="true" fillcolor="#b5e1e1" stroked="false">
              <v:fill type="solid"/>
            </v:rect>
            <v:rect style="position:absolute;left:3836;top:3004;width:180;height:240" filled="false" stroked="true" strokeweight=".5pt" strokecolor="#000000">
              <v:stroke dashstyle="solid"/>
            </v:rect>
            <v:rect style="position:absolute;left:2536;top:2464;width:180;height:60" filled="true" fillcolor="#b5e1e1" stroked="false">
              <v:fill type="solid"/>
            </v:rect>
            <v:rect style="position:absolute;left:2536;top:2464;width:180;height:60" filled="false" stroked="true" strokeweight=".5pt" strokecolor="#000000">
              <v:stroke dashstyle="solid"/>
            </v:rect>
            <v:rect style="position:absolute;left:2536;top:2524;width:180;height:720" filled="true" fillcolor="#b5e1e1" stroked="false">
              <v:fill type="solid"/>
            </v:rect>
            <v:rect style="position:absolute;left:2536;top:2524;width:180;height:720" filled="false" stroked="true" strokeweight=".5pt" strokecolor="#000000">
              <v:stroke dashstyle="solid"/>
            </v:rect>
            <v:shape style="position:absolute;left:2754;top:2387;width:190;height:320" type="#_x0000_t75" stroked="false">
              <v:imagedata r:id="rId47" o:title=""/>
            </v:shape>
            <v:rect style="position:absolute;left:2759;top:2702;width:180;height:540" filled="true" fillcolor="#b5e1e1" stroked="false">
              <v:fill type="solid"/>
            </v:rect>
            <v:rect style="position:absolute;left:2759;top:2702;width:180;height:540" filled="false" stroked="true" strokeweight=".5pt" strokecolor="#000000">
              <v:stroke dashstyle="solid"/>
            </v:rect>
            <v:rect style="position:absolute;left:2980;top:544;width:160;height:60" filled="true" fillcolor="#b5e1e1" stroked="false">
              <v:fill type="solid"/>
            </v:rect>
            <v:rect style="position:absolute;left:2980;top:544;width:160;height:60" filled="false" stroked="true" strokeweight=".5pt" strokecolor="#000000">
              <v:stroke dashstyle="solid"/>
            </v:rect>
            <v:rect style="position:absolute;left:2980;top:604;width:160;height:60" filled="true" fillcolor="#b5e1e1" stroked="false">
              <v:fill type="solid"/>
            </v:rect>
            <v:rect style="position:absolute;left:2980;top:604;width:160;height:60" filled="false" stroked="true" strokeweight=".5pt" strokecolor="#000000">
              <v:stroke dashstyle="solid"/>
            </v:rect>
            <v:rect style="position:absolute;left:2980;top:664;width:160;height:80" filled="true" fillcolor="#b5e1e1" stroked="false">
              <v:fill type="solid"/>
            </v:rect>
            <v:rect style="position:absolute;left:2980;top:664;width:160;height:80" filled="false" stroked="true" strokeweight=".5pt" strokecolor="#000000">
              <v:stroke dashstyle="solid"/>
            </v:rect>
            <v:rect style="position:absolute;left:2980;top:744;width:160;height:100" filled="true" fillcolor="#b5e1e1" stroked="false">
              <v:fill type="solid"/>
            </v:rect>
            <v:rect style="position:absolute;left:2980;top:744;width:160;height:100" filled="false" stroked="true" strokeweight=".5pt" strokecolor="#000000">
              <v:stroke dashstyle="solid"/>
            </v:rect>
            <v:rect style="position:absolute;left:2980;top:844;width:160;height:95" filled="true" fillcolor="#b5e1e1" stroked="false">
              <v:fill type="solid"/>
            </v:rect>
            <v:rect style="position:absolute;left:2980;top:844;width:160;height:95" filled="false" stroked="true" strokeweight=".5pt" strokecolor="#000000">
              <v:stroke dashstyle="solid"/>
            </v:rect>
            <v:rect style="position:absolute;left:2980;top:939;width:160;height:165" filled="true" fillcolor="#b5e1e1" stroked="false">
              <v:fill type="solid"/>
            </v:rect>
            <v:rect style="position:absolute;left:2980;top:939;width:160;height:165" filled="false" stroked="true" strokeweight=".5pt" strokecolor="#000000">
              <v:stroke dashstyle="solid"/>
            </v:rect>
            <v:rect style="position:absolute;left:2980;top:1104;width:160;height:240" filled="true" fillcolor="#b5e1e1" stroked="false">
              <v:fill type="solid"/>
            </v:rect>
            <v:rect style="position:absolute;left:2980;top:1104;width:160;height:240" filled="false" stroked="true" strokeweight=".5pt" strokecolor="#000000">
              <v:stroke dashstyle="solid"/>
            </v:rect>
            <v:rect style="position:absolute;left:2980;top:1344;width:160;height:240" filled="true" fillcolor="#b5e1e1" stroked="false">
              <v:fill type="solid"/>
            </v:rect>
            <v:rect style="position:absolute;left:2980;top:1344;width:160;height:240" filled="false" stroked="true" strokeweight=".5pt" strokecolor="#000000">
              <v:stroke dashstyle="solid"/>
            </v:rect>
            <v:rect style="position:absolute;left:2980;top:1584;width:160;height:287" filled="true" fillcolor="#b5e1e1" stroked="false">
              <v:fill type="solid"/>
            </v:rect>
            <v:rect style="position:absolute;left:2980;top:1584;width:160;height:287" filled="false" stroked="true" strokeweight=".5pt" strokecolor="#000000">
              <v:stroke dashstyle="solid"/>
            </v:rect>
            <v:rect style="position:absolute;left:2980;top:1874;width:160;height:310" filled="true" fillcolor="#b5e1e1" stroked="false">
              <v:fill type="solid"/>
            </v:rect>
            <v:rect style="position:absolute;left:2980;top:1874;width:160;height:310" filled="false" stroked="true" strokeweight=".5pt" strokecolor="#000000">
              <v:stroke dashstyle="solid"/>
            </v:rect>
            <v:rect style="position:absolute;left:2980;top:2187;width:160;height:320" filled="true" fillcolor="#b5e1e1" stroked="false">
              <v:fill type="solid"/>
            </v:rect>
            <v:rect style="position:absolute;left:2980;top:2187;width:160;height:320" filled="false" stroked="true" strokeweight=".5pt" strokecolor="#000000">
              <v:stroke dashstyle="solid"/>
            </v:rect>
            <v:rect style="position:absolute;left:2980;top:2507;width:160;height:735" filled="true" fillcolor="#b5e1e1" stroked="false">
              <v:fill type="solid"/>
            </v:rect>
            <v:rect style="position:absolute;left:2980;top:2507;width:160;height:735" filled="false" stroked="true" strokeweight=".5pt" strokecolor="#000000">
              <v:stroke dashstyle="solid"/>
            </v:rect>
            <v:rect style="position:absolute;left:3176;top:2264;width:180;height:60" filled="true" fillcolor="#b5e1e1" stroked="false">
              <v:fill type="solid"/>
            </v:rect>
            <v:rect style="position:absolute;left:3176;top:2264;width:180;height:60" filled="false" stroked="true" strokeweight=".5pt" strokecolor="#000000">
              <v:stroke dashstyle="solid"/>
            </v:rect>
            <v:rect style="position:absolute;left:3176;top:2324;width:180;height:100" filled="true" fillcolor="#b5e1e1" stroked="false">
              <v:fill type="solid"/>
            </v:rect>
            <v:rect style="position:absolute;left:3176;top:2324;width:180;height:100" filled="false" stroked="true" strokeweight=".5pt" strokecolor="#000000">
              <v:stroke dashstyle="solid"/>
            </v:rect>
            <v:rect style="position:absolute;left:3176;top:2424;width:180;height:140" filled="true" fillcolor="#b5e1e1" stroked="false">
              <v:fill type="solid"/>
            </v:rect>
            <v:rect style="position:absolute;left:3176;top:2424;width:180;height:140" filled="false" stroked="true" strokeweight=".5pt" strokecolor="#000000">
              <v:stroke dashstyle="solid"/>
            </v:rect>
            <v:rect style="position:absolute;left:3176;top:2564;width:180;height:300" filled="true" fillcolor="#b5e1e1" stroked="false">
              <v:fill type="solid"/>
            </v:rect>
            <v:rect style="position:absolute;left:3176;top:2564;width:180;height:300" filled="false" stroked="true" strokeweight=".5pt" strokecolor="#000000">
              <v:stroke dashstyle="solid"/>
            </v:rect>
            <v:rect style="position:absolute;left:3176;top:2864;width:180;height:378" filled="true" fillcolor="#b5e1e1" stroked="false">
              <v:fill type="solid"/>
            </v:rect>
            <v:rect style="position:absolute;left:3176;top:2864;width:180;height:378" filled="false" stroked="true" strokeweight=".5pt" strokecolor="#000000">
              <v:stroke dashstyle="solid"/>
            </v:rect>
            <v:shape style="position:absolute;left:1036;top:3244;width:3000;height:60" coordorigin="1037,3245" coordsize="3000,60" path="m1897,3245l4037,3245m2117,3245l2117,3285m2317,3245l2317,3285m2537,3245l2537,3285m2757,3245l2757,3285m2977,3245l2977,3285m3177,3245l3177,3285m3617,3245l3617,3285m3837,3245l3837,3285m4037,3245l4037,3285m3397,3245l3397,3285m1037,3245l2537,3245m1037,3245l1037,3285m1257,3245l1257,3285m1457,3245l1457,3285m1677,3245l1677,3285m1897,3265l1897,3305e" filled="false" stroked="true" strokeweight=".5pt" strokecolor="#000000">
              <v:path arrowok="t"/>
              <v:stroke dashstyle="solid"/>
            </v:shape>
            <v:line style="position:absolute" from="3117,3238" to="3117,238" stroked="true" strokeweight="1pt" strokecolor="#ed1b2d">
              <v:stroke dashstyle="dash"/>
            </v:line>
            <v:line style="position:absolute" from="3424,1915" to="3654,2850" stroked="true" strokeweight=".5pt" strokecolor="#000000">
              <v:stroke dashstyle="solid"/>
            </v:line>
            <v:shape style="position:absolute;left:3625;top:2827;width:49;height:89" coordorigin="3626,2827" coordsize="49,89" path="m3675,2827l3626,2839,3636,2853,3643,2864,3670,2916,3670,2907,3669,2896,3669,2884,3670,2870,3671,2858,3675,2827xe" filled="true" fillcolor="#000000" stroked="false">
              <v:path arrowok="t"/>
              <v:fill type="solid"/>
            </v:shape>
            <v:line style="position:absolute" from="3917,2240" to="3917,2910" stroked="true" strokeweight=".5pt" strokecolor="#000000">
              <v:stroke dashstyle="solid"/>
            </v:line>
            <v:shape style="position:absolute;left:3008;top:350;width:934;height:2627" coordorigin="3008,351" coordsize="934,2627" path="m3093,376l3084,375,3073,372,3062,369,3049,366,3037,362,3008,351,3008,401,3024,395,3036,390,3049,386,3062,383,3073,380,3084,377,3093,376xm3942,2893l3891,2893,3898,2909,3902,2921,3906,2933,3910,2946,3913,2958,3915,2969,3917,2977,3918,2969,3920,2958,3923,2946,3927,2933,3931,2922,3942,2893xe" filled="true" fillcolor="#000000" stroked="false">
              <v:path arrowok="t"/>
              <v:fill type="solid"/>
            </v:shape>
            <v:shape style="position:absolute;left:1906;top:294;width:810;height:133" type="#_x0000_t202" filled="false" stroked="false">
              <v:textbox inset="0,0,0,0">
                <w:txbxContent>
                  <w:p>
                    <w:pPr>
                      <w:spacing w:line="133" w:lineRule="exact" w:before="0"/>
                      <w:ind w:left="0" w:right="0" w:firstLine="0"/>
                      <w:jc w:val="left"/>
                      <w:rPr>
                        <w:sz w:val="12"/>
                      </w:rPr>
                    </w:pPr>
                    <w:r>
                      <w:rPr>
                        <w:sz w:val="12"/>
                      </w:rPr>
                      <w:t>Whole economy</w:t>
                    </w:r>
                  </w:p>
                </w:txbxContent>
              </v:textbox>
              <w10:wrap type="none"/>
            </v:shape>
            <v:shape style="position:absolute;left:3246;top:1647;width:847;height:573" type="#_x0000_t202" filled="false" stroked="false">
              <v:textbox inset="0,0,0,0">
                <w:txbxContent>
                  <w:p>
                    <w:pPr>
                      <w:spacing w:line="208" w:lineRule="auto" w:before="9"/>
                      <w:ind w:left="60" w:right="67" w:hanging="60"/>
                      <w:jc w:val="left"/>
                      <w:rPr>
                        <w:sz w:val="12"/>
                      </w:rPr>
                    </w:pPr>
                    <w:r>
                      <w:rPr>
                        <w:sz w:val="12"/>
                      </w:rPr>
                      <w:t>Financial intermediation</w:t>
                    </w:r>
                  </w:p>
                  <w:p>
                    <w:pPr>
                      <w:spacing w:line="208" w:lineRule="auto" w:before="80"/>
                      <w:ind w:left="440" w:right="0" w:hanging="60"/>
                      <w:jc w:val="left"/>
                      <w:rPr>
                        <w:sz w:val="12"/>
                      </w:rPr>
                    </w:pPr>
                    <w:r>
                      <w:rPr>
                        <w:sz w:val="12"/>
                      </w:rPr>
                      <w:t>Other services</w:t>
                    </w:r>
                  </w:p>
                </w:txbxContent>
              </v:textbox>
              <w10:wrap type="none"/>
            </v:shape>
            <v:shape style="position:absolute;left:1706;top:2987;width:574;height:133" type="#_x0000_t202" filled="false" stroked="false">
              <v:textbox inset="0,0,0,0">
                <w:txbxContent>
                  <w:p>
                    <w:pPr>
                      <w:spacing w:line="133" w:lineRule="exact" w:before="0"/>
                      <w:ind w:left="0" w:right="0" w:firstLine="0"/>
                      <w:jc w:val="left"/>
                      <w:rPr>
                        <w:sz w:val="12"/>
                      </w:rPr>
                    </w:pPr>
                    <w:r>
                      <w:rPr>
                        <w:sz w:val="12"/>
                      </w:rPr>
                      <w:t>Agriculture</w:t>
                    </w:r>
                  </w:p>
                </w:txbxContent>
              </v:textbox>
              <w10:wrap type="none"/>
            </v:shape>
            <w10:wrap type="none"/>
          </v:group>
        </w:pict>
      </w:r>
      <w:r>
        <w:rPr>
          <w:sz w:val="12"/>
        </w:rPr>
        <w:t>Weights sum to 1,000</w:t>
      </w:r>
      <w:r>
        <w:rPr>
          <w:spacing w:val="11"/>
          <w:sz w:val="12"/>
        </w:rPr>
        <w:t> </w:t>
      </w:r>
      <w:r>
        <w:rPr>
          <w:position w:val="-6"/>
          <w:sz w:val="12"/>
        </w:rPr>
        <w:t>500</w:t>
      </w:r>
    </w:p>
    <w:p>
      <w:pPr>
        <w:pStyle w:val="BodyText"/>
        <w:rPr>
          <w:sz w:val="20"/>
        </w:rPr>
      </w:pPr>
    </w:p>
    <w:p>
      <w:pPr>
        <w:pStyle w:val="BodyText"/>
        <w:spacing w:before="10"/>
        <w:rPr>
          <w:sz w:val="19"/>
        </w:rPr>
      </w:pPr>
    </w:p>
    <w:p>
      <w:pPr>
        <w:spacing w:before="1"/>
        <w:ind w:left="0" w:right="38" w:firstLine="0"/>
        <w:jc w:val="right"/>
        <w:rPr>
          <w:sz w:val="12"/>
        </w:rPr>
      </w:pPr>
      <w:r>
        <w:rPr/>
        <w:pict>
          <v:line style="position:absolute;mso-position-horizontal-relative:page;mso-position-vertical-relative:paragraph;z-index:15918080" from="45.833pt,5.151555pt" to="40.833pt,5.151555pt" stroked="true" strokeweight=".5pt" strokecolor="#000000">
            <v:stroke dashstyle="solid"/>
            <w10:wrap type="none"/>
          </v:line>
        </w:pict>
      </w:r>
      <w:r>
        <w:rPr/>
        <w:pict>
          <v:line style="position:absolute;mso-position-horizontal-relative:page;mso-position-vertical-relative:paragraph;z-index:15921152" from="210.832993pt,5.151555pt" to="205.832993pt,5.151555pt" stroked="true" strokeweight=".5pt" strokecolor="#000000">
            <v:stroke dashstyle="solid"/>
            <w10:wrap type="none"/>
          </v:line>
        </w:pict>
      </w:r>
      <w:r>
        <w:rPr>
          <w:sz w:val="12"/>
        </w:rPr>
        <w:t>400</w:t>
      </w:r>
    </w:p>
    <w:p>
      <w:pPr>
        <w:pStyle w:val="BodyText"/>
        <w:rPr>
          <w:sz w:val="12"/>
        </w:rPr>
      </w:pPr>
    </w:p>
    <w:p>
      <w:pPr>
        <w:pStyle w:val="BodyText"/>
        <w:rPr>
          <w:sz w:val="12"/>
        </w:rPr>
      </w:pPr>
    </w:p>
    <w:p>
      <w:pPr>
        <w:pStyle w:val="BodyText"/>
        <w:spacing w:before="10"/>
        <w:rPr>
          <w:sz w:val="17"/>
        </w:rPr>
      </w:pPr>
    </w:p>
    <w:p>
      <w:pPr>
        <w:spacing w:before="0"/>
        <w:ind w:left="0" w:right="38" w:firstLine="0"/>
        <w:jc w:val="right"/>
        <w:rPr>
          <w:sz w:val="12"/>
        </w:rPr>
      </w:pPr>
      <w:r>
        <w:rPr/>
        <w:pict>
          <v:line style="position:absolute;mso-position-horizontal-relative:page;mso-position-vertical-relative:paragraph;z-index:15917568" from="45.833pt,4.10157pt" to="40.833pt,4.10157pt" stroked="true" strokeweight=".5pt" strokecolor="#000000">
            <v:stroke dashstyle="solid"/>
            <w10:wrap type="none"/>
          </v:line>
        </w:pict>
      </w:r>
      <w:r>
        <w:rPr/>
        <w:pict>
          <v:line style="position:absolute;mso-position-horizontal-relative:page;mso-position-vertical-relative:paragraph;z-index:15920640" from="210.832993pt,4.10157pt" to="205.832993pt,4.10157pt" stroked="true" strokeweight=".5pt" strokecolor="#000000">
            <v:stroke dashstyle="solid"/>
            <w10:wrap type="none"/>
          </v:line>
        </w:pict>
      </w:r>
      <w:r>
        <w:rPr>
          <w:sz w:val="12"/>
        </w:rPr>
        <w:t>300</w:t>
      </w:r>
    </w:p>
    <w:p>
      <w:pPr>
        <w:pStyle w:val="BodyText"/>
        <w:rPr>
          <w:sz w:val="12"/>
        </w:rPr>
      </w:pPr>
    </w:p>
    <w:p>
      <w:pPr>
        <w:pStyle w:val="BodyText"/>
        <w:rPr>
          <w:sz w:val="12"/>
        </w:rPr>
      </w:pPr>
    </w:p>
    <w:p>
      <w:pPr>
        <w:pStyle w:val="BodyText"/>
        <w:spacing w:before="2"/>
        <w:rPr>
          <w:sz w:val="16"/>
        </w:rPr>
      </w:pPr>
    </w:p>
    <w:p>
      <w:pPr>
        <w:spacing w:before="0"/>
        <w:ind w:left="0" w:right="38" w:firstLine="0"/>
        <w:jc w:val="right"/>
        <w:rPr>
          <w:sz w:val="12"/>
        </w:rPr>
      </w:pPr>
      <w:r>
        <w:rPr/>
        <w:pict>
          <v:line style="position:absolute;mso-position-horizontal-relative:page;mso-position-vertical-relative:paragraph;z-index:15917056" from="45.833pt,4.10157pt" to="40.833pt,4.10157pt" stroked="true" strokeweight=".5pt" strokecolor="#000000">
            <v:stroke dashstyle="solid"/>
            <w10:wrap type="none"/>
          </v:line>
        </w:pict>
      </w:r>
      <w:r>
        <w:rPr/>
        <w:pict>
          <v:line style="position:absolute;mso-position-horizontal-relative:page;mso-position-vertical-relative:paragraph;z-index:15920128" from="210.832993pt,4.10157pt" to="205.832993pt,4.10157pt" stroked="true" strokeweight=".5pt" strokecolor="#000000">
            <v:stroke dashstyle="solid"/>
            <w10:wrap type="none"/>
          </v:line>
        </w:pict>
      </w:r>
      <w:r>
        <w:rPr>
          <w:sz w:val="12"/>
        </w:rPr>
        <w:t>200</w:t>
      </w:r>
    </w:p>
    <w:p>
      <w:pPr>
        <w:pStyle w:val="BodyText"/>
        <w:rPr>
          <w:sz w:val="12"/>
        </w:rPr>
      </w:pPr>
    </w:p>
    <w:p>
      <w:pPr>
        <w:pStyle w:val="BodyText"/>
        <w:rPr>
          <w:sz w:val="12"/>
        </w:rPr>
      </w:pPr>
    </w:p>
    <w:p>
      <w:pPr>
        <w:pStyle w:val="BodyText"/>
        <w:spacing w:before="2"/>
        <w:rPr>
          <w:sz w:val="16"/>
        </w:rPr>
      </w:pPr>
    </w:p>
    <w:p>
      <w:pPr>
        <w:spacing w:before="0"/>
        <w:ind w:left="0" w:right="38" w:firstLine="0"/>
        <w:jc w:val="right"/>
        <w:rPr>
          <w:sz w:val="12"/>
        </w:rPr>
      </w:pPr>
      <w:r>
        <w:rPr/>
        <w:pict>
          <v:line style="position:absolute;mso-position-horizontal-relative:page;mso-position-vertical-relative:paragraph;z-index:15916544" from="45.833pt,4.10157pt" to="40.833pt,4.10157pt" stroked="true" strokeweight=".5pt" strokecolor="#000000">
            <v:stroke dashstyle="solid"/>
            <w10:wrap type="none"/>
          </v:line>
        </w:pict>
      </w:r>
      <w:r>
        <w:rPr/>
        <w:pict>
          <v:line style="position:absolute;mso-position-horizontal-relative:page;mso-position-vertical-relative:paragraph;z-index:15919616" from="210.832993pt,4.10157pt" to="205.832993pt,4.10157pt" stroked="true" strokeweight=".5pt" strokecolor="#000000">
            <v:stroke dashstyle="solid"/>
            <w10:wrap type="none"/>
          </v:line>
        </w:pict>
      </w:r>
      <w:r>
        <w:rPr>
          <w:sz w:val="12"/>
        </w:rPr>
        <w:t>100</w:t>
      </w:r>
    </w:p>
    <w:p>
      <w:pPr>
        <w:pStyle w:val="BodyText"/>
        <w:rPr>
          <w:sz w:val="12"/>
        </w:rPr>
      </w:pPr>
    </w:p>
    <w:p>
      <w:pPr>
        <w:pStyle w:val="BodyText"/>
        <w:rPr>
          <w:sz w:val="12"/>
        </w:rPr>
      </w:pPr>
    </w:p>
    <w:p>
      <w:pPr>
        <w:pStyle w:val="BodyText"/>
        <w:spacing w:before="2"/>
        <w:rPr>
          <w:sz w:val="16"/>
        </w:rPr>
      </w:pPr>
    </w:p>
    <w:p>
      <w:pPr>
        <w:spacing w:before="0"/>
        <w:ind w:left="0" w:right="38" w:firstLine="0"/>
        <w:jc w:val="right"/>
        <w:rPr>
          <w:sz w:val="12"/>
        </w:rPr>
      </w:pPr>
      <w:r>
        <w:rPr/>
        <w:pict>
          <v:line style="position:absolute;mso-position-horizontal-relative:page;mso-position-vertical-relative:paragraph;z-index:15916032" from="45.833pt,4.10157pt" to="40.833pt,4.10157pt" stroked="true" strokeweight=".5pt" strokecolor="#000000">
            <v:stroke dashstyle="solid"/>
            <w10:wrap type="none"/>
          </v:line>
        </w:pict>
      </w:r>
      <w:r>
        <w:rPr/>
        <w:pict>
          <v:line style="position:absolute;mso-position-horizontal-relative:page;mso-position-vertical-relative:paragraph;z-index:15919104" from="210.832993pt,4.10157pt" to="205.832993pt,4.10157pt" stroked="true" strokeweight=".5pt" strokecolor="#000000">
            <v:stroke dashstyle="solid"/>
            <w10:wrap type="none"/>
          </v:line>
        </w:pict>
      </w:r>
      <w:r>
        <w:rPr>
          <w:sz w:val="12"/>
        </w:rPr>
        <w:t>0</w:t>
      </w:r>
    </w:p>
    <w:p>
      <w:pPr>
        <w:pStyle w:val="Heading4"/>
        <w:spacing w:line="242" w:lineRule="auto" w:before="90"/>
        <w:ind w:right="276"/>
      </w:pPr>
      <w:r>
        <w:rPr/>
        <w:br w:type="column"/>
      </w:r>
      <w:r>
        <w:rPr>
          <w:color w:val="231F20"/>
        </w:rPr>
        <w:t>The pace of labour market tightening has slowed, but earnings growth has continued to rise, reflecting pressure from the degree of labour market tightness. Employment has continued to increase, and Labour Force Survey (LFS) unemployment has continued to fall. But the more timely—though less comprehensive—claimant-count unemployment total increased slightly in June for the second successive month. The Government announced the levels at which the National Minimum Wage is to be introduced in April 1999.</w:t>
      </w:r>
    </w:p>
    <w:p>
      <w:pPr>
        <w:pStyle w:val="BodyText"/>
        <w:spacing w:before="3"/>
        <w:rPr>
          <w:sz w:val="29"/>
        </w:rPr>
      </w:pPr>
    </w:p>
    <w:p>
      <w:pPr>
        <w:pStyle w:val="Heading2"/>
        <w:tabs>
          <w:tab w:pos="4395" w:val="left" w:leader="none"/>
        </w:tabs>
        <w:ind w:left="200"/>
      </w:pPr>
      <w:r>
        <w:rPr>
          <w:color w:val="009483"/>
          <w:u w:val="thick" w:color="0093C1"/>
        </w:rPr>
        <w:t>3.1</w:t>
        <w:tab/>
        <w:t>Earnings</w:t>
      </w:r>
      <w:r>
        <w:rPr>
          <w:color w:val="009483"/>
          <w:spacing w:val="-11"/>
          <w:u w:val="thick" w:color="0093C1"/>
        </w:rPr>
        <w:t> </w:t>
      </w:r>
    </w:p>
    <w:p>
      <w:pPr>
        <w:spacing w:line="242" w:lineRule="auto" w:before="264"/>
        <w:ind w:left="200" w:right="187" w:firstLine="0"/>
        <w:jc w:val="left"/>
        <w:rPr>
          <w:sz w:val="24"/>
        </w:rPr>
      </w:pPr>
      <w:r>
        <w:rPr>
          <w:color w:val="231F20"/>
          <w:sz w:val="24"/>
        </w:rPr>
        <w:t>Headline whole-economy average earnings</w:t>
      </w:r>
      <w:r>
        <w:rPr>
          <w:color w:val="231F20"/>
          <w:position w:val="5"/>
          <w:sz w:val="16"/>
        </w:rPr>
        <w:t>(1) </w:t>
      </w:r>
      <w:r>
        <w:rPr>
          <w:color w:val="231F20"/>
          <w:sz w:val="24"/>
        </w:rPr>
        <w:t>grew by 5.4% in the year to April, a slight increase on the figures of 5.3% for March and 5.0% for February. Despite dipping in mid 1997, the headline rate of earnings growth has been on an upward trend since 1995 (see Chart 3.1).</w:t>
      </w:r>
    </w:p>
    <w:p>
      <w:pPr>
        <w:pStyle w:val="BodyText"/>
        <w:rPr>
          <w:sz w:val="25"/>
        </w:rPr>
      </w:pPr>
    </w:p>
    <w:p>
      <w:pPr>
        <w:spacing w:line="242" w:lineRule="auto" w:before="0"/>
        <w:ind w:left="200" w:right="187" w:firstLine="0"/>
        <w:jc w:val="left"/>
        <w:rPr>
          <w:sz w:val="24"/>
        </w:rPr>
      </w:pPr>
      <w:r>
        <w:rPr>
          <w:color w:val="231F20"/>
          <w:sz w:val="24"/>
        </w:rPr>
        <w:t>Chart 3.2 shows the sectoral distribution of earnings growth, by plotting the rise in earnings in each of the</w:t>
      </w:r>
    </w:p>
    <w:p>
      <w:pPr>
        <w:spacing w:line="242" w:lineRule="auto" w:before="3"/>
        <w:ind w:left="200" w:right="168" w:firstLine="0"/>
        <w:jc w:val="left"/>
        <w:rPr>
          <w:sz w:val="24"/>
        </w:rPr>
      </w:pPr>
      <w:r>
        <w:rPr>
          <w:color w:val="231F20"/>
          <w:sz w:val="24"/>
        </w:rPr>
        <w:t>26 identified industrial sectors against their employment weight in the aggregate earnings index. Headline earnings growth was particularly marked in the financial intermediation and ‘other services’ sectors. In both cases, growth exceeded 10%. By contrast, headline agricultural earnings fell by 4.8%. Excluding these </w:t>
      </w:r>
      <w:r>
        <w:rPr>
          <w:color w:val="231F20"/>
          <w:spacing w:val="-4"/>
          <w:sz w:val="24"/>
        </w:rPr>
        <w:t>three </w:t>
      </w:r>
      <w:r>
        <w:rPr>
          <w:color w:val="231F20"/>
          <w:sz w:val="24"/>
        </w:rPr>
        <w:t>sectors, headline earnings growth would </w:t>
      </w:r>
      <w:r>
        <w:rPr>
          <w:color w:val="231F20"/>
          <w:spacing w:val="-3"/>
          <w:sz w:val="24"/>
        </w:rPr>
        <w:t>have </w:t>
      </w:r>
      <w:r>
        <w:rPr>
          <w:color w:val="231F20"/>
          <w:sz w:val="24"/>
        </w:rPr>
        <w:t>been 4.9% in the year to April, compared with growth of 5.4% in the aggregate index. But that would still </w:t>
      </w:r>
      <w:r>
        <w:rPr>
          <w:color w:val="231F20"/>
          <w:spacing w:val="-3"/>
          <w:sz w:val="24"/>
        </w:rPr>
        <w:t>have </w:t>
      </w:r>
      <w:r>
        <w:rPr>
          <w:color w:val="231F20"/>
          <w:sz w:val="24"/>
        </w:rPr>
        <w:t>represented an increase in the rate of earnings growth</w:t>
      </w:r>
      <w:r>
        <w:rPr>
          <w:color w:val="231F20"/>
          <w:spacing w:val="-6"/>
          <w:sz w:val="24"/>
        </w:rPr>
        <w:t> </w:t>
      </w:r>
      <w:r>
        <w:rPr>
          <w:color w:val="231F20"/>
          <w:sz w:val="24"/>
        </w:rPr>
        <w:t>of</w:t>
      </w:r>
    </w:p>
    <w:p>
      <w:pPr>
        <w:pStyle w:val="ListParagraph"/>
        <w:numPr>
          <w:ilvl w:val="1"/>
          <w:numId w:val="20"/>
        </w:numPr>
        <w:tabs>
          <w:tab w:pos="560" w:val="left" w:leader="none"/>
        </w:tabs>
        <w:spacing w:line="242" w:lineRule="auto" w:before="12" w:after="0"/>
        <w:ind w:left="200" w:right="267" w:firstLine="0"/>
        <w:jc w:val="both"/>
        <w:rPr>
          <w:sz w:val="24"/>
        </w:rPr>
      </w:pPr>
      <w:r>
        <w:rPr>
          <w:color w:val="231F20"/>
          <w:sz w:val="24"/>
        </w:rPr>
        <w:t>percentage point since April 1997, compared with a rise of 1.1 percentage points in the aggregate index </w:t>
      </w:r>
      <w:r>
        <w:rPr>
          <w:color w:val="231F20"/>
          <w:spacing w:val="-6"/>
          <w:sz w:val="24"/>
        </w:rPr>
        <w:t>over </w:t>
      </w:r>
      <w:r>
        <w:rPr>
          <w:color w:val="231F20"/>
          <w:sz w:val="24"/>
        </w:rPr>
        <w:t>the same period.</w:t>
      </w:r>
    </w:p>
    <w:p>
      <w:pPr>
        <w:pStyle w:val="BodyText"/>
        <w:spacing w:before="4"/>
        <w:rPr>
          <w:sz w:val="24"/>
        </w:rPr>
      </w:pPr>
    </w:p>
    <w:p>
      <w:pPr>
        <w:spacing w:line="280" w:lineRule="atLeast" w:before="0"/>
        <w:ind w:left="200" w:right="187" w:firstLine="0"/>
        <w:jc w:val="left"/>
        <w:rPr>
          <w:sz w:val="24"/>
        </w:rPr>
      </w:pPr>
      <w:r>
        <w:rPr>
          <w:color w:val="231F20"/>
          <w:sz w:val="24"/>
        </w:rPr>
        <w:t>Analysing the rise in earnings growth is complicated by two factors: the contribution of bonuses and</w:t>
      </w:r>
    </w:p>
    <w:p>
      <w:pPr>
        <w:spacing w:after="0" w:line="280" w:lineRule="atLeast"/>
        <w:jc w:val="left"/>
        <w:rPr>
          <w:sz w:val="24"/>
        </w:rPr>
        <w:sectPr>
          <w:type w:val="continuous"/>
          <w:pgSz w:w="11900" w:h="16840"/>
          <w:pgMar w:top="1220" w:bottom="280" w:left="620" w:right="640"/>
          <w:cols w:num="2" w:equalWidth="0">
            <w:col w:w="3867" w:space="933"/>
            <w:col w:w="5840"/>
          </w:cols>
        </w:sectPr>
      </w:pPr>
    </w:p>
    <w:p>
      <w:pPr>
        <w:spacing w:line="-64" w:lineRule="auto" w:before="0"/>
        <w:ind w:left="366" w:right="0" w:firstLine="0"/>
        <w:jc w:val="left"/>
        <w:rPr>
          <w:sz w:val="12"/>
        </w:rPr>
      </w:pPr>
      <w:r>
        <w:rPr>
          <w:sz w:val="12"/>
        </w:rPr>
        <w:t>14 12 10 8 6 4 2 </w:t>
      </w:r>
      <w:r>
        <w:rPr>
          <w:color w:val="231F20"/>
          <w:position w:val="-4"/>
          <w:sz w:val="16"/>
        </w:rPr>
        <w:t>– </w:t>
      </w:r>
      <w:r>
        <w:rPr>
          <w:sz w:val="12"/>
        </w:rPr>
        <w:t>0 </w:t>
      </w:r>
      <w:r>
        <w:rPr>
          <w:position w:val="-5"/>
          <w:sz w:val="16"/>
        </w:rPr>
        <w:t>+ </w:t>
      </w:r>
      <w:r>
        <w:rPr>
          <w:sz w:val="12"/>
        </w:rPr>
        <w:t>2 4 6 8 10 12 14</w:t>
      </w:r>
    </w:p>
    <w:p>
      <w:pPr>
        <w:spacing w:after="0" w:line="-64" w:lineRule="auto"/>
        <w:jc w:val="left"/>
        <w:rPr>
          <w:sz w:val="12"/>
        </w:rPr>
        <w:sectPr>
          <w:type w:val="continuous"/>
          <w:pgSz w:w="11900" w:h="16840"/>
          <w:pgMar w:top="1220" w:bottom="280" w:left="620" w:right="640"/>
        </w:sectPr>
      </w:pPr>
    </w:p>
    <w:p>
      <w:pPr>
        <w:spacing w:line="405" w:lineRule="auto" w:before="13"/>
        <w:ind w:left="188" w:right="430" w:firstLine="244"/>
        <w:jc w:val="left"/>
        <w:rPr>
          <w:sz w:val="12"/>
        </w:rPr>
      </w:pPr>
      <w:r>
        <w:rPr>
          <w:sz w:val="12"/>
        </w:rPr>
        <w:t>Range of earnings growth (percentage change on a year earlier) </w:t>
      </w:r>
      <w:r>
        <w:rPr>
          <w:color w:val="231F20"/>
          <w:sz w:val="12"/>
        </w:rPr>
        <w:t>Sources: ONS and Bank of England.</w:t>
      </w:r>
    </w:p>
    <w:p>
      <w:pPr>
        <w:pStyle w:val="ListParagraph"/>
        <w:numPr>
          <w:ilvl w:val="0"/>
          <w:numId w:val="21"/>
        </w:numPr>
        <w:tabs>
          <w:tab w:pos="429" w:val="left" w:leader="none"/>
        </w:tabs>
        <w:spacing w:line="208" w:lineRule="auto" w:before="22" w:after="0"/>
        <w:ind w:left="428" w:right="38" w:hanging="240"/>
        <w:jc w:val="left"/>
        <w:rPr>
          <w:sz w:val="12"/>
        </w:rPr>
      </w:pPr>
      <w:r>
        <w:rPr>
          <w:color w:val="231F20"/>
          <w:sz w:val="12"/>
        </w:rPr>
        <w:t>The chart shows the sectoral distribution of earnings growth by plotting the rise in earnings in each sector against that sector’s employment weight in the aggregate earnings index. There are 26 individual</w:t>
      </w:r>
      <w:r>
        <w:rPr>
          <w:color w:val="231F20"/>
          <w:spacing w:val="6"/>
          <w:sz w:val="12"/>
        </w:rPr>
        <w:t> </w:t>
      </w:r>
      <w:r>
        <w:rPr>
          <w:color w:val="231F20"/>
          <w:spacing w:val="-3"/>
          <w:sz w:val="12"/>
        </w:rPr>
        <w:t>sectors.</w:t>
      </w:r>
    </w:p>
    <w:p>
      <w:pPr>
        <w:pStyle w:val="ListParagraph"/>
        <w:numPr>
          <w:ilvl w:val="0"/>
          <w:numId w:val="21"/>
        </w:numPr>
        <w:tabs>
          <w:tab w:pos="429" w:val="left" w:leader="none"/>
        </w:tabs>
        <w:spacing w:line="123" w:lineRule="exact" w:before="0" w:after="0"/>
        <w:ind w:left="428" w:right="0" w:hanging="241"/>
        <w:jc w:val="left"/>
        <w:rPr>
          <w:sz w:val="12"/>
        </w:rPr>
      </w:pPr>
      <w:r>
        <w:rPr>
          <w:color w:val="231F20"/>
          <w:sz w:val="12"/>
        </w:rPr>
        <w:t>Not seasonally adjusted. Three-month centred moving average.</w:t>
      </w:r>
    </w:p>
    <w:p>
      <w:pPr>
        <w:pStyle w:val="Heading4"/>
        <w:spacing w:line="242" w:lineRule="auto" w:before="4"/>
        <w:ind w:left="188" w:right="203"/>
      </w:pPr>
      <w:r>
        <w:rPr/>
        <w:br w:type="column"/>
      </w:r>
      <w:r>
        <w:rPr>
          <w:color w:val="231F20"/>
        </w:rPr>
        <w:t>profit/performance-related pay (PRP) to the rise in headline earnings growth; and the split between public and private sector earnings growth. These issues and their relation to trends in regular pay are discussed below.</w:t>
      </w:r>
    </w:p>
    <w:p>
      <w:pPr>
        <w:pStyle w:val="BodyText"/>
        <w:spacing w:before="5"/>
        <w:rPr>
          <w:sz w:val="11"/>
        </w:rPr>
      </w:pPr>
    </w:p>
    <w:p>
      <w:pPr>
        <w:pStyle w:val="BodyText"/>
        <w:spacing w:line="20" w:lineRule="exact"/>
        <w:ind w:left="156"/>
        <w:rPr>
          <w:sz w:val="2"/>
        </w:rPr>
      </w:pPr>
      <w:r>
        <w:rPr>
          <w:sz w:val="2"/>
        </w:rPr>
        <w:pict>
          <v:group style="width:276.650pt;height:.15pt;mso-position-horizontal-relative:char;mso-position-vertical-relative:line" coordorigin="0,0" coordsize="5533,3">
            <v:line style="position:absolute" from="0,1" to="5532,1" stroked="true" strokeweight=".125pt" strokecolor="#231f20">
              <v:stroke dashstyle="solid"/>
            </v:line>
          </v:group>
        </w:pict>
      </w:r>
      <w:r>
        <w:rPr>
          <w:sz w:val="2"/>
        </w:rPr>
      </w:r>
    </w:p>
    <w:p>
      <w:pPr>
        <w:pStyle w:val="ListParagraph"/>
        <w:numPr>
          <w:ilvl w:val="1"/>
          <w:numId w:val="21"/>
        </w:numPr>
        <w:tabs>
          <w:tab w:pos="429" w:val="left" w:leader="none"/>
        </w:tabs>
        <w:spacing w:line="240" w:lineRule="auto" w:before="0" w:after="0"/>
        <w:ind w:left="428" w:right="0" w:hanging="241"/>
        <w:jc w:val="left"/>
        <w:rPr>
          <w:sz w:val="16"/>
        </w:rPr>
      </w:pPr>
      <w:r>
        <w:rPr>
          <w:color w:val="231F20"/>
          <w:sz w:val="16"/>
        </w:rPr>
        <w:t>Centred three-month moving average of earnings growth.</w:t>
      </w:r>
    </w:p>
    <w:p>
      <w:pPr>
        <w:spacing w:after="0" w:line="240" w:lineRule="auto"/>
        <w:jc w:val="left"/>
        <w:rPr>
          <w:sz w:val="16"/>
        </w:rPr>
        <w:sectPr>
          <w:type w:val="continuous"/>
          <w:pgSz w:w="11900" w:h="16840"/>
          <w:pgMar w:top="1220" w:bottom="280" w:left="620" w:right="640"/>
          <w:cols w:num="2" w:equalWidth="0">
            <w:col w:w="3931" w:space="880"/>
            <w:col w:w="5829"/>
          </w:cols>
        </w:sectPr>
      </w:pPr>
    </w:p>
    <w:p>
      <w:pPr>
        <w:pStyle w:val="BodyText"/>
        <w:rPr>
          <w:sz w:val="20"/>
        </w:rPr>
      </w:pPr>
    </w:p>
    <w:p>
      <w:pPr>
        <w:pStyle w:val="Heading4"/>
        <w:spacing w:line="242" w:lineRule="auto" w:before="207"/>
        <w:ind w:left="5000" w:right="188"/>
      </w:pPr>
      <w:r>
        <w:rPr>
          <w:color w:val="231F20"/>
        </w:rPr>
        <w:t>The recent rise in the headline rate of earnings growth has largely been due to a pick-up in regular </w:t>
      </w:r>
      <w:r>
        <w:rPr>
          <w:color w:val="231F20"/>
          <w:spacing w:val="-4"/>
        </w:rPr>
        <w:t>pay. </w:t>
      </w:r>
      <w:r>
        <w:rPr>
          <w:color w:val="231F20"/>
        </w:rPr>
        <w:t>But high bonuses and PRP awards </w:t>
      </w:r>
      <w:r>
        <w:rPr>
          <w:color w:val="231F20"/>
          <w:spacing w:val="-3"/>
        </w:rPr>
        <w:t>have </w:t>
      </w:r>
      <w:r>
        <w:rPr>
          <w:color w:val="231F20"/>
        </w:rPr>
        <w:t>also been an important factor so far in 1998. It is difficult to establish accurate estimates of the size of bonuses or PRP awards. The box on page 26 discusses how performance-linked or non-basic pay affects the </w:t>
      </w:r>
      <w:r>
        <w:rPr>
          <w:color w:val="231F20"/>
          <w:spacing w:val="-4"/>
        </w:rPr>
        <w:t>Average </w:t>
      </w:r>
      <w:r>
        <w:rPr>
          <w:color w:val="231F20"/>
        </w:rPr>
        <w:t>Earnings Index (AEI). Several factors could explain a rise in the contribution of performance-linked pay to total earnings growth. For example, firms may be trying to increase employee motivation, or improve recruitment and retention. And the rise in PRP awards may </w:t>
      </w:r>
      <w:r>
        <w:rPr>
          <w:color w:val="231F20"/>
          <w:spacing w:val="-3"/>
        </w:rPr>
        <w:t>have </w:t>
      </w:r>
      <w:r>
        <w:rPr>
          <w:color w:val="231F20"/>
        </w:rPr>
        <w:t>been encouraged by tax relief, though this is now being phased out. Non-basic pay may also offer firms greater flexibility in the face of uncertain</w:t>
      </w:r>
      <w:r>
        <w:rPr>
          <w:color w:val="231F20"/>
          <w:spacing w:val="-2"/>
        </w:rPr>
        <w:t> </w:t>
      </w:r>
      <w:r>
        <w:rPr>
          <w:color w:val="231F20"/>
        </w:rPr>
        <w:t>demand.</w:t>
      </w:r>
    </w:p>
    <w:p>
      <w:pPr>
        <w:pStyle w:val="BodyText"/>
        <w:rPr>
          <w:sz w:val="26"/>
        </w:rPr>
      </w:pPr>
    </w:p>
    <w:p>
      <w:pPr>
        <w:spacing w:line="242" w:lineRule="auto" w:before="0"/>
        <w:ind w:left="5000" w:right="174" w:firstLine="0"/>
        <w:jc w:val="left"/>
        <w:rPr>
          <w:sz w:val="24"/>
        </w:rPr>
      </w:pPr>
      <w:r>
        <w:rPr>
          <w:color w:val="231F20"/>
          <w:sz w:val="24"/>
        </w:rPr>
        <w:t>The Bank’s regional Agencies conducted an informal survey of contacts during June on the reasons behind the rise in non-basic pay. The results were reported to the MPC before its July meeting. The Agents’ contact base is predominantly private sector, and the firms surveyed were chosen on the basis that they were likely to have made bonus payments. The most important factor determining the use and size of bonuses was found to be profits, and in particular profits in the previous year. But a significant number of respondents also cited retention, recruitment, and sales or productivity targets as factors affecting their bonus payments.</w:t>
      </w:r>
    </w:p>
    <w:p>
      <w:pPr>
        <w:pStyle w:val="BodyText"/>
        <w:spacing w:before="8"/>
        <w:rPr>
          <w:sz w:val="25"/>
        </w:rPr>
      </w:pPr>
    </w:p>
    <w:p>
      <w:pPr>
        <w:spacing w:line="242" w:lineRule="auto" w:before="0"/>
        <w:ind w:left="5000" w:right="234" w:firstLine="0"/>
        <w:jc w:val="left"/>
        <w:rPr>
          <w:sz w:val="24"/>
        </w:rPr>
      </w:pPr>
      <w:r>
        <w:rPr>
          <w:color w:val="231F20"/>
          <w:sz w:val="24"/>
        </w:rPr>
        <w:t>Insofar as the rise in non-basic pay (or indeed earnings generally) reflected past or expected productivity improvements, the implications for unit wage costs and inflation would be neutral. It is particularly difficult to measure productivity in the service sectors currently experiencing the fastest earnings growth. But for the whole economy, measured annual productivity growth since 1995 has averaged only 1.5%, compared with a historical average of 2.1%.  High bonus and PRP awards could also reflect strong sales or profit growth during the previous </w:t>
      </w:r>
      <w:r>
        <w:rPr>
          <w:color w:val="231F20"/>
          <w:spacing w:val="-3"/>
          <w:sz w:val="24"/>
        </w:rPr>
        <w:t>year. </w:t>
      </w:r>
      <w:r>
        <w:rPr>
          <w:color w:val="231F20"/>
          <w:spacing w:val="-4"/>
          <w:sz w:val="24"/>
        </w:rPr>
        <w:t>Total </w:t>
      </w:r>
      <w:r>
        <w:rPr>
          <w:color w:val="231F20"/>
          <w:sz w:val="24"/>
        </w:rPr>
        <w:t>corporate sector sales</w:t>
      </w:r>
      <w:r>
        <w:rPr>
          <w:color w:val="231F20"/>
          <w:position w:val="5"/>
          <w:sz w:val="16"/>
        </w:rPr>
        <w:t>(1) </w:t>
      </w:r>
      <w:r>
        <w:rPr>
          <w:color w:val="231F20"/>
          <w:sz w:val="24"/>
        </w:rPr>
        <w:t>rose by 10.5% in 1997, compared with growth of 7.0% in 1996. But profitability, as measured by the net rate </w:t>
      </w:r>
      <w:r>
        <w:rPr>
          <w:color w:val="231F20"/>
          <w:spacing w:val="-9"/>
          <w:sz w:val="24"/>
        </w:rPr>
        <w:t>of </w:t>
      </w:r>
      <w:r>
        <w:rPr>
          <w:color w:val="231F20"/>
          <w:sz w:val="24"/>
        </w:rPr>
        <w:t>return on capital employed, was broadly flat in</w:t>
      </w:r>
      <w:r>
        <w:rPr>
          <w:color w:val="231F20"/>
          <w:spacing w:val="-4"/>
          <w:sz w:val="24"/>
        </w:rPr>
        <w:t> </w:t>
      </w:r>
      <w:r>
        <w:rPr>
          <w:color w:val="231F20"/>
          <w:sz w:val="24"/>
        </w:rPr>
        <w:t>1997,</w:t>
      </w:r>
    </w:p>
    <w:p>
      <w:pPr>
        <w:spacing w:line="242" w:lineRule="auto" w:before="17"/>
        <w:ind w:left="5000" w:right="165" w:firstLine="0"/>
        <w:jc w:val="left"/>
        <w:rPr>
          <w:sz w:val="24"/>
        </w:rPr>
      </w:pPr>
      <w:r>
        <w:rPr>
          <w:color w:val="231F20"/>
          <w:sz w:val="24"/>
        </w:rPr>
        <w:t>though it remained at a high level. That compared with </w:t>
      </w:r>
      <w:r>
        <w:rPr>
          <w:color w:val="231F20"/>
          <w:spacing w:val="-17"/>
          <w:sz w:val="24"/>
        </w:rPr>
        <w:t>a </w:t>
      </w:r>
      <w:r>
        <w:rPr>
          <w:color w:val="231F20"/>
          <w:sz w:val="24"/>
        </w:rPr>
        <w:t>rise of 25% in non-basic pay in the first </w:t>
      </w:r>
      <w:r>
        <w:rPr>
          <w:color w:val="231F20"/>
          <w:spacing w:val="-4"/>
          <w:sz w:val="24"/>
        </w:rPr>
        <w:t>five </w:t>
      </w:r>
      <w:r>
        <w:rPr>
          <w:color w:val="231F20"/>
          <w:sz w:val="24"/>
        </w:rPr>
        <w:t>months of 1998 compared with a year earlier. So on balance it is likely that a substantial proportion of the recent growth in non-basic pay reflects the tightness of the labour market.</w:t>
      </w:r>
    </w:p>
    <w:p>
      <w:pPr>
        <w:pStyle w:val="BodyText"/>
        <w:spacing w:before="11"/>
        <w:rPr>
          <w:sz w:val="13"/>
        </w:rPr>
      </w:pPr>
      <w:r>
        <w:rPr/>
        <w:pict>
          <v:shape style="position:absolute;margin-left:278.25pt;margin-top:10.097627pt;width:276.650pt;height:.1pt;mso-position-horizontal-relative:page;mso-position-vertical-relative:paragraph;z-index:-15533056;mso-wrap-distance-left:0;mso-wrap-distance-right:0" coordorigin="5565,202" coordsize="5533,0" path="m5565,202l11097,202e" filled="false" stroked="true" strokeweight=".125pt" strokecolor="#231f20">
            <v:path arrowok="t"/>
            <v:stroke dashstyle="solid"/>
            <w10:wrap type="topAndBottom"/>
          </v:shape>
        </w:pict>
      </w:r>
    </w:p>
    <w:p>
      <w:pPr>
        <w:pStyle w:val="ListParagraph"/>
        <w:numPr>
          <w:ilvl w:val="2"/>
          <w:numId w:val="21"/>
        </w:numPr>
        <w:tabs>
          <w:tab w:pos="5201" w:val="left" w:leader="none"/>
        </w:tabs>
        <w:spacing w:line="208" w:lineRule="auto" w:before="0" w:after="0"/>
        <w:ind w:left="5200" w:right="648" w:hanging="240"/>
        <w:jc w:val="left"/>
        <w:rPr>
          <w:sz w:val="16"/>
        </w:rPr>
      </w:pPr>
      <w:r>
        <w:rPr>
          <w:color w:val="231F20"/>
          <w:sz w:val="16"/>
        </w:rPr>
        <w:t>Defined as the amount of sales of goods and services to third parties, relating to the normal activities of the companies involved.  Sample is total United Kingdom excluding the financial sector. Source:</w:t>
      </w:r>
      <w:r>
        <w:rPr>
          <w:color w:val="231F20"/>
          <w:spacing w:val="23"/>
          <w:sz w:val="16"/>
        </w:rPr>
        <w:t> </w:t>
      </w:r>
      <w:r>
        <w:rPr>
          <w:color w:val="231F20"/>
          <w:sz w:val="16"/>
        </w:rPr>
        <w:t>Datastream.</w:t>
      </w:r>
    </w:p>
    <w:p>
      <w:pPr>
        <w:spacing w:after="0" w:line="208" w:lineRule="auto"/>
        <w:jc w:val="left"/>
        <w:rPr>
          <w:sz w:val="16"/>
        </w:rPr>
        <w:sectPr>
          <w:headerReference w:type="default" r:id="rId48"/>
          <w:headerReference w:type="even" r:id="rId49"/>
          <w:pgSz w:w="11900" w:h="16840"/>
          <w:pgMar w:header="586" w:footer="617" w:top="780" w:bottom="800" w:left="620" w:right="640"/>
        </w:sectPr>
      </w:pPr>
    </w:p>
    <w:p>
      <w:pPr>
        <w:pStyle w:val="BodyText"/>
        <w:rPr>
          <w:sz w:val="20"/>
        </w:rPr>
      </w:pPr>
    </w:p>
    <w:p>
      <w:pPr>
        <w:pStyle w:val="Heading2"/>
        <w:spacing w:before="221"/>
        <w:ind w:left="1294" w:right="1264"/>
        <w:jc w:val="center"/>
      </w:pPr>
      <w:bookmarkStart w:name="Bonuses, performance-related pay and the" w:id="58"/>
      <w:bookmarkEnd w:id="58"/>
      <w:r>
        <w:rPr>
          <w:b w:val="0"/>
        </w:rPr>
      </w:r>
      <w:bookmarkStart w:name="_bookmark24" w:id="59"/>
      <w:bookmarkEnd w:id="59"/>
      <w:r>
        <w:rPr>
          <w:b w:val="0"/>
        </w:rPr>
      </w:r>
      <w:r>
        <w:rPr>
          <w:color w:val="009483"/>
        </w:rPr>
        <w:t>Bonuses, performance-related pay and the Average Earnings Index</w:t>
      </w:r>
    </w:p>
    <w:p>
      <w:pPr>
        <w:pStyle w:val="BodyText"/>
        <w:spacing w:before="4"/>
        <w:rPr>
          <w:b/>
          <w:sz w:val="19"/>
        </w:rPr>
      </w:pPr>
    </w:p>
    <w:p>
      <w:pPr>
        <w:spacing w:after="0"/>
        <w:rPr>
          <w:sz w:val="19"/>
        </w:rPr>
        <w:sectPr>
          <w:footerReference w:type="even" r:id="rId50"/>
          <w:footerReference w:type="default" r:id="rId51"/>
          <w:pgSz w:w="11900" w:h="16840"/>
          <w:pgMar w:footer="597" w:header="586" w:top="780" w:bottom="780" w:left="620" w:right="640"/>
          <w:pgNumType w:start="26"/>
        </w:sectPr>
      </w:pPr>
    </w:p>
    <w:p>
      <w:pPr>
        <w:pStyle w:val="Heading5"/>
        <w:spacing w:line="270" w:lineRule="atLeast" w:before="85"/>
        <w:ind w:right="16"/>
      </w:pPr>
      <w:r>
        <w:rPr>
          <w:color w:val="231F20"/>
        </w:rPr>
        <w:t>The ONS has released estimates of underlying earnings growth after removing estimated irregular bonus and performance-related pay (PRP) awards.</w:t>
      </w:r>
      <w:r>
        <w:rPr>
          <w:color w:val="231F20"/>
          <w:position w:val="4"/>
          <w:sz w:val="12"/>
        </w:rPr>
        <w:t>(1) </w:t>
      </w:r>
      <w:r>
        <w:rPr>
          <w:color w:val="231F20"/>
        </w:rPr>
        <w:t>The Average Earnings Index (AEI) questionnaire asks firms to tick a box if there has been a significant change in bonuses (or PRP) since the previous pay period. Those firms that tick the box are asked to specify how much they paid out. If a firm does not consider the change in the amount it paid out in bonuses and PRP that month to be significantly different, then no separate value for the amount it did actually pay out in non-basic pay is recorded. The ONS method could thus overstate the growth in</w:t>
      </w:r>
    </w:p>
    <w:p>
      <w:pPr>
        <w:pStyle w:val="Heading8"/>
        <w:spacing w:before="102"/>
        <w:ind w:left="414"/>
      </w:pPr>
      <w:r>
        <w:rPr>
          <w:b w:val="0"/>
        </w:rPr>
        <w:br w:type="column"/>
      </w:r>
      <w:r>
        <w:rPr>
          <w:color w:val="0093C1"/>
        </w:rPr>
        <w:t>Chart 3.A</w:t>
      </w:r>
    </w:p>
    <w:p>
      <w:pPr>
        <w:spacing w:before="10"/>
        <w:ind w:left="414" w:right="0" w:firstLine="0"/>
        <w:jc w:val="left"/>
        <w:rPr>
          <w:b/>
          <w:sz w:val="20"/>
        </w:rPr>
      </w:pPr>
      <w:r>
        <w:rPr>
          <w:b/>
          <w:color w:val="0093C1"/>
          <w:sz w:val="20"/>
        </w:rPr>
        <w:t>Ticked bonuses and PRP as a share of paybill</w:t>
      </w:r>
    </w:p>
    <w:p>
      <w:pPr>
        <w:spacing w:before="39"/>
        <w:ind w:left="4039" w:right="0" w:firstLine="0"/>
        <w:jc w:val="left"/>
        <w:rPr>
          <w:sz w:val="11"/>
        </w:rPr>
      </w:pPr>
      <w:r>
        <w:rPr>
          <w:w w:val="105"/>
          <w:sz w:val="11"/>
        </w:rPr>
        <w:t>Per cent </w:t>
      </w:r>
      <w:r>
        <w:rPr>
          <w:w w:val="105"/>
          <w:position w:val="-5"/>
          <w:sz w:val="11"/>
        </w:rPr>
        <w:t>8</w:t>
      </w:r>
    </w:p>
    <w:p>
      <w:pPr>
        <w:pStyle w:val="BodyText"/>
        <w:spacing w:before="5"/>
        <w:rPr>
          <w:sz w:val="21"/>
        </w:rPr>
      </w:pPr>
    </w:p>
    <w:p>
      <w:pPr>
        <w:spacing w:before="0"/>
        <w:ind w:left="0" w:right="973" w:firstLine="0"/>
        <w:jc w:val="right"/>
        <w:rPr>
          <w:sz w:val="11"/>
        </w:rPr>
      </w:pPr>
      <w:r>
        <w:rPr>
          <w:w w:val="105"/>
          <w:sz w:val="11"/>
        </w:rPr>
        <w:t>7</w:t>
      </w:r>
    </w:p>
    <w:p>
      <w:pPr>
        <w:pStyle w:val="BodyText"/>
        <w:rPr>
          <w:sz w:val="12"/>
        </w:rPr>
      </w:pPr>
    </w:p>
    <w:p>
      <w:pPr>
        <w:spacing w:before="104"/>
        <w:ind w:left="0" w:right="973" w:firstLine="0"/>
        <w:jc w:val="right"/>
        <w:rPr>
          <w:sz w:val="11"/>
        </w:rPr>
      </w:pPr>
      <w:r>
        <w:rPr>
          <w:w w:val="105"/>
          <w:sz w:val="11"/>
        </w:rPr>
        <w:t>6</w:t>
      </w:r>
    </w:p>
    <w:p>
      <w:pPr>
        <w:pStyle w:val="BodyText"/>
        <w:rPr>
          <w:sz w:val="12"/>
        </w:rPr>
      </w:pPr>
    </w:p>
    <w:p>
      <w:pPr>
        <w:spacing w:before="104"/>
        <w:ind w:left="0" w:right="973" w:firstLine="0"/>
        <w:jc w:val="right"/>
        <w:rPr>
          <w:sz w:val="11"/>
        </w:rPr>
      </w:pPr>
      <w:r>
        <w:rPr>
          <w:w w:val="105"/>
          <w:sz w:val="11"/>
        </w:rPr>
        <w:t>5</w:t>
      </w:r>
    </w:p>
    <w:p>
      <w:pPr>
        <w:pStyle w:val="BodyText"/>
        <w:rPr>
          <w:sz w:val="12"/>
        </w:rPr>
      </w:pPr>
    </w:p>
    <w:p>
      <w:pPr>
        <w:spacing w:before="105"/>
        <w:ind w:left="0" w:right="973" w:firstLine="0"/>
        <w:jc w:val="right"/>
        <w:rPr>
          <w:sz w:val="11"/>
        </w:rPr>
      </w:pPr>
      <w:r>
        <w:rPr>
          <w:w w:val="105"/>
          <w:sz w:val="11"/>
        </w:rPr>
        <w:t>4</w:t>
      </w:r>
    </w:p>
    <w:p>
      <w:pPr>
        <w:pStyle w:val="BodyText"/>
        <w:rPr>
          <w:sz w:val="12"/>
        </w:rPr>
      </w:pPr>
    </w:p>
    <w:p>
      <w:pPr>
        <w:spacing w:before="104"/>
        <w:ind w:left="0" w:right="973" w:firstLine="0"/>
        <w:jc w:val="right"/>
        <w:rPr>
          <w:sz w:val="11"/>
        </w:rPr>
      </w:pPr>
      <w:r>
        <w:rPr>
          <w:w w:val="105"/>
          <w:sz w:val="11"/>
        </w:rPr>
        <w:t>3</w:t>
      </w:r>
    </w:p>
    <w:p>
      <w:pPr>
        <w:pStyle w:val="BodyText"/>
        <w:rPr>
          <w:sz w:val="12"/>
        </w:rPr>
      </w:pPr>
    </w:p>
    <w:p>
      <w:pPr>
        <w:spacing w:before="84"/>
        <w:ind w:left="0" w:right="973" w:firstLine="0"/>
        <w:jc w:val="right"/>
        <w:rPr>
          <w:sz w:val="11"/>
        </w:rPr>
      </w:pPr>
      <w:r>
        <w:rPr>
          <w:w w:val="105"/>
          <w:sz w:val="11"/>
        </w:rPr>
        <w:t>2</w:t>
      </w:r>
    </w:p>
    <w:p>
      <w:pPr>
        <w:pStyle w:val="BodyText"/>
        <w:rPr>
          <w:sz w:val="12"/>
        </w:rPr>
      </w:pPr>
    </w:p>
    <w:p>
      <w:pPr>
        <w:spacing w:before="105"/>
        <w:ind w:left="0" w:right="973" w:firstLine="0"/>
        <w:jc w:val="right"/>
        <w:rPr>
          <w:sz w:val="11"/>
        </w:rPr>
      </w:pPr>
      <w:r>
        <w:rPr>
          <w:w w:val="105"/>
          <w:sz w:val="11"/>
        </w:rPr>
        <w:t>1</w:t>
      </w:r>
    </w:p>
    <w:p>
      <w:pPr>
        <w:pStyle w:val="BodyText"/>
        <w:rPr>
          <w:sz w:val="12"/>
        </w:rPr>
      </w:pPr>
    </w:p>
    <w:p>
      <w:pPr>
        <w:spacing w:before="104"/>
        <w:ind w:left="0" w:right="973" w:firstLine="0"/>
        <w:jc w:val="right"/>
        <w:rPr>
          <w:sz w:val="11"/>
        </w:rPr>
      </w:pPr>
      <w:r>
        <w:rPr>
          <w:w w:val="105"/>
          <w:sz w:val="11"/>
        </w:rPr>
        <w:t>0</w:t>
      </w:r>
    </w:p>
    <w:p>
      <w:pPr>
        <w:spacing w:after="0"/>
        <w:jc w:val="right"/>
        <w:rPr>
          <w:sz w:val="11"/>
        </w:rPr>
        <w:sectPr>
          <w:type w:val="continuous"/>
          <w:pgSz w:w="11900" w:h="16840"/>
          <w:pgMar w:top="1220" w:bottom="280" w:left="620" w:right="640"/>
          <w:cols w:num="2" w:equalWidth="0">
            <w:col w:w="5023" w:space="122"/>
            <w:col w:w="5495"/>
          </w:cols>
        </w:sectPr>
      </w:pPr>
    </w:p>
    <w:p>
      <w:pPr>
        <w:pStyle w:val="Heading5"/>
        <w:spacing w:line="183" w:lineRule="exact" w:before="5"/>
      </w:pPr>
      <w:r>
        <w:rPr>
          <w:color w:val="231F20"/>
        </w:rPr>
        <w:t>irregular non-basic pay if any firms did not</w:t>
      </w:r>
    </w:p>
    <w:p>
      <w:pPr>
        <w:spacing w:line="59" w:lineRule="exact" w:before="0"/>
        <w:ind w:left="414" w:right="0" w:firstLine="0"/>
        <w:jc w:val="left"/>
        <w:rPr>
          <w:sz w:val="11"/>
        </w:rPr>
      </w:pPr>
      <w:r>
        <w:rPr/>
        <w:br w:type="column"/>
      </w:r>
      <w:r>
        <w:rPr>
          <w:w w:val="105"/>
          <w:sz w:val="11"/>
        </w:rPr>
        <w:t>1996</w:t>
      </w:r>
    </w:p>
    <w:p>
      <w:pPr>
        <w:tabs>
          <w:tab w:pos="1558" w:val="left" w:leader="none"/>
        </w:tabs>
        <w:spacing w:line="59" w:lineRule="exact" w:before="0"/>
        <w:ind w:left="414" w:right="0" w:firstLine="0"/>
        <w:jc w:val="left"/>
        <w:rPr>
          <w:sz w:val="11"/>
        </w:rPr>
      </w:pPr>
      <w:r>
        <w:rPr/>
        <w:br w:type="column"/>
      </w:r>
      <w:r>
        <w:rPr>
          <w:w w:val="105"/>
          <w:sz w:val="11"/>
        </w:rPr>
        <w:t>97</w:t>
        <w:tab/>
        <w:t>98</w:t>
      </w:r>
    </w:p>
    <w:p>
      <w:pPr>
        <w:spacing w:after="0" w:line="59" w:lineRule="exact"/>
        <w:jc w:val="left"/>
        <w:rPr>
          <w:sz w:val="11"/>
        </w:rPr>
        <w:sectPr>
          <w:type w:val="continuous"/>
          <w:pgSz w:w="11900" w:h="16840"/>
          <w:pgMar w:top="1220" w:bottom="280" w:left="620" w:right="640"/>
          <w:cols w:num="3" w:equalWidth="0">
            <w:col w:w="4410" w:space="1440"/>
            <w:col w:w="688" w:space="1000"/>
            <w:col w:w="3102"/>
          </w:cols>
        </w:sectPr>
      </w:pPr>
    </w:p>
    <w:p>
      <w:pPr>
        <w:pStyle w:val="Heading5"/>
        <w:spacing w:line="244" w:lineRule="auto" w:before="87"/>
      </w:pPr>
      <w:r>
        <w:rPr>
          <w:color w:val="231F20"/>
        </w:rPr>
        <w:t>consider their non-basic pay awards significant in 1997, but did so in 1998. However, the proportion of firms which said that non-basic payments were a significant component of their wage bills was largely unchanged between 1997 and 1998. That suggests that the potential bias from this source is likely to be small.</w:t>
      </w:r>
    </w:p>
    <w:p>
      <w:pPr>
        <w:pStyle w:val="BodyText"/>
        <w:spacing w:before="7"/>
        <w:rPr>
          <w:sz w:val="23"/>
        </w:rPr>
      </w:pPr>
    </w:p>
    <w:p>
      <w:pPr>
        <w:spacing w:line="244" w:lineRule="auto" w:before="0"/>
        <w:ind w:left="414" w:right="0" w:firstLine="0"/>
        <w:jc w:val="left"/>
        <w:rPr>
          <w:sz w:val="23"/>
        </w:rPr>
      </w:pPr>
      <w:r>
        <w:rPr>
          <w:color w:val="231F20"/>
          <w:sz w:val="23"/>
        </w:rPr>
        <w:t>The ONS results are shown in the table. They suggest that irregular non-basic payments rose particularly strongly in March. Analysis of these data is complicated by the fact that non-basic pay has been rising as a share of the total wage bill in recent years (see Chart 3.A). Over the past two years, the contribution of irregular non-basic pay has peaked in March, before falling back in the summer. But an offsetting rise in the contribution from regular pay may keep the aggregate index rising. That happened in 1997. And the regular component has continued to rise in 1998.</w:t>
      </w:r>
    </w:p>
    <w:p>
      <w:pPr>
        <w:spacing w:line="244" w:lineRule="auto" w:before="0"/>
        <w:ind w:left="414" w:right="455" w:firstLine="0"/>
        <w:jc w:val="left"/>
        <w:rPr>
          <w:sz w:val="23"/>
        </w:rPr>
      </w:pPr>
      <w:r>
        <w:rPr/>
        <w:br w:type="column"/>
      </w:r>
      <w:r>
        <w:rPr>
          <w:color w:val="231F20"/>
          <w:sz w:val="23"/>
        </w:rPr>
        <w:t>earnings growth. There is no single method for doing this; Chart 3.B shows Bank estimates with irregular bonus and PRP payments smoothed over the preceding eleven months. The first estimate assumes that irregular bonus and PRP awards continue to grow at around 20% per annum until April 1999—the same rate of growth as in the previous twelve months. This measure shows that smoothing March’s unusually high bonus payments back in still leaves the underlying rate of earnings growth at 5.2% in May. The second estimate assumes growth of only 10% in irregular bonus and PRP awards. This measure shows less of an acceleration so far in 1998, and that the underlying rate of earnings growth was 4.9%</w:t>
      </w:r>
    </w:p>
    <w:p>
      <w:pPr>
        <w:spacing w:before="0"/>
        <w:ind w:left="414" w:right="0" w:firstLine="0"/>
        <w:jc w:val="left"/>
        <w:rPr>
          <w:sz w:val="23"/>
        </w:rPr>
      </w:pPr>
      <w:r>
        <w:rPr>
          <w:color w:val="231F20"/>
          <w:sz w:val="23"/>
        </w:rPr>
        <w:t>in May.</w:t>
      </w:r>
    </w:p>
    <w:p>
      <w:pPr>
        <w:pStyle w:val="Heading8"/>
        <w:spacing w:before="174"/>
        <w:ind w:left="433"/>
      </w:pPr>
      <w:r>
        <w:rPr>
          <w:color w:val="0093C1"/>
        </w:rPr>
        <w:t>Chart 3.B</w:t>
      </w:r>
    </w:p>
    <w:p>
      <w:pPr>
        <w:spacing w:before="10"/>
        <w:ind w:left="433" w:right="0" w:firstLine="0"/>
        <w:jc w:val="left"/>
        <w:rPr>
          <w:b/>
          <w:sz w:val="20"/>
        </w:rPr>
      </w:pPr>
      <w:r>
        <w:rPr>
          <w:b/>
          <w:color w:val="0093C1"/>
          <w:sz w:val="20"/>
        </w:rPr>
        <w:t>Bonus-smoothed average earnings growth</w:t>
      </w:r>
    </w:p>
    <w:p>
      <w:pPr>
        <w:spacing w:before="37"/>
        <w:ind w:left="4004" w:right="0" w:firstLine="0"/>
        <w:jc w:val="left"/>
        <w:rPr>
          <w:sz w:val="11"/>
        </w:rPr>
      </w:pPr>
      <w:r>
        <w:rPr>
          <w:sz w:val="11"/>
        </w:rPr>
        <w:t>Per cent </w:t>
      </w:r>
      <w:r>
        <w:rPr>
          <w:position w:val="-6"/>
          <w:sz w:val="11"/>
        </w:rPr>
        <w:t>6.0</w:t>
      </w:r>
    </w:p>
    <w:p>
      <w:pPr>
        <w:pStyle w:val="BodyText"/>
        <w:rPr>
          <w:sz w:val="22"/>
        </w:rPr>
      </w:pPr>
    </w:p>
    <w:p>
      <w:pPr>
        <w:spacing w:line="87" w:lineRule="exact" w:before="0"/>
        <w:ind w:left="2701" w:right="1896" w:firstLine="0"/>
        <w:jc w:val="center"/>
        <w:rPr>
          <w:sz w:val="11"/>
        </w:rPr>
      </w:pPr>
      <w:r>
        <w:rPr>
          <w:sz w:val="11"/>
        </w:rPr>
        <w:t>Published series (a)</w:t>
      </w:r>
    </w:p>
    <w:p>
      <w:pPr>
        <w:spacing w:after="0" w:line="87" w:lineRule="exact"/>
        <w:jc w:val="center"/>
        <w:rPr>
          <w:sz w:val="11"/>
        </w:rPr>
        <w:sectPr>
          <w:type w:val="continuous"/>
          <w:pgSz w:w="11900" w:h="16840"/>
          <w:pgMar w:top="1220" w:bottom="280" w:left="620" w:right="640"/>
          <w:cols w:num="2" w:equalWidth="0">
            <w:col w:w="5063" w:space="77"/>
            <w:col w:w="5500"/>
          </w:cols>
        </w:sectPr>
      </w:pPr>
    </w:p>
    <w:p>
      <w:pPr>
        <w:pStyle w:val="BodyText"/>
        <w:spacing w:before="9"/>
        <w:rPr>
          <w:sz w:val="19"/>
        </w:rPr>
      </w:pPr>
    </w:p>
    <w:p>
      <w:pPr>
        <w:pStyle w:val="Heading5"/>
        <w:spacing w:line="244" w:lineRule="auto" w:before="1"/>
        <w:ind w:right="38"/>
        <w:jc w:val="both"/>
      </w:pPr>
      <w:r>
        <w:rPr>
          <w:color w:val="231F20"/>
        </w:rPr>
        <w:t>Given the irregular timing of non-basic pay </w:t>
      </w:r>
      <w:r>
        <w:rPr>
          <w:color w:val="231F20"/>
          <w:spacing w:val="-3"/>
        </w:rPr>
        <w:t>during </w:t>
      </w:r>
      <w:r>
        <w:rPr>
          <w:color w:val="231F20"/>
        </w:rPr>
        <w:t>the year, such payments should be smoothed back in with the regular pay components to </w:t>
      </w:r>
      <w:r>
        <w:rPr>
          <w:color w:val="231F20"/>
          <w:spacing w:val="-3"/>
        </w:rPr>
        <w:t>give </w:t>
      </w:r>
      <w:r>
        <w:rPr>
          <w:color w:val="231F20"/>
        </w:rPr>
        <w:t>a more accurate picture of the underlying trend in</w:t>
      </w:r>
    </w:p>
    <w:p>
      <w:pPr>
        <w:pStyle w:val="Heading8"/>
        <w:spacing w:before="156"/>
        <w:ind w:left="417"/>
        <w:jc w:val="both"/>
        <w:rPr>
          <w:b w:val="0"/>
          <w:sz w:val="12"/>
        </w:rPr>
      </w:pPr>
      <w:r>
        <w:rPr>
          <w:color w:val="0093C1"/>
        </w:rPr>
        <w:t>Average earnings growth in 1998</w:t>
      </w:r>
      <w:r>
        <w:rPr>
          <w:b w:val="0"/>
          <w:color w:val="231F20"/>
          <w:position w:val="4"/>
          <w:sz w:val="12"/>
        </w:rPr>
        <w:t>(a)(b)</w:t>
      </w:r>
    </w:p>
    <w:p>
      <w:pPr>
        <w:tabs>
          <w:tab w:pos="2320" w:val="left" w:leader="none"/>
          <w:tab w:pos="3591" w:val="left" w:leader="none"/>
        </w:tabs>
        <w:spacing w:line="208" w:lineRule="auto" w:before="123"/>
        <w:ind w:left="2320" w:right="457" w:hanging="731"/>
        <w:jc w:val="left"/>
        <w:rPr>
          <w:sz w:val="14"/>
        </w:rPr>
      </w:pPr>
      <w:r>
        <w:rPr>
          <w:color w:val="231F20"/>
          <w:sz w:val="14"/>
        </w:rPr>
        <w:t>AEI</w:t>
        <w:tab/>
        <w:t>Excluding ticked</w:t>
        <w:tab/>
        <w:t>Ticked bonus/PRP bonuses and PRP</w:t>
        <w:tab/>
        <w:t>contribution to</w:t>
      </w:r>
    </w:p>
    <w:p>
      <w:pPr>
        <w:tabs>
          <w:tab w:pos="3294" w:val="left" w:leader="none"/>
          <w:tab w:pos="3591" w:val="left" w:leader="none"/>
          <w:tab w:pos="4634" w:val="left" w:leader="none"/>
        </w:tabs>
        <w:spacing w:line="144" w:lineRule="exact" w:before="0"/>
        <w:ind w:left="2325" w:right="0" w:firstLine="0"/>
        <w:jc w:val="left"/>
        <w:rPr>
          <w:sz w:val="14"/>
        </w:rPr>
      </w:pPr>
      <w:r>
        <w:rPr>
          <w:color w:val="231F20"/>
          <w:sz w:val="14"/>
          <w:u w:val="single" w:color="231F20"/>
        </w:rPr>
        <w:t> </w:t>
        <w:tab/>
      </w:r>
      <w:r>
        <w:rPr>
          <w:color w:val="231F20"/>
          <w:sz w:val="14"/>
        </w:rPr>
        <w:tab/>
      </w:r>
      <w:r>
        <w:rPr>
          <w:color w:val="231F20"/>
          <w:sz w:val="14"/>
          <w:u w:val="single" w:color="231F20"/>
        </w:rPr>
        <w:t>earnings</w:t>
        <w:tab/>
      </w:r>
    </w:p>
    <w:p>
      <w:pPr>
        <w:tabs>
          <w:tab w:pos="2717" w:val="left" w:leader="none"/>
          <w:tab w:pos="3706" w:val="left" w:leader="none"/>
        </w:tabs>
        <w:spacing w:before="19"/>
        <w:ind w:left="1626" w:right="0" w:firstLine="0"/>
        <w:jc w:val="left"/>
        <w:rPr>
          <w:sz w:val="14"/>
        </w:rPr>
      </w:pPr>
      <w:r>
        <w:rPr>
          <w:color w:val="231F20"/>
          <w:sz w:val="14"/>
        </w:rPr>
        <w:t>(1)</w:t>
        <w:tab/>
        <w:t>(2)</w:t>
        <w:tab/>
        <w:t>= (1) – (2)</w:t>
      </w:r>
    </w:p>
    <w:p>
      <w:pPr>
        <w:tabs>
          <w:tab w:pos="1622" w:val="left" w:leader="none"/>
          <w:tab w:pos="2693" w:val="left" w:leader="none"/>
          <w:tab w:pos="4115" w:val="right" w:leader="none"/>
        </w:tabs>
        <w:spacing w:line="146" w:lineRule="exact" w:before="79"/>
        <w:ind w:left="417" w:right="0" w:firstLine="0"/>
        <w:jc w:val="left"/>
        <w:rPr>
          <w:sz w:val="14"/>
        </w:rPr>
      </w:pPr>
      <w:r>
        <w:rPr>
          <w:color w:val="231F20"/>
          <w:sz w:val="14"/>
        </w:rPr>
        <w:t>January</w:t>
        <w:tab/>
        <w:t>4.2</w:t>
        <w:tab/>
        <w:t>4.1</w:t>
        <w:tab/>
        <w:t>0.1</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line="84" w:lineRule="exact" w:before="78"/>
        <w:ind w:left="414" w:right="0" w:firstLine="0"/>
        <w:jc w:val="left"/>
        <w:rPr>
          <w:sz w:val="11"/>
        </w:rPr>
      </w:pPr>
      <w:r>
        <w:rPr>
          <w:sz w:val="11"/>
        </w:rPr>
        <w:t>1997</w:t>
      </w:r>
    </w:p>
    <w:p>
      <w:pPr>
        <w:pStyle w:val="BodyText"/>
        <w:rPr>
          <w:sz w:val="12"/>
        </w:rPr>
      </w:pPr>
      <w:r>
        <w:rPr/>
        <w:br w:type="column"/>
      </w:r>
      <w:r>
        <w:rPr>
          <w:sz w:val="12"/>
        </w:rPr>
      </w:r>
    </w:p>
    <w:p>
      <w:pPr>
        <w:pStyle w:val="BodyText"/>
        <w:spacing w:before="10"/>
        <w:rPr>
          <w:sz w:val="9"/>
        </w:rPr>
      </w:pPr>
    </w:p>
    <w:p>
      <w:pPr>
        <w:spacing w:before="0"/>
        <w:ind w:left="328" w:right="0" w:firstLine="0"/>
        <w:jc w:val="left"/>
        <w:rPr>
          <w:sz w:val="11"/>
        </w:rPr>
      </w:pPr>
      <w:r>
        <w:rPr>
          <w:sz w:val="11"/>
        </w:rPr>
        <w:t>Smoothed series (b)</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before="73"/>
        <w:ind w:left="1193" w:right="0" w:firstLine="0"/>
        <w:jc w:val="center"/>
        <w:rPr>
          <w:sz w:val="11"/>
        </w:rPr>
      </w:pPr>
      <w:r>
        <w:rPr>
          <w:sz w:val="11"/>
        </w:rPr>
        <w:t>Smoothed series (c)</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6"/>
        <w:rPr>
          <w:sz w:val="16"/>
        </w:rPr>
      </w:pPr>
    </w:p>
    <w:p>
      <w:pPr>
        <w:spacing w:line="84" w:lineRule="exact" w:before="0"/>
        <w:ind w:left="1291" w:right="0" w:firstLine="0"/>
        <w:jc w:val="center"/>
        <w:rPr>
          <w:sz w:val="11"/>
        </w:rPr>
      </w:pPr>
      <w:r>
        <w:rPr>
          <w:sz w:val="11"/>
        </w:rPr>
        <w:t>98</w:t>
      </w:r>
    </w:p>
    <w:p>
      <w:pPr>
        <w:spacing w:line="122" w:lineRule="exact" w:before="0"/>
        <w:ind w:left="306" w:right="0" w:firstLine="0"/>
        <w:jc w:val="left"/>
        <w:rPr>
          <w:sz w:val="11"/>
        </w:rPr>
      </w:pPr>
      <w:r>
        <w:rPr/>
        <w:br w:type="column"/>
      </w:r>
      <w:r>
        <w:rPr>
          <w:sz w:val="11"/>
        </w:rPr>
        <w:t>5.5</w:t>
      </w:r>
    </w:p>
    <w:p>
      <w:pPr>
        <w:pStyle w:val="BodyText"/>
        <w:rPr>
          <w:sz w:val="12"/>
        </w:rPr>
      </w:pPr>
    </w:p>
    <w:p>
      <w:pPr>
        <w:pStyle w:val="BodyText"/>
        <w:spacing w:before="9"/>
        <w:rPr>
          <w:sz w:val="16"/>
        </w:rPr>
      </w:pPr>
    </w:p>
    <w:p>
      <w:pPr>
        <w:spacing w:before="1"/>
        <w:ind w:left="306" w:right="0" w:firstLine="0"/>
        <w:jc w:val="left"/>
        <w:rPr>
          <w:sz w:val="11"/>
        </w:rPr>
      </w:pPr>
      <w:r>
        <w:rPr>
          <w:sz w:val="11"/>
        </w:rPr>
        <w:t>5.0</w:t>
      </w:r>
    </w:p>
    <w:p>
      <w:pPr>
        <w:pStyle w:val="BodyText"/>
        <w:rPr>
          <w:sz w:val="12"/>
        </w:rPr>
      </w:pPr>
    </w:p>
    <w:p>
      <w:pPr>
        <w:pStyle w:val="BodyText"/>
        <w:spacing w:before="9"/>
        <w:rPr>
          <w:sz w:val="16"/>
        </w:rPr>
      </w:pPr>
    </w:p>
    <w:p>
      <w:pPr>
        <w:spacing w:before="0"/>
        <w:ind w:left="306" w:right="0" w:firstLine="0"/>
        <w:jc w:val="left"/>
        <w:rPr>
          <w:sz w:val="11"/>
        </w:rPr>
      </w:pPr>
      <w:r>
        <w:rPr>
          <w:sz w:val="11"/>
        </w:rPr>
        <w:t>4.5</w:t>
      </w:r>
    </w:p>
    <w:p>
      <w:pPr>
        <w:pStyle w:val="BodyText"/>
        <w:rPr>
          <w:sz w:val="12"/>
        </w:rPr>
      </w:pPr>
    </w:p>
    <w:p>
      <w:pPr>
        <w:pStyle w:val="BodyText"/>
        <w:spacing w:before="10"/>
        <w:rPr>
          <w:sz w:val="16"/>
        </w:rPr>
      </w:pPr>
    </w:p>
    <w:p>
      <w:pPr>
        <w:spacing w:before="0"/>
        <w:ind w:left="306" w:right="0" w:firstLine="0"/>
        <w:jc w:val="left"/>
        <w:rPr>
          <w:sz w:val="11"/>
        </w:rPr>
      </w:pPr>
      <w:r>
        <w:rPr>
          <w:sz w:val="11"/>
        </w:rPr>
        <w:t>4.0</w:t>
      </w:r>
    </w:p>
    <w:p>
      <w:pPr>
        <w:pStyle w:val="BodyText"/>
        <w:rPr>
          <w:sz w:val="12"/>
        </w:rPr>
      </w:pPr>
    </w:p>
    <w:p>
      <w:pPr>
        <w:pStyle w:val="BodyText"/>
        <w:rPr>
          <w:sz w:val="12"/>
        </w:rPr>
      </w:pPr>
    </w:p>
    <w:p>
      <w:pPr>
        <w:spacing w:before="75"/>
        <w:ind w:left="306" w:right="0" w:firstLine="0"/>
        <w:jc w:val="left"/>
        <w:rPr>
          <w:sz w:val="11"/>
        </w:rPr>
      </w:pPr>
      <w:r>
        <w:rPr>
          <w:sz w:val="11"/>
        </w:rPr>
        <w:t>3.5</w:t>
      </w:r>
    </w:p>
    <w:p>
      <w:pPr>
        <w:pStyle w:val="BodyText"/>
        <w:rPr>
          <w:sz w:val="12"/>
        </w:rPr>
      </w:pPr>
    </w:p>
    <w:p>
      <w:pPr>
        <w:pStyle w:val="BodyText"/>
        <w:spacing w:before="9"/>
        <w:rPr>
          <w:sz w:val="16"/>
        </w:rPr>
      </w:pPr>
    </w:p>
    <w:p>
      <w:pPr>
        <w:spacing w:line="118" w:lineRule="exact" w:before="0"/>
        <w:ind w:left="306" w:right="0" w:firstLine="0"/>
        <w:jc w:val="left"/>
        <w:rPr>
          <w:sz w:val="11"/>
        </w:rPr>
      </w:pPr>
      <w:r>
        <w:rPr>
          <w:sz w:val="11"/>
        </w:rPr>
        <w:t>3.0</w:t>
      </w:r>
    </w:p>
    <w:p>
      <w:pPr>
        <w:spacing w:line="118" w:lineRule="exact" w:before="0"/>
        <w:ind w:left="306" w:right="0" w:firstLine="0"/>
        <w:jc w:val="left"/>
        <w:rPr>
          <w:sz w:val="11"/>
        </w:rPr>
      </w:pPr>
      <w:r>
        <w:rPr>
          <w:sz w:val="11"/>
        </w:rPr>
        <w:t>0.0</w:t>
      </w:r>
    </w:p>
    <w:p>
      <w:pPr>
        <w:spacing w:after="0" w:line="118" w:lineRule="exact"/>
        <w:jc w:val="left"/>
        <w:rPr>
          <w:sz w:val="11"/>
        </w:rPr>
        <w:sectPr>
          <w:type w:val="continuous"/>
          <w:pgSz w:w="11900" w:h="16840"/>
          <w:pgMar w:top="1220" w:bottom="280" w:left="620" w:right="640"/>
          <w:cols w:num="4" w:equalWidth="0">
            <w:col w:w="5099" w:space="1391"/>
            <w:col w:w="636" w:space="39"/>
            <w:col w:w="2071" w:space="39"/>
            <w:col w:w="1365"/>
          </w:cols>
        </w:sectPr>
      </w:pPr>
    </w:p>
    <w:p>
      <w:pPr>
        <w:tabs>
          <w:tab w:pos="1622" w:val="left" w:leader="none"/>
          <w:tab w:pos="2694" w:val="left" w:leader="none"/>
          <w:tab w:pos="4115" w:val="right" w:leader="none"/>
        </w:tabs>
        <w:spacing w:line="145" w:lineRule="exact" w:before="0"/>
        <w:ind w:left="417" w:right="0" w:firstLine="0"/>
        <w:jc w:val="left"/>
        <w:rPr>
          <w:sz w:val="14"/>
        </w:rPr>
      </w:pPr>
      <w:r>
        <w:rPr>
          <w:color w:val="231F20"/>
          <w:sz w:val="14"/>
        </w:rPr>
        <w:t>February</w:t>
        <w:tab/>
        <w:t>4.8</w:t>
        <w:tab/>
        <w:t>4.2</w:t>
        <w:tab/>
        <w:t>0.6</w:t>
      </w:r>
    </w:p>
    <w:p>
      <w:pPr>
        <w:tabs>
          <w:tab w:pos="1622" w:val="left" w:leader="none"/>
          <w:tab w:pos="2693" w:val="left" w:leader="none"/>
          <w:tab w:pos="4115" w:val="right" w:leader="none"/>
        </w:tabs>
        <w:spacing w:line="140" w:lineRule="exact" w:before="0"/>
        <w:ind w:left="417" w:right="0" w:firstLine="0"/>
        <w:jc w:val="left"/>
        <w:rPr>
          <w:sz w:val="14"/>
        </w:rPr>
      </w:pPr>
      <w:r>
        <w:rPr>
          <w:color w:val="231F20"/>
          <w:sz w:val="14"/>
        </w:rPr>
        <w:t>March</w:t>
        <w:tab/>
        <w:t>5.6</w:t>
        <w:tab/>
        <w:t>4.2</w:t>
        <w:tab/>
        <w:t>1.4</w:t>
      </w:r>
    </w:p>
    <w:p>
      <w:pPr>
        <w:tabs>
          <w:tab w:pos="1622" w:val="left" w:leader="none"/>
          <w:tab w:pos="2693" w:val="left" w:leader="none"/>
          <w:tab w:pos="4115" w:val="right" w:leader="none"/>
        </w:tabs>
        <w:spacing w:line="140" w:lineRule="exact" w:before="0"/>
        <w:ind w:left="417" w:right="0" w:firstLine="0"/>
        <w:jc w:val="left"/>
        <w:rPr>
          <w:sz w:val="14"/>
        </w:rPr>
      </w:pPr>
      <w:r>
        <w:rPr>
          <w:color w:val="231F20"/>
          <w:sz w:val="14"/>
        </w:rPr>
        <w:t>April</w:t>
        <w:tab/>
        <w:t>5.3</w:t>
        <w:tab/>
        <w:t>4.6</w:t>
        <w:tab/>
        <w:t>0.7</w:t>
      </w:r>
    </w:p>
    <w:p>
      <w:pPr>
        <w:tabs>
          <w:tab w:pos="1622" w:val="left" w:leader="none"/>
          <w:tab w:pos="2693" w:val="left" w:leader="none"/>
          <w:tab w:pos="4115" w:val="right" w:leader="none"/>
        </w:tabs>
        <w:spacing w:line="150" w:lineRule="exact" w:before="0"/>
        <w:ind w:left="417" w:right="0" w:firstLine="0"/>
        <w:jc w:val="left"/>
        <w:rPr>
          <w:sz w:val="14"/>
        </w:rPr>
      </w:pPr>
      <w:r>
        <w:rPr>
          <w:color w:val="231F20"/>
          <w:sz w:val="14"/>
        </w:rPr>
        <w:t>May</w:t>
        <w:tab/>
        <w:t>5.3</w:t>
        <w:tab/>
        <w:t>4.7</w:t>
        <w:tab/>
        <w:t>0.6</w:t>
      </w:r>
    </w:p>
    <w:p>
      <w:pPr>
        <w:pStyle w:val="ListParagraph"/>
        <w:numPr>
          <w:ilvl w:val="2"/>
          <w:numId w:val="20"/>
        </w:numPr>
        <w:tabs>
          <w:tab w:pos="658" w:val="left" w:leader="none"/>
        </w:tabs>
        <w:spacing w:line="129" w:lineRule="exact" w:before="117" w:after="0"/>
        <w:ind w:left="657" w:right="0" w:hanging="241"/>
        <w:jc w:val="left"/>
        <w:rPr>
          <w:sz w:val="12"/>
        </w:rPr>
      </w:pPr>
      <w:r>
        <w:rPr>
          <w:color w:val="231F20"/>
          <w:sz w:val="12"/>
        </w:rPr>
        <w:t>One month on the same month a year earlier.</w:t>
      </w:r>
    </w:p>
    <w:p>
      <w:pPr>
        <w:pStyle w:val="ListParagraph"/>
        <w:numPr>
          <w:ilvl w:val="2"/>
          <w:numId w:val="20"/>
        </w:numPr>
        <w:tabs>
          <w:tab w:pos="658" w:val="left" w:leader="none"/>
        </w:tabs>
        <w:spacing w:line="129" w:lineRule="exact" w:before="0" w:after="0"/>
        <w:ind w:left="657" w:right="0" w:hanging="241"/>
        <w:jc w:val="left"/>
        <w:rPr>
          <w:sz w:val="12"/>
        </w:rPr>
      </w:pPr>
      <w:r>
        <w:rPr>
          <w:color w:val="231F20"/>
          <w:sz w:val="12"/>
        </w:rPr>
        <w:t>Not seasonally adjusted.</w:t>
      </w:r>
    </w:p>
    <w:p>
      <w:pPr>
        <w:spacing w:before="90"/>
        <w:ind w:left="417" w:right="0" w:firstLine="0"/>
        <w:jc w:val="left"/>
        <w:rPr>
          <w:sz w:val="12"/>
        </w:rPr>
      </w:pPr>
      <w:r>
        <w:rPr/>
        <w:br w:type="column"/>
      </w:r>
      <w:r>
        <w:rPr>
          <w:color w:val="231F20"/>
          <w:sz w:val="12"/>
        </w:rPr>
        <w:t>Sources: ONS and Bank of England calculations.</w:t>
      </w:r>
    </w:p>
    <w:p>
      <w:pPr>
        <w:pStyle w:val="ListParagraph"/>
        <w:numPr>
          <w:ilvl w:val="0"/>
          <w:numId w:val="22"/>
        </w:numPr>
        <w:tabs>
          <w:tab w:pos="658" w:val="left" w:leader="none"/>
        </w:tabs>
        <w:spacing w:line="129" w:lineRule="exact" w:before="102" w:after="0"/>
        <w:ind w:left="657" w:right="0" w:hanging="241"/>
        <w:jc w:val="left"/>
        <w:rPr>
          <w:sz w:val="12"/>
        </w:rPr>
      </w:pPr>
      <w:r>
        <w:rPr>
          <w:color w:val="231F20"/>
          <w:sz w:val="12"/>
        </w:rPr>
        <w:t>Not seasonally adjusted.</w:t>
      </w:r>
    </w:p>
    <w:p>
      <w:pPr>
        <w:pStyle w:val="ListParagraph"/>
        <w:numPr>
          <w:ilvl w:val="0"/>
          <w:numId w:val="22"/>
        </w:numPr>
        <w:tabs>
          <w:tab w:pos="658" w:val="left" w:leader="none"/>
        </w:tabs>
        <w:spacing w:line="208" w:lineRule="auto" w:before="5" w:after="0"/>
        <w:ind w:left="657" w:right="1008" w:hanging="240"/>
        <w:jc w:val="left"/>
        <w:rPr>
          <w:sz w:val="12"/>
        </w:rPr>
      </w:pPr>
      <w:r>
        <w:rPr>
          <w:color w:val="231F20"/>
          <w:sz w:val="12"/>
        </w:rPr>
        <w:t>Assumes growth of 20% in irregular bonuses and PRP awards until April </w:t>
      </w:r>
      <w:r>
        <w:rPr>
          <w:color w:val="231F20"/>
          <w:spacing w:val="-4"/>
          <w:sz w:val="12"/>
        </w:rPr>
        <w:t>1999; </w:t>
      </w:r>
      <w:r>
        <w:rPr>
          <w:color w:val="231F20"/>
          <w:sz w:val="12"/>
        </w:rPr>
        <w:t>twelve-month moving average smoothed back in.</w:t>
      </w:r>
    </w:p>
    <w:p>
      <w:pPr>
        <w:pStyle w:val="ListParagraph"/>
        <w:numPr>
          <w:ilvl w:val="0"/>
          <w:numId w:val="22"/>
        </w:numPr>
        <w:tabs>
          <w:tab w:pos="658" w:val="left" w:leader="none"/>
        </w:tabs>
        <w:spacing w:line="208" w:lineRule="auto" w:before="0" w:after="0"/>
        <w:ind w:left="657" w:right="1008" w:hanging="240"/>
        <w:jc w:val="left"/>
        <w:rPr>
          <w:sz w:val="12"/>
        </w:rPr>
      </w:pPr>
      <w:r>
        <w:rPr>
          <w:color w:val="231F20"/>
          <w:sz w:val="12"/>
        </w:rPr>
        <w:t>Assumes growth of 10% in irregular bonuses and PRP awards until April </w:t>
      </w:r>
      <w:r>
        <w:rPr>
          <w:color w:val="231F20"/>
          <w:spacing w:val="-4"/>
          <w:sz w:val="12"/>
        </w:rPr>
        <w:t>1999; </w:t>
      </w:r>
      <w:r>
        <w:rPr>
          <w:color w:val="231F20"/>
          <w:sz w:val="12"/>
        </w:rPr>
        <w:t>twelve-month moving average smoothed back in.</w:t>
      </w:r>
    </w:p>
    <w:p>
      <w:pPr>
        <w:spacing w:after="0" w:line="208" w:lineRule="auto"/>
        <w:jc w:val="left"/>
        <w:rPr>
          <w:sz w:val="12"/>
        </w:rPr>
        <w:sectPr>
          <w:type w:val="continuous"/>
          <w:pgSz w:w="11900" w:h="16840"/>
          <w:pgMar w:top="1220" w:bottom="280" w:left="620" w:right="640"/>
          <w:cols w:num="2" w:equalWidth="0">
            <w:col w:w="4156" w:space="996"/>
            <w:col w:w="5488"/>
          </w:cols>
        </w:sectPr>
      </w:pPr>
    </w:p>
    <w:p>
      <w:pPr>
        <w:pStyle w:val="BodyText"/>
        <w:spacing w:before="10"/>
        <w:rPr>
          <w:sz w:val="11"/>
        </w:rPr>
      </w:pPr>
      <w:r>
        <w:rPr/>
        <w:pict>
          <v:group style="position:absolute;margin-left:39pt;margin-top:40.630001pt;width:516.5pt;height:739.4pt;mso-position-horizontal-relative:page;mso-position-vertical-relative:page;z-index:-21003264" coordorigin="780,813" coordsize="10330,14788">
            <v:shape style="position:absolute;left:800;top:832;width:10290;height:14748" coordorigin="800,833" coordsize="10290,14748" path="m11090,833l5959,833,5931,833,800,833,800,8178,800,8235,800,15580,5931,15580,5959,15580,11090,15580,11090,833xe" filled="true" fillcolor="#c3e0dc" stroked="false">
              <v:path arrowok="t"/>
              <v:fill type="solid"/>
            </v:shape>
            <v:shape style="position:absolute;left:879;top:954;width:10131;height:14504" coordorigin="879,955" coordsize="10131,14504" path="m5945,955l879,8206,5945,15458,11010,8206,5945,955xe" filled="true" fillcolor="#c4e1dd" stroked="false">
              <v:path arrowok="t"/>
              <v:fill type="solid"/>
            </v:shape>
            <v:shape style="position:absolute;left:978;top:1096;width:9933;height:14219" coordorigin="979,1097" coordsize="9933,14219" path="m5945,1097l979,8206,5945,15316,10911,8206,5945,1097xe" filled="true" fillcolor="#c5e1dd" stroked="false">
              <v:path arrowok="t"/>
              <v:fill type="solid"/>
            </v:shape>
            <v:shape style="position:absolute;left:1077;top:1238;width:9734;height:13935" coordorigin="1078,1239" coordsize="9734,13935" path="m5945,1239l1078,8206,5945,15173,10812,8206,5945,1239xe" filled="true" fillcolor="#c6e2de" stroked="false">
              <v:path arrowok="t"/>
              <v:fill type="solid"/>
            </v:shape>
            <v:shape style="position:absolute;left:1177;top:1381;width:9535;height:13651" coordorigin="1177,1381" coordsize="9535,13651" path="m5945,1381l1177,8206,5945,15031,10712,8206,5945,1381xe" filled="true" fillcolor="#c7e2df" stroked="false">
              <v:path arrowok="t"/>
              <v:fill type="solid"/>
            </v:shape>
            <v:shape style="position:absolute;left:1276;top:1523;width:9337;height:13366" coordorigin="1277,1523" coordsize="9337,13366" path="m5945,1523l1277,8206,5945,14889,10613,8206,5945,1523xe" filled="true" fillcolor="#c8e3df" stroked="false">
              <v:path arrowok="t"/>
              <v:fill type="solid"/>
            </v:shape>
            <v:shape style="position:absolute;left:1375;top:1665;width:9138;height:13082" coordorigin="1376,1666" coordsize="9138,13082" path="m5945,1666l1376,8206,5945,14747,10514,8206,5945,1666xe" filled="true" fillcolor="#c9e3e0" stroked="false">
              <v:path arrowok="t"/>
              <v:fill type="solid"/>
            </v:shape>
            <v:shape style="position:absolute;left:1475;top:1807;width:8940;height:12797" coordorigin="1475,1808" coordsize="8940,12797" path="m5945,1808l1475,8206,5945,14605,10414,8206,5945,1808xe" filled="true" fillcolor="#cae4e0" stroked="false">
              <v:path arrowok="t"/>
              <v:fill type="solid"/>
            </v:shape>
            <v:shape style="position:absolute;left:1574;top:1949;width:8741;height:12513" coordorigin="1575,1950" coordsize="8741,12513" path="m5945,1950l1575,8206,5945,14463,10315,8206,5945,1950xe" filled="true" fillcolor="#cbe4e1" stroked="false">
              <v:path arrowok="t"/>
              <v:fill type="solid"/>
            </v:shape>
            <v:shape style="position:absolute;left:1673;top:2092;width:8542;height:12229" coordorigin="1674,2092" coordsize="8542,12229" path="m5945,2092l1674,8206,5945,14320,10216,8206,5945,2092xe" filled="true" fillcolor="#cce5e1" stroked="false">
              <v:path arrowok="t"/>
              <v:fill type="solid"/>
            </v:shape>
            <v:shape style="position:absolute;left:1773;top:2234;width:8344;height:11944" coordorigin="1773,2234" coordsize="8344,11944" path="m5945,2234l1773,8206,5945,14178,10116,8206,5945,2234xe" filled="true" fillcolor="#cde5e2" stroked="false">
              <v:path arrowok="t"/>
              <v:fill type="solid"/>
            </v:shape>
            <v:shape style="position:absolute;left:1872;top:2376;width:8145;height:11660" coordorigin="1873,2376" coordsize="8145,11660" path="m5945,2376l1873,8206,5945,14036,10017,8206,5945,2376xe" filled="true" fillcolor="#cee6e3" stroked="false">
              <v:path arrowok="t"/>
              <v:fill type="solid"/>
            </v:shape>
            <v:shape style="position:absolute;left:1971;top:2518;width:7946;height:11376" coordorigin="1972,2519" coordsize="7946,11376" path="m5945,2519l1972,8206,5945,13894,9918,8206,5945,2519xe" filled="true" fillcolor="#cfe6e3" stroked="false">
              <v:path arrowok="t"/>
              <v:fill type="solid"/>
            </v:shape>
            <v:shape style="position:absolute;left:2071;top:2660;width:7748;height:11091" coordorigin="2071,2661" coordsize="7748,11091" path="m5945,2661l2071,8206,5945,13752,9818,8206,5945,2661xe" filled="true" fillcolor="#d0e7e4" stroked="false">
              <v:path arrowok="t"/>
              <v:fill type="solid"/>
            </v:shape>
            <v:shape style="position:absolute;left:2170;top:2803;width:7549;height:10807" coordorigin="2171,2803" coordsize="7549,10807" path="m5945,2803l2171,8206,5945,13609,9719,8206,5945,2803xe" filled="true" fillcolor="#d1e7e4" stroked="false">
              <v:path arrowok="t"/>
              <v:fill type="solid"/>
            </v:shape>
            <v:shape style="position:absolute;left:2269;top:2945;width:7350;height:10522" coordorigin="2270,2945" coordsize="7350,10522" path="m5945,2945l2270,8206,5945,13467,9620,8206,5945,2945xe" filled="true" fillcolor="#d3e8e5" stroked="false">
              <v:path arrowok="t"/>
              <v:fill type="solid"/>
            </v:shape>
            <v:shape style="position:absolute;left:2369;top:3087;width:7152;height:10238" coordorigin="2369,3087" coordsize="7152,10238" path="m5945,3087l2369,8206,5945,13325,9520,8206,5945,3087xe" filled="true" fillcolor="#d4e8e5" stroked="false">
              <v:path arrowok="t"/>
              <v:fill type="solid"/>
            </v:shape>
            <v:shape style="position:absolute;left:2468;top:3229;width:6953;height:9954" coordorigin="2469,3230" coordsize="6953,9954" path="m5945,3230l2469,8206,5945,13183,9421,8206,5945,3230xe" filled="true" fillcolor="#d5e9e6" stroked="false">
              <v:path arrowok="t"/>
              <v:fill type="solid"/>
            </v:shape>
            <v:shape style="position:absolute;left:2567;top:3371;width:6754;height:9669" coordorigin="2568,3372" coordsize="6754,9669" path="m5945,3372l2568,8206,5945,13041,9322,8206,5945,3372xe" filled="true" fillcolor="#d6eae7" stroked="false">
              <v:path arrowok="t"/>
              <v:fill type="solid"/>
            </v:shape>
            <v:shape style="position:absolute;left:2667;top:3514;width:6556;height:9385" coordorigin="2667,3514" coordsize="6556,9385" path="m5945,3514l2667,8206,5945,12898,9222,8206,5945,3514xe" filled="true" fillcolor="#d7eae7" stroked="false">
              <v:path arrowok="t"/>
              <v:fill type="solid"/>
            </v:shape>
            <v:shape style="position:absolute;left:2766;top:3656;width:6357;height:9101" coordorigin="2766,3656" coordsize="6357,9101" path="m5945,3656l2766,8206,5945,12756,9123,8206,5945,3656xe" filled="true" fillcolor="#d8ebe8" stroked="false">
              <v:path arrowok="t"/>
              <v:fill type="solid"/>
            </v:shape>
            <v:shape style="position:absolute;left:2865;top:3798;width:6159;height:8816" coordorigin="2866,3798" coordsize="6159,8816" path="m5945,3798l2866,8206,5945,12614,9024,8206,5945,3798xe" filled="true" fillcolor="#d9ebe8" stroked="false">
              <v:path arrowok="t"/>
              <v:fill type="solid"/>
            </v:shape>
            <v:shape style="position:absolute;left:2965;top:3940;width:5960;height:8532" coordorigin="2965,3941" coordsize="5960,8532" path="m5945,3941l2965,8206,5945,12472,8924,8206,5945,3941xe" filled="true" fillcolor="#daece9" stroked="false">
              <v:path arrowok="t"/>
              <v:fill type="solid"/>
            </v:shape>
            <v:shape style="position:absolute;left:3064;top:4082;width:5761;height:8247" coordorigin="3064,4083" coordsize="5761,8247" path="m5945,4083l3064,8206,5945,12330,8825,8206,5945,4083xe" filled="true" fillcolor="#dbece9" stroked="false">
              <v:path arrowok="t"/>
              <v:fill type="solid"/>
            </v:shape>
            <v:shape style="position:absolute;left:3163;top:4224;width:5563;height:7963" coordorigin="3164,4225" coordsize="5563,7963" path="m5945,4225l3164,8206,5945,12187,8726,8206,5945,4225xe" filled="true" fillcolor="#dcedea" stroked="false">
              <v:path arrowok="t"/>
              <v:fill type="solid"/>
            </v:shape>
            <v:shape style="position:absolute;left:3263;top:4367;width:5364;height:7679" coordorigin="3263,4367" coordsize="5364,7679" path="m5945,4367l3263,8206,5945,12045,8627,8206,5945,4367xe" filled="true" fillcolor="#ddedeb" stroked="false">
              <v:path arrowok="t"/>
              <v:fill type="solid"/>
            </v:shape>
            <v:shape style="position:absolute;left:3362;top:4509;width:5165;height:7394" coordorigin="3362,4509" coordsize="5165,7394" path="m5945,4509l3362,8206,5945,11903,8527,8206,5945,4509xe" filled="true" fillcolor="#deeeeb" stroked="false">
              <v:path arrowok="t"/>
              <v:fill type="solid"/>
            </v:shape>
            <v:shape style="position:absolute;left:3461;top:4651;width:4967;height:7110" coordorigin="3462,4652" coordsize="4967,7110" path="m5945,4652l3462,8206,5945,11761,8428,8206,5945,4652xe" filled="true" fillcolor="#e0efec" stroked="false">
              <v:path arrowok="t"/>
              <v:fill type="solid"/>
            </v:shape>
            <v:shape style="position:absolute;left:3561;top:4793;width:4768;height:6826" coordorigin="3561,4794" coordsize="4768,6826" path="m5945,4794l3561,8206,5945,11619,8329,8206,5945,4794xe" filled="true" fillcolor="#e1efec" stroked="false">
              <v:path arrowok="t"/>
              <v:fill type="solid"/>
            </v:shape>
            <v:shape style="position:absolute;left:3660;top:4935;width:4569;height:6541" coordorigin="3660,4936" coordsize="4569,6541" path="m5945,4936l3660,8206,5945,11477,8229,8206,5945,4936xe" filled="true" fillcolor="#e2f0ed" stroked="false">
              <v:path arrowok="t"/>
              <v:fill type="solid"/>
            </v:shape>
            <v:shape style="position:absolute;left:3759;top:5078;width:4371;height:6257" coordorigin="3760,5078" coordsize="4371,6257" path="m5945,5078l3760,8206,5945,11334,8130,8206,5945,5078xe" filled="true" fillcolor="#e3f0ee" stroked="false">
              <v:path arrowok="t"/>
              <v:fill type="solid"/>
            </v:shape>
            <v:shape style="position:absolute;left:3859;top:5220;width:4172;height:5972" coordorigin="3859,5220" coordsize="4172,5972" path="m5945,5220l3859,8206,5945,11192,8031,8206,5945,5220xe" filled="true" fillcolor="#e4f1ee" stroked="false">
              <v:path arrowok="t"/>
              <v:fill type="solid"/>
            </v:shape>
            <v:shape style="position:absolute;left:3958;top:5362;width:3973;height:5688" coordorigin="3958,5362" coordsize="3973,5688" path="m5945,5362l3958,8206,5945,11050,7931,8206,5945,5362xe" filled="true" fillcolor="#e5f1ef" stroked="false">
              <v:path arrowok="t"/>
              <v:fill type="solid"/>
            </v:shape>
            <v:shape style="position:absolute;left:4057;top:5504;width:3775;height:5404" coordorigin="4058,5505" coordsize="3775,5404" path="m5945,5505l4058,8206,5945,10908,7832,8206,5945,5505xe" filled="true" fillcolor="#e6f2ef" stroked="false">
              <v:path arrowok="t"/>
              <v:fill type="solid"/>
            </v:shape>
            <v:shape style="position:absolute;left:4156;top:5646;width:3576;height:5119" coordorigin="4157,5647" coordsize="3576,5119" path="m5945,5647l4157,8206,5945,10766,7733,8206,5945,5647xe" filled="true" fillcolor="#e7f3f0" stroked="false">
              <v:path arrowok="t"/>
              <v:fill type="solid"/>
            </v:shape>
            <v:shape style="position:absolute;left:4256;top:5789;width:3377;height:4835" coordorigin="4256,5789" coordsize="3377,4835" path="m5945,5789l4256,8206,5945,10623,7633,8206,5945,5789xe" filled="true" fillcolor="#e9f3f1" stroked="false">
              <v:path arrowok="t"/>
              <v:fill type="solid"/>
            </v:shape>
            <v:shape style="position:absolute;left:4355;top:5931;width:3179;height:4551" coordorigin="4356,5931" coordsize="3179,4551" path="m5945,5931l4356,8206,5945,10481,7534,8206,5945,5931xe" filled="true" fillcolor="#eaf4f2" stroked="false">
              <v:path arrowok="t"/>
              <v:fill type="solid"/>
            </v:shape>
            <v:shape style="position:absolute;left:4454;top:6073;width:2980;height:4266" coordorigin="4455,6073" coordsize="2980,4266" path="m5945,6073l4455,8206,5945,10339,7435,8206,5945,6073xe" filled="true" fillcolor="#ebf4f2" stroked="false">
              <v:path arrowok="t"/>
              <v:fill type="solid"/>
            </v:shape>
            <v:shape style="position:absolute;left:4554;top:6215;width:2782;height:3982" coordorigin="4554,6216" coordsize="2782,3982" path="m5945,6216l4554,8206,5945,10197,7335,8206,5945,6216xe" filled="true" fillcolor="#ecf5f3" stroked="false">
              <v:path arrowok="t"/>
              <v:fill type="solid"/>
            </v:shape>
            <v:shape style="position:absolute;left:4653;top:6357;width:2583;height:3697" coordorigin="4654,6358" coordsize="2583,3697" path="m5945,6358l4654,8206,5945,10055,7236,8206,5945,6358xe" filled="true" fillcolor="#edf6f4" stroked="false">
              <v:path arrowok="t"/>
              <v:fill type="solid"/>
            </v:shape>
            <v:shape style="position:absolute;left:4752;top:6499;width:2384;height:3413" coordorigin="4753,6500" coordsize="2384,3413" path="m5945,6500l4753,8206,5945,9912,7137,8206,5945,6500xe" filled="true" fillcolor="#eff7f5" stroked="false">
              <v:path arrowok="t"/>
              <v:fill type="solid"/>
            </v:shape>
            <v:shape style="position:absolute;left:4852;top:6642;width:2186;height:3129" coordorigin="4852,6642" coordsize="2186,3129" path="m5945,6642l4852,8206,5945,9770,7037,8206,5945,6642xe" filled="true" fillcolor="#f0f7f5" stroked="false">
              <v:path arrowok="t"/>
              <v:fill type="solid"/>
            </v:shape>
            <v:shape style="position:absolute;left:4951;top:6784;width:1987;height:2844" coordorigin="4952,6784" coordsize="1987,2844" path="m5945,6784l4952,8206,5945,9628,6938,8206,5945,6784xe" filled="true" fillcolor="#f1f8f6" stroked="false">
              <v:path arrowok="t"/>
              <v:fill type="solid"/>
            </v:shape>
            <v:shape style="position:absolute;left:5050;top:6926;width:1788;height:2560" coordorigin="5051,6927" coordsize="1788,2560" path="m5945,6927l5051,8206,5945,9486,6839,8206,5945,6927xe" filled="true" fillcolor="#f2f8f7" stroked="false">
              <v:path arrowok="t"/>
              <v:fill type="solid"/>
            </v:shape>
            <v:shape style="position:absolute;left:5150;top:7068;width:1590;height:2276" coordorigin="5150,7069" coordsize="1590,2276" path="m5945,7069l5150,8206,5945,9344,6739,8206,5945,7069xe" filled="true" fillcolor="#f3f9f8" stroked="false">
              <v:path arrowok="t"/>
              <v:fill type="solid"/>
            </v:shape>
            <v:shape style="position:absolute;left:5249;top:7210;width:1391;height:1991" coordorigin="5250,7211" coordsize="1391,1991" path="m5945,7211l5250,8206,5945,9202,6640,8206,5945,7211xe" filled="true" fillcolor="#f5f9f8" stroked="false">
              <v:path arrowok="t"/>
              <v:fill type="solid"/>
            </v:shape>
            <v:shape style="position:absolute;left:5348;top:7353;width:1192;height:1707" coordorigin="5349,7353" coordsize="1192,1707" path="m5945,7353l5349,8206,5945,9059,6541,8206,5945,7353xe" filled="true" fillcolor="#f6faf9" stroked="false">
              <v:path arrowok="t"/>
              <v:fill type="solid"/>
            </v:shape>
            <v:shape style="position:absolute;left:5448;top:7495;width:994;height:1422" coordorigin="5448,7495" coordsize="994,1422" path="m5945,7495l5448,8206,5945,8917,6441,8206,5945,7495xe" filled="true" fillcolor="#f8fbfa" stroked="false">
              <v:path arrowok="t"/>
              <v:fill type="solid"/>
            </v:shape>
            <v:shape style="position:absolute;left:5547;top:7637;width:795;height:1138" coordorigin="5548,7637" coordsize="795,1138" path="m5945,7637l5548,8206,5945,8775,6342,8206,5945,7637xe" filled="true" fillcolor="#f9fcfc" stroked="false">
              <v:path arrowok="t"/>
              <v:fill type="solid"/>
            </v:shape>
            <v:shape style="position:absolute;left:5646;top:7779;width:596;height:854" coordorigin="5647,7780" coordsize="596,854" path="m5945,7780l5647,8206,5945,8633,6243,8206,5945,7780xe" filled="true" fillcolor="#fbfdfd" stroked="false">
              <v:path arrowok="t"/>
              <v:fill type="solid"/>
            </v:shape>
            <v:shape style="position:absolute;left:5746;top:7921;width:398;height:569" coordorigin="5746,7922" coordsize="398,569" path="m5945,7922l5746,8206,5945,8491,6143,8206,5945,7922xe" filled="true" fillcolor="#fdfefe" stroked="false">
              <v:path arrowok="t"/>
              <v:fill type="solid"/>
            </v:shape>
            <v:shape style="position:absolute;left:5845;top:8064;width:199;height:285" coordorigin="5845,8064" coordsize="199,285" path="m5945,8064l5845,8206,5945,8348,6044,8206,5945,8064xe" filled="true" fillcolor="#ffffff" stroked="false">
              <v:path arrowok="t"/>
              <v:fill type="solid"/>
            </v:shape>
            <v:rect style="position:absolute;left:790;top:822;width:10310;height:14768" filled="false" stroked="true" strokeweight="1pt" strokecolor="#009483">
              <v:stroke dashstyle="solid"/>
            </v:rect>
            <v:shape style="position:absolute;left:1017;top:1911;width:9643;height:13101" coordorigin="1017,1911" coordsize="9643,13101" path="m5387,12850l1017,12850,1017,15011,5387,15011,5387,12850xm10659,1911l6160,1911,6160,2385,10659,2385,10659,1911xm10660,2391l6160,2391,6160,5728,10660,5728,10660,2391xe" filled="true" fillcolor="#ffffff" stroked="false">
              <v:path arrowok="t"/>
              <v:fill type="solid"/>
            </v:shape>
            <v:shape style="position:absolute;left:6175;top:2543;width:117;height:2930" coordorigin="6175,2544" coordsize="117,2930" path="m6292,5473l6175,5473m6292,5105l6175,5105m6292,4736l6175,4736m6292,4367l6175,4367m6292,3999l6175,3999m6292,3630l6175,3630m6292,3281l6175,3281m6292,2912l6175,2912m6292,2544l6175,2544e" filled="false" stroked="true" strokeweight=".485pt" strokecolor="#000000">
              <v:path arrowok="t"/>
              <v:stroke dashstyle="solid"/>
            </v:shape>
            <v:rect style="position:absolute;left:6389;top:3493;width:79;height:1979" filled="true" fillcolor="#00a995" stroked="false">
              <v:fill type="solid"/>
            </v:rect>
            <v:rect style="position:absolute;left:6389;top:3493;width:79;height:1979" filled="false" stroked="true" strokeweight=".485pt" strokecolor="#000000">
              <v:stroke dashstyle="solid"/>
            </v:rect>
            <v:rect style="position:absolute;left:6530;top:4657;width:72;height:815" filled="true" fillcolor="#00a995" stroked="false">
              <v:fill type="solid"/>
            </v:rect>
            <v:rect style="position:absolute;left:6530;top:4657;width:72;height:815" filled="false" stroked="true" strokeweight=".485pt" strokecolor="#000000">
              <v:stroke dashstyle="solid"/>
            </v:rect>
            <v:rect style="position:absolute;left:6661;top:4890;width:78;height:582" filled="true" fillcolor="#00a995" stroked="false">
              <v:fill type="solid"/>
            </v:rect>
            <v:rect style="position:absolute;left:6661;top:4890;width:78;height:582" filled="false" stroked="true" strokeweight=".485pt" strokecolor="#000000">
              <v:stroke dashstyle="solid"/>
            </v:rect>
            <v:rect style="position:absolute;left:6798;top:4735;width:72;height:738" filled="true" fillcolor="#00a995" stroked="false">
              <v:fill type="solid"/>
            </v:rect>
            <v:rect style="position:absolute;left:6798;top:4735;width:72;height:738" filled="false" stroked="true" strokeweight=".485pt" strokecolor="#000000">
              <v:stroke dashstyle="solid"/>
            </v:rect>
            <v:rect style="position:absolute;left:6940;top:4618;width:72;height:854" filled="true" fillcolor="#00a995" stroked="false">
              <v:fill type="solid"/>
            </v:rect>
            <v:rect style="position:absolute;left:6940;top:4618;width:72;height:854" filled="false" stroked="true" strokeweight=".485pt" strokecolor="#000000">
              <v:stroke dashstyle="solid"/>
            </v:rect>
            <v:rect style="position:absolute;left:7087;top:5026;width:78;height:447" filled="true" fillcolor="#00a995" stroked="false">
              <v:fill type="solid"/>
            </v:rect>
            <v:rect style="position:absolute;left:7087;top:5026;width:78;height:447" filled="false" stroked="true" strokeweight=".485pt" strokecolor="#000000">
              <v:stroke dashstyle="solid"/>
            </v:rect>
            <v:rect style="position:absolute;left:7223;top:5064;width:78;height:408" filled="true" fillcolor="#00a995" stroked="false">
              <v:fill type="solid"/>
            </v:rect>
            <v:rect style="position:absolute;left:7223;top:5064;width:78;height:408" filled="false" stroked="true" strokeweight=".485pt" strokecolor="#000000">
              <v:stroke dashstyle="solid"/>
            </v:rect>
            <v:rect style="position:absolute;left:7378;top:4987;width:81;height:485" filled="true" fillcolor="#00a995" stroked="false">
              <v:fill type="solid"/>
            </v:rect>
            <v:rect style="position:absolute;left:7378;top:4987;width:81;height:485" filled="false" stroked="true" strokeweight=".485pt" strokecolor="#000000">
              <v:stroke dashstyle="solid"/>
            </v:rect>
            <v:rect style="position:absolute;left:7514;top:4735;width:68;height:738" filled="true" fillcolor="#00a995" stroked="false">
              <v:fill type="solid"/>
            </v:rect>
            <v:rect style="position:absolute;left:7514;top:4735;width:68;height:738" filled="false" stroked="true" strokeweight=".485pt" strokecolor="#000000">
              <v:stroke dashstyle="solid"/>
            </v:rect>
            <v:rect style="position:absolute;left:7650;top:4075;width:78;height:1397" filled="true" fillcolor="#00a995" stroked="false">
              <v:fill type="solid"/>
            </v:rect>
            <v:rect style="position:absolute;left:7650;top:4075;width:78;height:1397" filled="false" stroked="true" strokeweight=".485pt" strokecolor="#000000">
              <v:stroke dashstyle="solid"/>
            </v:rect>
            <v:rect style="position:absolute;left:7786;top:4444;width:78;height:1029" filled="true" fillcolor="#00a995" stroked="false">
              <v:fill type="solid"/>
            </v:rect>
            <v:rect style="position:absolute;left:7786;top:4444;width:78;height:1029" filled="false" stroked="true" strokeweight=".485pt" strokecolor="#000000">
              <v:stroke dashstyle="solid"/>
            </v:rect>
            <v:rect style="position:absolute;left:7922;top:4269;width:78;height:1203" filled="true" fillcolor="#00a995" stroked="false">
              <v:fill type="solid"/>
            </v:rect>
            <v:rect style="position:absolute;left:7922;top:4269;width:78;height:1203" filled="false" stroked="true" strokeweight=".485pt" strokecolor="#000000">
              <v:stroke dashstyle="solid"/>
            </v:rect>
            <v:rect style="position:absolute;left:8077;top:3086;width:79;height:2387" filled="true" fillcolor="#00a995" stroked="false">
              <v:fill type="solid"/>
            </v:rect>
            <v:rect style="position:absolute;left:8077;top:3086;width:79;height:2387" filled="false" stroked="true" strokeweight=".485pt" strokecolor="#000000">
              <v:stroke dashstyle="solid"/>
            </v:rect>
            <v:rect style="position:absolute;left:8213;top:4482;width:78;height:990" filled="true" fillcolor="#00a995" stroked="false">
              <v:fill type="solid"/>
            </v:rect>
            <v:rect style="position:absolute;left:8213;top:4482;width:78;height:990" filled="false" stroked="true" strokeweight=".485pt" strokecolor="#000000">
              <v:stroke dashstyle="solid"/>
            </v:rect>
            <v:rect style="position:absolute;left:8348;top:4773;width:78;height:699" filled="true" fillcolor="#00a995" stroked="false">
              <v:fill type="solid"/>
            </v:rect>
            <v:rect style="position:absolute;left:8348;top:4773;width:78;height:699" filled="false" stroked="true" strokeweight=".485pt" strokecolor="#000000">
              <v:stroke dashstyle="solid"/>
            </v:rect>
            <v:rect style="position:absolute;left:8513;top:4618;width:68;height:854" filled="true" fillcolor="#00a995" stroked="false">
              <v:fill type="solid"/>
            </v:rect>
            <v:rect style="position:absolute;left:8513;top:4618;width:68;height:854" filled="false" stroked="true" strokeweight=".485pt" strokecolor="#000000">
              <v:stroke dashstyle="solid"/>
            </v:rect>
            <v:rect style="position:absolute;left:8639;top:4560;width:71;height:912" filled="true" fillcolor="#00a995" stroked="false">
              <v:fill type="solid"/>
            </v:rect>
            <v:rect style="position:absolute;left:8639;top:4560;width:71;height:912" filled="false" stroked="true" strokeweight=".485pt" strokecolor="#000000">
              <v:stroke dashstyle="solid"/>
            </v:rect>
            <v:rect style="position:absolute;left:8775;top:4929;width:78;height:544" filled="true" fillcolor="#00a995" stroked="false">
              <v:fill type="solid"/>
            </v:rect>
            <v:rect style="position:absolute;left:8775;top:4929;width:78;height:544" filled="false" stroked="true" strokeweight=".485pt" strokecolor="#000000">
              <v:stroke dashstyle="solid"/>
            </v:rect>
            <v:rect style="position:absolute;left:8911;top:5026;width:78;height:447" filled="true" fillcolor="#00a995" stroked="false">
              <v:fill type="solid"/>
            </v:rect>
            <v:rect style="position:absolute;left:8911;top:5026;width:78;height:447" filled="false" stroked="true" strokeweight=".485pt" strokecolor="#000000">
              <v:stroke dashstyle="solid"/>
            </v:rect>
            <v:rect style="position:absolute;left:9050;top:4987;width:73;height:485" filled="true" fillcolor="#00a995" stroked="false">
              <v:fill type="solid"/>
            </v:rect>
            <v:rect style="position:absolute;left:9050;top:4987;width:73;height:485" filled="false" stroked="true" strokeweight=".485pt" strokecolor="#000000">
              <v:stroke dashstyle="solid"/>
            </v:rect>
            <v:rect style="position:absolute;left:9202;top:4618;width:73;height:854" filled="true" fillcolor="#00a995" stroked="false">
              <v:fill type="solid"/>
            </v:rect>
            <v:rect style="position:absolute;left:9202;top:4618;width:73;height:854" filled="false" stroked="true" strokeweight=".485pt" strokecolor="#000000">
              <v:stroke dashstyle="solid"/>
            </v:rect>
            <v:rect style="position:absolute;left:9338;top:3939;width:78;height:1533" filled="true" fillcolor="#00a995" stroked="false">
              <v:fill type="solid"/>
            </v:rect>
            <v:rect style="position:absolute;left:9338;top:3939;width:78;height:1533" filled="false" stroked="true" strokeweight=".485pt" strokecolor="#000000">
              <v:stroke dashstyle="solid"/>
            </v:rect>
            <v:rect style="position:absolute;left:9470;top:4405;width:76;height:1067" filled="true" fillcolor="#00a995" stroked="false">
              <v:fill type="solid"/>
            </v:rect>
            <v:rect style="position:absolute;left:9470;top:4405;width:76;height:1067" filled="false" stroked="true" strokeweight=".485pt" strokecolor="#000000">
              <v:stroke dashstyle="solid"/>
            </v:rect>
            <v:rect style="position:absolute;left:9616;top:4036;width:76;height:1436" filled="true" fillcolor="#00a995" stroked="false">
              <v:fill type="solid"/>
            </v:rect>
            <v:rect style="position:absolute;left:9616;top:4036;width:76;height:1436" filled="false" stroked="true" strokeweight=".485pt" strokecolor="#000000">
              <v:stroke dashstyle="solid"/>
            </v:rect>
            <v:rect style="position:absolute;left:9765;top:2620;width:78;height:2852" filled="true" fillcolor="#00a995" stroked="false">
              <v:fill type="solid"/>
            </v:rect>
            <v:rect style="position:absolute;left:9765;top:2620;width:78;height:2852" filled="false" stroked="true" strokeweight=".485pt" strokecolor="#000000">
              <v:stroke dashstyle="solid"/>
            </v:rect>
            <v:rect style="position:absolute;left:9900;top:4269;width:78;height:1203" filled="true" fillcolor="#00a995" stroked="false">
              <v:fill type="solid"/>
            </v:rect>
            <v:rect style="position:absolute;left:9900;top:4269;width:78;height:1203" filled="false" stroked="true" strokeweight=".485pt" strokecolor="#000000">
              <v:stroke dashstyle="solid"/>
            </v:rect>
            <v:shape style="position:absolute;left:6350;top:2544;width:3828;height:3006" coordorigin="6351,2544" coordsize="3828,3006" path="m10178,5474l10062,5474m10178,5105l10062,5105m10178,4736l10062,4736m10178,4368l10062,4368m10178,3999l10062,3999m10178,3631l10062,3631m10178,3281l10062,3281m10178,2913l10062,2913m10178,2544l10062,2544m6351,5472l9998,5472m6428,5472l6428,5511m6564,5472l6564,5511m6700,5472l6700,5511m6836,5472l6836,5511m6972,5472l6972,5511m7127,5472l7127,5511m7263,5472l7263,5511m7398,5472l7398,5511m7554,5472l7554,5511m7689,5472l7689,5511m7825,5472l7825,5511m7961,5472l7961,5511m8116,5472l8116,5511m8252,5472l8252,5511m8388,5472l8388,5511m8543,5472l8543,5511m8679,5472l8679,5511m8815,5472l8815,5511m8950,5472l8950,5511m9086,5472l9086,5511m9241,5472l9241,5511m9377,5472l9377,5511m9513,5472l9513,5511m9649,5472l9649,5511m9804,5472l9804,5511m9940,5472l9940,5511m7825,5472l7825,5550m9513,5472l9513,5550e" filled="false" stroked="true" strokeweight=".485pt" strokecolor="#000000">
              <v:path arrowok="t"/>
              <v:stroke dashstyle="solid"/>
            </v:shape>
            <v:shape style="position:absolute;left:6170;top:10348;width:4345;height:4610" coordorigin="6170,10348" coordsize="4345,4610" path="m10513,10840l6170,10840,6170,14958,10513,14958,10513,10840xm10515,10348l6173,10348,6173,10833,10515,10833,10515,10348xe" filled="true" fillcolor="#ffffff" stroked="false">
              <v:path arrowok="t"/>
              <v:fill type="solid"/>
            </v:shape>
            <v:shape style="position:absolute;left:6180;top:10976;width:111;height:2769" coordorigin="6180,10976" coordsize="111,2769" path="m6291,13744l6180,13744m6291,13286l6180,13286m6291,12828l6180,12828m6291,12351l6180,12351m6291,11893l6180,11893m6291,11434l6180,11434m6291,10976l6180,10976e" filled="false" stroked="true" strokeweight=".48pt" strokecolor="#000000">
              <v:path arrowok="t"/>
              <v:stroke dashstyle="solid"/>
            </v:shape>
            <v:shape style="position:absolute;left:6419;top:11342;width:3460;height:1394" coordorigin="6419,11343" coordsize="3460,1394" path="m6419,12351l6659,12736,6916,12626,7156,12534,7413,12443,7652,12351,7910,12626,8149,12351,8407,12168,8646,12351,8904,12534,9143,11893,9382,11343,9640,11618,9879,11618e" filled="false" stroked="true" strokeweight=".96pt" strokecolor="#f89f6d">
              <v:path arrowok="t"/>
              <v:stroke dashstyle="solid"/>
            </v:shape>
            <v:shape style="position:absolute;left:6419;top:11947;width:3460;height:1101" coordorigin="6419,11948" coordsize="3460,1101" path="m6419,13048l6659,12754,6916,12608,7156,12589,7413,12333,7652,12168,7910,12351,8149,12039,8407,12094,8646,12259,8904,12314,9143,12241,9382,12278,9640,11966,9879,11948e" filled="false" stroked="true" strokeweight=".96pt" strokecolor="#522e91">
              <v:path arrowok="t"/>
              <v:stroke dashstyle="solid"/>
            </v:shape>
            <v:shape style="position:absolute;left:6419;top:11746;width:3460;height:1302" coordorigin="6419,11746" coordsize="3460,1302" path="m6419,13048l6659,12754,6916,12608,7156,12589,7413,12333,7652,12186,7910,12351,8149,12039,8407,12113,8646,12241,8904,12278,9143,12223,9382,12223,9640,11819,9879,11746e" filled="false" stroked="true" strokeweight=".96pt" strokecolor="#ac6e90">
              <v:path arrowok="t"/>
              <v:stroke dashstyle="solid"/>
            </v:shape>
            <v:shape style="position:absolute;left:6180;top:10976;width:3939;height:2897" coordorigin="6180,10976" coordsize="3939,2897" path="m10118,13744l10008,13744m10118,13286l10008,13286m10118,12828l10008,12828m10118,12351l10008,12351m10118,11893l10008,11893m10118,11434l10008,11434m10118,10976l10008,10976m6433,13873l6180,13873m10118,13873l9845,13873m6419,13873l9879,13873m6419,13873l6419,13836m6659,13873l6659,13836m6916,13873l6916,13836m7156,13873l7156,13836m7413,13873l7413,13836m7652,13873l7652,13836m7892,13873l7892,13836m8149,13873l8149,13836m8407,13873l8407,13836m8646,13873l8646,13836m8885,13873l8885,13836m9143,13873l9143,13836m9382,13873l9382,13836m9640,13873l9640,13836m9879,13873l9879,13836m8885,13873l8885,13781e" filled="false" stroked="true" strokeweight=".48pt" strokecolor="#000000">
              <v:path arrowok="t"/>
              <v:stroke dashstyle="solid"/>
            </v:shape>
            <v:shape style="position:absolute;left:9346;top:11847;width:216;height:550" coordorigin="9347,11848" coordsize="216,550" path="m9393,12397l9391,12392,9387,12374,9383,12346,9381,12325,9380,12317,9378,12325,9371,12345,9359,12370,9347,12391,9393,12397xm9562,11892l9554,11888,9536,11878,9512,11863,9493,11848,9487,11870,9481,11892,9485,11892,9504,11890,9533,11890,9554,11891,9562,11892xe" filled="true" fillcolor="#000000" stroked="false">
              <v:path arrowok="t"/>
              <v:fill type="solid"/>
            </v:shape>
            <v:shape style="position:absolute;left:6272;top:13749;width:3867;height:118" coordorigin="6272,13750" coordsize="3867,118" path="m6291,13750l6291,13774,6272,13789,6309,13802,6272,13820,6309,13835,6288,13845,6287,13866m10121,13751l10121,13775,10102,13790,10139,13803,10102,13821,10139,13837,10118,13846,10117,13867e" filled="false" stroked="true" strokeweight=".48pt" strokecolor="#000000">
              <v:path arrowok="t"/>
              <v:stroke dashstyle="solid"/>
            </v:shape>
            <v:shape style="position:absolute;left:1020;top:5730;width:9850;height:9450" coordorigin="1020,5730" coordsize="9850,9450" path="m2185,13610l2465,13610m6162,5730l10667,5730m6165,10340l10522,10340m1020,15180l10870,15180e" filled="false" stroked="true" strokeweight=".125pt" strokecolor="#231f20">
              <v:path arrowok="t"/>
              <v:stroke dashstyle="solid"/>
            </v:shape>
            <w10:wrap type="none"/>
          </v:group>
        </w:pict>
      </w:r>
    </w:p>
    <w:p>
      <w:pPr>
        <w:spacing w:before="96"/>
        <w:ind w:left="420" w:right="0" w:firstLine="0"/>
        <w:jc w:val="left"/>
        <w:rPr>
          <w:sz w:val="12"/>
        </w:rPr>
      </w:pPr>
      <w:r>
        <w:rPr>
          <w:color w:val="231F20"/>
          <w:sz w:val="12"/>
        </w:rPr>
        <w:t>(1) Not all non-basic pay is ‘irregular’. For example, an estimated 80% of firms with PRP schemes make PRP payments every month.</w:t>
      </w:r>
    </w:p>
    <w:p>
      <w:pPr>
        <w:spacing w:after="0"/>
        <w:jc w:val="left"/>
        <w:rPr>
          <w:sz w:val="12"/>
        </w:rPr>
        <w:sectPr>
          <w:type w:val="continuous"/>
          <w:pgSz w:w="11900" w:h="16840"/>
          <w:pgMar w:top="1220" w:bottom="280" w:left="620" w:right="640"/>
        </w:sectPr>
      </w:pPr>
    </w:p>
    <w:p>
      <w:pPr>
        <w:pStyle w:val="BodyText"/>
        <w:rPr>
          <w:sz w:val="20"/>
        </w:rPr>
      </w:pPr>
    </w:p>
    <w:p>
      <w:pPr>
        <w:spacing w:after="0"/>
        <w:rPr>
          <w:sz w:val="20"/>
        </w:rPr>
        <w:sectPr>
          <w:pgSz w:w="11900" w:h="16840"/>
          <w:pgMar w:header="586" w:footer="617" w:top="780" w:bottom="800" w:left="620" w:right="640"/>
        </w:sectPr>
      </w:pPr>
    </w:p>
    <w:p>
      <w:pPr>
        <w:pStyle w:val="BodyText"/>
        <w:spacing w:before="8"/>
        <w:rPr>
          <w:sz w:val="19"/>
        </w:rPr>
      </w:pPr>
    </w:p>
    <w:p>
      <w:pPr>
        <w:pStyle w:val="Heading8"/>
        <w:spacing w:before="0"/>
        <w:ind w:left="202"/>
      </w:pPr>
      <w:r>
        <w:rPr>
          <w:color w:val="0093C1"/>
        </w:rPr>
        <w:t>Chart 3.3</w:t>
      </w:r>
    </w:p>
    <w:p>
      <w:pPr>
        <w:spacing w:before="10"/>
        <w:ind w:left="202" w:right="0" w:firstLine="0"/>
        <w:jc w:val="left"/>
        <w:rPr>
          <w:sz w:val="12"/>
        </w:rPr>
      </w:pPr>
      <w:r>
        <w:rPr>
          <w:b/>
          <w:color w:val="0093C1"/>
          <w:sz w:val="20"/>
        </w:rPr>
        <w:t>Ratio of public to private sector earnings</w:t>
      </w:r>
      <w:r>
        <w:rPr>
          <w:color w:val="231F20"/>
          <w:position w:val="4"/>
          <w:sz w:val="12"/>
        </w:rPr>
        <w:t>(a)(b)</w:t>
      </w:r>
    </w:p>
    <w:p>
      <w:pPr>
        <w:spacing w:before="67"/>
        <w:ind w:left="3176" w:right="0" w:firstLine="0"/>
        <w:jc w:val="left"/>
        <w:rPr>
          <w:sz w:val="11"/>
        </w:rPr>
      </w:pPr>
      <w:r>
        <w:rPr/>
        <w:pict>
          <v:line style="position:absolute;mso-position-horizontal-relative:page;mso-position-vertical-relative:paragraph;z-index:15933952" from="46.03pt,9.944793pt" to="41.23pt,9.944793pt" stroked="true" strokeweight=".48pt" strokecolor="#000000">
            <v:stroke dashstyle="solid"/>
            <w10:wrap type="none"/>
          </v:line>
        </w:pict>
      </w:r>
      <w:r>
        <w:rPr>
          <w:w w:val="105"/>
          <w:sz w:val="11"/>
        </w:rPr>
        <w:t>Ra</w:t>
      </w:r>
      <w:r>
        <w:rPr>
          <w:w w:val="105"/>
          <w:sz w:val="11"/>
          <w:u w:val="single"/>
        </w:rPr>
        <w:t>tio</w:t>
      </w:r>
      <w:r>
        <w:rPr>
          <w:spacing w:val="12"/>
          <w:w w:val="105"/>
          <w:sz w:val="11"/>
        </w:rPr>
        <w:t> </w:t>
      </w:r>
      <w:r>
        <w:rPr>
          <w:w w:val="105"/>
          <w:position w:val="-5"/>
          <w:sz w:val="11"/>
        </w:rPr>
        <w:t>1.30</w:t>
      </w:r>
    </w:p>
    <w:p>
      <w:pPr>
        <w:pStyle w:val="BodyText"/>
        <w:spacing w:before="10"/>
      </w:pPr>
    </w:p>
    <w:p>
      <w:pPr>
        <w:spacing w:before="0"/>
        <w:ind w:left="3469" w:right="0" w:firstLine="0"/>
        <w:jc w:val="left"/>
        <w:rPr>
          <w:sz w:val="11"/>
        </w:rPr>
      </w:pPr>
      <w:r>
        <w:rPr/>
        <w:pict>
          <v:line style="position:absolute;mso-position-horizontal-relative:page;mso-position-vertical-relative:paragraph;z-index:15933440" from="46.03pt,4.674758pt" to="41.23pt,4.674758pt" stroked="true" strokeweight=".48pt" strokecolor="#000000">
            <v:stroke dashstyle="solid"/>
            <w10:wrap type="none"/>
          </v:line>
        </w:pict>
      </w:r>
      <w:r>
        <w:rPr/>
        <w:pict>
          <v:line style="position:absolute;mso-position-horizontal-relative:page;mso-position-vertical-relative:paragraph;z-index:15934976" from="202.070004pt,4.654758pt" to="197.270004pt,4.654758pt" stroked="true" strokeweight=".48pt" strokecolor="#000000">
            <v:stroke dashstyle="solid"/>
            <w10:wrap type="none"/>
          </v:line>
        </w:pict>
      </w:r>
      <w:r>
        <w:rPr>
          <w:w w:val="105"/>
          <w:sz w:val="11"/>
        </w:rPr>
        <w:t>1.25</w:t>
      </w:r>
    </w:p>
    <w:p>
      <w:pPr>
        <w:pStyle w:val="BodyText"/>
        <w:rPr>
          <w:sz w:val="12"/>
        </w:rPr>
      </w:pPr>
    </w:p>
    <w:p>
      <w:pPr>
        <w:spacing w:before="100"/>
        <w:ind w:left="3469" w:right="0" w:firstLine="0"/>
        <w:jc w:val="left"/>
        <w:rPr>
          <w:sz w:val="11"/>
        </w:rPr>
      </w:pPr>
      <w:r>
        <w:rPr/>
        <w:pict>
          <v:group style="position:absolute;margin-left:41.23pt;margin-top:5.334768pt;width:160.85pt;height:98.9pt;mso-position-horizontal-relative:page;mso-position-vertical-relative:paragraph;z-index:15932928" coordorigin="825,107" coordsize="3217,1978">
            <v:shape style="position:absolute;left:824;top:193;width:3217;height:1806" coordorigin="825,193" coordsize="3217,1806" path="m921,1998l825,1998m921,1633l825,1633m921,1269l825,1269m921,904l825,904m921,558l825,558m921,193l825,193m4041,1998l3945,1998m4041,1633l3945,1633m4041,1268l3945,1268m4041,903l3945,903m4041,558l3945,558m4041,193l3945,193e" filled="false" stroked="true" strokeweight=".48pt" strokecolor="#000000">
              <v:path arrowok="t"/>
              <v:stroke dashstyle="solid"/>
            </v:shape>
            <v:line style="position:absolute" from="3871,1403" to="991,1403" stroked="true" strokeweight=".48pt" strokecolor="#000000">
              <v:stroke dashstyle="shortdot"/>
            </v:line>
            <v:shape style="position:absolute;left:991;top:116;width:2900;height:1959" coordorigin="991,116" coordsize="2900,1959" path="m991,1633l1010,1268,1010,1211,1029,1211,1049,1172,1049,1211,1068,1211,1087,961,1087,116,1106,807,1125,903,1125,519,1145,884,1164,980,1183,1019,1183,846,1202,884,1221,942,1221,1038,1241,846,1260,884,1260,942,1279,999,1298,1019,1298,1172,1317,1153,1337,1211,1337,1268,1356,1230,1375,1249,1375,903,1394,1326,1413,1326,1433,1307,1433,1191,1452,1287,1471,999,1471,654,1490,1038,1509,1191,1509,1249,1529,1095,1548,1134,1548,1345,1567,1326,1586,1364,1586,1345,1625,1307,1625,1383,1644,1364,1663,1211,1682,1268,1682,1383,1701,1364,1721,1268,1740,711,1759,1249,1759,1326,1778,1383,1797,1326,1797,1499,1817,1518,1836,1614,1836,1556,1855,1710,1874,1595,1874,1383,1893,1614,1913,1652,1932,1556,1932,1633,1951,1710,1970,1345,1970,1191,1989,1671,2009,1422,2009,1460,2028,1518,2047,1537,2047,1518,2066,1595,2085,1652,2085,1595,2105,1595,2124,1691,2124,1671,2143,1479,2162,1652,2181,1460,2181,1499,2201,1614,2220,1633,2239,1518,2258,1556,2258,1518,2277,1403,2297,1556,2297,1767,2316,1499,2335,1403,2335,1518,2354,1518,2373,1499,2373,1364,2393,731,2412,1441,2431,1460,2431,1518,2450,1460,2469,1499,2469,1422,2489,1652,2508,1595,2508,1383,2527,1499,2546,1479,2546,1518,2565,1499,2585,1537,2585,1575,2604,1556,2623,1460,2623,1537,2642,1633,2661,1403,2681,1499,2681,1479,2700,1499,2719,1595,2719,1499,2738,1479,2757,1441,2757,1460,2777,1518,2796,1518,2796,1364,2815,1479,2834,1499,2834,1460,2853,1499,2873,1364,2873,1403,2892,1441,2911,1441,2930,1268,2930,1364,2949,1287,2969,1326,2988,1287,3007,1268,3007,1326,3026,1383,3045,1345,3065,1287,3084,1403,3084,1345,3103,1364,3122,1403,3122,1364,3141,1441,3161,1422,3180,1422,3180,1403,3199,1441,3199,1518,3218,1383,3237,1460,3257,1460,3276,1441,3314,1518,3333,1537,3333,1441,3353,1556,3372,1499,3372,1518,3391,1556,3410,1652,3429,1518,3429,1575,3449,1575,3449,1595,3468,1575,3487,1614,3506,1595,3525,1633,3564,1633,3583,1691,3583,1729,3602,1729,3621,1710,3621,1691,3641,1710,3660,1748,3679,1767,3698,1844,3717,1767,3717,1806,3756,1806,3756,1844,3775,1844,3794,1883,3794,1863,3813,1902,3833,1959,3833,1979,3852,2075,3871,2036,3890,1979e" filled="false" stroked="true" strokeweight=".96pt" strokecolor="#0066a5">
              <v:path arrowok="t"/>
              <v:stroke dashstyle="solid"/>
            </v:shape>
            <v:shape style="position:absolute;left:1269;top:1405;width:411;height:128" type="#_x0000_t202" filled="false" stroked="false">
              <v:textbox inset="0,0,0,0">
                <w:txbxContent>
                  <w:p>
                    <w:pPr>
                      <w:spacing w:before="0"/>
                      <w:ind w:left="0" w:right="0" w:firstLine="0"/>
                      <w:jc w:val="left"/>
                      <w:rPr>
                        <w:sz w:val="11"/>
                      </w:rPr>
                    </w:pPr>
                    <w:r>
                      <w:rPr>
                        <w:w w:val="105"/>
                        <w:sz w:val="11"/>
                      </w:rPr>
                      <w:t>Average</w:t>
                    </w:r>
                  </w:p>
                </w:txbxContent>
              </v:textbox>
              <w10:wrap type="none"/>
            </v:shape>
            <w10:wrap type="none"/>
          </v:group>
        </w:pict>
      </w:r>
      <w:r>
        <w:rPr>
          <w:w w:val="105"/>
          <w:sz w:val="11"/>
        </w:rPr>
        <w:t>1.20</w:t>
      </w:r>
    </w:p>
    <w:p>
      <w:pPr>
        <w:pStyle w:val="BodyText"/>
        <w:rPr>
          <w:sz w:val="12"/>
        </w:rPr>
      </w:pPr>
    </w:p>
    <w:p>
      <w:pPr>
        <w:spacing w:before="101"/>
        <w:ind w:left="3469" w:right="0" w:firstLine="0"/>
        <w:jc w:val="left"/>
        <w:rPr>
          <w:sz w:val="11"/>
        </w:rPr>
      </w:pPr>
      <w:r>
        <w:rPr>
          <w:w w:val="105"/>
          <w:sz w:val="11"/>
        </w:rPr>
        <w:t>1.15</w:t>
      </w:r>
    </w:p>
    <w:p>
      <w:pPr>
        <w:pStyle w:val="BodyText"/>
        <w:rPr>
          <w:sz w:val="12"/>
        </w:rPr>
      </w:pPr>
    </w:p>
    <w:p>
      <w:pPr>
        <w:spacing w:before="100"/>
        <w:ind w:left="3469" w:right="0" w:firstLine="0"/>
        <w:jc w:val="left"/>
        <w:rPr>
          <w:sz w:val="11"/>
        </w:rPr>
      </w:pPr>
      <w:r>
        <w:rPr>
          <w:w w:val="105"/>
          <w:sz w:val="11"/>
        </w:rPr>
        <w:t>1.10</w:t>
      </w:r>
    </w:p>
    <w:p>
      <w:pPr>
        <w:pStyle w:val="BodyText"/>
        <w:rPr>
          <w:sz w:val="12"/>
        </w:rPr>
      </w:pPr>
    </w:p>
    <w:p>
      <w:pPr>
        <w:spacing w:before="100"/>
        <w:ind w:left="3469" w:right="0" w:firstLine="0"/>
        <w:jc w:val="left"/>
        <w:rPr>
          <w:sz w:val="11"/>
        </w:rPr>
      </w:pPr>
      <w:r>
        <w:rPr>
          <w:w w:val="105"/>
          <w:sz w:val="11"/>
        </w:rPr>
        <w:t>1.05</w:t>
      </w:r>
    </w:p>
    <w:p>
      <w:pPr>
        <w:pStyle w:val="BodyText"/>
        <w:rPr>
          <w:sz w:val="12"/>
        </w:rPr>
      </w:pPr>
    </w:p>
    <w:p>
      <w:pPr>
        <w:spacing w:before="101"/>
        <w:ind w:left="3469" w:right="0" w:firstLine="0"/>
        <w:jc w:val="left"/>
        <w:rPr>
          <w:sz w:val="11"/>
        </w:rPr>
      </w:pPr>
      <w:r>
        <w:rPr>
          <w:w w:val="105"/>
          <w:sz w:val="11"/>
        </w:rPr>
        <w:t>1.00</w:t>
      </w:r>
    </w:p>
    <w:p>
      <w:pPr>
        <w:pStyle w:val="BodyText"/>
        <w:rPr>
          <w:sz w:val="12"/>
        </w:rPr>
      </w:pPr>
    </w:p>
    <w:p>
      <w:pPr>
        <w:spacing w:before="100"/>
        <w:ind w:left="3469" w:right="0" w:firstLine="0"/>
        <w:jc w:val="left"/>
        <w:rPr>
          <w:sz w:val="11"/>
        </w:rPr>
      </w:pPr>
      <w:r>
        <w:rPr>
          <w:w w:val="105"/>
          <w:sz w:val="11"/>
        </w:rPr>
        <w:t>0.95</w:t>
      </w:r>
    </w:p>
    <w:p>
      <w:pPr>
        <w:pStyle w:val="BodyText"/>
        <w:rPr>
          <w:sz w:val="12"/>
        </w:rPr>
      </w:pPr>
    </w:p>
    <w:p>
      <w:pPr>
        <w:spacing w:before="81"/>
        <w:ind w:left="3469" w:right="0" w:firstLine="0"/>
        <w:jc w:val="left"/>
        <w:rPr>
          <w:sz w:val="11"/>
        </w:rPr>
      </w:pPr>
      <w:r>
        <w:rPr/>
        <w:pict>
          <v:shape style="position:absolute;margin-left:41.23pt;margin-top:3.904788pt;width:152.35pt;height:4.850pt;mso-position-horizontal-relative:page;mso-position-vertical-relative:paragraph;z-index:15931904" coordorigin="825,78" coordsize="3047,97" path="m921,174l825,174m991,174l3871,174m991,174l991,136m1145,174l1145,136m1298,174l1298,136m1471,174l1471,136m1625,174l1625,136m1778,174l1778,136m1932,174l1932,136m2085,174l2085,136m2258,174l2258,136m2412,174l2412,136m2565,174l2565,136m2719,174l2719,136m2873,174l2873,136m3045,174l3045,136m3199,174l3199,136m3353,174l3353,136m3506,174l3506,136m3679,174l3679,136m3833,174l3833,136m991,174l991,78m1778,174l1778,78m2565,174l2565,78m3353,174l3353,78e" filled="false" stroked="true" strokeweight=".48pt" strokecolor="#000000">
            <v:path arrowok="t"/>
            <v:stroke dashstyle="solid"/>
            <w10:wrap type="none"/>
          </v:shape>
        </w:pict>
      </w:r>
      <w:r>
        <w:rPr/>
        <w:pict>
          <v:line style="position:absolute;mso-position-horizontal-relative:page;mso-position-vertical-relative:paragraph;z-index:15934464" from="202.070004pt,8.704787pt" to="197.270004pt,8.704787pt" stroked="true" strokeweight=".48pt" strokecolor="#000000">
            <v:stroke dashstyle="solid"/>
            <w10:wrap type="none"/>
          </v:line>
        </w:pict>
      </w:r>
      <w:r>
        <w:rPr>
          <w:w w:val="105"/>
          <w:sz w:val="11"/>
        </w:rPr>
        <w:t>0.90</w:t>
      </w:r>
    </w:p>
    <w:p>
      <w:pPr>
        <w:tabs>
          <w:tab w:pos="1110" w:val="left" w:leader="none"/>
          <w:tab w:pos="1897" w:val="left" w:leader="none"/>
          <w:tab w:pos="2684" w:val="left" w:leader="none"/>
        </w:tabs>
        <w:spacing w:before="8"/>
        <w:ind w:left="323" w:right="0" w:firstLine="0"/>
        <w:jc w:val="left"/>
        <w:rPr>
          <w:sz w:val="11"/>
        </w:rPr>
      </w:pPr>
      <w:r>
        <w:rPr>
          <w:w w:val="105"/>
          <w:sz w:val="11"/>
        </w:rPr>
        <w:t>1980</w:t>
        <w:tab/>
        <w:t>85</w:t>
        <w:tab/>
        <w:t>90</w:t>
        <w:tab/>
        <w:t>95</w:t>
      </w:r>
    </w:p>
    <w:p>
      <w:pPr>
        <w:spacing w:line="208" w:lineRule="auto" w:before="39"/>
        <w:ind w:left="651" w:right="145" w:hanging="442"/>
        <w:jc w:val="left"/>
        <w:rPr>
          <w:sz w:val="12"/>
        </w:rPr>
      </w:pPr>
      <w:r>
        <w:rPr>
          <w:color w:val="231F20"/>
          <w:sz w:val="12"/>
        </w:rPr>
        <w:t>Sources: ONS and Bank of England calculations. Bank calculations 1980–93 and ONS data from 1993.</w:t>
      </w:r>
    </w:p>
    <w:p>
      <w:pPr>
        <w:pStyle w:val="ListParagraph"/>
        <w:numPr>
          <w:ilvl w:val="0"/>
          <w:numId w:val="23"/>
        </w:numPr>
        <w:tabs>
          <w:tab w:pos="451" w:val="left" w:leader="none"/>
        </w:tabs>
        <w:spacing w:line="129" w:lineRule="exact" w:before="106" w:after="0"/>
        <w:ind w:left="450" w:right="0" w:hanging="241"/>
        <w:jc w:val="left"/>
        <w:rPr>
          <w:sz w:val="12"/>
        </w:rPr>
      </w:pPr>
      <w:r>
        <w:rPr>
          <w:color w:val="231F20"/>
          <w:sz w:val="12"/>
        </w:rPr>
        <w:t>Seasonally adjusted.</w:t>
      </w:r>
    </w:p>
    <w:p>
      <w:pPr>
        <w:pStyle w:val="ListParagraph"/>
        <w:numPr>
          <w:ilvl w:val="0"/>
          <w:numId w:val="23"/>
        </w:numPr>
        <w:tabs>
          <w:tab w:pos="451" w:val="left" w:leader="none"/>
        </w:tabs>
        <w:spacing w:line="208" w:lineRule="auto" w:before="5" w:after="0"/>
        <w:ind w:left="450" w:right="384" w:hanging="240"/>
        <w:jc w:val="left"/>
        <w:rPr>
          <w:sz w:val="12"/>
        </w:rPr>
      </w:pPr>
      <w:r>
        <w:rPr>
          <w:color w:val="231F20"/>
          <w:sz w:val="12"/>
        </w:rPr>
        <w:t>The public sector here is proxied by health, social services, </w:t>
      </w:r>
      <w:r>
        <w:rPr>
          <w:color w:val="231F20"/>
          <w:spacing w:val="-3"/>
          <w:sz w:val="12"/>
        </w:rPr>
        <w:t>public </w:t>
      </w:r>
      <w:r>
        <w:rPr>
          <w:color w:val="231F20"/>
          <w:sz w:val="12"/>
        </w:rPr>
        <w:t>administration and education before 1993.</w:t>
      </w:r>
    </w:p>
    <w:p>
      <w:pPr>
        <w:pStyle w:val="BodyText"/>
        <w:rPr>
          <w:sz w:val="12"/>
        </w:rPr>
      </w:pPr>
    </w:p>
    <w:p>
      <w:pPr>
        <w:pStyle w:val="BodyText"/>
        <w:rPr>
          <w:sz w:val="12"/>
        </w:rPr>
      </w:pPr>
    </w:p>
    <w:p>
      <w:pPr>
        <w:pStyle w:val="BodyText"/>
        <w:spacing w:before="9"/>
        <w:rPr>
          <w:sz w:val="15"/>
        </w:rPr>
      </w:pPr>
    </w:p>
    <w:p>
      <w:pPr>
        <w:pStyle w:val="Heading8"/>
        <w:spacing w:before="0"/>
        <w:ind w:left="205"/>
      </w:pPr>
      <w:r>
        <w:rPr>
          <w:color w:val="0093C1"/>
        </w:rPr>
        <w:t>Chart 3.4</w:t>
      </w:r>
    </w:p>
    <w:p>
      <w:pPr>
        <w:spacing w:before="10"/>
        <w:ind w:left="205" w:right="0" w:firstLine="0"/>
        <w:jc w:val="left"/>
        <w:rPr>
          <w:b/>
          <w:sz w:val="20"/>
        </w:rPr>
      </w:pPr>
      <w:r>
        <w:rPr>
          <w:b/>
          <w:color w:val="0093C1"/>
          <w:sz w:val="20"/>
        </w:rPr>
        <w:t>Wage settlements by sector</w:t>
      </w:r>
    </w:p>
    <w:p>
      <w:pPr>
        <w:spacing w:line="242" w:lineRule="auto" w:before="217"/>
        <w:ind w:left="202" w:right="121" w:firstLine="0"/>
        <w:jc w:val="left"/>
        <w:rPr>
          <w:sz w:val="24"/>
        </w:rPr>
      </w:pPr>
      <w:r>
        <w:rPr/>
        <w:br w:type="column"/>
      </w:r>
      <w:r>
        <w:rPr>
          <w:color w:val="231F20"/>
          <w:sz w:val="24"/>
        </w:rPr>
        <w:t>Headline public sector earnings growth rose to 2.8% in April—still significantly below the 6.2% rise in earnings in the private sector (which accounts for around 72% of total employment). The ratio of public to private sector earnings has been falling since 1993, and is now at around its lowest for at least 18 years (see Chart 3.3).</w:t>
      </w:r>
    </w:p>
    <w:p>
      <w:pPr>
        <w:pStyle w:val="BodyText"/>
        <w:spacing w:before="4"/>
        <w:rPr>
          <w:sz w:val="22"/>
        </w:rPr>
      </w:pPr>
    </w:p>
    <w:p>
      <w:pPr>
        <w:spacing w:line="242" w:lineRule="auto" w:before="1"/>
        <w:ind w:left="202" w:right="121" w:firstLine="0"/>
        <w:jc w:val="left"/>
        <w:rPr>
          <w:sz w:val="24"/>
        </w:rPr>
      </w:pPr>
      <w:r>
        <w:rPr>
          <w:color w:val="231F20"/>
          <w:sz w:val="24"/>
        </w:rPr>
        <w:t>The twelve-month employment-weighted mean of wage settlements picked up further in June, to 3.8%. Private sector settlements rose to 4.2% in June, but public sector settlements were unchanged at 3.2% from the previous month (see Chart 3.4). The difference between earnings and settlements is known as ‘wage drift’, and includes factors such as compositional changes in the workforce, overtime pay, shift premia, bonuses, and merit and</w:t>
      </w:r>
    </w:p>
    <w:p>
      <w:pPr>
        <w:spacing w:before="10"/>
        <w:ind w:left="202" w:right="0" w:firstLine="0"/>
        <w:jc w:val="left"/>
        <w:rPr>
          <w:sz w:val="24"/>
        </w:rPr>
      </w:pPr>
      <w:r>
        <w:rPr>
          <w:color w:val="231F20"/>
          <w:sz w:val="24"/>
        </w:rPr>
        <w:t>profit-related pay. The Bank’s measure of</w:t>
      </w:r>
    </w:p>
    <w:p>
      <w:pPr>
        <w:spacing w:line="242" w:lineRule="auto" w:before="4"/>
        <w:ind w:left="202" w:right="162" w:firstLine="0"/>
        <w:jc w:val="left"/>
        <w:rPr>
          <w:sz w:val="24"/>
        </w:rPr>
      </w:pPr>
      <w:r>
        <w:rPr>
          <w:color w:val="231F20"/>
          <w:sz w:val="24"/>
        </w:rPr>
        <w:t>whole-economy wage drift fell to 1.6 percentage points in May, slightly above its historical average (see</w:t>
      </w:r>
    </w:p>
    <w:p>
      <w:pPr>
        <w:spacing w:before="2"/>
        <w:ind w:left="202" w:right="0" w:firstLine="0"/>
        <w:jc w:val="left"/>
        <w:rPr>
          <w:sz w:val="24"/>
        </w:rPr>
      </w:pPr>
      <w:r>
        <w:rPr>
          <w:color w:val="231F20"/>
          <w:sz w:val="24"/>
        </w:rPr>
        <w:t>Chart 3.5).</w:t>
      </w:r>
    </w:p>
    <w:p>
      <w:pPr>
        <w:spacing w:after="0"/>
        <w:jc w:val="left"/>
        <w:rPr>
          <w:sz w:val="24"/>
        </w:rPr>
        <w:sectPr>
          <w:type w:val="continuous"/>
          <w:pgSz w:w="11900" w:h="16840"/>
          <w:pgMar w:top="1220" w:bottom="280" w:left="620" w:right="640"/>
          <w:cols w:num="2" w:equalWidth="0">
            <w:col w:w="4004" w:space="787"/>
            <w:col w:w="5849"/>
          </w:cols>
        </w:sectPr>
      </w:pPr>
    </w:p>
    <w:p>
      <w:pPr>
        <w:spacing w:before="89"/>
        <w:ind w:left="223" w:right="0" w:firstLine="0"/>
        <w:jc w:val="left"/>
        <w:rPr>
          <w:sz w:val="11"/>
        </w:rPr>
      </w:pPr>
      <w:r>
        <w:rPr>
          <w:w w:val="105"/>
          <w:sz w:val="11"/>
          <w:u w:val="single"/>
        </w:rPr>
        <w:t>T</w:t>
      </w:r>
      <w:r>
        <w:rPr>
          <w:w w:val="105"/>
          <w:sz w:val="11"/>
        </w:rPr>
        <w:t>welve-month employment-weighted mean</w:t>
      </w:r>
    </w:p>
    <w:p>
      <w:pPr>
        <w:pStyle w:val="BodyText"/>
        <w:spacing w:before="7" w:after="39"/>
        <w:rPr>
          <w:sz w:val="22"/>
        </w:rPr>
      </w:pPr>
    </w:p>
    <w:p>
      <w:pPr>
        <w:pStyle w:val="BodyText"/>
        <w:spacing w:line="20" w:lineRule="exact"/>
        <w:ind w:left="223"/>
        <w:rPr>
          <w:sz w:val="2"/>
        </w:rPr>
      </w:pPr>
      <w:r>
        <w:rPr>
          <w:sz w:val="2"/>
        </w:rPr>
        <w:pict>
          <v:group style="width:4.8pt;height:.5pt;mso-position-horizontal-relative:char;mso-position-vertical-relative:line" coordorigin="0,0" coordsize="96,10">
            <v:line style="position:absolute" from="96,5" to="0,5" stroked="true" strokeweight=".48pt" strokecolor="#000000">
              <v:stroke dashstyle="solid"/>
            </v:line>
          </v:group>
        </w:pict>
      </w:r>
      <w:r>
        <w:rPr>
          <w:sz w:val="2"/>
        </w:rPr>
      </w:r>
    </w:p>
    <w:p>
      <w:pPr>
        <w:pStyle w:val="BodyText"/>
        <w:spacing w:before="10"/>
        <w:rPr>
          <w:sz w:val="19"/>
        </w:rPr>
      </w:pPr>
      <w:r>
        <w:rPr/>
        <w:pict>
          <v:shape style="position:absolute;margin-left:42.400002pt;margin-top:13.65pt;width:4.8pt;height:.1pt;mso-position-horizontal-relative:page;mso-position-vertical-relative:paragraph;z-index:-15531520;mso-wrap-distance-left:0;mso-wrap-distance-right:0" coordorigin="848,273" coordsize="96,0" path="m944,273l848,273e" filled="false" stroked="true" strokeweight=".48pt" strokecolor="#000000">
            <v:path arrowok="t"/>
            <v:stroke dashstyle="solid"/>
            <w10:wrap type="topAndBottom"/>
          </v:shape>
        </w:pict>
      </w:r>
      <w:r>
        <w:rPr/>
        <w:pict>
          <v:shape style="position:absolute;margin-left:42.400002pt;margin-top:28.049999pt;width:4.8pt;height:.1pt;mso-position-horizontal-relative:page;mso-position-vertical-relative:paragraph;z-index:-15531008;mso-wrap-distance-left:0;mso-wrap-distance-right:0" coordorigin="848,561" coordsize="96,0" path="m944,561l848,561e" filled="false" stroked="true" strokeweight=".48pt" strokecolor="#000000">
            <v:path arrowok="t"/>
            <v:stroke dashstyle="solid"/>
            <w10:wrap type="topAndBottom"/>
          </v:shape>
        </w:pict>
      </w:r>
      <w:r>
        <w:rPr/>
        <w:pict>
          <v:shape style="position:absolute;margin-left:42.400002pt;margin-top:42.450001pt;width:4.8pt;height:.1pt;mso-position-horizontal-relative:page;mso-position-vertical-relative:paragraph;z-index:-15530496;mso-wrap-distance-left:0;mso-wrap-distance-right:0" coordorigin="848,849" coordsize="96,0" path="m944,849l848,849e" filled="false" stroked="true" strokeweight=".48pt" strokecolor="#000000">
            <v:path arrowok="t"/>
            <v:stroke dashstyle="solid"/>
            <w10:wrap type="topAndBottom"/>
          </v:shape>
        </w:pict>
      </w:r>
      <w:r>
        <w:rPr/>
        <w:pict>
          <v:shape style="position:absolute;margin-left:42.400002pt;margin-top:56.849998pt;width:4.8pt;height:.1pt;mso-position-horizontal-relative:page;mso-position-vertical-relative:paragraph;z-index:-15529984;mso-wrap-distance-left:0;mso-wrap-distance-right:0" coordorigin="848,1137" coordsize="96,0" path="m944,1137l848,1137e" filled="false" stroked="true" strokeweight=".48pt" strokecolor="#000000">
            <v:path arrowok="t"/>
            <v:stroke dashstyle="solid"/>
            <w10:wrap type="topAndBottom"/>
          </v:shape>
        </w:pict>
      </w:r>
      <w:r>
        <w:rPr/>
        <w:pict>
          <v:shape style="position:absolute;margin-left:42.400002pt;margin-top:71.25pt;width:4.8pt;height:.1pt;mso-position-horizontal-relative:page;mso-position-vertical-relative:paragraph;z-index:-15529472;mso-wrap-distance-left:0;mso-wrap-distance-right:0" coordorigin="848,1425" coordsize="96,0" path="m944,1425l848,1425e" filled="false" stroked="true" strokeweight=".48pt" strokecolor="#000000">
            <v:path arrowok="t"/>
            <v:stroke dashstyle="solid"/>
            <w10:wrap type="topAndBottom"/>
          </v:shape>
        </w:pict>
      </w:r>
      <w:r>
        <w:rPr/>
        <w:pict>
          <v:shape style="position:absolute;margin-left:42.400002pt;margin-top:85.650002pt;width:4.8pt;height:.1pt;mso-position-horizontal-relative:page;mso-position-vertical-relative:paragraph;z-index:-15528960;mso-wrap-distance-left:0;mso-wrap-distance-right:0" coordorigin="848,1713" coordsize="96,0" path="m944,1713l848,1713e" filled="false" stroked="true" strokeweight=".48pt" strokecolor="#000000">
            <v:path arrowok="t"/>
            <v:stroke dashstyle="solid"/>
            <w10:wrap type="topAndBottom"/>
          </v:shape>
        </w:pict>
      </w:r>
      <w:r>
        <w:rPr/>
        <w:pict>
          <v:shape style="position:absolute;margin-left:42.400002pt;margin-top:100.050003pt;width:4.8pt;height:.1pt;mso-position-horizontal-relative:page;mso-position-vertical-relative:paragraph;z-index:-15528448;mso-wrap-distance-left:0;mso-wrap-distance-right:0" coordorigin="848,2001" coordsize="96,0" path="m944,2001l848,2001e" filled="false" stroked="true" strokeweight=".48pt" strokecolor="#000000">
            <v:path arrowok="t"/>
            <v:stroke dashstyle="solid"/>
            <w10:wrap type="topAndBottom"/>
          </v:shape>
        </w:pict>
      </w:r>
      <w:r>
        <w:rPr/>
        <w:pict>
          <v:shape style="position:absolute;margin-left:42.400002pt;margin-top:114.449997pt;width:4.8pt;height:.1pt;mso-position-horizontal-relative:page;mso-position-vertical-relative:paragraph;z-index:-15527936;mso-wrap-distance-left:0;mso-wrap-distance-right:0" coordorigin="848,2289" coordsize="96,0" path="m944,2289l848,2289e" filled="false" stroked="true" strokeweight=".48pt" strokecolor="#000000">
            <v:path arrowok="t"/>
            <v:stroke dashstyle="solid"/>
            <w10:wrap type="topAndBottom"/>
          </v:shape>
        </w:pict>
      </w:r>
    </w:p>
    <w:p>
      <w:pPr>
        <w:pStyle w:val="BodyText"/>
        <w:spacing w:before="3"/>
      </w:pPr>
    </w:p>
    <w:p>
      <w:pPr>
        <w:pStyle w:val="BodyText"/>
        <w:spacing w:before="3"/>
      </w:pPr>
    </w:p>
    <w:p>
      <w:pPr>
        <w:pStyle w:val="BodyText"/>
        <w:spacing w:before="3"/>
      </w:pPr>
    </w:p>
    <w:p>
      <w:pPr>
        <w:pStyle w:val="BodyText"/>
        <w:spacing w:before="3"/>
      </w:pPr>
    </w:p>
    <w:p>
      <w:pPr>
        <w:pStyle w:val="BodyText"/>
        <w:spacing w:before="3"/>
      </w:pPr>
    </w:p>
    <w:p>
      <w:pPr>
        <w:pStyle w:val="BodyText"/>
        <w:spacing w:before="3"/>
      </w:pPr>
    </w:p>
    <w:p>
      <w:pPr>
        <w:pStyle w:val="BodyText"/>
        <w:spacing w:before="3"/>
      </w:pPr>
    </w:p>
    <w:p>
      <w:pPr>
        <w:pStyle w:val="BodyText"/>
        <w:rPr>
          <w:sz w:val="20"/>
        </w:rPr>
      </w:pPr>
    </w:p>
    <w:p>
      <w:pPr>
        <w:pStyle w:val="BodyText"/>
        <w:spacing w:before="7"/>
      </w:pPr>
      <w:r>
        <w:rPr/>
        <w:pict>
          <v:shape style="position:absolute;margin-left:58.240002pt;margin-top:11.908356pt;width:11.55pt;height:6.4pt;mso-position-horizontal-relative:page;mso-position-vertical-relative:paragraph;z-index:-15527424;mso-wrap-distance-left:0;mso-wrap-distance-right:0" type="#_x0000_t202" filled="false" stroked="false">
            <v:textbox inset="0,0,0,0">
              <w:txbxContent>
                <w:p>
                  <w:pPr>
                    <w:spacing w:before="0"/>
                    <w:ind w:left="0" w:right="0" w:firstLine="0"/>
                    <w:jc w:val="left"/>
                    <w:rPr>
                      <w:sz w:val="11"/>
                    </w:rPr>
                  </w:pPr>
                  <w:r>
                    <w:rPr>
                      <w:sz w:val="11"/>
                    </w:rPr>
                    <w:t>1994</w:t>
                  </w:r>
                </w:p>
              </w:txbxContent>
            </v:textbox>
            <w10:wrap type="topAndBottom"/>
          </v:shape>
        </w:pict>
      </w:r>
    </w:p>
    <w:p>
      <w:pPr>
        <w:spacing w:before="89"/>
        <w:ind w:left="223" w:right="0" w:firstLine="0"/>
        <w:jc w:val="left"/>
        <w:rPr>
          <w:sz w:val="11"/>
        </w:rPr>
      </w:pPr>
      <w:r>
        <w:rPr/>
        <w:br w:type="column"/>
      </w:r>
      <w:r>
        <w:rPr>
          <w:color w:val="231F20"/>
          <w:w w:val="105"/>
          <w:sz w:val="11"/>
        </w:rPr>
        <w:t>Per c</w:t>
      </w:r>
      <w:r>
        <w:rPr>
          <w:color w:val="231F20"/>
          <w:w w:val="105"/>
          <w:sz w:val="11"/>
          <w:u w:val="single" w:color="000000"/>
        </w:rPr>
        <w:t>en</w:t>
      </w:r>
      <w:r>
        <w:rPr>
          <w:color w:val="231F20"/>
          <w:w w:val="105"/>
          <w:sz w:val="11"/>
        </w:rPr>
        <w:t>t </w:t>
      </w:r>
      <w:r>
        <w:rPr>
          <w:color w:val="231F20"/>
          <w:spacing w:val="2"/>
          <w:w w:val="105"/>
          <w:sz w:val="11"/>
        </w:rPr>
        <w:t> </w:t>
      </w:r>
      <w:r>
        <w:rPr>
          <w:w w:val="105"/>
          <w:position w:val="-4"/>
          <w:sz w:val="11"/>
        </w:rPr>
        <w:t>4.50</w:t>
      </w:r>
    </w:p>
    <w:p>
      <w:pPr>
        <w:spacing w:before="161"/>
        <w:ind w:left="659" w:right="0" w:firstLine="0"/>
        <w:jc w:val="left"/>
        <w:rPr>
          <w:sz w:val="11"/>
        </w:rPr>
      </w:pPr>
      <w:r>
        <w:rPr/>
        <w:pict>
          <v:group style="position:absolute;margin-left:52.48pt;margin-top:14.144764pt;width:145pt;height:118.1pt;mso-position-horizontal-relative:page;mso-position-vertical-relative:paragraph;z-index:15937536" coordorigin="1050,283" coordsize="2900,2362">
            <v:shape style="position:absolute;left:1059;top:791;width:2880;height:1824" coordorigin="1059,792" coordsize="2880,1824" path="m1059,2616l1117,2596,1174,2520,1232,2404,1290,2385,1347,2212,1405,2174,1520,2136,1578,2078,1693,2040,1750,1905,1808,1886,1866,1828,1923,1752,1981,1732,2038,1675,2096,1656,2154,1617,2211,1617,2269,1579,2384,1579,2442,1617,2499,1579,2557,1502,2672,1502,2730,1483,2787,1502,2902,1502,2960,1521,3075,1521,3133,1406,3190,1425,3248,1425,3306,1406,3363,1252,3421,1272,3478,1252,3594,1252,3651,1156,3766,1118,3824,1003,3882,945,3939,792e" filled="false" stroked="true" strokeweight=".96pt" strokecolor="#ed1b2d">
              <v:path arrowok="t"/>
              <v:stroke dashstyle="solid"/>
            </v:shape>
            <v:shape style="position:absolute;left:1059;top:292;width:2880;height:2324" coordorigin="1059,292" coordsize="2880,2324" path="m1059,2616l1117,2539,1174,2443,1232,2366,1290,2366,1347,2155,1405,2097,1520,2059,1578,1944,1635,1905,1693,1886,1750,1713,1808,1694,1866,1598,1923,1540,2038,1502,2096,1502,2154,1483,2211,1483,2269,1425,2326,1406,2384,1406,2442,1387,2499,1348,2557,1272,2614,1272,2672,1252,2730,1252,2787,1233,2845,1252,2902,1252,2960,1291,3075,1291,3133,1214,3190,1233,3306,1195,3363,945,3478,945,3536,926,3594,926,3651,772,3709,753,3824,638,3882,523,3939,292e" filled="false" stroked="true" strokeweight=".96pt" strokecolor="#0066a5">
              <v:path arrowok="t"/>
              <v:stroke dashstyle="solid"/>
            </v:shape>
            <v:shape style="position:absolute;left:1059;top:1463;width:2880;height:1172" coordorigin="1059,1464" coordsize="2880,1172" path="m1059,2635l1117,2635,1174,2616,1232,2462,1290,2424,1347,2270,1405,2232,1693,2232,1750,2174,1808,2174,1866,2116,1923,2040,1981,2001,2038,1905,2096,1886,2154,1828,2384,1828,2442,1848,2499,1848,2557,1809,2672,1809,2730,1790,2787,1790,2845,1809,3075,1809,3133,1656,3190,1656,3248,1636,3306,1636,3421,1675,3478,1656,3766,1656,3824,1464,3882,1464,3939,1483e" filled="false" stroked="true" strokeweight=".96pt" strokecolor="#95459a">
              <v:path arrowok="t"/>
              <v:stroke dashstyle="solid"/>
            </v:shape>
            <v:shape style="position:absolute;left:2976;top:909;width:347;height:128" type="#_x0000_t202" filled="false" stroked="false">
              <v:textbox inset="0,0,0,0">
                <w:txbxContent>
                  <w:p>
                    <w:pPr>
                      <w:spacing w:before="0"/>
                      <w:ind w:left="0" w:right="0" w:firstLine="0"/>
                      <w:jc w:val="left"/>
                      <w:rPr>
                        <w:sz w:val="11"/>
                      </w:rPr>
                    </w:pPr>
                    <w:r>
                      <w:rPr>
                        <w:w w:val="105"/>
                        <w:sz w:val="11"/>
                      </w:rPr>
                      <w:t>Private</w:t>
                    </w:r>
                  </w:p>
                </w:txbxContent>
              </v:textbox>
              <w10:wrap type="none"/>
            </v:shape>
            <v:shape style="position:absolute;left:2163;top:1620;width:788;height:128" type="#_x0000_t202" filled="false" stroked="false">
              <v:textbox inset="0,0,0,0">
                <w:txbxContent>
                  <w:p>
                    <w:pPr>
                      <w:spacing w:before="0"/>
                      <w:ind w:left="0" w:right="0" w:firstLine="0"/>
                      <w:jc w:val="left"/>
                      <w:rPr>
                        <w:sz w:val="11"/>
                      </w:rPr>
                    </w:pPr>
                    <w:r>
                      <w:rPr>
                        <w:w w:val="105"/>
                        <w:sz w:val="11"/>
                      </w:rPr>
                      <w:t>Whole-economy</w:t>
                    </w:r>
                  </w:p>
                </w:txbxContent>
              </v:textbox>
              <w10:wrap type="none"/>
            </v:shape>
            <v:shape style="position:absolute;left:2988;top:1837;width:315;height:128" type="#_x0000_t202" filled="false" stroked="false">
              <v:textbox inset="0,0,0,0">
                <w:txbxContent>
                  <w:p>
                    <w:pPr>
                      <w:spacing w:before="0"/>
                      <w:ind w:left="0" w:right="0" w:firstLine="0"/>
                      <w:jc w:val="left"/>
                      <w:rPr>
                        <w:sz w:val="11"/>
                      </w:rPr>
                    </w:pPr>
                    <w:r>
                      <w:rPr>
                        <w:w w:val="105"/>
                        <w:sz w:val="11"/>
                      </w:rPr>
                      <w:t>Public</w:t>
                    </w:r>
                  </w:p>
                </w:txbxContent>
              </v:textbox>
              <w10:wrap type="none"/>
            </v:shape>
            <w10:wrap type="none"/>
          </v:group>
        </w:pict>
      </w:r>
      <w:r>
        <w:rPr/>
        <w:pict>
          <v:line style="position:absolute;mso-position-horizontal-relative:page;mso-position-vertical-relative:paragraph;z-index:15942144" from="207.520001pt,12.704764pt" to="202.720001pt,12.704764pt" stroked="true" strokeweight=".48pt" strokecolor="#000000">
            <v:stroke dashstyle="solid"/>
            <w10:wrap type="none"/>
          </v:line>
        </w:pict>
      </w:r>
      <w:r>
        <w:rPr>
          <w:w w:val="105"/>
          <w:sz w:val="11"/>
        </w:rPr>
        <w:t>4.25</w:t>
      </w:r>
    </w:p>
    <w:p>
      <w:pPr>
        <w:pStyle w:val="BodyText"/>
        <w:rPr>
          <w:sz w:val="14"/>
        </w:rPr>
      </w:pPr>
    </w:p>
    <w:p>
      <w:pPr>
        <w:spacing w:before="0"/>
        <w:ind w:left="659" w:right="0" w:firstLine="0"/>
        <w:jc w:val="left"/>
        <w:rPr>
          <w:sz w:val="11"/>
        </w:rPr>
      </w:pPr>
      <w:r>
        <w:rPr/>
        <w:pict>
          <v:line style="position:absolute;mso-position-horizontal-relative:page;mso-position-vertical-relative:paragraph;z-index:15941632" from="207.520001pt,4.65477pt" to="202.720001pt,4.65477pt" stroked="true" strokeweight=".48pt" strokecolor="#000000">
            <v:stroke dashstyle="solid"/>
            <w10:wrap type="none"/>
          </v:line>
        </w:pict>
      </w:r>
      <w:r>
        <w:rPr>
          <w:w w:val="105"/>
          <w:sz w:val="11"/>
        </w:rPr>
        <w:t>4.00</w:t>
      </w:r>
    </w:p>
    <w:p>
      <w:pPr>
        <w:pStyle w:val="BodyText"/>
        <w:spacing w:before="1"/>
        <w:rPr>
          <w:sz w:val="14"/>
        </w:rPr>
      </w:pPr>
    </w:p>
    <w:p>
      <w:pPr>
        <w:spacing w:before="0"/>
        <w:ind w:left="659" w:right="0" w:firstLine="0"/>
        <w:jc w:val="left"/>
        <w:rPr>
          <w:sz w:val="11"/>
        </w:rPr>
      </w:pPr>
      <w:r>
        <w:rPr/>
        <w:pict>
          <v:line style="position:absolute;mso-position-horizontal-relative:page;mso-position-vertical-relative:paragraph;z-index:15941120" from="207.520001pt,4.654777pt" to="202.720001pt,4.654777pt" stroked="true" strokeweight=".48pt" strokecolor="#000000">
            <v:stroke dashstyle="solid"/>
            <w10:wrap type="none"/>
          </v:line>
        </w:pict>
      </w:r>
      <w:r>
        <w:rPr>
          <w:w w:val="105"/>
          <w:sz w:val="11"/>
        </w:rPr>
        <w:t>3.75</w:t>
      </w:r>
    </w:p>
    <w:p>
      <w:pPr>
        <w:pStyle w:val="BodyText"/>
        <w:rPr>
          <w:sz w:val="14"/>
        </w:rPr>
      </w:pPr>
    </w:p>
    <w:p>
      <w:pPr>
        <w:spacing w:before="0"/>
        <w:ind w:left="659" w:right="0" w:firstLine="0"/>
        <w:jc w:val="left"/>
        <w:rPr>
          <w:sz w:val="11"/>
        </w:rPr>
      </w:pPr>
      <w:r>
        <w:rPr/>
        <w:pict>
          <v:line style="position:absolute;mso-position-horizontal-relative:page;mso-position-vertical-relative:paragraph;z-index:15940608" from="207.520001pt,4.654752pt" to="202.720001pt,4.654752pt" stroked="true" strokeweight=".48pt" strokecolor="#000000">
            <v:stroke dashstyle="solid"/>
            <w10:wrap type="none"/>
          </v:line>
        </w:pict>
      </w:r>
      <w:r>
        <w:rPr>
          <w:w w:val="105"/>
          <w:sz w:val="11"/>
        </w:rPr>
        <w:t>3.50</w:t>
      </w:r>
    </w:p>
    <w:p>
      <w:pPr>
        <w:pStyle w:val="BodyText"/>
        <w:spacing w:before="1"/>
        <w:rPr>
          <w:sz w:val="14"/>
        </w:rPr>
      </w:pPr>
    </w:p>
    <w:p>
      <w:pPr>
        <w:spacing w:before="0"/>
        <w:ind w:left="659" w:right="0" w:firstLine="0"/>
        <w:jc w:val="left"/>
        <w:rPr>
          <w:sz w:val="11"/>
        </w:rPr>
      </w:pPr>
      <w:r>
        <w:rPr/>
        <w:pict>
          <v:line style="position:absolute;mso-position-horizontal-relative:page;mso-position-vertical-relative:paragraph;z-index:15940096" from="207.520001pt,4.654758pt" to="202.720001pt,4.654758pt" stroked="true" strokeweight=".48pt" strokecolor="#000000">
            <v:stroke dashstyle="solid"/>
            <w10:wrap type="none"/>
          </v:line>
        </w:pict>
      </w:r>
      <w:r>
        <w:rPr>
          <w:w w:val="105"/>
          <w:sz w:val="11"/>
        </w:rPr>
        <w:t>3.25</w:t>
      </w:r>
    </w:p>
    <w:p>
      <w:pPr>
        <w:pStyle w:val="BodyText"/>
        <w:rPr>
          <w:sz w:val="14"/>
        </w:rPr>
      </w:pPr>
    </w:p>
    <w:p>
      <w:pPr>
        <w:spacing w:before="0"/>
        <w:ind w:left="659" w:right="0" w:firstLine="0"/>
        <w:jc w:val="left"/>
        <w:rPr>
          <w:sz w:val="11"/>
        </w:rPr>
      </w:pPr>
      <w:r>
        <w:rPr/>
        <w:pict>
          <v:line style="position:absolute;mso-position-horizontal-relative:page;mso-position-vertical-relative:paragraph;z-index:15939584" from="207.520001pt,4.654764pt" to="202.720001pt,4.654764pt" stroked="true" strokeweight=".48pt" strokecolor="#000000">
            <v:stroke dashstyle="solid"/>
            <w10:wrap type="none"/>
          </v:line>
        </w:pict>
      </w:r>
      <w:r>
        <w:rPr>
          <w:w w:val="105"/>
          <w:sz w:val="11"/>
        </w:rPr>
        <w:t>3.00</w:t>
      </w:r>
    </w:p>
    <w:p>
      <w:pPr>
        <w:pStyle w:val="BodyText"/>
        <w:spacing w:before="1"/>
        <w:rPr>
          <w:sz w:val="14"/>
        </w:rPr>
      </w:pPr>
    </w:p>
    <w:p>
      <w:pPr>
        <w:spacing w:before="0"/>
        <w:ind w:left="659" w:right="0" w:firstLine="0"/>
        <w:jc w:val="left"/>
        <w:rPr>
          <w:sz w:val="11"/>
        </w:rPr>
      </w:pPr>
      <w:r>
        <w:rPr/>
        <w:pict>
          <v:line style="position:absolute;mso-position-horizontal-relative:page;mso-position-vertical-relative:paragraph;z-index:15939072" from="207.520001pt,4.65477pt" to="202.720001pt,4.65477pt" stroked="true" strokeweight=".48pt" strokecolor="#000000">
            <v:stroke dashstyle="solid"/>
            <w10:wrap type="none"/>
          </v:line>
        </w:pict>
      </w:r>
      <w:r>
        <w:rPr>
          <w:w w:val="105"/>
          <w:sz w:val="11"/>
        </w:rPr>
        <w:t>2.75</w:t>
      </w:r>
    </w:p>
    <w:p>
      <w:pPr>
        <w:pStyle w:val="BodyText"/>
        <w:rPr>
          <w:sz w:val="14"/>
        </w:rPr>
      </w:pPr>
    </w:p>
    <w:p>
      <w:pPr>
        <w:spacing w:before="0"/>
        <w:ind w:left="659" w:right="0" w:firstLine="0"/>
        <w:jc w:val="left"/>
        <w:rPr>
          <w:sz w:val="11"/>
        </w:rPr>
      </w:pPr>
      <w:r>
        <w:rPr/>
        <w:pict>
          <v:line style="position:absolute;mso-position-horizontal-relative:page;mso-position-vertical-relative:paragraph;z-index:15938560" from="207.520001pt,4.654777pt" to="202.720001pt,4.654777pt" stroked="true" strokeweight=".48pt" strokecolor="#000000">
            <v:stroke dashstyle="solid"/>
            <w10:wrap type="none"/>
          </v:line>
        </w:pict>
      </w:r>
      <w:r>
        <w:rPr>
          <w:w w:val="105"/>
          <w:sz w:val="11"/>
        </w:rPr>
        <w:t>2.50</w:t>
      </w:r>
    </w:p>
    <w:p>
      <w:pPr>
        <w:pStyle w:val="BodyText"/>
        <w:spacing w:before="1"/>
        <w:rPr>
          <w:sz w:val="14"/>
        </w:rPr>
      </w:pPr>
    </w:p>
    <w:p>
      <w:pPr>
        <w:spacing w:before="0"/>
        <w:ind w:left="659" w:right="0" w:firstLine="0"/>
        <w:jc w:val="left"/>
        <w:rPr>
          <w:sz w:val="11"/>
        </w:rPr>
      </w:pPr>
      <w:r>
        <w:rPr/>
        <w:pict>
          <v:line style="position:absolute;mso-position-horizontal-relative:page;mso-position-vertical-relative:paragraph;z-index:15938048" from="207.520001pt,4.654752pt" to="202.720001pt,4.654752pt" stroked="true" strokeweight=".48pt" strokecolor="#000000">
            <v:stroke dashstyle="solid"/>
            <w10:wrap type="none"/>
          </v:line>
        </w:pict>
      </w:r>
      <w:r>
        <w:rPr>
          <w:w w:val="105"/>
          <w:sz w:val="11"/>
        </w:rPr>
        <w:t>2.25</w:t>
      </w:r>
    </w:p>
    <w:p>
      <w:pPr>
        <w:pStyle w:val="BodyText"/>
        <w:rPr>
          <w:sz w:val="14"/>
        </w:rPr>
      </w:pPr>
    </w:p>
    <w:p>
      <w:pPr>
        <w:spacing w:before="0"/>
        <w:ind w:left="659" w:right="0" w:firstLine="0"/>
        <w:jc w:val="left"/>
        <w:rPr>
          <w:sz w:val="11"/>
        </w:rPr>
      </w:pPr>
      <w:r>
        <w:rPr/>
        <w:pict>
          <v:group style="position:absolute;margin-left:42.400002pt;margin-top:4.414758pt;width:166.5pt;height:8.25pt;mso-position-horizontal-relative:page;mso-position-vertical-relative:paragraph;z-index:15935488" coordorigin="848,88" coordsize="3330,165">
            <v:shape style="position:absolute;left:848;top:93;width:3303;height:154" coordorigin="848,93" coordsize="3303,154" path="m944,93l848,93m1059,247l3939,247m1059,247l1059,208m1117,247l1117,208m1174,247l1174,208m1232,247l1232,208m1290,247l1290,208m1347,247l1347,208m1405,247l1405,208m1462,247l1462,208m1520,247l1520,208m1578,247l1578,208m1635,247l1635,208m1693,247l1693,208m1750,247l1750,208m1808,247l1808,208m1866,247l1866,208m1923,247l1923,208m1981,247l1981,208m2038,247l2038,208m2096,247l2096,208m2154,247l2154,208m2211,247l2211,208m2269,247l2269,208m2326,247l2326,208m2384,247l2384,208m2442,247l2442,208m2499,247l2499,208m2557,247l2557,208m2614,247l2614,208m2672,247l2672,208m2730,247l2730,208m2787,247l2787,208m2845,247l2845,208m2902,247l2902,208m2960,247l2960,208m3018,247l3018,208m3075,247l3075,208m3133,247l3133,208m3190,247l3190,208m3248,247l3248,208m3306,247l3306,208m3363,247l3363,208m3421,247l3421,208m3478,247l3478,208m3536,247l3536,208m3594,247l3594,208m3651,247l3651,208m3709,247l3709,208m3766,247l3766,208m3824,247l3824,208m3882,247l3882,208m3939,247l3939,208m1578,247l1578,151m2269,247l2269,151m2960,247l2960,151m3651,247l3651,151m1102,247l848,247m4150,247l3901,247e" filled="false" stroked="true" strokeweight=".48pt" strokecolor="#000000">
              <v:path arrowok="t"/>
              <v:stroke dashstyle="solid"/>
            </v:shape>
            <v:shape style="position:absolute;left:925;top:96;width:39;height:152" coordorigin="925,97" coordsize="39,152" path="m944,97l944,137,925,152,964,165,925,185,964,201,941,210,941,248e" filled="false" stroked="true" strokeweight=".48pt" strokecolor="#000000">
              <v:path arrowok="t"/>
              <v:stroke dashstyle="solid"/>
            </v:shape>
            <v:line style="position:absolute" from="4150,93" to="4054,93" stroked="true" strokeweight=".48pt" strokecolor="#000000">
              <v:stroke dashstyle="solid"/>
            </v:line>
            <v:shape style="position:absolute;left:4134;top:93;width:39;height:154" coordorigin="4134,93" coordsize="39,154" path="m4153,93l4153,134,4134,149,4172,163,4134,182,4172,198,4150,207,4150,247e" filled="false" stroked="true" strokeweight=".48pt" strokecolor="#000000">
              <v:path arrowok="t"/>
              <v:stroke dashstyle="solid"/>
            </v:shape>
            <w10:wrap type="none"/>
          </v:group>
        </w:pict>
      </w:r>
      <w:r>
        <w:rPr>
          <w:w w:val="105"/>
          <w:sz w:val="11"/>
        </w:rPr>
        <w:t>2.00</w:t>
      </w:r>
    </w:p>
    <w:p>
      <w:pPr>
        <w:spacing w:before="28"/>
        <w:ind w:left="659" w:right="0" w:firstLine="0"/>
        <w:jc w:val="left"/>
        <w:rPr>
          <w:sz w:val="11"/>
        </w:rPr>
      </w:pPr>
      <w:r>
        <w:rPr/>
        <w:pict>
          <v:shape style="position:absolute;margin-left:94.71981pt;margin-top:9.082145pt;width:98.9pt;height:6.4pt;mso-position-horizontal-relative:page;mso-position-vertical-relative:paragraph;z-index:15942656" type="#_x0000_t202" filled="false" stroked="false">
            <v:textbox inset="0,0,0,0">
              <w:txbxContent>
                <w:p>
                  <w:pPr>
                    <w:tabs>
                      <w:tab w:pos="691" w:val="left" w:leader="none"/>
                      <w:tab w:pos="1382" w:val="left" w:leader="none"/>
                      <w:tab w:pos="1862" w:val="left" w:leader="none"/>
                    </w:tabs>
                    <w:spacing w:before="0"/>
                    <w:ind w:left="0" w:right="0" w:firstLine="0"/>
                    <w:jc w:val="left"/>
                    <w:rPr>
                      <w:sz w:val="11"/>
                    </w:rPr>
                  </w:pPr>
                  <w:r>
                    <w:rPr>
                      <w:w w:val="105"/>
                      <w:sz w:val="11"/>
                    </w:rPr>
                    <w:t>95</w:t>
                    <w:tab/>
                    <w:t>96</w:t>
                    <w:tab/>
                    <w:t>97</w:t>
                    <w:tab/>
                  </w:r>
                  <w:r>
                    <w:rPr>
                      <w:spacing w:val="-10"/>
                      <w:w w:val="105"/>
                      <w:sz w:val="11"/>
                    </w:rPr>
                    <w:t>98</w:t>
                  </w:r>
                </w:p>
              </w:txbxContent>
            </v:textbox>
            <w10:wrap type="none"/>
          </v:shape>
        </w:pict>
      </w:r>
      <w:r>
        <w:rPr>
          <w:w w:val="105"/>
          <w:sz w:val="11"/>
        </w:rPr>
        <w:t>0.00</w:t>
      </w:r>
    </w:p>
    <w:p>
      <w:pPr>
        <w:spacing w:line="242" w:lineRule="auto" w:before="108"/>
        <w:ind w:left="223" w:right="234" w:firstLine="0"/>
        <w:jc w:val="left"/>
        <w:rPr>
          <w:sz w:val="24"/>
        </w:rPr>
      </w:pPr>
      <w:r>
        <w:rPr/>
        <w:br w:type="column"/>
      </w:r>
      <w:r>
        <w:rPr>
          <w:color w:val="231F20"/>
          <w:sz w:val="24"/>
        </w:rPr>
        <w:t>Wage drift in the private sector has been on a broadly upward trend since 1996, and was 1.9 percentage points in May. Since 1995, public sector wage drift has mostly been negative. It would be unusual for negative wage drift to persist for a long period of time. Estimates of wage drift are very volatile from month to month, but in May, earnings grew in line with wage settlements in the public sector, implying no significant wage drift.</w:t>
      </w:r>
    </w:p>
    <w:p>
      <w:pPr>
        <w:spacing w:line="242" w:lineRule="auto" w:before="10"/>
        <w:ind w:left="223" w:right="234" w:firstLine="0"/>
        <w:jc w:val="left"/>
        <w:rPr>
          <w:sz w:val="24"/>
        </w:rPr>
      </w:pPr>
      <w:r>
        <w:rPr>
          <w:color w:val="231F20"/>
          <w:sz w:val="24"/>
        </w:rPr>
        <w:t>Negative public sector wage drift may at least partly have reflected compositional changes in employment. For example, the number of teachers taking early retirement in 1997/98 rose by nearly 20% compared</w:t>
      </w:r>
    </w:p>
    <w:p>
      <w:pPr>
        <w:spacing w:after="0" w:line="242" w:lineRule="auto"/>
        <w:jc w:val="left"/>
        <w:rPr>
          <w:sz w:val="24"/>
        </w:rPr>
        <w:sectPr>
          <w:type w:val="continuous"/>
          <w:pgSz w:w="11900" w:h="16840"/>
          <w:pgMar w:top="1220" w:bottom="280" w:left="620" w:right="640"/>
          <w:cols w:num="3" w:equalWidth="0">
            <w:col w:w="2285" w:space="652"/>
            <w:col w:w="902" w:space="931"/>
            <w:col w:w="5870"/>
          </w:cols>
        </w:sectPr>
      </w:pPr>
    </w:p>
    <w:p>
      <w:pPr>
        <w:spacing w:line="136" w:lineRule="exact" w:before="0"/>
        <w:ind w:left="176" w:right="0" w:firstLine="0"/>
        <w:jc w:val="left"/>
        <w:rPr>
          <w:sz w:val="12"/>
        </w:rPr>
      </w:pPr>
      <w:r>
        <w:rPr>
          <w:color w:val="231F20"/>
          <w:sz w:val="12"/>
        </w:rPr>
        <w:t>Source: Bank of England.</w:t>
      </w:r>
    </w:p>
    <w:p>
      <w:pPr>
        <w:pStyle w:val="BodyText"/>
        <w:rPr>
          <w:sz w:val="12"/>
        </w:rPr>
      </w:pPr>
    </w:p>
    <w:p>
      <w:pPr>
        <w:pStyle w:val="BodyText"/>
        <w:rPr>
          <w:sz w:val="12"/>
        </w:rPr>
      </w:pPr>
    </w:p>
    <w:p>
      <w:pPr>
        <w:pStyle w:val="BodyText"/>
        <w:spacing w:before="8"/>
        <w:rPr>
          <w:sz w:val="16"/>
        </w:rPr>
      </w:pPr>
    </w:p>
    <w:p>
      <w:pPr>
        <w:pStyle w:val="Heading8"/>
        <w:spacing w:before="0"/>
        <w:ind w:left="205"/>
      </w:pPr>
      <w:r>
        <w:rPr>
          <w:color w:val="0093C1"/>
        </w:rPr>
        <w:t>Chart 3.5</w:t>
      </w:r>
    </w:p>
    <w:p>
      <w:pPr>
        <w:spacing w:before="10"/>
        <w:ind w:left="205" w:right="0" w:firstLine="0"/>
        <w:jc w:val="left"/>
        <w:rPr>
          <w:sz w:val="12"/>
        </w:rPr>
      </w:pPr>
      <w:r>
        <w:rPr>
          <w:b/>
          <w:color w:val="0093C1"/>
          <w:sz w:val="20"/>
        </w:rPr>
        <w:t>Whole-economy wage drift</w:t>
      </w:r>
      <w:r>
        <w:rPr>
          <w:color w:val="231F20"/>
          <w:position w:val="4"/>
          <w:sz w:val="12"/>
        </w:rPr>
        <w:t>(a)</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spacing w:before="10"/>
        <w:rPr>
          <w:sz w:val="20"/>
        </w:rPr>
      </w:pPr>
    </w:p>
    <w:p>
      <w:pPr>
        <w:spacing w:before="0"/>
        <w:ind w:left="52" w:right="0" w:firstLine="0"/>
        <w:jc w:val="left"/>
        <w:rPr>
          <w:sz w:val="12"/>
        </w:rPr>
      </w:pPr>
      <w:r>
        <w:rPr/>
        <w:pict>
          <v:group style="position:absolute;margin-left:40.779999pt;margin-top:7.830557pt;width:173.05pt;height:150.550pt;mso-position-horizontal-relative:page;mso-position-vertical-relative:paragraph;z-index:-20996608" coordorigin="816,157" coordsize="3461,3011">
            <v:shape style="position:absolute;left:815;top:161;width:3380;height:3001" coordorigin="816,162" coordsize="3380,3001" path="m996,2562l4016,2562m916,3162l816,3162m916,2562l816,2562m916,1962l816,1962m916,1362l816,1362m916,762l816,762m916,162l816,162m996,3162l4016,3162m996,3162l996,3122m1056,3162l1056,3122m1110,3162l1110,3122m1164,3160l1164,3120m1216,3162l1216,3122m1276,3162l1276,3122m1336,3162l1336,3122m1396,3162l1396,3122m1456,3162l1456,3122m1516,3162l1516,3122m1566,3162l1566,3122m1616,3162l1616,3122m1676,3162l1676,3122m1723,3162l1723,3122m1789,3162l1789,3122m1856,3162l1856,3122m1896,3162l1896,3122m1956,3162l1956,3122m2016,3162l2016,3122m2076,3162l2076,3122m2136,3162l2136,3122m2189,3162l2189,3122m2242,3162l2242,3122m2296,3162l2296,3122m2356,3162l2356,3122m2411,3162l2411,3122m2463,3162l2463,3122m2516,3162l2516,3122m2576,3162l2576,3122m2636,3162l2636,3122m2696,3162l2696,3122m2756,3162l2756,3122m2816,3162l2816,3122m2861,3162l2861,3122m2923,3162l2923,3122m2986,3160l2986,3120m3036,3162l3036,3122m3096,3162l3096,3122m3146,3162l3146,3122m3196,3162l3196,3122m3256,3162l3256,3122m3316,3162l3316,3122m3369,3162l3369,3122m3423,3162l3423,3122m3476,3162l3476,3122m3536,3162l3536,3122m3596,3162l3596,3122m3656,3162l3656,3122m3716,3162l3716,3122m3766,3162l3766,3122m3826,3162l3826,3122m3887,3160l3887,3120m3936,3162l3936,3122m3996,3162l3996,3122m996,3162l996,3062m1216,3162l1216,3062m1456,3162l1456,3062m1676,3162l1676,3062m1896,3162l1896,3062m2136,3162l2136,3062m2356,3162l2356,3062m2576,3162l2576,3062m2816,3162l2816,3062m3036,3162l3036,3062m3256,3162l3256,3062m3476,3162l3476,3062m3716,3162l3716,3062m3936,3162l3936,3062m4196,3162l4096,3162m4196,2562l4096,2562m4196,1962l4096,1962m4196,1362l4096,1362m4196,762l4096,762m4196,162l4096,162e" filled="false" stroked="true" strokeweight=".5pt" strokecolor="#000000">
              <v:path arrowok="t"/>
              <v:stroke dashstyle="solid"/>
            </v:shape>
            <v:shape style="position:absolute;left:995;top:221;width:3020;height:2860" coordorigin="996,222" coordsize="3020,2860" path="m996,2022l1016,2062,1036,922,1056,642,1076,962,1096,782,1116,942,1136,982,1156,282,1176,2862,1196,1182,1216,862,1216,1162,1256,1182,1256,1062,1276,1022,1296,1602,1316,1202,1336,1022,1356,1082,1376,2142,1396,542,1416,582,1436,1082,1456,1022,1476,1062,1496,1622,1516,1902,1536,402,1536,1142,1576,842,1576,1082,1596,942,1616,982,1636,862,1656,542,1676,842,1696,862,1716,562,1736,1222,1756,1362,1776,1062,1796,1102,1816,882,1836,582,1856,722,1856,1162,1896,222,1896,1042,1916,922,1936,1242,1956,1022,1976,1602,1996,1482,2016,1982,2036,2222,2056,1562,2076,1582,2096,1982,2116,3082,2136,2182,2156,2362,2176,2122,2176,2042,2196,1522,2216,1302,2236,2082,2256,1702,2276,2462,2296,2842,2316,2602,2336,2102,2356,2382,2376,2222,2396,2582,2416,2222,2436,2522,2456,2742,2476,1922,2476,1542,2516,1382,2516,1302,2536,922,2556,1642,2576,1062,2596,1082,2616,982,2636,1142,2656,1222,2676,1182,2696,1482,2716,1682,2736,1582,2756,1362,2776,1882,2796,1582,2816,1622,2836,1682,2836,2382,2856,1562,2876,1682,2896,1622,2916,1582,2936,1722,2956,1942,2976,2002,2996,1762,3016,1922,3036,1862,3056,1502,3076,1482,3096,1802,3116,1622,3136,1602,3156,1782,3156,1642,3176,1742,3196,1822,3216,2142,3236,1702,3256,2042,3276,2362,3296,1702,3316,2102,3336,1962,3356,2402,3376,2442,3416,2402,3436,2262,3456,2242,3456,2542,3496,2422,3496,2242,3516,2202,3536,2042,3556,2482,3576,2142,3596,2062,3616,2122,3636,1942,3656,2142,3676,2002,3696,1582,3716,1582,3736,1922,3756,1742,3776,2062,3776,1942,3816,1922,3816,1882,3836,1922,3856,2082,3876,1902,3896,1782,3916,1902,3936,2082,3956,1642,3976,1302,3996,1522,4016,1562e" filled="false" stroked="true" strokeweight="1pt" strokecolor="#00a995">
              <v:path arrowok="t"/>
              <v:stroke dashstyle="solid"/>
            </v:shape>
            <v:line style="position:absolute" from="3340,954" to="3340,1521" stroked="true" strokeweight=".5pt" strokecolor="#000000">
              <v:stroke dashstyle="solid"/>
            </v:line>
            <v:shape style="position:absolute;left:3314;top:1503;width:51;height:85" coordorigin="3314,1504" coordsize="51,85" path="m3365,1504l3314,1504,3321,1520,3325,1532,3340,1589,3341,1580,3343,1569,3346,1557,3350,1544,3354,1533,3365,1504xe" filled="true" fillcolor="#000000" stroked="false">
              <v:path arrowok="t"/>
              <v:fill type="solid"/>
            </v:shape>
            <v:shape style="position:absolute;left:995;top:784;width:3040;height:654" type="#_x0000_t202" filled="false" stroked="false">
              <v:textbox inset="0,0,0,0">
                <w:txbxContent>
                  <w:p>
                    <w:pPr>
                      <w:spacing w:line="133" w:lineRule="exact" w:before="0"/>
                      <w:ind w:left="1943" w:right="0" w:firstLine="0"/>
                      <w:jc w:val="left"/>
                      <w:rPr>
                        <w:sz w:val="12"/>
                      </w:rPr>
                    </w:pPr>
                    <w:r>
                      <w:rPr>
                        <w:sz w:val="12"/>
                      </w:rPr>
                      <w:t>Average (1985–98)</w:t>
                    </w:r>
                  </w:p>
                  <w:p>
                    <w:pPr>
                      <w:spacing w:line="240" w:lineRule="auto" w:before="0"/>
                      <w:rPr>
                        <w:sz w:val="12"/>
                      </w:rPr>
                    </w:pPr>
                  </w:p>
                  <w:p>
                    <w:pPr>
                      <w:spacing w:line="240" w:lineRule="auto" w:before="0"/>
                      <w:rPr>
                        <w:sz w:val="12"/>
                      </w:rPr>
                    </w:pPr>
                  </w:p>
                  <w:p>
                    <w:pPr>
                      <w:tabs>
                        <w:tab w:pos="3019" w:val="left" w:leader="none"/>
                      </w:tabs>
                      <w:spacing w:before="106"/>
                      <w:ind w:left="0" w:right="0" w:firstLine="0"/>
                      <w:jc w:val="left"/>
                      <w:rPr>
                        <w:sz w:val="12"/>
                      </w:rPr>
                    </w:pPr>
                    <w:r>
                      <w:rPr>
                        <w:sz w:val="12"/>
                        <w:u w:val="dotted"/>
                      </w:rPr>
                      <w:t> </w:t>
                      <w:tab/>
                    </w:r>
                  </w:p>
                </w:txbxContent>
              </v:textbox>
              <w10:wrap type="none"/>
            </v:shape>
            <v:shape style="position:absolute;left:4165;top:2222;width:111;height:698" type="#_x0000_t202" filled="false" stroked="false">
              <v:textbox inset="0,0,0,0">
                <w:txbxContent>
                  <w:p>
                    <w:pPr>
                      <w:spacing w:line="177" w:lineRule="exact" w:before="0"/>
                      <w:ind w:left="0" w:right="0" w:firstLine="0"/>
                      <w:jc w:val="left"/>
                      <w:rPr>
                        <w:sz w:val="16"/>
                      </w:rPr>
                    </w:pPr>
                    <w:r>
                      <w:rPr>
                        <w:sz w:val="16"/>
                      </w:rPr>
                      <w:t>+</w:t>
                    </w:r>
                  </w:p>
                  <w:p>
                    <w:pPr>
                      <w:spacing w:line="240" w:lineRule="auto" w:before="0"/>
                      <w:rPr>
                        <w:sz w:val="18"/>
                      </w:rPr>
                    </w:pPr>
                  </w:p>
                  <w:p>
                    <w:pPr>
                      <w:spacing w:before="129"/>
                      <w:ind w:left="6" w:right="0" w:firstLine="0"/>
                      <w:jc w:val="left"/>
                      <w:rPr>
                        <w:sz w:val="16"/>
                      </w:rPr>
                    </w:pPr>
                    <w:r>
                      <w:rPr>
                        <w:sz w:val="16"/>
                      </w:rPr>
                      <w:t>–</w:t>
                    </w:r>
                  </w:p>
                </w:txbxContent>
              </v:textbox>
              <w10:wrap type="none"/>
            </v:shape>
            <w10:wrap type="none"/>
          </v:group>
        </w:pict>
      </w:r>
      <w:r>
        <w:rPr>
          <w:sz w:val="12"/>
        </w:rPr>
        <w:t>Percentage points </w:t>
      </w:r>
      <w:r>
        <w:rPr>
          <w:position w:val="-7"/>
          <w:sz w:val="12"/>
        </w:rPr>
        <w:t>4</w:t>
      </w:r>
    </w:p>
    <w:p>
      <w:pPr>
        <w:pStyle w:val="BodyText"/>
        <w:rPr>
          <w:sz w:val="20"/>
        </w:rPr>
      </w:pPr>
    </w:p>
    <w:p>
      <w:pPr>
        <w:pStyle w:val="BodyText"/>
        <w:spacing w:before="10"/>
        <w:rPr>
          <w:sz w:val="21"/>
        </w:rPr>
      </w:pPr>
    </w:p>
    <w:p>
      <w:pPr>
        <w:spacing w:before="0"/>
        <w:ind w:left="0" w:right="38" w:firstLine="0"/>
        <w:jc w:val="right"/>
        <w:rPr>
          <w:sz w:val="12"/>
        </w:rPr>
      </w:pPr>
      <w:r>
        <w:rPr>
          <w:sz w:val="12"/>
        </w:rPr>
        <w:t>3</w:t>
      </w:r>
    </w:p>
    <w:p>
      <w:pPr>
        <w:pStyle w:val="BodyText"/>
        <w:rPr>
          <w:sz w:val="12"/>
        </w:rPr>
      </w:pPr>
    </w:p>
    <w:p>
      <w:pPr>
        <w:pStyle w:val="BodyText"/>
        <w:rPr>
          <w:sz w:val="12"/>
        </w:rPr>
      </w:pPr>
    </w:p>
    <w:p>
      <w:pPr>
        <w:pStyle w:val="BodyText"/>
        <w:spacing w:before="2"/>
        <w:rPr>
          <w:sz w:val="16"/>
        </w:rPr>
      </w:pPr>
    </w:p>
    <w:p>
      <w:pPr>
        <w:spacing w:before="0"/>
        <w:ind w:left="0" w:right="38" w:firstLine="0"/>
        <w:jc w:val="right"/>
        <w:rPr>
          <w:sz w:val="12"/>
        </w:rPr>
      </w:pPr>
      <w:r>
        <w:rPr>
          <w:sz w:val="12"/>
        </w:rPr>
        <w:t>2</w:t>
      </w:r>
    </w:p>
    <w:p>
      <w:pPr>
        <w:pStyle w:val="BodyText"/>
        <w:rPr>
          <w:sz w:val="12"/>
        </w:rPr>
      </w:pPr>
    </w:p>
    <w:p>
      <w:pPr>
        <w:pStyle w:val="BodyText"/>
        <w:rPr>
          <w:sz w:val="12"/>
        </w:rPr>
      </w:pPr>
    </w:p>
    <w:p>
      <w:pPr>
        <w:pStyle w:val="BodyText"/>
        <w:spacing w:before="2"/>
        <w:rPr>
          <w:sz w:val="16"/>
        </w:rPr>
      </w:pPr>
    </w:p>
    <w:p>
      <w:pPr>
        <w:spacing w:before="1"/>
        <w:ind w:left="0" w:right="38" w:firstLine="0"/>
        <w:jc w:val="right"/>
        <w:rPr>
          <w:sz w:val="12"/>
        </w:rPr>
      </w:pPr>
      <w:r>
        <w:rPr>
          <w:sz w:val="12"/>
        </w:rPr>
        <w:t>1</w:t>
      </w:r>
    </w:p>
    <w:p>
      <w:pPr>
        <w:pStyle w:val="BodyText"/>
        <w:rPr>
          <w:sz w:val="12"/>
        </w:rPr>
      </w:pPr>
    </w:p>
    <w:p>
      <w:pPr>
        <w:pStyle w:val="BodyText"/>
        <w:rPr>
          <w:sz w:val="12"/>
        </w:rPr>
      </w:pPr>
    </w:p>
    <w:p>
      <w:pPr>
        <w:pStyle w:val="BodyText"/>
        <w:spacing w:before="1"/>
        <w:rPr>
          <w:sz w:val="16"/>
        </w:rPr>
      </w:pPr>
    </w:p>
    <w:p>
      <w:pPr>
        <w:spacing w:before="1"/>
        <w:ind w:left="0" w:right="38" w:firstLine="0"/>
        <w:jc w:val="right"/>
        <w:rPr>
          <w:sz w:val="12"/>
        </w:rPr>
      </w:pPr>
      <w:r>
        <w:rPr>
          <w:sz w:val="12"/>
        </w:rPr>
        <w:t>0</w:t>
      </w:r>
    </w:p>
    <w:p>
      <w:pPr>
        <w:pStyle w:val="BodyText"/>
        <w:rPr>
          <w:sz w:val="12"/>
        </w:rPr>
      </w:pPr>
    </w:p>
    <w:p>
      <w:pPr>
        <w:pStyle w:val="BodyText"/>
        <w:rPr>
          <w:sz w:val="12"/>
        </w:rPr>
      </w:pPr>
    </w:p>
    <w:p>
      <w:pPr>
        <w:pStyle w:val="BodyText"/>
        <w:spacing w:before="1"/>
        <w:rPr>
          <w:sz w:val="16"/>
        </w:rPr>
      </w:pPr>
    </w:p>
    <w:p>
      <w:pPr>
        <w:spacing w:line="105" w:lineRule="exact" w:before="1"/>
        <w:ind w:left="0" w:right="38" w:firstLine="0"/>
        <w:jc w:val="right"/>
        <w:rPr>
          <w:sz w:val="12"/>
        </w:rPr>
      </w:pPr>
      <w:r>
        <w:rPr>
          <w:sz w:val="12"/>
        </w:rPr>
        <w:t>1</w:t>
      </w:r>
    </w:p>
    <w:p>
      <w:pPr>
        <w:pStyle w:val="Heading4"/>
        <w:spacing w:line="242" w:lineRule="auto"/>
        <w:ind w:left="176" w:right="210"/>
      </w:pPr>
      <w:r>
        <w:rPr/>
        <w:br w:type="column"/>
      </w:r>
      <w:r>
        <w:rPr>
          <w:color w:val="231F20"/>
        </w:rPr>
        <w:t>with a year earlier. If those taking early retirement were relatively well-paid compared with the teachers replacing them, that would have depressed earnings growth. The possibility of public sector wage drift continuing to rise, through higher earnings growth, represents an upside risk to the aggregate earnings outlook.</w:t>
      </w:r>
    </w:p>
    <w:p>
      <w:pPr>
        <w:pStyle w:val="BodyText"/>
        <w:spacing w:before="2"/>
        <w:rPr>
          <w:sz w:val="22"/>
        </w:rPr>
      </w:pPr>
    </w:p>
    <w:p>
      <w:pPr>
        <w:spacing w:line="280" w:lineRule="atLeast" w:before="0"/>
        <w:ind w:left="176" w:right="176" w:firstLine="0"/>
        <w:jc w:val="left"/>
        <w:rPr>
          <w:sz w:val="24"/>
        </w:rPr>
      </w:pPr>
      <w:r>
        <w:rPr>
          <w:color w:val="231F20"/>
          <w:sz w:val="24"/>
        </w:rPr>
        <w:t>Whole-economy unit wage costs rose by 3.2% in the year to 1998 Q1, compared with 3.6% in 1997 Q4. However, that partly reflects the particularly strong rise in 1997 Q1. Unit wage costs rose by 1.4% in 1998 Q1, compared with a 0.8% rise in the previous quarter. Unit wage cost growth in the manufacturing sector appears to have been particularly high in the United Kingdom compared with its major trading partners (see Chart 3.6).</w:t>
      </w:r>
    </w:p>
    <w:p>
      <w:pPr>
        <w:spacing w:after="0" w:line="280" w:lineRule="atLeast"/>
        <w:jc w:val="left"/>
        <w:rPr>
          <w:sz w:val="24"/>
        </w:rPr>
        <w:sectPr>
          <w:type w:val="continuous"/>
          <w:pgSz w:w="11900" w:h="16840"/>
          <w:pgMar w:top="1220" w:bottom="280" w:left="620" w:right="640"/>
          <w:cols w:num="3" w:equalWidth="0">
            <w:col w:w="2638" w:space="40"/>
            <w:col w:w="1062" w:space="1076"/>
            <w:col w:w="5824"/>
          </w:cols>
        </w:sectPr>
      </w:pPr>
    </w:p>
    <w:p>
      <w:pPr>
        <w:spacing w:line="52" w:lineRule="exact" w:before="0"/>
        <w:ind w:left="358" w:right="0" w:firstLine="0"/>
        <w:jc w:val="left"/>
        <w:rPr>
          <w:sz w:val="12"/>
        </w:rPr>
      </w:pPr>
      <w:r>
        <w:rPr>
          <w:sz w:val="12"/>
        </w:rPr>
        <w:t>1985 86 87 88 89 90 91 92 93 94 95 96 97 98</w:t>
      </w:r>
    </w:p>
    <w:p>
      <w:pPr>
        <w:pStyle w:val="BodyText"/>
        <w:spacing w:before="3"/>
        <w:rPr>
          <w:sz w:val="15"/>
        </w:rPr>
      </w:pPr>
    </w:p>
    <w:p>
      <w:pPr>
        <w:spacing w:line="208" w:lineRule="auto" w:before="1"/>
        <w:ind w:left="442" w:right="38" w:hanging="240"/>
        <w:jc w:val="left"/>
        <w:rPr>
          <w:sz w:val="12"/>
        </w:rPr>
      </w:pPr>
      <w:r>
        <w:rPr>
          <w:color w:val="231F20"/>
          <w:sz w:val="12"/>
        </w:rPr>
        <w:t>(a) The whole-economy wage drift is the difference between average earnings growth settlements levels. Prior to April 1994, the data used is the IRS three-month unweighted median. The Bank twelve-month employment-weighted mean is used between</w:t>
      </w:r>
    </w:p>
    <w:p>
      <w:pPr>
        <w:spacing w:line="123" w:lineRule="exact" w:before="0"/>
        <w:ind w:left="442" w:right="0" w:firstLine="0"/>
        <w:jc w:val="left"/>
        <w:rPr>
          <w:sz w:val="12"/>
        </w:rPr>
      </w:pPr>
      <w:r>
        <w:rPr>
          <w:color w:val="231F20"/>
          <w:sz w:val="12"/>
        </w:rPr>
        <w:t>April 1994 and the present.</w:t>
      </w:r>
    </w:p>
    <w:p>
      <w:pPr>
        <w:pStyle w:val="Heading4"/>
        <w:spacing w:line="242" w:lineRule="auto" w:before="4"/>
        <w:ind w:left="202" w:right="121"/>
      </w:pPr>
      <w:r>
        <w:rPr/>
        <w:br w:type="column"/>
      </w:r>
      <w:r>
        <w:rPr>
          <w:color w:val="231F20"/>
        </w:rPr>
        <w:t>Recorded manufacturing productivity growth has been lower in the current recovery than in the 1980s, in contrast with productivity growth in the rest of the economy.</w:t>
      </w:r>
    </w:p>
    <w:p>
      <w:pPr>
        <w:spacing w:after="0" w:line="242" w:lineRule="auto"/>
        <w:sectPr>
          <w:type w:val="continuous"/>
          <w:pgSz w:w="11900" w:h="16840"/>
          <w:pgMar w:top="1220" w:bottom="280" w:left="620" w:right="640"/>
          <w:cols w:num="2" w:equalWidth="0">
            <w:col w:w="3628" w:space="1163"/>
            <w:col w:w="5849"/>
          </w:cols>
        </w:sectPr>
      </w:pPr>
    </w:p>
    <w:p>
      <w:pPr>
        <w:pStyle w:val="BodyText"/>
        <w:rPr>
          <w:sz w:val="20"/>
        </w:rPr>
      </w:pPr>
    </w:p>
    <w:p>
      <w:pPr>
        <w:spacing w:after="0"/>
        <w:rPr>
          <w:sz w:val="20"/>
        </w:rPr>
        <w:sectPr>
          <w:headerReference w:type="even" r:id="rId52"/>
          <w:headerReference w:type="default" r:id="rId53"/>
          <w:footerReference w:type="even" r:id="rId54"/>
          <w:footerReference w:type="default" r:id="rId55"/>
          <w:pgSz w:w="11900" w:h="16840"/>
          <w:pgMar w:header="586" w:footer="597" w:top="780" w:bottom="780" w:left="620" w:right="640"/>
          <w:pgNumType w:start="28"/>
        </w:sectPr>
      </w:pPr>
    </w:p>
    <w:p>
      <w:pPr>
        <w:pStyle w:val="BodyText"/>
        <w:spacing w:before="1"/>
        <w:rPr>
          <w:sz w:val="20"/>
        </w:rPr>
      </w:pPr>
    </w:p>
    <w:p>
      <w:pPr>
        <w:pStyle w:val="Heading8"/>
        <w:spacing w:before="0"/>
        <w:ind w:left="220"/>
      </w:pPr>
      <w:r>
        <w:rPr>
          <w:color w:val="0093C1"/>
        </w:rPr>
        <w:t>Chart 3.6</w:t>
      </w:r>
    </w:p>
    <w:p>
      <w:pPr>
        <w:spacing w:before="10"/>
        <w:ind w:left="220" w:right="0" w:firstLine="0"/>
        <w:jc w:val="left"/>
        <w:rPr>
          <w:sz w:val="12"/>
        </w:rPr>
      </w:pPr>
      <w:r>
        <w:rPr>
          <w:b/>
          <w:color w:val="0093C1"/>
          <w:sz w:val="20"/>
        </w:rPr>
        <w:t>Manufacturing unit labour costs</w:t>
      </w:r>
      <w:r>
        <w:rPr>
          <w:color w:val="231F20"/>
          <w:position w:val="4"/>
          <w:sz w:val="12"/>
        </w:rPr>
        <w:t>(a)</w:t>
      </w:r>
    </w:p>
    <w:p>
      <w:pPr>
        <w:spacing w:before="79"/>
        <w:ind w:left="2697" w:right="0" w:firstLine="0"/>
        <w:jc w:val="left"/>
        <w:rPr>
          <w:sz w:val="12"/>
        </w:rPr>
      </w:pPr>
      <w:r>
        <w:rPr/>
        <w:pict>
          <v:line style="position:absolute;mso-position-horizontal-relative:page;mso-position-vertical-relative:paragraph;z-index:15953920" from="47.167pt,12.05157pt" to="42.167pt,12.05157pt" stroked="true" strokeweight=".5pt" strokecolor="#000000">
            <v:stroke dashstyle="solid"/>
            <w10:wrap type="none"/>
          </v:line>
        </w:pict>
      </w:r>
      <w:r>
        <w:rPr/>
        <w:pict>
          <v:line style="position:absolute;mso-position-horizontal-relative:page;mso-position-vertical-relative:paragraph;z-index:-20965376" from="213.167007pt,12.05157pt" to="208.167007pt,12.05157pt" stroked="true" strokeweight=".5pt" strokecolor="#000000">
            <v:stroke dashstyle="solid"/>
            <w10:wrap type="none"/>
          </v:line>
        </w:pict>
      </w:r>
      <w:bookmarkStart w:name="Unemployment and employment" w:id="60"/>
      <w:bookmarkEnd w:id="60"/>
      <w:r>
        <w:rPr/>
      </w:r>
      <w:bookmarkStart w:name="_bookmark25" w:id="61"/>
      <w:bookmarkEnd w:id="61"/>
      <w:r>
        <w:rPr/>
      </w:r>
      <w:r>
        <w:rPr>
          <w:sz w:val="12"/>
        </w:rPr>
        <w:t>January 1990 = 100</w:t>
      </w:r>
      <w:r>
        <w:rPr>
          <w:spacing w:val="15"/>
          <w:sz w:val="12"/>
        </w:rPr>
        <w:t> </w:t>
      </w:r>
      <w:r>
        <w:rPr>
          <w:position w:val="-7"/>
          <w:sz w:val="12"/>
        </w:rPr>
        <w:t>135</w:t>
      </w:r>
    </w:p>
    <w:p>
      <w:pPr>
        <w:spacing w:before="162"/>
        <w:ind w:left="0" w:right="488" w:firstLine="0"/>
        <w:jc w:val="right"/>
        <w:rPr>
          <w:sz w:val="12"/>
        </w:rPr>
      </w:pPr>
      <w:r>
        <w:rPr/>
        <w:pict>
          <v:line style="position:absolute;mso-position-horizontal-relative:page;mso-position-vertical-relative:paragraph;z-index:15953408" from="47.167pt,12.201571pt" to="42.167pt,12.201571pt" stroked="true" strokeweight=".5pt" strokecolor="#000000">
            <v:stroke dashstyle="solid"/>
            <w10:wrap type="none"/>
          </v:line>
        </w:pict>
      </w:r>
      <w:r>
        <w:rPr/>
        <w:pict>
          <v:group style="position:absolute;margin-left:52.667pt;margin-top:16.701571pt;width:151pt;height:117pt;mso-position-horizontal-relative:page;mso-position-vertical-relative:paragraph;z-index:15956480" coordorigin="1053,334" coordsize="3020,2340">
            <v:shape style="position:absolute;left:1063;top:344;width:2980;height:1740" coordorigin="1063,344" coordsize="2980,1740" path="m1063,2044l1083,2004,1123,2084,1143,1984,1183,1984,1203,1904,1243,1804,1263,1824,1303,1724,1323,1764,1363,1704,1403,1664,1423,1684,1463,1584,1483,1684,1503,1464,1543,1604,1583,1504,1603,1544,1643,1464,1723,1544,1763,1504,1783,1504,1823,1524,1843,1464,1883,1604,1903,1444,1943,1544,1963,1564,2003,1504,2063,1564,2083,1544,2123,1544,2143,1624,2183,1704,2203,1664,2243,1664,2283,1624,2303,1484,2343,1524,2363,1504,2403,1504,2423,1444,2463,1484,2483,1564,2543,1624,2583,1584,2603,1604,2643,1624,2663,1604,2703,1644,2723,1624,2763,1564,2783,1584,2823,1564,2843,1484,2883,1444,2923,1484,2943,1424,2983,1384,3003,1404,3043,1384,3063,1344,3103,1384,3123,1344,3163,1284,3183,1244,3223,1124,3243,1144,3283,1104,3303,1064,3343,1024,3363,1044,3403,1024,3423,1004,3463,944,3523,944,3543,884,3583,844,3623,884,3643,864,3683,844,3703,884,3723,784,3763,764,3803,824,3823,764,3863,764,3883,684,3923,584,3943,524,3983,484,4003,424,4043,344e" filled="false" stroked="true" strokeweight="1pt" strokecolor="#008256">
              <v:path arrowok="t"/>
              <v:stroke dashstyle="solid"/>
            </v:shape>
            <v:shape style="position:absolute;left:1063;top:1664;width:3000;height:380" coordorigin="1063,1664" coordsize="3000,380" path="m1063,2044l1083,2024,1123,2004,1143,1924,1183,1964,1203,1924,1243,1904,1263,1944,1303,1924,1323,1884,1363,1864,1403,1804,1423,1784,1463,1764,1483,1704,1543,1704,1583,1764,1603,1744,1643,1724,1663,1764,1703,1764,1723,1724,1763,1664,1783,1704,1823,1704,1843,1744,1903,1744,1943,1704,1963,1744,2003,1704,2043,1724,2063,1764,2083,1784,2123,1764,2143,1784,2183,1764,2203,1784,2283,1704,2303,1704,2343,1684,2363,1664,2403,1664,2423,1684,2463,1664,2483,1684,2523,1664,2543,1684,2583,1684,2603,1724,2643,1744,2663,1724,2703,1764,2723,1744,2763,1724,2783,1724,2823,1744,2883,1864,2983,1864,3003,1884,3043,1904,3063,1864,3103,1924,3123,1944,3163,1904,3183,1904,3223,1884,3243,1924,3403,1924,3423,1964,3463,1924,3483,1944,3523,1944,3543,1984,3583,1964,3623,1984,3643,2004,3683,1984,3723,1984,3763,2004,3803,2044,3823,2044,3863,2024,3883,2004,3923,2024,3943,2024,3983,2004,4003,1964,4043,1964,4063,1984e" filled="false" stroked="true" strokeweight="1pt" strokecolor="#0066a5">
              <v:path arrowok="t"/>
              <v:stroke dashstyle="solid"/>
            </v:shape>
            <v:shape style="position:absolute;left:1063;top:1244;width:2980;height:1420" coordorigin="1063,1244" coordsize="2980,1420" path="m1063,2044l1083,1984,1123,1984,1143,1864,1183,1804,1203,1804,1263,1984,1303,1924,1323,1984,1363,1864,1403,1924,1423,2304,1463,2184,1483,2104,1503,2044,1543,1744,1583,1864,1603,1984,1663,1804,1703,1924,1723,1864,1763,1924,1783,1984,1843,1804,1883,1864,1903,1744,1943,1624,1963,1504,2003,1564,2043,1504,2063,1504,2083,1384,2143,1384,2183,1304,2203,1444,2243,1384,2303,1384,2343,1244,2363,1564,2403,1504,2423,1444,2463,1444,2483,1564,2523,1444,2543,1684,2583,1684,2603,1804,2643,1804,2663,1864,2703,1924,2723,1864,2763,1924,2783,1984,2823,2044,2843,1864,2883,1924,2923,2044,2943,1864,2983,1804,3003,2044,3043,1984,3063,1984,3103,1864,3123,1924,3163,1804,3183,1804,3223,1744,3243,1804,3283,1624,3303,1864,3343,1864,3363,1924,3403,1984,3423,2104,3463,2104,3483,2044,3523,2104,3643,2104,3683,2244,3703,2184,3723,2184,3763,2364,3803,2664,3823,2364,3863,2364,3883,2484,3923,2364,3943,2484,4043,2484e" filled="false" stroked="true" strokeweight="1pt" strokecolor="#faab54">
              <v:path arrowok="t"/>
              <v:stroke dashstyle="solid"/>
            </v:shape>
            <v:shape style="position:absolute;left:1123;top:1444;width:2820;height:600" coordorigin="1123,1444" coordsize="2820,600" path="m1123,2044l1203,1924,1303,1864,1403,1864,1483,1744,1583,1744,1663,1684,1843,1684,1943,1624,2023,1564,2123,1504,2203,1444,2303,1444,2403,1504,2483,1444,2663,1444,2763,1564,2843,1664,2943,1684,3043,1744,3123,1724,3223,1684,3303,1664,3403,1664,3483,1684,3583,1684,3683,1704,3763,1724,3863,1744,3943,1744e" filled="false" stroked="true" strokeweight="1pt" strokecolor="#952e40">
              <v:path arrowok="t"/>
              <v:stroke dashstyle="solid"/>
            </v:shape>
            <v:line style="position:absolute" from="2298,1794" to="2232,2174" stroked="true" strokeweight=".5pt" strokecolor="#000000">
              <v:stroke dashstyle="solid"/>
            </v:line>
            <v:shape style="position:absolute;left:2270;top:1727;width:50;height:88" coordorigin="2271,1728" coordsize="50,88" path="m2310,1728l2271,1807,2320,1815,2310,1747,2310,1737,2310,1728xe" filled="true" fillcolor="#000000" stroked="false">
              <v:path arrowok="t"/>
              <v:fill type="solid"/>
            </v:shape>
            <v:shape style="position:absolute;left:3046;top:487;width:830;height:133" type="#_x0000_t202" filled="false" stroked="false">
              <v:textbox inset="0,0,0,0">
                <w:txbxContent>
                  <w:p>
                    <w:pPr>
                      <w:spacing w:line="133" w:lineRule="exact" w:before="0"/>
                      <w:ind w:left="0" w:right="0" w:firstLine="0"/>
                      <w:jc w:val="left"/>
                      <w:rPr>
                        <w:sz w:val="12"/>
                      </w:rPr>
                    </w:pPr>
                    <w:r>
                      <w:rPr>
                        <w:sz w:val="12"/>
                      </w:rPr>
                      <w:t>United Kingdom</w:t>
                    </w:r>
                  </w:p>
                </w:txbxContent>
              </v:textbox>
              <w10:wrap type="none"/>
            </v:shape>
            <v:shape style="position:absolute;left:3613;top:1527;width:347;height:133" type="#_x0000_t202" filled="false" stroked="false">
              <v:textbox inset="0,0,0,0">
                <w:txbxContent>
                  <w:p>
                    <w:pPr>
                      <w:spacing w:line="133" w:lineRule="exact" w:before="0"/>
                      <w:ind w:left="0" w:right="0" w:firstLine="0"/>
                      <w:jc w:val="left"/>
                      <w:rPr>
                        <w:sz w:val="12"/>
                      </w:rPr>
                    </w:pPr>
                    <w:r>
                      <w:rPr>
                        <w:sz w:val="12"/>
                      </w:rPr>
                      <w:t>France</w:t>
                    </w:r>
                  </w:p>
                </w:txbxContent>
              </v:textbox>
              <w10:wrap type="none"/>
            </v:shape>
            <v:shape style="position:absolute;left:2093;top:2187;width:664;height:133" type="#_x0000_t202" filled="false" stroked="false">
              <v:textbox inset="0,0,0,0">
                <w:txbxContent>
                  <w:p>
                    <w:pPr>
                      <w:spacing w:line="133" w:lineRule="exact" w:before="0"/>
                      <w:ind w:left="0" w:right="0" w:firstLine="0"/>
                      <w:jc w:val="left"/>
                      <w:rPr>
                        <w:sz w:val="12"/>
                      </w:rPr>
                    </w:pPr>
                    <w:r>
                      <w:rPr>
                        <w:sz w:val="12"/>
                      </w:rPr>
                      <w:t>United States</w:t>
                    </w:r>
                  </w:p>
                </w:txbxContent>
              </v:textbox>
              <w10:wrap type="none"/>
            </v:shape>
            <v:shape style="position:absolute;left:3113;top:2507;width:637;height:133" type="#_x0000_t202" filled="false" stroked="false">
              <v:textbox inset="0,0,0,0">
                <w:txbxContent>
                  <w:p>
                    <w:pPr>
                      <w:spacing w:line="133" w:lineRule="exact" w:before="0"/>
                      <w:ind w:left="0" w:right="0" w:firstLine="0"/>
                      <w:jc w:val="left"/>
                      <w:rPr>
                        <w:sz w:val="12"/>
                      </w:rPr>
                    </w:pPr>
                    <w:r>
                      <w:rPr>
                        <w:sz w:val="12"/>
                      </w:rPr>
                      <w:t>Germany (b)</w:t>
                    </w:r>
                  </w:p>
                </w:txbxContent>
              </v:textbox>
              <w10:wrap type="none"/>
            </v:shape>
            <w10:wrap type="none"/>
          </v:group>
        </w:pict>
      </w:r>
      <w:r>
        <w:rPr/>
        <w:pict>
          <v:line style="position:absolute;mso-position-horizontal-relative:page;mso-position-vertical-relative:paragraph;z-index:15962112" from="213.167007pt,12.201571pt" to="208.167007pt,12.201571pt" stroked="true" strokeweight=".5pt" strokecolor="#000000">
            <v:stroke dashstyle="solid"/>
            <w10:wrap type="none"/>
          </v:line>
        </w:pict>
      </w:r>
      <w:r>
        <w:rPr>
          <w:sz w:val="12"/>
        </w:rPr>
        <w:t>130</w:t>
      </w:r>
    </w:p>
    <w:p>
      <w:pPr>
        <w:pStyle w:val="BodyText"/>
        <w:spacing w:before="1"/>
        <w:rPr>
          <w:sz w:val="14"/>
        </w:rPr>
      </w:pPr>
    </w:p>
    <w:p>
      <w:pPr>
        <w:spacing w:before="0"/>
        <w:ind w:left="0" w:right="488" w:firstLine="0"/>
        <w:jc w:val="right"/>
        <w:rPr>
          <w:sz w:val="12"/>
        </w:rPr>
      </w:pPr>
      <w:r>
        <w:rPr/>
        <w:pict>
          <v:line style="position:absolute;mso-position-horizontal-relative:page;mso-position-vertical-relative:paragraph;z-index:15952896" from="47.167pt,4.10157pt" to="42.167pt,4.10157pt" stroked="true" strokeweight=".5pt" strokecolor="#000000">
            <v:stroke dashstyle="solid"/>
            <w10:wrap type="none"/>
          </v:line>
        </w:pict>
      </w:r>
      <w:r>
        <w:rPr/>
        <w:pict>
          <v:line style="position:absolute;mso-position-horizontal-relative:page;mso-position-vertical-relative:paragraph;z-index:15961600" from="213.167007pt,4.10157pt" to="208.167007pt,4.10157pt" stroked="true" strokeweight=".5pt" strokecolor="#000000">
            <v:stroke dashstyle="solid"/>
            <w10:wrap type="none"/>
          </v:line>
        </w:pict>
      </w:r>
      <w:r>
        <w:rPr>
          <w:sz w:val="12"/>
        </w:rPr>
        <w:t>125</w:t>
      </w:r>
    </w:p>
    <w:p>
      <w:pPr>
        <w:pStyle w:val="BodyText"/>
        <w:spacing w:before="1"/>
        <w:rPr>
          <w:sz w:val="14"/>
        </w:rPr>
      </w:pPr>
    </w:p>
    <w:p>
      <w:pPr>
        <w:spacing w:before="0"/>
        <w:ind w:left="0" w:right="488" w:firstLine="0"/>
        <w:jc w:val="right"/>
        <w:rPr>
          <w:sz w:val="12"/>
        </w:rPr>
      </w:pPr>
      <w:r>
        <w:rPr/>
        <w:pict>
          <v:line style="position:absolute;mso-position-horizontal-relative:page;mso-position-vertical-relative:paragraph;z-index:15952384" from="47.167pt,4.10157pt" to="42.167pt,4.10157pt" stroked="true" strokeweight=".5pt" strokecolor="#000000">
            <v:stroke dashstyle="solid"/>
            <w10:wrap type="none"/>
          </v:line>
        </w:pict>
      </w:r>
      <w:r>
        <w:rPr/>
        <w:pict>
          <v:line style="position:absolute;mso-position-horizontal-relative:page;mso-position-vertical-relative:paragraph;z-index:15961088" from="213.167007pt,4.10157pt" to="208.167007pt,4.10157pt" stroked="true" strokeweight=".5pt" strokecolor="#000000">
            <v:stroke dashstyle="solid"/>
            <w10:wrap type="none"/>
          </v:line>
        </w:pict>
      </w:r>
      <w:r>
        <w:rPr>
          <w:sz w:val="12"/>
        </w:rPr>
        <w:t>120</w:t>
      </w:r>
    </w:p>
    <w:p>
      <w:pPr>
        <w:pStyle w:val="BodyText"/>
        <w:spacing w:before="1"/>
        <w:rPr>
          <w:sz w:val="14"/>
        </w:rPr>
      </w:pPr>
    </w:p>
    <w:p>
      <w:pPr>
        <w:spacing w:before="0"/>
        <w:ind w:left="0" w:right="488" w:firstLine="0"/>
        <w:jc w:val="right"/>
        <w:rPr>
          <w:sz w:val="12"/>
        </w:rPr>
      </w:pPr>
      <w:r>
        <w:rPr/>
        <w:pict>
          <v:line style="position:absolute;mso-position-horizontal-relative:page;mso-position-vertical-relative:paragraph;z-index:15951872" from="47.167pt,4.10157pt" to="42.167pt,4.10157pt" stroked="true" strokeweight=".5pt" strokecolor="#000000">
            <v:stroke dashstyle="solid"/>
            <w10:wrap type="none"/>
          </v:line>
        </w:pict>
      </w:r>
      <w:r>
        <w:rPr/>
        <w:pict>
          <v:line style="position:absolute;mso-position-horizontal-relative:page;mso-position-vertical-relative:paragraph;z-index:15960576" from="213.167007pt,4.10157pt" to="208.167007pt,4.10157pt" stroked="true" strokeweight=".5pt" strokecolor="#000000">
            <v:stroke dashstyle="solid"/>
            <w10:wrap type="none"/>
          </v:line>
        </w:pict>
      </w:r>
      <w:r>
        <w:rPr>
          <w:sz w:val="12"/>
        </w:rPr>
        <w:t>115</w:t>
      </w:r>
    </w:p>
    <w:p>
      <w:pPr>
        <w:pStyle w:val="BodyText"/>
        <w:spacing w:before="1"/>
        <w:rPr>
          <w:sz w:val="14"/>
        </w:rPr>
      </w:pPr>
    </w:p>
    <w:p>
      <w:pPr>
        <w:spacing w:before="0"/>
        <w:ind w:left="0" w:right="488" w:firstLine="0"/>
        <w:jc w:val="right"/>
        <w:rPr>
          <w:sz w:val="12"/>
        </w:rPr>
      </w:pPr>
      <w:r>
        <w:rPr/>
        <w:pict>
          <v:line style="position:absolute;mso-position-horizontal-relative:page;mso-position-vertical-relative:paragraph;z-index:15951360" from="47.167pt,4.10157pt" to="42.167pt,4.10157pt" stroked="true" strokeweight=".5pt" strokecolor="#000000">
            <v:stroke dashstyle="solid"/>
            <w10:wrap type="none"/>
          </v:line>
        </w:pict>
      </w:r>
      <w:r>
        <w:rPr/>
        <w:pict>
          <v:line style="position:absolute;mso-position-horizontal-relative:page;mso-position-vertical-relative:paragraph;z-index:15960064" from="213.167007pt,4.10157pt" to="208.167007pt,4.10157pt" stroked="true" strokeweight=".5pt" strokecolor="#000000">
            <v:stroke dashstyle="solid"/>
            <w10:wrap type="none"/>
          </v:line>
        </w:pict>
      </w:r>
      <w:r>
        <w:rPr>
          <w:sz w:val="12"/>
        </w:rPr>
        <w:t>110</w:t>
      </w:r>
    </w:p>
    <w:p>
      <w:pPr>
        <w:pStyle w:val="BodyText"/>
        <w:spacing w:before="1"/>
        <w:rPr>
          <w:sz w:val="14"/>
        </w:rPr>
      </w:pPr>
    </w:p>
    <w:p>
      <w:pPr>
        <w:spacing w:before="0"/>
        <w:ind w:left="0" w:right="488" w:firstLine="0"/>
        <w:jc w:val="right"/>
        <w:rPr>
          <w:sz w:val="12"/>
        </w:rPr>
      </w:pPr>
      <w:r>
        <w:rPr/>
        <w:pict>
          <v:line style="position:absolute;mso-position-horizontal-relative:page;mso-position-vertical-relative:paragraph;z-index:15950848" from="47.167pt,4.10157pt" to="42.167pt,4.10157pt" stroked="true" strokeweight=".5pt" strokecolor="#000000">
            <v:stroke dashstyle="solid"/>
            <w10:wrap type="none"/>
          </v:line>
        </w:pict>
      </w:r>
      <w:r>
        <w:rPr/>
        <w:pict>
          <v:line style="position:absolute;mso-position-horizontal-relative:page;mso-position-vertical-relative:paragraph;z-index:15959552" from="213.167007pt,4.10157pt" to="208.167007pt,4.10157pt" stroked="true" strokeweight=".5pt" strokecolor="#000000">
            <v:stroke dashstyle="solid"/>
            <w10:wrap type="none"/>
          </v:line>
        </w:pict>
      </w:r>
      <w:r>
        <w:rPr>
          <w:sz w:val="12"/>
        </w:rPr>
        <w:t>105</w:t>
      </w:r>
    </w:p>
    <w:p>
      <w:pPr>
        <w:pStyle w:val="BodyText"/>
        <w:spacing w:before="1"/>
        <w:rPr>
          <w:sz w:val="14"/>
        </w:rPr>
      </w:pPr>
    </w:p>
    <w:p>
      <w:pPr>
        <w:spacing w:before="0"/>
        <w:ind w:left="0" w:right="488" w:firstLine="0"/>
        <w:jc w:val="right"/>
        <w:rPr>
          <w:sz w:val="12"/>
        </w:rPr>
      </w:pPr>
      <w:r>
        <w:rPr/>
        <w:pict>
          <v:line style="position:absolute;mso-position-horizontal-relative:page;mso-position-vertical-relative:paragraph;z-index:15950336" from="47.167pt,4.10157pt" to="42.167pt,4.10157pt" stroked="true" strokeweight=".5pt" strokecolor="#000000">
            <v:stroke dashstyle="solid"/>
            <w10:wrap type="none"/>
          </v:line>
        </w:pict>
      </w:r>
      <w:r>
        <w:rPr/>
        <w:pict>
          <v:line style="position:absolute;mso-position-horizontal-relative:page;mso-position-vertical-relative:paragraph;z-index:15959040" from="213.167007pt,4.10157pt" to="208.167007pt,4.10157pt" stroked="true" strokeweight=".5pt" strokecolor="#000000">
            <v:stroke dashstyle="solid"/>
            <w10:wrap type="none"/>
          </v:line>
        </w:pict>
      </w:r>
      <w:r>
        <w:rPr>
          <w:sz w:val="12"/>
        </w:rPr>
        <w:t>100</w:t>
      </w:r>
    </w:p>
    <w:p>
      <w:pPr>
        <w:pStyle w:val="BodyText"/>
        <w:spacing w:before="1"/>
        <w:rPr>
          <w:sz w:val="14"/>
        </w:rPr>
      </w:pPr>
    </w:p>
    <w:p>
      <w:pPr>
        <w:spacing w:before="0"/>
        <w:ind w:left="0" w:right="488" w:firstLine="0"/>
        <w:jc w:val="right"/>
        <w:rPr>
          <w:sz w:val="12"/>
        </w:rPr>
      </w:pPr>
      <w:r>
        <w:rPr/>
        <w:pict>
          <v:line style="position:absolute;mso-position-horizontal-relative:page;mso-position-vertical-relative:paragraph;z-index:15949824" from="47.167pt,4.10157pt" to="42.167pt,4.10157pt" stroked="true" strokeweight=".5pt" strokecolor="#000000">
            <v:stroke dashstyle="solid"/>
            <w10:wrap type="none"/>
          </v:line>
        </w:pict>
      </w:r>
      <w:r>
        <w:rPr/>
        <w:pict>
          <v:line style="position:absolute;mso-position-horizontal-relative:page;mso-position-vertical-relative:paragraph;z-index:15958528" from="213.167007pt,4.10157pt" to="208.167007pt,4.10157pt" stroked="true" strokeweight=".5pt" strokecolor="#000000">
            <v:stroke dashstyle="solid"/>
            <w10:wrap type="none"/>
          </v:line>
        </w:pict>
      </w:r>
      <w:r>
        <w:rPr>
          <w:sz w:val="12"/>
        </w:rPr>
        <w:t>95</w:t>
      </w:r>
    </w:p>
    <w:p>
      <w:pPr>
        <w:pStyle w:val="BodyText"/>
        <w:spacing w:before="1"/>
        <w:rPr>
          <w:sz w:val="14"/>
        </w:rPr>
      </w:pPr>
    </w:p>
    <w:p>
      <w:pPr>
        <w:spacing w:before="0"/>
        <w:ind w:left="0" w:right="488" w:firstLine="0"/>
        <w:jc w:val="right"/>
        <w:rPr>
          <w:sz w:val="12"/>
        </w:rPr>
      </w:pPr>
      <w:r>
        <w:rPr/>
        <w:pict>
          <v:line style="position:absolute;mso-position-horizontal-relative:page;mso-position-vertical-relative:paragraph;z-index:15949312" from="47.167pt,4.10157pt" to="42.167pt,4.10157pt" stroked="true" strokeweight=".5pt" strokecolor="#000000">
            <v:stroke dashstyle="solid"/>
            <w10:wrap type="none"/>
          </v:line>
        </w:pict>
      </w:r>
      <w:r>
        <w:rPr/>
        <w:pict>
          <v:line style="position:absolute;mso-position-horizontal-relative:page;mso-position-vertical-relative:paragraph;z-index:15958016" from="213.167007pt,4.10157pt" to="208.167007pt,4.10157pt" stroked="true" strokeweight=".5pt" strokecolor="#000000">
            <v:stroke dashstyle="solid"/>
            <w10:wrap type="none"/>
          </v:line>
        </w:pict>
      </w:r>
      <w:r>
        <w:rPr>
          <w:sz w:val="12"/>
        </w:rPr>
        <w:t>90</w:t>
      </w:r>
    </w:p>
    <w:p>
      <w:pPr>
        <w:pStyle w:val="BodyText"/>
        <w:spacing w:before="1"/>
        <w:rPr>
          <w:sz w:val="14"/>
        </w:rPr>
      </w:pPr>
    </w:p>
    <w:p>
      <w:pPr>
        <w:spacing w:line="119" w:lineRule="exact" w:before="0"/>
        <w:ind w:left="3753" w:right="0" w:firstLine="0"/>
        <w:jc w:val="left"/>
        <w:rPr>
          <w:sz w:val="12"/>
        </w:rPr>
      </w:pPr>
      <w:r>
        <w:rPr/>
        <w:pict>
          <v:line style="position:absolute;mso-position-horizontal-relative:page;mso-position-vertical-relative:paragraph;z-index:15948800" from="47.167pt,4.10157pt" to="42.167pt,4.10157pt" stroked="true" strokeweight=".5pt" strokecolor="#000000">
            <v:stroke dashstyle="solid"/>
            <w10:wrap type="none"/>
          </v:line>
        </w:pict>
      </w:r>
      <w:r>
        <w:rPr/>
        <w:pict>
          <v:shape style="position:absolute;margin-left:53.167pt;margin-top:.10157pt;width:150pt;height:4pt;mso-position-horizontal-relative:page;mso-position-vertical-relative:paragraph;z-index:15956992" coordorigin="1063,2" coordsize="3000,80" path="m1063,82l4063,82m1063,82l1063,42m1143,82l1143,42m1233,82l1233,42m1323,82l1323,42m1423,82l1423,42m1523,82l1523,42m1613,82l1613,42m1703,82l1703,42m1783,82l1783,42m1883,82l1883,42m1973,82l1973,42m2063,82l2063,42m2143,82l2143,42m2243,82l2243,42m2333,82l2333,42m2423,82l2423,42m2523,82l2523,42m2603,82l2603,42m2693,82l2693,42m2783,82l2783,42m2883,82l2883,42m2963,82l2963,42m3063,82l3063,42m3163,82l3163,42m3243,82l3243,42m3343,82l3343,42m3433,82l3433,42m3523,82l3523,42m3603,82l3603,42m3703,82l3703,42m3793,82l3793,42m3883,82l3883,42m3983,82l3983,42m4063,82l4063,42m1063,82l1063,2m1423,82l1423,2m1783,82l1783,2m2143,82l2143,2m2523,82l2523,2m2883,82l2883,2m3243,82l3243,2m3603,82l3603,2m3983,82l3983,2e" filled="false" stroked="true" strokeweight=".5pt" strokecolor="#000000">
            <v:path arrowok="t"/>
            <v:stroke dashstyle="solid"/>
            <w10:wrap type="none"/>
          </v:shape>
        </w:pict>
      </w:r>
      <w:r>
        <w:rPr/>
        <w:pict>
          <v:line style="position:absolute;mso-position-horizontal-relative:page;mso-position-vertical-relative:paragraph;z-index:15957504" from="213.167007pt,4.10157pt" to="208.167007pt,4.10157pt" stroked="true" strokeweight=".5pt" strokecolor="#000000">
            <v:stroke dashstyle="solid"/>
            <w10:wrap type="none"/>
          </v:line>
        </w:pict>
      </w:r>
      <w:r>
        <w:rPr>
          <w:sz w:val="12"/>
        </w:rPr>
        <w:t>85</w:t>
      </w:r>
    </w:p>
    <w:p>
      <w:pPr>
        <w:tabs>
          <w:tab w:pos="1273" w:val="left" w:leader="none"/>
          <w:tab w:pos="1633" w:val="left" w:leader="none"/>
          <w:tab w:pos="2013" w:val="left" w:leader="none"/>
          <w:tab w:pos="2373" w:val="left" w:leader="none"/>
          <w:tab w:pos="2733" w:val="left" w:leader="none"/>
          <w:tab w:pos="3093" w:val="left" w:leader="none"/>
        </w:tabs>
        <w:spacing w:line="119" w:lineRule="exact" w:before="0"/>
        <w:ind w:left="493" w:right="0" w:firstLine="0"/>
        <w:jc w:val="left"/>
        <w:rPr>
          <w:sz w:val="12"/>
        </w:rPr>
      </w:pPr>
      <w:r>
        <w:rPr>
          <w:sz w:val="12"/>
        </w:rPr>
        <w:t>1990      91</w:t>
        <w:tab/>
        <w:t>92</w:t>
        <w:tab/>
        <w:t>93</w:t>
        <w:tab/>
        <w:t>94</w:t>
        <w:tab/>
        <w:t>95</w:t>
        <w:tab/>
        <w:t>96</w:t>
        <w:tab/>
        <w:t>97 98</w:t>
      </w:r>
    </w:p>
    <w:p>
      <w:pPr>
        <w:spacing w:before="43"/>
        <w:ind w:left="228" w:right="0" w:firstLine="0"/>
        <w:jc w:val="left"/>
        <w:rPr>
          <w:sz w:val="12"/>
        </w:rPr>
      </w:pPr>
      <w:r>
        <w:rPr>
          <w:color w:val="231F20"/>
          <w:sz w:val="12"/>
        </w:rPr>
        <w:t>Source: Datastream.</w:t>
      </w:r>
    </w:p>
    <w:p>
      <w:pPr>
        <w:pStyle w:val="ListParagraph"/>
        <w:numPr>
          <w:ilvl w:val="0"/>
          <w:numId w:val="24"/>
        </w:numPr>
        <w:tabs>
          <w:tab w:pos="469" w:val="left" w:leader="none"/>
        </w:tabs>
        <w:spacing w:line="129" w:lineRule="exact" w:before="102" w:after="0"/>
        <w:ind w:left="468" w:right="0" w:hanging="241"/>
        <w:jc w:val="left"/>
        <w:rPr>
          <w:sz w:val="12"/>
        </w:rPr>
      </w:pPr>
      <w:r>
        <w:rPr>
          <w:color w:val="231F20"/>
          <w:sz w:val="12"/>
        </w:rPr>
        <w:t>In domestic currency.</w:t>
      </w:r>
    </w:p>
    <w:p>
      <w:pPr>
        <w:pStyle w:val="ListParagraph"/>
        <w:numPr>
          <w:ilvl w:val="0"/>
          <w:numId w:val="24"/>
        </w:numPr>
        <w:tabs>
          <w:tab w:pos="469" w:val="left" w:leader="none"/>
        </w:tabs>
        <w:spacing w:line="129" w:lineRule="exact" w:before="0" w:after="0"/>
        <w:ind w:left="468" w:right="0" w:hanging="241"/>
        <w:jc w:val="left"/>
        <w:rPr>
          <w:sz w:val="12"/>
        </w:rPr>
      </w:pPr>
      <w:r>
        <w:rPr>
          <w:color w:val="231F20"/>
          <w:sz w:val="12"/>
        </w:rPr>
        <w:t>Data prior to 1991 are for West Germany.</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Heading8"/>
        <w:spacing w:before="78"/>
        <w:ind w:left="185"/>
      </w:pPr>
      <w:r>
        <w:rPr>
          <w:color w:val="0093C1"/>
        </w:rPr>
        <w:t>Table 3.A</w:t>
      </w:r>
    </w:p>
    <w:p>
      <w:pPr>
        <w:spacing w:before="10"/>
        <w:ind w:left="185" w:right="0" w:firstLine="0"/>
        <w:jc w:val="left"/>
        <w:rPr>
          <w:sz w:val="12"/>
        </w:rPr>
      </w:pPr>
      <w:r>
        <w:rPr>
          <w:b/>
          <w:color w:val="0093C1"/>
          <w:sz w:val="20"/>
        </w:rPr>
        <w:t>Barclays Basix Survey of inflation expectations</w:t>
      </w:r>
      <w:r>
        <w:rPr>
          <w:color w:val="231F20"/>
          <w:position w:val="4"/>
          <w:sz w:val="12"/>
        </w:rPr>
        <w:t>(a)</w:t>
      </w:r>
    </w:p>
    <w:p>
      <w:pPr>
        <w:spacing w:before="106"/>
        <w:ind w:left="185" w:right="0" w:firstLine="0"/>
        <w:jc w:val="left"/>
        <w:rPr>
          <w:sz w:val="14"/>
        </w:rPr>
      </w:pPr>
      <w:r>
        <w:rPr>
          <w:color w:val="231F20"/>
          <w:sz w:val="14"/>
        </w:rPr>
        <w:t>Percentage increases in prices</w:t>
      </w:r>
    </w:p>
    <w:p>
      <w:pPr>
        <w:tabs>
          <w:tab w:pos="2879" w:val="left" w:leader="none"/>
          <w:tab w:pos="3959" w:val="left" w:leader="none"/>
        </w:tabs>
        <w:spacing w:line="150" w:lineRule="exact" w:before="119"/>
        <w:ind w:left="2122" w:right="0" w:firstLine="0"/>
        <w:jc w:val="left"/>
        <w:rPr>
          <w:sz w:val="14"/>
        </w:rPr>
      </w:pPr>
      <w:r>
        <w:rPr>
          <w:color w:val="231F20"/>
          <w:sz w:val="14"/>
          <w:u w:val="single" w:color="231F20"/>
        </w:rPr>
        <w:t>1997</w:t>
      </w:r>
      <w:r>
        <w:rPr>
          <w:color w:val="231F20"/>
          <w:sz w:val="14"/>
        </w:rPr>
        <w:tab/>
      </w:r>
      <w:r>
        <w:rPr>
          <w:color w:val="231F20"/>
          <w:sz w:val="14"/>
          <w:u w:val="single" w:color="231F20"/>
        </w:rPr>
        <w:t>1998</w:t>
        <w:tab/>
      </w:r>
    </w:p>
    <w:p>
      <w:pPr>
        <w:tabs>
          <w:tab w:pos="2879" w:val="left" w:leader="none"/>
          <w:tab w:pos="3657" w:val="left" w:leader="none"/>
        </w:tabs>
        <w:spacing w:line="150" w:lineRule="exact" w:before="0"/>
        <w:ind w:left="2122" w:right="0" w:firstLine="0"/>
        <w:jc w:val="left"/>
        <w:rPr>
          <w:sz w:val="14"/>
        </w:rPr>
      </w:pPr>
      <w:r>
        <w:rPr>
          <w:color w:val="231F20"/>
          <w:sz w:val="14"/>
          <w:u w:val="single" w:color="231F20"/>
        </w:rPr>
        <w:t>Q2</w:t>
      </w:r>
      <w:r>
        <w:rPr>
          <w:color w:val="231F20"/>
          <w:sz w:val="14"/>
        </w:rPr>
        <w:tab/>
      </w:r>
      <w:r>
        <w:rPr>
          <w:color w:val="231F20"/>
          <w:sz w:val="14"/>
          <w:u w:val="single" w:color="231F20"/>
        </w:rPr>
        <w:t>Q1</w:t>
      </w:r>
      <w:r>
        <w:rPr>
          <w:color w:val="231F20"/>
          <w:sz w:val="14"/>
        </w:rPr>
        <w:tab/>
      </w:r>
      <w:r>
        <w:rPr>
          <w:color w:val="231F20"/>
          <w:sz w:val="14"/>
          <w:u w:val="single" w:color="231F20"/>
        </w:rPr>
        <w:t> Q2</w:t>
      </w:r>
      <w:r>
        <w:rPr>
          <w:color w:val="231F20"/>
          <w:spacing w:val="-10"/>
          <w:sz w:val="14"/>
          <w:u w:val="single" w:color="231F20"/>
        </w:rPr>
        <w:t> </w:t>
      </w:r>
    </w:p>
    <w:p>
      <w:pPr>
        <w:pStyle w:val="BodyText"/>
        <w:spacing w:before="2"/>
        <w:rPr>
          <w:sz w:val="9"/>
        </w:rPr>
      </w:pPr>
    </w:p>
    <w:tbl>
      <w:tblPr>
        <w:tblW w:w="0" w:type="auto"/>
        <w:jc w:val="left"/>
        <w:tblInd w:w="1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4"/>
        <w:gridCol w:w="787"/>
        <w:gridCol w:w="775"/>
        <w:gridCol w:w="530"/>
      </w:tblGrid>
      <w:tr>
        <w:trPr>
          <w:trHeight w:val="287" w:hRule="atLeast"/>
        </w:trPr>
        <w:tc>
          <w:tcPr>
            <w:tcW w:w="1704" w:type="dxa"/>
          </w:tcPr>
          <w:p>
            <w:pPr>
              <w:pStyle w:val="TableParagraph"/>
              <w:spacing w:line="145" w:lineRule="exact"/>
              <w:ind w:left="50"/>
              <w:rPr>
                <w:b/>
                <w:sz w:val="14"/>
              </w:rPr>
            </w:pPr>
            <w:r>
              <w:rPr>
                <w:b/>
                <w:color w:val="231F20"/>
                <w:sz w:val="14"/>
              </w:rPr>
              <w:t>12 months ahead</w:t>
            </w:r>
          </w:p>
          <w:p>
            <w:pPr>
              <w:pStyle w:val="TableParagraph"/>
              <w:spacing w:line="123" w:lineRule="exact"/>
              <w:ind w:left="50"/>
              <w:rPr>
                <w:sz w:val="14"/>
              </w:rPr>
            </w:pPr>
            <w:r>
              <w:rPr>
                <w:color w:val="231F20"/>
                <w:sz w:val="14"/>
              </w:rPr>
              <w:t>Academic economists</w:t>
            </w:r>
          </w:p>
        </w:tc>
        <w:tc>
          <w:tcPr>
            <w:tcW w:w="787" w:type="dxa"/>
          </w:tcPr>
          <w:p>
            <w:pPr>
              <w:pStyle w:val="TableParagraph"/>
              <w:spacing w:line="133" w:lineRule="exact" w:before="134"/>
              <w:ind w:left="296" w:right="275"/>
              <w:jc w:val="center"/>
              <w:rPr>
                <w:sz w:val="14"/>
              </w:rPr>
            </w:pPr>
            <w:r>
              <w:rPr>
                <w:color w:val="231F20"/>
                <w:sz w:val="14"/>
              </w:rPr>
              <w:t>3.0</w:t>
            </w:r>
          </w:p>
        </w:tc>
        <w:tc>
          <w:tcPr>
            <w:tcW w:w="775" w:type="dxa"/>
          </w:tcPr>
          <w:p>
            <w:pPr>
              <w:pStyle w:val="TableParagraph"/>
              <w:spacing w:line="133" w:lineRule="exact" w:before="134"/>
              <w:ind w:left="295"/>
              <w:rPr>
                <w:sz w:val="14"/>
              </w:rPr>
            </w:pPr>
            <w:r>
              <w:rPr>
                <w:color w:val="231F20"/>
                <w:sz w:val="14"/>
              </w:rPr>
              <w:t>3.0</w:t>
            </w:r>
          </w:p>
        </w:tc>
        <w:tc>
          <w:tcPr>
            <w:tcW w:w="530" w:type="dxa"/>
          </w:tcPr>
          <w:p>
            <w:pPr>
              <w:pStyle w:val="TableParagraph"/>
              <w:spacing w:line="133" w:lineRule="exact" w:before="134"/>
              <w:ind w:right="49"/>
              <w:jc w:val="right"/>
              <w:rPr>
                <w:sz w:val="14"/>
              </w:rPr>
            </w:pPr>
            <w:r>
              <w:rPr>
                <w:color w:val="231F20"/>
                <w:sz w:val="14"/>
              </w:rPr>
              <w:t>3.2</w:t>
            </w:r>
          </w:p>
        </w:tc>
      </w:tr>
      <w:tr>
        <w:trPr>
          <w:trHeight w:val="140" w:hRule="atLeast"/>
        </w:trPr>
        <w:tc>
          <w:tcPr>
            <w:tcW w:w="1704" w:type="dxa"/>
          </w:tcPr>
          <w:p>
            <w:pPr>
              <w:pStyle w:val="TableParagraph"/>
              <w:spacing w:line="120" w:lineRule="exact"/>
              <w:ind w:left="50"/>
              <w:rPr>
                <w:sz w:val="14"/>
              </w:rPr>
            </w:pPr>
            <w:r>
              <w:rPr>
                <w:color w:val="231F20"/>
                <w:sz w:val="14"/>
              </w:rPr>
              <w:t>Business economists</w:t>
            </w:r>
          </w:p>
        </w:tc>
        <w:tc>
          <w:tcPr>
            <w:tcW w:w="787" w:type="dxa"/>
          </w:tcPr>
          <w:p>
            <w:pPr>
              <w:pStyle w:val="TableParagraph"/>
              <w:spacing w:line="120" w:lineRule="exact"/>
              <w:ind w:left="296" w:right="275"/>
              <w:jc w:val="center"/>
              <w:rPr>
                <w:sz w:val="14"/>
              </w:rPr>
            </w:pPr>
            <w:r>
              <w:rPr>
                <w:color w:val="231F20"/>
                <w:sz w:val="14"/>
              </w:rPr>
              <w:t>3.0</w:t>
            </w:r>
          </w:p>
        </w:tc>
        <w:tc>
          <w:tcPr>
            <w:tcW w:w="775" w:type="dxa"/>
          </w:tcPr>
          <w:p>
            <w:pPr>
              <w:pStyle w:val="TableParagraph"/>
              <w:spacing w:line="120" w:lineRule="exact"/>
              <w:ind w:left="295"/>
              <w:rPr>
                <w:sz w:val="14"/>
              </w:rPr>
            </w:pPr>
            <w:r>
              <w:rPr>
                <w:color w:val="231F20"/>
                <w:sz w:val="14"/>
              </w:rPr>
              <w:t>3.0</w:t>
            </w:r>
          </w:p>
        </w:tc>
        <w:tc>
          <w:tcPr>
            <w:tcW w:w="530" w:type="dxa"/>
          </w:tcPr>
          <w:p>
            <w:pPr>
              <w:pStyle w:val="TableParagraph"/>
              <w:spacing w:line="120" w:lineRule="exact"/>
              <w:ind w:right="49"/>
              <w:jc w:val="right"/>
              <w:rPr>
                <w:sz w:val="14"/>
              </w:rPr>
            </w:pPr>
            <w:r>
              <w:rPr>
                <w:color w:val="231F20"/>
                <w:sz w:val="14"/>
              </w:rPr>
              <w:t>3.1</w:t>
            </w:r>
          </w:p>
        </w:tc>
      </w:tr>
      <w:tr>
        <w:trPr>
          <w:trHeight w:val="140" w:hRule="atLeast"/>
        </w:trPr>
        <w:tc>
          <w:tcPr>
            <w:tcW w:w="1704" w:type="dxa"/>
          </w:tcPr>
          <w:p>
            <w:pPr>
              <w:pStyle w:val="TableParagraph"/>
              <w:spacing w:line="120" w:lineRule="exact"/>
              <w:ind w:left="50"/>
              <w:rPr>
                <w:sz w:val="14"/>
              </w:rPr>
            </w:pPr>
            <w:r>
              <w:rPr>
                <w:color w:val="231F20"/>
                <w:sz w:val="14"/>
              </w:rPr>
              <w:t>Finance directors</w:t>
            </w:r>
          </w:p>
        </w:tc>
        <w:tc>
          <w:tcPr>
            <w:tcW w:w="787" w:type="dxa"/>
          </w:tcPr>
          <w:p>
            <w:pPr>
              <w:pStyle w:val="TableParagraph"/>
              <w:spacing w:line="120" w:lineRule="exact"/>
              <w:ind w:left="296" w:right="275"/>
              <w:jc w:val="center"/>
              <w:rPr>
                <w:sz w:val="14"/>
              </w:rPr>
            </w:pPr>
            <w:r>
              <w:rPr>
                <w:color w:val="231F20"/>
                <w:sz w:val="14"/>
              </w:rPr>
              <w:t>3.1</w:t>
            </w:r>
          </w:p>
        </w:tc>
        <w:tc>
          <w:tcPr>
            <w:tcW w:w="775" w:type="dxa"/>
          </w:tcPr>
          <w:p>
            <w:pPr>
              <w:pStyle w:val="TableParagraph"/>
              <w:spacing w:line="120" w:lineRule="exact"/>
              <w:ind w:left="295"/>
              <w:rPr>
                <w:sz w:val="14"/>
              </w:rPr>
            </w:pPr>
            <w:r>
              <w:rPr>
                <w:color w:val="231F20"/>
                <w:sz w:val="14"/>
              </w:rPr>
              <w:t>3.3</w:t>
            </w:r>
          </w:p>
        </w:tc>
        <w:tc>
          <w:tcPr>
            <w:tcW w:w="530" w:type="dxa"/>
          </w:tcPr>
          <w:p>
            <w:pPr>
              <w:pStyle w:val="TableParagraph"/>
              <w:spacing w:line="120" w:lineRule="exact"/>
              <w:ind w:right="49"/>
              <w:jc w:val="right"/>
              <w:rPr>
                <w:sz w:val="14"/>
              </w:rPr>
            </w:pPr>
            <w:r>
              <w:rPr>
                <w:color w:val="231F20"/>
                <w:sz w:val="14"/>
              </w:rPr>
              <w:t>3.4</w:t>
            </w:r>
          </w:p>
        </w:tc>
      </w:tr>
      <w:tr>
        <w:trPr>
          <w:trHeight w:val="140" w:hRule="atLeast"/>
        </w:trPr>
        <w:tc>
          <w:tcPr>
            <w:tcW w:w="1704" w:type="dxa"/>
          </w:tcPr>
          <w:p>
            <w:pPr>
              <w:pStyle w:val="TableParagraph"/>
              <w:spacing w:line="120" w:lineRule="exact"/>
              <w:ind w:left="50"/>
              <w:rPr>
                <w:sz w:val="14"/>
              </w:rPr>
            </w:pPr>
            <w:r>
              <w:rPr>
                <w:color w:val="231F20"/>
                <w:sz w:val="14"/>
              </w:rPr>
              <w:t>Investment analysts</w:t>
            </w:r>
          </w:p>
        </w:tc>
        <w:tc>
          <w:tcPr>
            <w:tcW w:w="787" w:type="dxa"/>
          </w:tcPr>
          <w:p>
            <w:pPr>
              <w:pStyle w:val="TableParagraph"/>
              <w:spacing w:line="120" w:lineRule="exact"/>
              <w:ind w:left="296" w:right="275"/>
              <w:jc w:val="center"/>
              <w:rPr>
                <w:sz w:val="14"/>
              </w:rPr>
            </w:pPr>
            <w:r>
              <w:rPr>
                <w:color w:val="231F20"/>
                <w:sz w:val="14"/>
              </w:rPr>
              <w:t>3.1</w:t>
            </w:r>
          </w:p>
        </w:tc>
        <w:tc>
          <w:tcPr>
            <w:tcW w:w="775" w:type="dxa"/>
          </w:tcPr>
          <w:p>
            <w:pPr>
              <w:pStyle w:val="TableParagraph"/>
              <w:spacing w:line="120" w:lineRule="exact"/>
              <w:ind w:left="295"/>
              <w:rPr>
                <w:sz w:val="14"/>
              </w:rPr>
            </w:pPr>
            <w:r>
              <w:rPr>
                <w:color w:val="231F20"/>
                <w:sz w:val="14"/>
              </w:rPr>
              <w:t>3.1</w:t>
            </w:r>
          </w:p>
        </w:tc>
        <w:tc>
          <w:tcPr>
            <w:tcW w:w="530" w:type="dxa"/>
          </w:tcPr>
          <w:p>
            <w:pPr>
              <w:pStyle w:val="TableParagraph"/>
              <w:spacing w:line="120" w:lineRule="exact"/>
              <w:ind w:right="49"/>
              <w:jc w:val="right"/>
              <w:rPr>
                <w:sz w:val="14"/>
              </w:rPr>
            </w:pPr>
            <w:r>
              <w:rPr>
                <w:color w:val="231F20"/>
                <w:sz w:val="14"/>
              </w:rPr>
              <w:t>3.3</w:t>
            </w:r>
          </w:p>
        </w:tc>
      </w:tr>
      <w:tr>
        <w:trPr>
          <w:trHeight w:val="140" w:hRule="atLeast"/>
        </w:trPr>
        <w:tc>
          <w:tcPr>
            <w:tcW w:w="1704" w:type="dxa"/>
          </w:tcPr>
          <w:p>
            <w:pPr>
              <w:pStyle w:val="TableParagraph"/>
              <w:spacing w:line="120" w:lineRule="exact"/>
              <w:ind w:left="50"/>
              <w:rPr>
                <w:sz w:val="14"/>
              </w:rPr>
            </w:pPr>
            <w:r>
              <w:rPr>
                <w:color w:val="231F20"/>
                <w:sz w:val="14"/>
              </w:rPr>
              <w:t>Trade unions</w:t>
            </w:r>
          </w:p>
        </w:tc>
        <w:tc>
          <w:tcPr>
            <w:tcW w:w="787" w:type="dxa"/>
          </w:tcPr>
          <w:p>
            <w:pPr>
              <w:pStyle w:val="TableParagraph"/>
              <w:spacing w:line="120" w:lineRule="exact"/>
              <w:ind w:left="296" w:right="275"/>
              <w:jc w:val="center"/>
              <w:rPr>
                <w:sz w:val="14"/>
              </w:rPr>
            </w:pPr>
            <w:r>
              <w:rPr>
                <w:color w:val="231F20"/>
                <w:sz w:val="14"/>
              </w:rPr>
              <w:t>3.4</w:t>
            </w:r>
          </w:p>
        </w:tc>
        <w:tc>
          <w:tcPr>
            <w:tcW w:w="775" w:type="dxa"/>
          </w:tcPr>
          <w:p>
            <w:pPr>
              <w:pStyle w:val="TableParagraph"/>
              <w:spacing w:line="120" w:lineRule="exact"/>
              <w:ind w:left="295"/>
              <w:rPr>
                <w:sz w:val="14"/>
              </w:rPr>
            </w:pPr>
            <w:r>
              <w:rPr>
                <w:color w:val="231F20"/>
                <w:sz w:val="14"/>
              </w:rPr>
              <w:t>3.5</w:t>
            </w:r>
          </w:p>
        </w:tc>
        <w:tc>
          <w:tcPr>
            <w:tcW w:w="530" w:type="dxa"/>
          </w:tcPr>
          <w:p>
            <w:pPr>
              <w:pStyle w:val="TableParagraph"/>
              <w:spacing w:line="120" w:lineRule="exact"/>
              <w:ind w:right="49"/>
              <w:jc w:val="right"/>
              <w:rPr>
                <w:sz w:val="14"/>
              </w:rPr>
            </w:pPr>
            <w:r>
              <w:rPr>
                <w:color w:val="231F20"/>
                <w:sz w:val="14"/>
              </w:rPr>
              <w:t>3.3</w:t>
            </w:r>
          </w:p>
        </w:tc>
      </w:tr>
      <w:tr>
        <w:trPr>
          <w:trHeight w:val="210" w:hRule="atLeast"/>
        </w:trPr>
        <w:tc>
          <w:tcPr>
            <w:tcW w:w="1704" w:type="dxa"/>
          </w:tcPr>
          <w:p>
            <w:pPr>
              <w:pStyle w:val="TableParagraph"/>
              <w:spacing w:line="148" w:lineRule="exact"/>
              <w:ind w:left="50"/>
              <w:rPr>
                <w:sz w:val="14"/>
              </w:rPr>
            </w:pPr>
            <w:r>
              <w:rPr>
                <w:color w:val="231F20"/>
                <w:sz w:val="14"/>
              </w:rPr>
              <w:t>General public</w:t>
            </w:r>
          </w:p>
        </w:tc>
        <w:tc>
          <w:tcPr>
            <w:tcW w:w="787" w:type="dxa"/>
          </w:tcPr>
          <w:p>
            <w:pPr>
              <w:pStyle w:val="TableParagraph"/>
              <w:spacing w:line="148" w:lineRule="exact"/>
              <w:ind w:left="296" w:right="275"/>
              <w:jc w:val="center"/>
              <w:rPr>
                <w:sz w:val="14"/>
              </w:rPr>
            </w:pPr>
            <w:r>
              <w:rPr>
                <w:color w:val="231F20"/>
                <w:sz w:val="14"/>
              </w:rPr>
              <w:t>4.2</w:t>
            </w:r>
          </w:p>
        </w:tc>
        <w:tc>
          <w:tcPr>
            <w:tcW w:w="775" w:type="dxa"/>
          </w:tcPr>
          <w:p>
            <w:pPr>
              <w:pStyle w:val="TableParagraph"/>
              <w:spacing w:line="148" w:lineRule="exact"/>
              <w:ind w:left="295"/>
              <w:rPr>
                <w:sz w:val="14"/>
              </w:rPr>
            </w:pPr>
            <w:r>
              <w:rPr>
                <w:color w:val="231F20"/>
                <w:sz w:val="14"/>
              </w:rPr>
              <w:t>4.3</w:t>
            </w:r>
          </w:p>
        </w:tc>
        <w:tc>
          <w:tcPr>
            <w:tcW w:w="530" w:type="dxa"/>
          </w:tcPr>
          <w:p>
            <w:pPr>
              <w:pStyle w:val="TableParagraph"/>
              <w:spacing w:line="148" w:lineRule="exact"/>
              <w:ind w:right="49"/>
              <w:jc w:val="right"/>
              <w:rPr>
                <w:sz w:val="14"/>
              </w:rPr>
            </w:pPr>
            <w:r>
              <w:rPr>
                <w:color w:val="231F20"/>
                <w:sz w:val="14"/>
              </w:rPr>
              <w:t>4.4</w:t>
            </w:r>
          </w:p>
        </w:tc>
      </w:tr>
      <w:tr>
        <w:trPr>
          <w:trHeight w:val="350" w:hRule="atLeast"/>
        </w:trPr>
        <w:tc>
          <w:tcPr>
            <w:tcW w:w="1704" w:type="dxa"/>
          </w:tcPr>
          <w:p>
            <w:pPr>
              <w:pStyle w:val="TableParagraph"/>
              <w:spacing w:line="150" w:lineRule="exact" w:before="56"/>
              <w:ind w:left="50"/>
              <w:rPr>
                <w:b/>
                <w:sz w:val="14"/>
              </w:rPr>
            </w:pPr>
            <w:r>
              <w:rPr>
                <w:b/>
                <w:color w:val="231F20"/>
                <w:sz w:val="14"/>
              </w:rPr>
              <w:t>12 to 24 months ahead</w:t>
            </w:r>
          </w:p>
          <w:p>
            <w:pPr>
              <w:pStyle w:val="TableParagraph"/>
              <w:spacing w:line="123" w:lineRule="exact"/>
              <w:ind w:left="50"/>
              <w:rPr>
                <w:sz w:val="14"/>
              </w:rPr>
            </w:pPr>
            <w:r>
              <w:rPr>
                <w:color w:val="231F20"/>
                <w:sz w:val="14"/>
              </w:rPr>
              <w:t>Academic economists</w:t>
            </w:r>
          </w:p>
        </w:tc>
        <w:tc>
          <w:tcPr>
            <w:tcW w:w="787" w:type="dxa"/>
          </w:tcPr>
          <w:p>
            <w:pPr>
              <w:pStyle w:val="TableParagraph"/>
              <w:spacing w:before="1"/>
              <w:rPr>
                <w:sz w:val="17"/>
              </w:rPr>
            </w:pPr>
          </w:p>
          <w:p>
            <w:pPr>
              <w:pStyle w:val="TableParagraph"/>
              <w:spacing w:line="133" w:lineRule="exact"/>
              <w:ind w:left="296" w:right="275"/>
              <w:jc w:val="center"/>
              <w:rPr>
                <w:sz w:val="14"/>
              </w:rPr>
            </w:pPr>
            <w:r>
              <w:rPr>
                <w:color w:val="231F20"/>
                <w:sz w:val="14"/>
              </w:rPr>
              <w:t>3.2</w:t>
            </w:r>
          </w:p>
        </w:tc>
        <w:tc>
          <w:tcPr>
            <w:tcW w:w="775" w:type="dxa"/>
          </w:tcPr>
          <w:p>
            <w:pPr>
              <w:pStyle w:val="TableParagraph"/>
              <w:spacing w:before="1"/>
              <w:rPr>
                <w:sz w:val="17"/>
              </w:rPr>
            </w:pPr>
          </w:p>
          <w:p>
            <w:pPr>
              <w:pStyle w:val="TableParagraph"/>
              <w:spacing w:line="133" w:lineRule="exact"/>
              <w:ind w:left="295"/>
              <w:rPr>
                <w:sz w:val="14"/>
              </w:rPr>
            </w:pPr>
            <w:r>
              <w:rPr>
                <w:color w:val="231F20"/>
                <w:sz w:val="14"/>
              </w:rPr>
              <w:t>3.1</w:t>
            </w:r>
          </w:p>
        </w:tc>
        <w:tc>
          <w:tcPr>
            <w:tcW w:w="530" w:type="dxa"/>
          </w:tcPr>
          <w:p>
            <w:pPr>
              <w:pStyle w:val="TableParagraph"/>
              <w:spacing w:before="1"/>
              <w:rPr>
                <w:sz w:val="17"/>
              </w:rPr>
            </w:pPr>
          </w:p>
          <w:p>
            <w:pPr>
              <w:pStyle w:val="TableParagraph"/>
              <w:spacing w:line="133" w:lineRule="exact"/>
              <w:ind w:right="49"/>
              <w:jc w:val="right"/>
              <w:rPr>
                <w:sz w:val="14"/>
              </w:rPr>
            </w:pPr>
            <w:r>
              <w:rPr>
                <w:color w:val="231F20"/>
                <w:sz w:val="14"/>
              </w:rPr>
              <w:t>3.1</w:t>
            </w:r>
          </w:p>
        </w:tc>
      </w:tr>
      <w:tr>
        <w:trPr>
          <w:trHeight w:val="140" w:hRule="atLeast"/>
        </w:trPr>
        <w:tc>
          <w:tcPr>
            <w:tcW w:w="1704" w:type="dxa"/>
          </w:tcPr>
          <w:p>
            <w:pPr>
              <w:pStyle w:val="TableParagraph"/>
              <w:spacing w:line="120" w:lineRule="exact"/>
              <w:ind w:left="50"/>
              <w:rPr>
                <w:sz w:val="14"/>
              </w:rPr>
            </w:pPr>
            <w:r>
              <w:rPr>
                <w:color w:val="231F20"/>
                <w:sz w:val="14"/>
              </w:rPr>
              <w:t>Business economists</w:t>
            </w:r>
          </w:p>
        </w:tc>
        <w:tc>
          <w:tcPr>
            <w:tcW w:w="787" w:type="dxa"/>
          </w:tcPr>
          <w:p>
            <w:pPr>
              <w:pStyle w:val="TableParagraph"/>
              <w:spacing w:line="120" w:lineRule="exact"/>
              <w:ind w:left="296" w:right="275"/>
              <w:jc w:val="center"/>
              <w:rPr>
                <w:sz w:val="14"/>
              </w:rPr>
            </w:pPr>
            <w:r>
              <w:rPr>
                <w:color w:val="231F20"/>
                <w:sz w:val="14"/>
              </w:rPr>
              <w:t>3.2</w:t>
            </w:r>
          </w:p>
        </w:tc>
        <w:tc>
          <w:tcPr>
            <w:tcW w:w="775" w:type="dxa"/>
          </w:tcPr>
          <w:p>
            <w:pPr>
              <w:pStyle w:val="TableParagraph"/>
              <w:spacing w:line="120" w:lineRule="exact"/>
              <w:ind w:left="295"/>
              <w:rPr>
                <w:sz w:val="14"/>
              </w:rPr>
            </w:pPr>
            <w:r>
              <w:rPr>
                <w:color w:val="231F20"/>
                <w:sz w:val="14"/>
              </w:rPr>
              <w:t>2.9</w:t>
            </w:r>
          </w:p>
        </w:tc>
        <w:tc>
          <w:tcPr>
            <w:tcW w:w="530" w:type="dxa"/>
          </w:tcPr>
          <w:p>
            <w:pPr>
              <w:pStyle w:val="TableParagraph"/>
              <w:spacing w:line="120" w:lineRule="exact"/>
              <w:ind w:right="49"/>
              <w:jc w:val="right"/>
              <w:rPr>
                <w:sz w:val="14"/>
              </w:rPr>
            </w:pPr>
            <w:r>
              <w:rPr>
                <w:color w:val="231F20"/>
                <w:sz w:val="14"/>
              </w:rPr>
              <w:t>2.9</w:t>
            </w:r>
          </w:p>
        </w:tc>
      </w:tr>
      <w:tr>
        <w:trPr>
          <w:trHeight w:val="140" w:hRule="atLeast"/>
        </w:trPr>
        <w:tc>
          <w:tcPr>
            <w:tcW w:w="1704" w:type="dxa"/>
          </w:tcPr>
          <w:p>
            <w:pPr>
              <w:pStyle w:val="TableParagraph"/>
              <w:spacing w:line="120" w:lineRule="exact"/>
              <w:ind w:left="50"/>
              <w:rPr>
                <w:sz w:val="14"/>
              </w:rPr>
            </w:pPr>
            <w:r>
              <w:rPr>
                <w:color w:val="231F20"/>
                <w:sz w:val="14"/>
              </w:rPr>
              <w:t>Finance directors</w:t>
            </w:r>
          </w:p>
        </w:tc>
        <w:tc>
          <w:tcPr>
            <w:tcW w:w="787" w:type="dxa"/>
          </w:tcPr>
          <w:p>
            <w:pPr>
              <w:pStyle w:val="TableParagraph"/>
              <w:spacing w:line="120" w:lineRule="exact"/>
              <w:ind w:left="296" w:right="275"/>
              <w:jc w:val="center"/>
              <w:rPr>
                <w:sz w:val="14"/>
              </w:rPr>
            </w:pPr>
            <w:r>
              <w:rPr>
                <w:color w:val="231F20"/>
                <w:sz w:val="14"/>
              </w:rPr>
              <w:t>3.6</w:t>
            </w:r>
          </w:p>
        </w:tc>
        <w:tc>
          <w:tcPr>
            <w:tcW w:w="775" w:type="dxa"/>
          </w:tcPr>
          <w:p>
            <w:pPr>
              <w:pStyle w:val="TableParagraph"/>
              <w:spacing w:line="120" w:lineRule="exact"/>
              <w:ind w:left="295"/>
              <w:rPr>
                <w:sz w:val="14"/>
              </w:rPr>
            </w:pPr>
            <w:r>
              <w:rPr>
                <w:color w:val="231F20"/>
                <w:sz w:val="14"/>
              </w:rPr>
              <w:t>3.3</w:t>
            </w:r>
          </w:p>
        </w:tc>
        <w:tc>
          <w:tcPr>
            <w:tcW w:w="530" w:type="dxa"/>
          </w:tcPr>
          <w:p>
            <w:pPr>
              <w:pStyle w:val="TableParagraph"/>
              <w:spacing w:line="120" w:lineRule="exact"/>
              <w:ind w:right="49"/>
              <w:jc w:val="right"/>
              <w:rPr>
                <w:sz w:val="14"/>
              </w:rPr>
            </w:pPr>
            <w:r>
              <w:rPr>
                <w:color w:val="231F20"/>
                <w:sz w:val="14"/>
              </w:rPr>
              <w:t>3.2</w:t>
            </w:r>
          </w:p>
        </w:tc>
      </w:tr>
      <w:tr>
        <w:trPr>
          <w:trHeight w:val="140" w:hRule="atLeast"/>
        </w:trPr>
        <w:tc>
          <w:tcPr>
            <w:tcW w:w="1704" w:type="dxa"/>
          </w:tcPr>
          <w:p>
            <w:pPr>
              <w:pStyle w:val="TableParagraph"/>
              <w:spacing w:line="120" w:lineRule="exact"/>
              <w:ind w:left="50"/>
              <w:rPr>
                <w:sz w:val="14"/>
              </w:rPr>
            </w:pPr>
            <w:r>
              <w:rPr>
                <w:color w:val="231F20"/>
                <w:sz w:val="14"/>
              </w:rPr>
              <w:t>Investment analysts</w:t>
            </w:r>
          </w:p>
        </w:tc>
        <w:tc>
          <w:tcPr>
            <w:tcW w:w="787" w:type="dxa"/>
          </w:tcPr>
          <w:p>
            <w:pPr>
              <w:pStyle w:val="TableParagraph"/>
              <w:spacing w:line="120" w:lineRule="exact"/>
              <w:ind w:left="296" w:right="275"/>
              <w:jc w:val="center"/>
              <w:rPr>
                <w:sz w:val="14"/>
              </w:rPr>
            </w:pPr>
            <w:r>
              <w:rPr>
                <w:color w:val="231F20"/>
                <w:sz w:val="14"/>
              </w:rPr>
              <w:t>3.5</w:t>
            </w:r>
          </w:p>
        </w:tc>
        <w:tc>
          <w:tcPr>
            <w:tcW w:w="775" w:type="dxa"/>
          </w:tcPr>
          <w:p>
            <w:pPr>
              <w:pStyle w:val="TableParagraph"/>
              <w:spacing w:line="120" w:lineRule="exact"/>
              <w:ind w:left="295"/>
              <w:rPr>
                <w:sz w:val="14"/>
              </w:rPr>
            </w:pPr>
            <w:r>
              <w:rPr>
                <w:color w:val="231F20"/>
                <w:sz w:val="14"/>
              </w:rPr>
              <w:t>3.3</w:t>
            </w:r>
          </w:p>
        </w:tc>
        <w:tc>
          <w:tcPr>
            <w:tcW w:w="530" w:type="dxa"/>
          </w:tcPr>
          <w:p>
            <w:pPr>
              <w:pStyle w:val="TableParagraph"/>
              <w:spacing w:line="120" w:lineRule="exact"/>
              <w:ind w:right="49"/>
              <w:jc w:val="right"/>
              <w:rPr>
                <w:sz w:val="14"/>
              </w:rPr>
            </w:pPr>
            <w:r>
              <w:rPr>
                <w:color w:val="231F20"/>
                <w:sz w:val="14"/>
              </w:rPr>
              <w:t>3.3</w:t>
            </w:r>
          </w:p>
        </w:tc>
      </w:tr>
      <w:tr>
        <w:trPr>
          <w:trHeight w:val="140" w:hRule="atLeast"/>
        </w:trPr>
        <w:tc>
          <w:tcPr>
            <w:tcW w:w="1704" w:type="dxa"/>
          </w:tcPr>
          <w:p>
            <w:pPr>
              <w:pStyle w:val="TableParagraph"/>
              <w:spacing w:line="120" w:lineRule="exact"/>
              <w:ind w:left="50"/>
              <w:rPr>
                <w:sz w:val="14"/>
              </w:rPr>
            </w:pPr>
            <w:r>
              <w:rPr>
                <w:color w:val="231F20"/>
                <w:sz w:val="14"/>
              </w:rPr>
              <w:t>Trade unions</w:t>
            </w:r>
          </w:p>
        </w:tc>
        <w:tc>
          <w:tcPr>
            <w:tcW w:w="787" w:type="dxa"/>
          </w:tcPr>
          <w:p>
            <w:pPr>
              <w:pStyle w:val="TableParagraph"/>
              <w:spacing w:line="120" w:lineRule="exact"/>
              <w:ind w:left="296" w:right="275"/>
              <w:jc w:val="center"/>
              <w:rPr>
                <w:sz w:val="14"/>
              </w:rPr>
            </w:pPr>
            <w:r>
              <w:rPr>
                <w:color w:val="231F20"/>
                <w:sz w:val="14"/>
              </w:rPr>
              <w:t>4.1</w:t>
            </w:r>
          </w:p>
        </w:tc>
        <w:tc>
          <w:tcPr>
            <w:tcW w:w="775" w:type="dxa"/>
          </w:tcPr>
          <w:p>
            <w:pPr>
              <w:pStyle w:val="TableParagraph"/>
              <w:spacing w:line="120" w:lineRule="exact"/>
              <w:ind w:left="295"/>
              <w:rPr>
                <w:sz w:val="14"/>
              </w:rPr>
            </w:pPr>
            <w:r>
              <w:rPr>
                <w:color w:val="231F20"/>
                <w:sz w:val="14"/>
              </w:rPr>
              <w:t>3.9</w:t>
            </w:r>
          </w:p>
        </w:tc>
        <w:tc>
          <w:tcPr>
            <w:tcW w:w="530" w:type="dxa"/>
          </w:tcPr>
          <w:p>
            <w:pPr>
              <w:pStyle w:val="TableParagraph"/>
              <w:spacing w:line="120" w:lineRule="exact"/>
              <w:ind w:right="49"/>
              <w:jc w:val="right"/>
              <w:rPr>
                <w:sz w:val="14"/>
              </w:rPr>
            </w:pPr>
            <w:r>
              <w:rPr>
                <w:color w:val="231F20"/>
                <w:sz w:val="14"/>
              </w:rPr>
              <w:t>3.8</w:t>
            </w:r>
          </w:p>
        </w:tc>
      </w:tr>
      <w:tr>
        <w:trPr>
          <w:trHeight w:val="208" w:hRule="atLeast"/>
        </w:trPr>
        <w:tc>
          <w:tcPr>
            <w:tcW w:w="1704" w:type="dxa"/>
          </w:tcPr>
          <w:p>
            <w:pPr>
              <w:pStyle w:val="TableParagraph"/>
              <w:spacing w:line="148" w:lineRule="exact"/>
              <w:ind w:left="50"/>
              <w:rPr>
                <w:sz w:val="14"/>
              </w:rPr>
            </w:pPr>
            <w:r>
              <w:rPr>
                <w:color w:val="231F20"/>
                <w:sz w:val="14"/>
              </w:rPr>
              <w:t>General public</w:t>
            </w:r>
          </w:p>
        </w:tc>
        <w:tc>
          <w:tcPr>
            <w:tcW w:w="787" w:type="dxa"/>
          </w:tcPr>
          <w:p>
            <w:pPr>
              <w:pStyle w:val="TableParagraph"/>
              <w:spacing w:line="148" w:lineRule="exact"/>
              <w:ind w:left="296" w:right="275"/>
              <w:jc w:val="center"/>
              <w:rPr>
                <w:sz w:val="14"/>
              </w:rPr>
            </w:pPr>
            <w:r>
              <w:rPr>
                <w:color w:val="231F20"/>
                <w:sz w:val="14"/>
              </w:rPr>
              <w:t>4.7</w:t>
            </w:r>
          </w:p>
        </w:tc>
        <w:tc>
          <w:tcPr>
            <w:tcW w:w="775" w:type="dxa"/>
          </w:tcPr>
          <w:p>
            <w:pPr>
              <w:pStyle w:val="TableParagraph"/>
              <w:spacing w:line="148" w:lineRule="exact"/>
              <w:ind w:left="295"/>
              <w:rPr>
                <w:sz w:val="14"/>
              </w:rPr>
            </w:pPr>
            <w:r>
              <w:rPr>
                <w:color w:val="231F20"/>
                <w:sz w:val="14"/>
              </w:rPr>
              <w:t>5.1</w:t>
            </w:r>
          </w:p>
        </w:tc>
        <w:tc>
          <w:tcPr>
            <w:tcW w:w="530" w:type="dxa"/>
          </w:tcPr>
          <w:p>
            <w:pPr>
              <w:pStyle w:val="TableParagraph"/>
              <w:spacing w:line="148" w:lineRule="exact"/>
              <w:ind w:right="49"/>
              <w:jc w:val="right"/>
              <w:rPr>
                <w:sz w:val="14"/>
              </w:rPr>
            </w:pPr>
            <w:r>
              <w:rPr>
                <w:color w:val="231F20"/>
                <w:sz w:val="14"/>
              </w:rPr>
              <w:t>5.1</w:t>
            </w:r>
          </w:p>
        </w:tc>
      </w:tr>
      <w:tr>
        <w:trPr>
          <w:trHeight w:val="194" w:hRule="atLeast"/>
        </w:trPr>
        <w:tc>
          <w:tcPr>
            <w:tcW w:w="1704" w:type="dxa"/>
          </w:tcPr>
          <w:p>
            <w:pPr>
              <w:pStyle w:val="TableParagraph"/>
              <w:spacing w:line="118" w:lineRule="exact" w:before="56"/>
              <w:ind w:left="50"/>
              <w:rPr>
                <w:sz w:val="12"/>
              </w:rPr>
            </w:pPr>
            <w:r>
              <w:rPr>
                <w:color w:val="231F20"/>
                <w:sz w:val="12"/>
              </w:rPr>
              <w:t>Source: Barclays Bank.</w:t>
            </w:r>
          </w:p>
        </w:tc>
        <w:tc>
          <w:tcPr>
            <w:tcW w:w="787" w:type="dxa"/>
          </w:tcPr>
          <w:p>
            <w:pPr>
              <w:pStyle w:val="TableParagraph"/>
              <w:rPr>
                <w:sz w:val="12"/>
              </w:rPr>
            </w:pPr>
          </w:p>
        </w:tc>
        <w:tc>
          <w:tcPr>
            <w:tcW w:w="775" w:type="dxa"/>
          </w:tcPr>
          <w:p>
            <w:pPr>
              <w:pStyle w:val="TableParagraph"/>
              <w:rPr>
                <w:sz w:val="12"/>
              </w:rPr>
            </w:pPr>
          </w:p>
        </w:tc>
        <w:tc>
          <w:tcPr>
            <w:tcW w:w="530" w:type="dxa"/>
          </w:tcPr>
          <w:p>
            <w:pPr>
              <w:pStyle w:val="TableParagraph"/>
              <w:rPr>
                <w:sz w:val="12"/>
              </w:rPr>
            </w:pPr>
          </w:p>
        </w:tc>
      </w:tr>
    </w:tbl>
    <w:p>
      <w:pPr>
        <w:spacing w:line="208" w:lineRule="auto" w:before="116"/>
        <w:ind w:left="425" w:right="0" w:hanging="240"/>
        <w:jc w:val="left"/>
        <w:rPr>
          <w:sz w:val="12"/>
        </w:rPr>
      </w:pPr>
      <w:r>
        <w:rPr>
          <w:color w:val="231F20"/>
          <w:sz w:val="12"/>
        </w:rPr>
        <w:t>(a) RPI inflation except for General public, for which the inflation measure is not specified.</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Heading8"/>
        <w:spacing w:line="249" w:lineRule="auto" w:before="99"/>
        <w:ind w:left="237" w:right="2345"/>
      </w:pPr>
      <w:r>
        <w:rPr>
          <w:color w:val="0093C1"/>
        </w:rPr>
        <w:t>Chart 3.7 Employment growth</w:t>
      </w:r>
    </w:p>
    <w:p>
      <w:pPr>
        <w:spacing w:line="79" w:lineRule="exact" w:before="77"/>
        <w:ind w:left="1922" w:right="0" w:firstLine="0"/>
        <w:jc w:val="left"/>
        <w:rPr>
          <w:sz w:val="12"/>
        </w:rPr>
      </w:pPr>
      <w:r>
        <w:rPr>
          <w:sz w:val="12"/>
        </w:rPr>
        <w:t>Percentage changes on a year earlier</w:t>
      </w:r>
    </w:p>
    <w:p>
      <w:pPr>
        <w:pStyle w:val="Heading4"/>
        <w:spacing w:line="242" w:lineRule="auto" w:before="227"/>
        <w:ind w:left="186" w:right="178"/>
      </w:pPr>
      <w:r>
        <w:rPr/>
        <w:br w:type="column"/>
      </w:r>
      <w:r>
        <w:rPr>
          <w:color w:val="231F20"/>
        </w:rPr>
        <w:t>Although wages are typically negotiated in nominal terms, it is the real wage (the nominal wage adjusted for inflation) that matters to both workers and employers.</w:t>
      </w:r>
    </w:p>
    <w:p>
      <w:pPr>
        <w:spacing w:line="242" w:lineRule="auto" w:before="4"/>
        <w:ind w:left="186" w:right="178" w:firstLine="0"/>
        <w:jc w:val="left"/>
        <w:rPr>
          <w:sz w:val="24"/>
        </w:rPr>
      </w:pPr>
      <w:r>
        <w:rPr>
          <w:color w:val="231F20"/>
          <w:sz w:val="24"/>
        </w:rPr>
        <w:t>So expectations about future inflation play a vital role in wage-bargaining. There is a wide range of survey-based estimates of inflation expectations, but these do not </w:t>
      </w:r>
      <w:r>
        <w:rPr>
          <w:color w:val="231F20"/>
          <w:spacing w:val="-3"/>
          <w:sz w:val="24"/>
        </w:rPr>
        <w:t>give </w:t>
      </w:r>
      <w:r>
        <w:rPr>
          <w:color w:val="231F20"/>
          <w:sz w:val="24"/>
        </w:rPr>
        <w:t>a well-defined level of inflation expectations. The Barclays Basix Survey (see </w:t>
      </w:r>
      <w:r>
        <w:rPr>
          <w:color w:val="231F20"/>
          <w:spacing w:val="-4"/>
          <w:sz w:val="24"/>
        </w:rPr>
        <w:t>Table </w:t>
      </w:r>
      <w:r>
        <w:rPr>
          <w:color w:val="231F20"/>
          <w:sz w:val="24"/>
        </w:rPr>
        <w:t>3.A) indicates that RPI inflation expectations for the next twelve and twenty four months have, on the whole, risen slightly during the past </w:t>
      </w:r>
      <w:r>
        <w:rPr>
          <w:color w:val="231F20"/>
          <w:spacing w:val="-3"/>
          <w:sz w:val="24"/>
        </w:rPr>
        <w:t>year.  </w:t>
      </w:r>
      <w:r>
        <w:rPr>
          <w:color w:val="231F20"/>
          <w:sz w:val="24"/>
        </w:rPr>
        <w:t>But as noted in Section 1, measures of inflation expectations for the next three years derived from index-linked bond markets </w:t>
      </w:r>
      <w:r>
        <w:rPr>
          <w:color w:val="231F20"/>
          <w:spacing w:val="-3"/>
          <w:sz w:val="24"/>
        </w:rPr>
        <w:t>have </w:t>
      </w:r>
      <w:r>
        <w:rPr>
          <w:color w:val="231F20"/>
          <w:spacing w:val="-4"/>
          <w:sz w:val="24"/>
        </w:rPr>
        <w:t>been </w:t>
      </w:r>
      <w:r>
        <w:rPr>
          <w:color w:val="231F20"/>
          <w:sz w:val="24"/>
        </w:rPr>
        <w:t>falling in the past 18 months, and averaged around 3% in </w:t>
      </w:r>
      <w:r>
        <w:rPr>
          <w:color w:val="231F20"/>
          <w:spacing w:val="-4"/>
          <w:sz w:val="24"/>
        </w:rPr>
        <w:t>July.</w:t>
      </w:r>
    </w:p>
    <w:p>
      <w:pPr>
        <w:pStyle w:val="BodyText"/>
        <w:spacing w:before="4"/>
        <w:rPr>
          <w:sz w:val="29"/>
        </w:rPr>
      </w:pPr>
    </w:p>
    <w:p>
      <w:pPr>
        <w:pStyle w:val="Heading2"/>
        <w:tabs>
          <w:tab w:pos="1562" w:val="left" w:leader="none"/>
        </w:tabs>
        <w:ind w:left="186"/>
      </w:pPr>
      <w:r>
        <w:rPr>
          <w:color w:val="009483"/>
          <w:u w:val="thick" w:color="0093C1"/>
        </w:rPr>
        <w:t>3.2</w:t>
        <w:tab/>
        <w:t>Unemployment and employment</w:t>
      </w:r>
      <w:r>
        <w:rPr>
          <w:color w:val="009483"/>
          <w:spacing w:val="-26"/>
          <w:u w:val="thick" w:color="0093C1"/>
        </w:rPr>
        <w:t> </w:t>
      </w:r>
    </w:p>
    <w:p>
      <w:pPr>
        <w:pStyle w:val="BodyText"/>
        <w:spacing w:before="11"/>
        <w:rPr>
          <w:b/>
          <w:sz w:val="23"/>
        </w:rPr>
      </w:pPr>
    </w:p>
    <w:p>
      <w:pPr>
        <w:spacing w:line="242" w:lineRule="auto" w:before="0"/>
        <w:ind w:left="186" w:right="193" w:firstLine="0"/>
        <w:jc w:val="left"/>
        <w:rPr>
          <w:sz w:val="24"/>
        </w:rPr>
      </w:pPr>
      <w:r>
        <w:rPr>
          <w:color w:val="231F20"/>
          <w:sz w:val="24"/>
        </w:rPr>
        <w:t>The labour market continued to tighten in the second quarter, according to most measures, though more slowly than last year. LFS unemployment, the MPC’s preferred measure, fell by 54,000 in the three months to May. That led to a further fall in the unemployment rate to 6.3%—below its lowest rate in the previous cycle.</w:t>
      </w:r>
    </w:p>
    <w:p>
      <w:pPr>
        <w:spacing w:line="242" w:lineRule="auto" w:before="8"/>
        <w:ind w:left="186" w:right="0" w:firstLine="0"/>
        <w:jc w:val="left"/>
        <w:rPr>
          <w:sz w:val="24"/>
        </w:rPr>
      </w:pPr>
      <w:r>
        <w:rPr>
          <w:color w:val="231F20"/>
          <w:sz w:val="24"/>
        </w:rPr>
        <w:t>The claimant-count measure of unemployment rose slightly by 700 in June, following a rise of 4,300 in May, which was the first rise in claimant unemployment since February 1996. But the rate of claimant unemployment remained unchanged at 4.8%, its lowest rate since</w:t>
      </w:r>
    </w:p>
    <w:p>
      <w:pPr>
        <w:spacing w:before="6"/>
        <w:ind w:left="186" w:right="0" w:firstLine="0"/>
        <w:jc w:val="left"/>
        <w:rPr>
          <w:sz w:val="24"/>
        </w:rPr>
      </w:pPr>
      <w:r>
        <w:rPr>
          <w:color w:val="231F20"/>
          <w:sz w:val="24"/>
        </w:rPr>
        <w:t>mid 1980.</w:t>
      </w:r>
    </w:p>
    <w:p>
      <w:pPr>
        <w:pStyle w:val="BodyText"/>
        <w:spacing w:before="8"/>
        <w:rPr>
          <w:sz w:val="24"/>
        </w:rPr>
      </w:pPr>
    </w:p>
    <w:p>
      <w:pPr>
        <w:spacing w:line="242" w:lineRule="auto" w:before="0"/>
        <w:ind w:left="186" w:right="173" w:firstLine="0"/>
        <w:jc w:val="left"/>
        <w:rPr>
          <w:sz w:val="24"/>
        </w:rPr>
      </w:pPr>
      <w:r>
        <w:rPr>
          <w:color w:val="231F20"/>
          <w:sz w:val="24"/>
        </w:rPr>
        <w:t>Employment has continued to rise, according to both the LFS and the Workforce jobs survey. Employment as measured by the LFS rose by 36,000, or 0.1%, in the three months to May. The rise in LFS employment has been concentrated in an increase in part-time workers— LFS full-time employment has been broadly stable since the beginning of the year. The LFS also contains</w:t>
      </w:r>
    </w:p>
    <w:p>
      <w:pPr>
        <w:spacing w:after="0" w:line="242" w:lineRule="auto"/>
        <w:jc w:val="left"/>
        <w:rPr>
          <w:sz w:val="24"/>
        </w:rPr>
        <w:sectPr>
          <w:type w:val="continuous"/>
          <w:pgSz w:w="11900" w:h="16840"/>
          <w:pgMar w:top="1220" w:bottom="280" w:left="620" w:right="640"/>
          <w:cols w:num="2" w:equalWidth="0">
            <w:col w:w="4364" w:space="464"/>
            <w:col w:w="5812"/>
          </w:cols>
        </w:sectPr>
      </w:pPr>
    </w:p>
    <w:p>
      <w:pPr>
        <w:pStyle w:val="BodyText"/>
        <w:spacing w:before="6"/>
        <w:rPr>
          <w:sz w:val="8"/>
        </w:rPr>
      </w:pPr>
    </w:p>
    <w:p>
      <w:pPr>
        <w:pStyle w:val="BodyText"/>
        <w:spacing w:line="20" w:lineRule="exact"/>
        <w:ind w:left="222"/>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spacing w:before="11"/>
        <w:rPr>
          <w:sz w:val="20"/>
        </w:rPr>
      </w:pPr>
      <w:r>
        <w:rPr/>
        <w:pict>
          <v:shape style="position:absolute;margin-left:42.360001pt;margin-top:14.257523pt;width:5pt;height:.1pt;mso-position-horizontal-relative:page;mso-position-vertical-relative:paragraph;z-index:-15513600;mso-wrap-distance-left:0;mso-wrap-distance-right:0" coordorigin="847,285" coordsize="100,0" path="m947,285l847,285e" filled="false" stroked="true" strokeweight=".5pt" strokecolor="#000000">
            <v:path arrowok="t"/>
            <v:stroke dashstyle="solid"/>
            <w10:wrap type="topAndBottom"/>
          </v:shape>
        </w:pict>
      </w:r>
      <w:r>
        <w:rPr/>
        <w:pict>
          <v:shape style="position:absolute;margin-left:42.360001pt;margin-top:29.257523pt;width:5pt;height:.1pt;mso-position-horizontal-relative:page;mso-position-vertical-relative:paragraph;z-index:-15513088;mso-wrap-distance-left:0;mso-wrap-distance-right:0" coordorigin="847,585" coordsize="100,0" path="m947,585l847,585e" filled="false" stroked="true" strokeweight=".5pt" strokecolor="#000000">
            <v:path arrowok="t"/>
            <v:stroke dashstyle="solid"/>
            <w10:wrap type="topAndBottom"/>
          </v:shape>
        </w:pict>
      </w:r>
      <w:r>
        <w:rPr/>
        <w:pict>
          <v:shape style="position:absolute;margin-left:42.360001pt;margin-top:44.257523pt;width:5pt;height:.1pt;mso-position-horizontal-relative:page;mso-position-vertical-relative:paragraph;z-index:-15512576;mso-wrap-distance-left:0;mso-wrap-distance-right:0" coordorigin="847,885" coordsize="100,0" path="m947,885l847,885e" filled="false" stroked="true" strokeweight=".5pt" strokecolor="#000000">
            <v:path arrowok="t"/>
            <v:stroke dashstyle="solid"/>
            <w10:wrap type="topAndBottom"/>
          </v:shape>
        </w:pict>
      </w:r>
      <w:r>
        <w:rPr/>
        <w:pict>
          <v:shape style="position:absolute;margin-left:42.360001pt;margin-top:59.257523pt;width:5pt;height:.1pt;mso-position-horizontal-relative:page;mso-position-vertical-relative:paragraph;z-index:-15512064;mso-wrap-distance-left:0;mso-wrap-distance-right:0" coordorigin="847,1185" coordsize="100,0" path="m947,1185l847,1185e" filled="false" stroked="true" strokeweight=".5pt" strokecolor="#000000">
            <v:path arrowok="t"/>
            <v:stroke dashstyle="solid"/>
            <w10:wrap type="topAndBottom"/>
          </v:shape>
        </w:pict>
      </w:r>
      <w:r>
        <w:rPr/>
        <w:pict>
          <v:shape style="position:absolute;margin-left:42.360001pt;margin-top:74.257523pt;width:5pt;height:.1pt;mso-position-horizontal-relative:page;mso-position-vertical-relative:paragraph;z-index:-15511552;mso-wrap-distance-left:0;mso-wrap-distance-right:0" coordorigin="847,1485" coordsize="100,0" path="m947,1485l847,1485e" filled="false" stroked="true" strokeweight=".5pt" strokecolor="#000000">
            <v:path arrowok="t"/>
            <v:stroke dashstyle="solid"/>
            <w10:wrap type="topAndBottom"/>
          </v:shape>
        </w:pict>
      </w:r>
      <w:r>
        <w:rPr/>
        <w:pict>
          <v:shape style="position:absolute;margin-left:42.360001pt;margin-top:89.257523pt;width:5pt;height:.1pt;mso-position-horizontal-relative:page;mso-position-vertical-relative:paragraph;z-index:-15511040;mso-wrap-distance-left:0;mso-wrap-distance-right:0" coordorigin="847,1785" coordsize="100,0" path="m947,1785l847,1785e" filled="false" stroked="true" strokeweight=".5pt" strokecolor="#000000">
            <v:path arrowok="t"/>
            <v:stroke dashstyle="solid"/>
            <w10:wrap type="topAndBottom"/>
          </v:shape>
        </w:pict>
      </w:r>
      <w:r>
        <w:rPr/>
        <w:pict>
          <v:shape style="position:absolute;margin-left:42.360001pt;margin-top:104.257523pt;width:5pt;height:.1pt;mso-position-horizontal-relative:page;mso-position-vertical-relative:paragraph;z-index:-15510528;mso-wrap-distance-left:0;mso-wrap-distance-right:0" coordorigin="847,2085" coordsize="100,0" path="m947,2085l847,2085e" filled="false" stroked="true" strokeweight=".5pt" strokecolor="#000000">
            <v:path arrowok="t"/>
            <v:stroke dashstyle="solid"/>
            <w10:wrap type="topAndBottom"/>
          </v:shape>
        </w:pict>
      </w:r>
      <w:r>
        <w:rPr/>
        <w:pict>
          <v:shape style="position:absolute;margin-left:42.360001pt;margin-top:119.257523pt;width:5pt;height:.1pt;mso-position-horizontal-relative:page;mso-position-vertical-relative:paragraph;z-index:-15510016;mso-wrap-distance-left:0;mso-wrap-distance-right:0" coordorigin="847,2385" coordsize="100,0" path="m947,2385l847,2385e" filled="false" stroked="true" strokeweight=".5pt" strokecolor="#000000">
            <v:path arrowok="t"/>
            <v:stroke dashstyle="solid"/>
            <w10:wrap type="topAndBottom"/>
          </v:shape>
        </w:pict>
      </w:r>
      <w:r>
        <w:rPr/>
        <w:pict>
          <v:shape style="position:absolute;margin-left:42.360001pt;margin-top:134.257523pt;width:5pt;height:.1pt;mso-position-horizontal-relative:page;mso-position-vertical-relative:paragraph;z-index:-15509504;mso-wrap-distance-left:0;mso-wrap-distance-right:0" coordorigin="847,2685" coordsize="100,0" path="m947,2685l847,2685e" filled="false" stroked="true" strokeweight=".5pt" strokecolor="#000000">
            <v:path arrowok="t"/>
            <v:stroke dashstyle="solid"/>
            <w10:wrap type="topAndBottom"/>
          </v:shape>
        </w:pict>
      </w:r>
      <w:r>
        <w:rPr/>
        <w:pict>
          <v:shape style="position:absolute;margin-left:42.360001pt;margin-top:149.257523pt;width:5pt;height:.1pt;mso-position-horizontal-relative:page;mso-position-vertical-relative:paragraph;z-index:-15508992;mso-wrap-distance-left:0;mso-wrap-distance-right:0" coordorigin="847,2985" coordsize="100,0" path="m947,2985l847,2985e" filled="false" stroked="true" strokeweight=".5pt" strokecolor="#000000">
            <v:path arrowok="t"/>
            <v:stroke dashstyle="solid"/>
            <w10:wrap type="topAndBottom"/>
          </v:shape>
        </w:pict>
      </w:r>
    </w:p>
    <w:p>
      <w:pPr>
        <w:pStyle w:val="BodyText"/>
        <w:spacing w:before="3"/>
        <w:rPr>
          <w:sz w:val="19"/>
        </w:rPr>
      </w:pPr>
    </w:p>
    <w:p>
      <w:pPr>
        <w:pStyle w:val="BodyText"/>
        <w:spacing w:before="3"/>
        <w:rPr>
          <w:sz w:val="19"/>
        </w:rPr>
      </w:pPr>
    </w:p>
    <w:p>
      <w:pPr>
        <w:pStyle w:val="BodyText"/>
        <w:spacing w:before="3"/>
        <w:rPr>
          <w:sz w:val="19"/>
        </w:rPr>
      </w:pPr>
    </w:p>
    <w:p>
      <w:pPr>
        <w:pStyle w:val="BodyText"/>
        <w:spacing w:before="3"/>
        <w:rPr>
          <w:sz w:val="19"/>
        </w:rPr>
      </w:pPr>
    </w:p>
    <w:p>
      <w:pPr>
        <w:pStyle w:val="BodyText"/>
        <w:spacing w:before="3"/>
        <w:rPr>
          <w:sz w:val="19"/>
        </w:rPr>
      </w:pPr>
    </w:p>
    <w:p>
      <w:pPr>
        <w:pStyle w:val="BodyText"/>
        <w:spacing w:before="3"/>
        <w:rPr>
          <w:sz w:val="19"/>
        </w:rPr>
      </w:pPr>
    </w:p>
    <w:p>
      <w:pPr>
        <w:pStyle w:val="BodyText"/>
        <w:spacing w:before="3"/>
        <w:rPr>
          <w:sz w:val="19"/>
        </w:rPr>
      </w:pPr>
    </w:p>
    <w:p>
      <w:pPr>
        <w:pStyle w:val="BodyText"/>
        <w:spacing w:before="3"/>
        <w:rPr>
          <w:sz w:val="19"/>
        </w:rPr>
      </w:pPr>
    </w:p>
    <w:p>
      <w:pPr>
        <w:pStyle w:val="BodyText"/>
        <w:spacing w:before="3"/>
        <w:rPr>
          <w:sz w:val="19"/>
        </w:rPr>
      </w:pPr>
    </w:p>
    <w:p>
      <w:pPr>
        <w:tabs>
          <w:tab w:pos="1763" w:val="left" w:leader="none"/>
          <w:tab w:pos="2637" w:val="left" w:leader="none"/>
          <w:tab w:pos="3270" w:val="left" w:leader="none"/>
        </w:tabs>
        <w:spacing w:before="0"/>
        <w:ind w:left="843" w:right="0" w:firstLine="0"/>
        <w:jc w:val="left"/>
        <w:rPr>
          <w:sz w:val="12"/>
        </w:rPr>
      </w:pPr>
      <w:r>
        <w:rPr>
          <w:sz w:val="12"/>
        </w:rPr>
        <w:t>1995</w:t>
        <w:tab/>
        <w:t>96</w:t>
        <w:tab/>
        <w:t>97</w:t>
        <w:tab/>
      </w:r>
      <w:r>
        <w:rPr>
          <w:spacing w:val="-10"/>
          <w:sz w:val="12"/>
        </w:rPr>
        <w:t>98</w:t>
      </w:r>
    </w:p>
    <w:p>
      <w:pPr>
        <w:spacing w:before="14"/>
        <w:ind w:left="279" w:right="0" w:firstLine="0"/>
        <w:jc w:val="left"/>
        <w:rPr>
          <w:sz w:val="12"/>
        </w:rPr>
      </w:pPr>
      <w:r>
        <w:rPr/>
        <w:br w:type="column"/>
      </w:r>
      <w:r>
        <w:rPr>
          <w:sz w:val="12"/>
        </w:rPr>
        <w:t>0.8</w:t>
      </w:r>
    </w:p>
    <w:p>
      <w:pPr>
        <w:pStyle w:val="BodyText"/>
        <w:spacing w:before="1"/>
        <w:rPr>
          <w:sz w:val="14"/>
        </w:rPr>
      </w:pPr>
    </w:p>
    <w:p>
      <w:pPr>
        <w:spacing w:before="0"/>
        <w:ind w:left="279" w:right="0" w:firstLine="0"/>
        <w:jc w:val="left"/>
        <w:rPr>
          <w:sz w:val="12"/>
        </w:rPr>
      </w:pPr>
      <w:r>
        <w:rPr/>
        <w:pict>
          <v:group style="position:absolute;margin-left:52.360001pt;margin-top:-.815436pt;width:151pt;height:129.5pt;mso-position-horizontal-relative:page;mso-position-vertical-relative:paragraph;z-index:15964672" coordorigin="1047,-16" coordsize="3020,2590">
            <v:line style="position:absolute" from="1047,2189" to="4067,2189" stroked="true" strokeweight=".5pt" strokecolor="#000000">
              <v:stroke dashstyle="solid"/>
            </v:line>
            <v:rect style="position:absolute;left:1087;top:1808;width:80;height:380" filled="true" fillcolor="#f89f6d" stroked="false">
              <v:fill type="solid"/>
            </v:rect>
            <v:rect style="position:absolute;left:1087;top:1808;width:80;height:380" filled="false" stroked="true" strokeweight=".5pt" strokecolor="#000000">
              <v:stroke dashstyle="solid"/>
            </v:rect>
            <v:rect style="position:absolute;left:1307;top:2008;width:80;height:180" filled="true" fillcolor="#f89f6d" stroked="false">
              <v:fill type="solid"/>
            </v:rect>
            <v:rect style="position:absolute;left:1307;top:2008;width:80;height:180" filled="false" stroked="true" strokeweight=".5pt" strokecolor="#000000">
              <v:stroke dashstyle="solid"/>
            </v:rect>
            <v:rect style="position:absolute;left:1519;top:2088;width:68;height:100" filled="true" fillcolor="#f89f6d" stroked="false">
              <v:fill type="solid"/>
            </v:rect>
            <v:rect style="position:absolute;left:1519;top:2088;width:68;height:100" filled="false" stroked="true" strokeweight=".5pt" strokecolor="#000000">
              <v:stroke dashstyle="solid"/>
            </v:rect>
            <v:rect style="position:absolute;left:1727;top:328;width:80;height:1860" filled="true" fillcolor="#f89f6d" stroked="false">
              <v:fill type="solid"/>
            </v:rect>
            <v:rect style="position:absolute;left:1727;top:328;width:80;height:1860" filled="false" stroked="true" strokeweight=".5pt" strokecolor="#000000">
              <v:stroke dashstyle="solid"/>
            </v:rect>
            <v:rect style="position:absolute;left:1947;top:2108;width:80;height:80" filled="true" fillcolor="#f89f6d" stroked="false">
              <v:fill type="solid"/>
            </v:rect>
            <v:rect style="position:absolute;left:1947;top:2108;width:80;height:80" filled="false" stroked="true" strokeweight=".5pt" strokecolor="#000000">
              <v:stroke dashstyle="solid"/>
            </v:rect>
            <v:rect style="position:absolute;left:2167;top:1168;width:80;height:1020" filled="true" fillcolor="#f89f6d" stroked="false">
              <v:fill type="solid"/>
            </v:rect>
            <v:rect style="position:absolute;left:2167;top:1168;width:80;height:1020" filled="false" stroked="true" strokeweight=".5pt" strokecolor="#000000">
              <v:stroke dashstyle="solid"/>
            </v:rect>
            <v:rect style="position:absolute;left:2373;top:-12;width:74;height:2200" filled="true" fillcolor="#f89f6d" stroked="false">
              <v:fill type="solid"/>
            </v:rect>
            <v:rect style="position:absolute;left:2373;top:-12;width:74;height:2200" filled="false" stroked="true" strokeweight=".5pt" strokecolor="#000000">
              <v:stroke dashstyle="solid"/>
            </v:rect>
            <v:rect style="position:absolute;left:2587;top:1128;width:80;height:1060" filled="true" fillcolor="#f89f6d" stroked="false">
              <v:fill type="solid"/>
            </v:rect>
            <v:rect style="position:absolute;left:2587;top:1128;width:80;height:1060" filled="false" stroked="true" strokeweight=".5pt" strokecolor="#000000">
              <v:stroke dashstyle="solid"/>
            </v:rect>
            <v:rect style="position:absolute;left:2807;top:1108;width:80;height:1080" filled="true" fillcolor="#f89f6d" stroked="false">
              <v:fill type="solid"/>
            </v:rect>
            <v:rect style="position:absolute;left:2807;top:1108;width:80;height:1080" filled="false" stroked="true" strokeweight=".5pt" strokecolor="#000000">
              <v:stroke dashstyle="solid"/>
            </v:rect>
            <v:rect style="position:absolute;left:3027;top:1588;width:80;height:600" filled="true" fillcolor="#f89f6d" stroked="false">
              <v:fill type="solid"/>
            </v:rect>
            <v:rect style="position:absolute;left:3027;top:1588;width:80;height:600" filled="false" stroked="true" strokeweight=".5pt" strokecolor="#000000">
              <v:stroke dashstyle="solid"/>
            </v:rect>
            <v:rect style="position:absolute;left:3240;top:848;width:74;height:1340" filled="true" fillcolor="#f89f6d" stroked="false">
              <v:fill type="solid"/>
            </v:rect>
            <v:rect style="position:absolute;left:3240;top:848;width:74;height:1340" filled="false" stroked="true" strokeweight=".5pt" strokecolor="#000000">
              <v:stroke dashstyle="solid"/>
            </v:rect>
            <v:rect style="position:absolute;left:3467;top:628;width:70;height:1560" filled="true" fillcolor="#f89f6d" stroked="false">
              <v:fill type="solid"/>
            </v:rect>
            <v:rect style="position:absolute;left:3467;top:628;width:70;height:1560" filled="false" stroked="true" strokeweight=".5pt" strokecolor="#000000">
              <v:stroke dashstyle="solid"/>
            </v:rect>
            <v:rect style="position:absolute;left:3667;top:908;width:80;height:1280" filled="true" fillcolor="#f89f6d" stroked="false">
              <v:fill type="solid"/>
            </v:rect>
            <v:rect style="position:absolute;left:3667;top:908;width:80;height:1280" filled="false" stroked="true" strokeweight=".5pt" strokecolor="#000000">
              <v:stroke dashstyle="solid"/>
            </v:rect>
            <v:rect style="position:absolute;left:1387;top:1148;width:70;height:1040" filled="true" fillcolor="#952e40" stroked="false">
              <v:fill type="solid"/>
            </v:rect>
            <v:rect style="position:absolute;left:1387;top:1148;width:70;height:1040" filled="false" stroked="true" strokeweight=".5pt" strokecolor="#000000">
              <v:stroke dashstyle="solid"/>
            </v:rect>
            <v:rect style="position:absolute;left:1587;top:1188;width:80;height:1000" filled="true" fillcolor="#952e40" stroked="false">
              <v:fill type="solid"/>
            </v:rect>
            <v:rect style="position:absolute;left:1587;top:1188;width:80;height:1000" filled="false" stroked="true" strokeweight=".5pt" strokecolor="#000000">
              <v:stroke dashstyle="solid"/>
            </v:rect>
            <v:rect style="position:absolute;left:1807;top:808;width:80;height:1380" filled="true" fillcolor="#952e40" stroked="false">
              <v:fill type="solid"/>
            </v:rect>
            <v:rect style="position:absolute;left:1807;top:808;width:80;height:1380" filled="false" stroked="true" strokeweight=".5pt" strokecolor="#000000">
              <v:stroke dashstyle="solid"/>
            </v:rect>
            <v:rect style="position:absolute;left:2027;top:2188;width:68;height:380" filled="true" fillcolor="#952e40" stroked="false">
              <v:fill type="solid"/>
            </v:rect>
            <v:rect style="position:absolute;left:2027;top:2188;width:68;height:380" filled="false" stroked="true" strokeweight=".5pt" strokecolor="#000000">
              <v:stroke dashstyle="solid"/>
            </v:rect>
            <v:rect style="position:absolute;left:2247;top:1668;width:60;height:520" filled="true" fillcolor="#952e40" stroked="false">
              <v:fill type="solid"/>
            </v:rect>
            <v:rect style="position:absolute;left:2247;top:1668;width:60;height:520" filled="false" stroked="true" strokeweight=".5pt" strokecolor="#000000">
              <v:stroke dashstyle="solid"/>
            </v:rect>
            <v:rect style="position:absolute;left:2447;top:908;width:80;height:1280" filled="true" fillcolor="#952e40" stroked="false">
              <v:fill type="solid"/>
            </v:rect>
            <v:rect style="position:absolute;left:2447;top:908;width:80;height:1280" filled="false" stroked="true" strokeweight=".5pt" strokecolor="#000000">
              <v:stroke dashstyle="solid"/>
            </v:rect>
            <v:rect style="position:absolute;left:2667;top:308;width:80;height:1880" filled="true" fillcolor="#952e40" stroked="false">
              <v:fill type="solid"/>
            </v:rect>
            <v:rect style="position:absolute;left:2667;top:308;width:80;height:1880" filled="false" stroked="true" strokeweight=".5pt" strokecolor="#000000">
              <v:stroke dashstyle="solid"/>
            </v:rect>
            <v:rect style="position:absolute;left:2887;top:548;width:70;height:1640" filled="true" fillcolor="#952e40" stroked="false">
              <v:fill type="solid"/>
            </v:rect>
            <v:rect style="position:absolute;left:2887;top:548;width:70;height:1640" filled="false" stroked="true" strokeweight=".5pt" strokecolor="#000000">
              <v:stroke dashstyle="solid"/>
            </v:rect>
            <v:rect style="position:absolute;left:3107;top:1228;width:74;height:960" filled="true" fillcolor="#952e40" stroked="false">
              <v:fill type="solid"/>
            </v:rect>
            <v:rect style="position:absolute;left:3107;top:1228;width:74;height:960" filled="false" stroked="true" strokeweight=".5pt" strokecolor="#000000">
              <v:stroke dashstyle="solid"/>
            </v:rect>
            <v:rect style="position:absolute;left:3313;top:966;width:80;height:1220" filled="true" fillcolor="#952e40" stroked="false">
              <v:fill type="solid"/>
            </v:rect>
            <v:rect style="position:absolute;left:3313;top:966;width:80;height:1220" filled="false" stroked="true" strokeweight=".5pt" strokecolor="#000000">
              <v:stroke dashstyle="solid"/>
            </v:rect>
            <v:rect style="position:absolute;left:3538;top:1666;width:80;height:520" filled="true" fillcolor="#952e40" stroked="false">
              <v:fill type="solid"/>
            </v:rect>
            <v:rect style="position:absolute;left:3538;top:1666;width:80;height:520" filled="false" stroked="true" strokeweight=".5pt" strokecolor="#000000">
              <v:stroke dashstyle="solid"/>
            </v:rect>
            <v:rect style="position:absolute;left:3747;top:1508;width:67;height:680" filled="true" fillcolor="#952e40" stroked="false">
              <v:fill type="solid"/>
            </v:rect>
            <v:rect style="position:absolute;left:3747;top:1508;width:67;height:680" filled="false" stroked="true" strokeweight=".5pt" strokecolor="#000000">
              <v:stroke dashstyle="solid"/>
            </v:rect>
            <v:rect style="position:absolute;left:3913;top:1888;width:80;height:300" filled="true" fillcolor="#952e40" stroked="false">
              <v:fill type="solid"/>
            </v:rect>
            <v:rect style="position:absolute;left:3913;top:1888;width:80;height:300" filled="false" stroked="true" strokeweight=".5pt" strokecolor="#000000">
              <v:stroke dashstyle="solid"/>
            </v:rect>
            <v:shape style="position:absolute;left:1597;top:38;width:770;height:133" type="#_x0000_t202" filled="false" stroked="false">
              <v:textbox inset="0,0,0,0">
                <w:txbxContent>
                  <w:p>
                    <w:pPr>
                      <w:spacing w:line="133" w:lineRule="exact" w:before="0"/>
                      <w:ind w:left="0" w:right="0" w:firstLine="0"/>
                      <w:jc w:val="left"/>
                      <w:rPr>
                        <w:sz w:val="12"/>
                      </w:rPr>
                    </w:pPr>
                    <w:r>
                      <w:rPr>
                        <w:sz w:val="12"/>
                      </w:rPr>
                      <w:t>Workforce jobs</w:t>
                    </w:r>
                  </w:p>
                </w:txbxContent>
              </v:textbox>
              <w10:wrap type="none"/>
            </v:shape>
            <v:shape style="position:absolute;left:2770;top:298;width:390;height:133" type="#_x0000_t202" filled="false" stroked="false">
              <v:textbox inset="0,0,0,0">
                <w:txbxContent>
                  <w:p>
                    <w:pPr>
                      <w:spacing w:line="133" w:lineRule="exact" w:before="0"/>
                      <w:ind w:left="0" w:right="0" w:firstLine="0"/>
                      <w:jc w:val="left"/>
                      <w:rPr>
                        <w:sz w:val="12"/>
                      </w:rPr>
                    </w:pPr>
                    <w:r>
                      <w:rPr>
                        <w:sz w:val="12"/>
                      </w:rPr>
                      <w:t>LFS (a)</w:t>
                    </w:r>
                  </w:p>
                </w:txbxContent>
              </v:textbox>
              <w10:wrap type="none"/>
            </v:shape>
            <v:shape style="position:absolute;left:3890;top:1738;width:160;height:133" type="#_x0000_t202" filled="false" stroked="false">
              <v:textbox inset="0,0,0,0">
                <w:txbxContent>
                  <w:p>
                    <w:pPr>
                      <w:spacing w:line="133" w:lineRule="exact" w:before="0"/>
                      <w:ind w:left="0" w:right="0" w:firstLine="0"/>
                      <w:jc w:val="left"/>
                      <w:rPr>
                        <w:sz w:val="12"/>
                      </w:rPr>
                    </w:pPr>
                    <w:r>
                      <w:rPr>
                        <w:color w:val="231F20"/>
                        <w:sz w:val="12"/>
                      </w:rPr>
                      <w:t>(b)</w:t>
                    </w:r>
                  </w:p>
                </w:txbxContent>
              </v:textbox>
              <w10:wrap type="none"/>
            </v:shape>
            <w10:wrap type="none"/>
          </v:group>
        </w:pict>
      </w:r>
      <w:r>
        <w:rPr/>
        <w:pict>
          <v:line style="position:absolute;mso-position-horizontal-relative:page;mso-position-vertical-relative:paragraph;z-index:15969792" from="214.360001pt,4.434564pt" to="209.360001pt,4.434564pt" stroked="true" strokeweight=".5pt" strokecolor="#000000">
            <v:stroke dashstyle="solid"/>
            <w10:wrap type="none"/>
          </v:line>
        </w:pict>
      </w:r>
      <w:r>
        <w:rPr/>
        <w:pict>
          <v:line style="position:absolute;mso-position-horizontal-relative:page;mso-position-vertical-relative:paragraph;z-index:15970304" from="214.360001pt,-10.565435pt" to="209.360001pt,-10.565435pt" stroked="true" strokeweight=".5pt" strokecolor="#000000">
            <v:stroke dashstyle="solid"/>
            <w10:wrap type="none"/>
          </v:line>
        </w:pict>
      </w:r>
      <w:r>
        <w:rPr>
          <w:sz w:val="12"/>
        </w:rPr>
        <w:t>0.7</w:t>
      </w:r>
    </w:p>
    <w:p>
      <w:pPr>
        <w:pStyle w:val="BodyText"/>
        <w:spacing w:before="1"/>
        <w:rPr>
          <w:sz w:val="14"/>
        </w:rPr>
      </w:pPr>
    </w:p>
    <w:p>
      <w:pPr>
        <w:spacing w:before="0"/>
        <w:ind w:left="279" w:right="0" w:firstLine="0"/>
        <w:jc w:val="left"/>
        <w:rPr>
          <w:sz w:val="12"/>
        </w:rPr>
      </w:pPr>
      <w:r>
        <w:rPr/>
        <w:pict>
          <v:line style="position:absolute;mso-position-horizontal-relative:page;mso-position-vertical-relative:paragraph;z-index:15969280" from="214.360001pt,4.434564pt" to="209.360001pt,4.434564pt" stroked="true" strokeweight=".5pt" strokecolor="#000000">
            <v:stroke dashstyle="solid"/>
            <w10:wrap type="none"/>
          </v:line>
        </w:pict>
      </w:r>
      <w:r>
        <w:rPr>
          <w:sz w:val="12"/>
        </w:rPr>
        <w:t>0.6</w:t>
      </w:r>
    </w:p>
    <w:p>
      <w:pPr>
        <w:pStyle w:val="BodyText"/>
        <w:spacing w:before="1"/>
        <w:rPr>
          <w:sz w:val="14"/>
        </w:rPr>
      </w:pPr>
    </w:p>
    <w:p>
      <w:pPr>
        <w:spacing w:before="0"/>
        <w:ind w:left="279" w:right="0" w:firstLine="0"/>
        <w:jc w:val="left"/>
        <w:rPr>
          <w:sz w:val="12"/>
        </w:rPr>
      </w:pPr>
      <w:r>
        <w:rPr/>
        <w:pict>
          <v:line style="position:absolute;mso-position-horizontal-relative:page;mso-position-vertical-relative:paragraph;z-index:15968768" from="214.360001pt,4.434564pt" to="209.360001pt,4.434564pt" stroked="true" strokeweight=".5pt" strokecolor="#000000">
            <v:stroke dashstyle="solid"/>
            <w10:wrap type="none"/>
          </v:line>
        </w:pict>
      </w:r>
      <w:r>
        <w:rPr>
          <w:sz w:val="12"/>
        </w:rPr>
        <w:t>0.5</w:t>
      </w:r>
    </w:p>
    <w:p>
      <w:pPr>
        <w:pStyle w:val="BodyText"/>
        <w:spacing w:before="1"/>
        <w:rPr>
          <w:sz w:val="14"/>
        </w:rPr>
      </w:pPr>
    </w:p>
    <w:p>
      <w:pPr>
        <w:spacing w:before="0"/>
        <w:ind w:left="279" w:right="0" w:firstLine="0"/>
        <w:jc w:val="left"/>
        <w:rPr>
          <w:sz w:val="12"/>
        </w:rPr>
      </w:pPr>
      <w:r>
        <w:rPr/>
        <w:pict>
          <v:line style="position:absolute;mso-position-horizontal-relative:page;mso-position-vertical-relative:paragraph;z-index:15968256" from="214.360001pt,4.434564pt" to="209.360001pt,4.434564pt" stroked="true" strokeweight=".5pt" strokecolor="#000000">
            <v:stroke dashstyle="solid"/>
            <w10:wrap type="none"/>
          </v:line>
        </w:pict>
      </w:r>
      <w:r>
        <w:rPr>
          <w:sz w:val="12"/>
        </w:rPr>
        <w:t>0.4</w:t>
      </w:r>
    </w:p>
    <w:p>
      <w:pPr>
        <w:pStyle w:val="BodyText"/>
        <w:spacing w:before="1"/>
        <w:rPr>
          <w:sz w:val="14"/>
        </w:rPr>
      </w:pPr>
    </w:p>
    <w:p>
      <w:pPr>
        <w:spacing w:before="0"/>
        <w:ind w:left="279" w:right="0" w:firstLine="0"/>
        <w:jc w:val="left"/>
        <w:rPr>
          <w:sz w:val="12"/>
        </w:rPr>
      </w:pPr>
      <w:r>
        <w:rPr/>
        <w:pict>
          <v:line style="position:absolute;mso-position-horizontal-relative:page;mso-position-vertical-relative:paragraph;z-index:15967744" from="214.360001pt,4.434564pt" to="209.360001pt,4.434564pt" stroked="true" strokeweight=".5pt" strokecolor="#000000">
            <v:stroke dashstyle="solid"/>
            <w10:wrap type="none"/>
          </v:line>
        </w:pict>
      </w:r>
      <w:r>
        <w:rPr>
          <w:sz w:val="12"/>
        </w:rPr>
        <w:t>0.3</w:t>
      </w:r>
    </w:p>
    <w:p>
      <w:pPr>
        <w:pStyle w:val="BodyText"/>
        <w:spacing w:before="10"/>
        <w:rPr>
          <w:sz w:val="15"/>
        </w:rPr>
      </w:pPr>
    </w:p>
    <w:p>
      <w:pPr>
        <w:spacing w:before="0"/>
        <w:ind w:left="279" w:right="0" w:firstLine="0"/>
        <w:jc w:val="left"/>
        <w:rPr>
          <w:sz w:val="12"/>
        </w:rPr>
      </w:pPr>
      <w:r>
        <w:rPr/>
        <w:pict>
          <v:line style="position:absolute;mso-position-horizontal-relative:page;mso-position-vertical-relative:paragraph;z-index:15967232" from="214.360001pt,3.434564pt" to="209.360001pt,3.434564pt" stroked="true" strokeweight=".5pt" strokecolor="#000000">
            <v:stroke dashstyle="solid"/>
            <w10:wrap type="none"/>
          </v:line>
        </w:pict>
      </w:r>
      <w:r>
        <w:rPr>
          <w:sz w:val="12"/>
        </w:rPr>
        <w:t>0.2</w:t>
      </w:r>
    </w:p>
    <w:p>
      <w:pPr>
        <w:pStyle w:val="BodyText"/>
        <w:spacing w:before="4"/>
        <w:rPr>
          <w:sz w:val="12"/>
        </w:rPr>
      </w:pPr>
    </w:p>
    <w:p>
      <w:pPr>
        <w:spacing w:before="0"/>
        <w:ind w:left="279" w:right="0" w:firstLine="0"/>
        <w:jc w:val="left"/>
        <w:rPr>
          <w:sz w:val="12"/>
        </w:rPr>
      </w:pPr>
      <w:r>
        <w:rPr/>
        <w:pict>
          <v:line style="position:absolute;mso-position-horizontal-relative:page;mso-position-vertical-relative:paragraph;z-index:15966720" from="214.360001pt,4.434564pt" to="209.360001pt,4.434564pt" stroked="true" strokeweight=".5pt" strokecolor="#000000">
            <v:stroke dashstyle="solid"/>
            <w10:wrap type="none"/>
          </v:line>
        </w:pict>
      </w:r>
      <w:r>
        <w:rPr>
          <w:sz w:val="12"/>
        </w:rPr>
        <w:t>0.1</w:t>
      </w:r>
    </w:p>
    <w:p>
      <w:pPr>
        <w:spacing w:line="181" w:lineRule="exact" w:before="4"/>
        <w:ind w:left="234" w:right="0" w:firstLine="0"/>
        <w:jc w:val="left"/>
        <w:rPr>
          <w:sz w:val="16"/>
        </w:rPr>
      </w:pPr>
      <w:r>
        <w:rPr>
          <w:sz w:val="16"/>
        </w:rPr>
        <w:t>+</w:t>
      </w:r>
    </w:p>
    <w:p>
      <w:pPr>
        <w:spacing w:line="117" w:lineRule="exact" w:before="0"/>
        <w:ind w:left="279" w:right="0" w:firstLine="0"/>
        <w:jc w:val="left"/>
        <w:rPr>
          <w:sz w:val="12"/>
        </w:rPr>
      </w:pPr>
      <w:r>
        <w:rPr/>
        <w:pict>
          <v:line style="position:absolute;mso-position-horizontal-relative:page;mso-position-vertical-relative:paragraph;z-index:15966208" from="214.360001pt,3.268548pt" to="209.360001pt,3.268548pt" stroked="true" strokeweight=".5pt" strokecolor="#000000">
            <v:stroke dashstyle="solid"/>
            <w10:wrap type="none"/>
          </v:line>
        </w:pict>
      </w:r>
      <w:r>
        <w:rPr>
          <w:sz w:val="12"/>
        </w:rPr>
        <w:t>0.0</w:t>
      </w:r>
    </w:p>
    <w:p>
      <w:pPr>
        <w:spacing w:line="166" w:lineRule="exact" w:before="0"/>
        <w:ind w:left="239" w:right="0" w:firstLine="0"/>
        <w:jc w:val="left"/>
        <w:rPr>
          <w:sz w:val="16"/>
        </w:rPr>
      </w:pPr>
      <w:r>
        <w:rPr>
          <w:color w:val="231F20"/>
          <w:sz w:val="16"/>
        </w:rPr>
        <w:t>–</w:t>
      </w:r>
    </w:p>
    <w:p>
      <w:pPr>
        <w:spacing w:before="14"/>
        <w:ind w:left="279" w:right="0" w:firstLine="0"/>
        <w:jc w:val="left"/>
        <w:rPr>
          <w:sz w:val="12"/>
        </w:rPr>
      </w:pPr>
      <w:r>
        <w:rPr/>
        <w:pict>
          <v:line style="position:absolute;mso-position-horizontal-relative:page;mso-position-vertical-relative:paragraph;z-index:15965184" from="214.360001pt,4.134564pt" to="209.360001pt,4.134564pt" stroked="true" strokeweight=".5pt" strokecolor="#000000">
            <v:stroke dashstyle="solid"/>
            <w10:wrap type="none"/>
          </v:line>
        </w:pict>
      </w:r>
      <w:r>
        <w:rPr>
          <w:sz w:val="12"/>
        </w:rPr>
        <w:t>0.1</w:t>
      </w:r>
    </w:p>
    <w:p>
      <w:pPr>
        <w:pStyle w:val="BodyText"/>
        <w:spacing w:before="1"/>
        <w:rPr>
          <w:sz w:val="14"/>
        </w:rPr>
      </w:pPr>
    </w:p>
    <w:p>
      <w:pPr>
        <w:spacing w:before="0"/>
        <w:ind w:left="279" w:right="0" w:firstLine="0"/>
        <w:jc w:val="left"/>
        <w:rPr>
          <w:sz w:val="12"/>
        </w:rPr>
      </w:pPr>
      <w:r>
        <w:rPr/>
        <w:pict>
          <v:line style="position:absolute;mso-position-horizontal-relative:page;mso-position-vertical-relative:paragraph;z-index:15965696" from="214.360001pt,3.434564pt" to="209.360001pt,3.434564pt" stroked="true" strokeweight=".5pt" strokecolor="#000000">
            <v:stroke dashstyle="solid"/>
            <w10:wrap type="none"/>
          </v:line>
        </w:pict>
      </w:r>
      <w:r>
        <w:rPr/>
        <w:pict>
          <v:shape style="position:absolute;margin-left:52.360001pt;margin-top:-.565436pt;width:151pt;height:4pt;mso-position-horizontal-relative:page;mso-position-vertical-relative:paragraph;z-index:15970816" coordorigin="1047,-11" coordsize="3020,80" path="m1167,69l1167,29m1167,69l1167,-11m1387,69l1387,29m1587,69l1587,29m1807,69l1807,29m2027,69l2027,29m2027,69l2027,-11m2247,69l2247,29m2447,69l2447,29m2667,69l2667,29m2887,69l2887,29m2887,69l2887,-11m3107,69l3107,29m3307,69l3307,29m3527,69l3527,29m3747,69l3747,29m3747,69l3747,-11m3967,69l3967,29m4067,69l1047,69e" filled="false" stroked="true" strokeweight=".5pt" strokecolor="#000000">
            <v:path arrowok="t"/>
            <v:stroke dashstyle="solid"/>
            <w10:wrap type="none"/>
          </v:shape>
        </w:pict>
      </w:r>
      <w:r>
        <w:rPr>
          <w:sz w:val="12"/>
        </w:rPr>
        <w:t>0.2</w:t>
      </w:r>
    </w:p>
    <w:p>
      <w:pPr>
        <w:pStyle w:val="Heading4"/>
        <w:spacing w:line="242" w:lineRule="auto"/>
        <w:ind w:left="843" w:right="215"/>
      </w:pPr>
      <w:r>
        <w:rPr/>
        <w:br w:type="column"/>
      </w:r>
      <w:r>
        <w:rPr>
          <w:color w:val="231F20"/>
        </w:rPr>
        <w:t>information on the total number of hours worked, which is a good measure of labour usage, as it includes changes in overtime work and the balance between</w:t>
      </w:r>
    </w:p>
    <w:p>
      <w:pPr>
        <w:spacing w:line="242" w:lineRule="auto" w:before="0"/>
        <w:ind w:left="843" w:right="272" w:firstLine="0"/>
        <w:jc w:val="both"/>
        <w:rPr>
          <w:sz w:val="24"/>
        </w:rPr>
      </w:pPr>
      <w:r>
        <w:rPr>
          <w:color w:val="231F20"/>
          <w:sz w:val="24"/>
        </w:rPr>
        <w:t>part-time and full-time workers. </w:t>
      </w:r>
      <w:r>
        <w:rPr>
          <w:color w:val="231F20"/>
          <w:spacing w:val="-4"/>
          <w:sz w:val="24"/>
        </w:rPr>
        <w:t>Total </w:t>
      </w:r>
      <w:r>
        <w:rPr>
          <w:color w:val="231F20"/>
          <w:sz w:val="24"/>
        </w:rPr>
        <w:t>hours worked in the economy rose by 0.3% in the three months to </w:t>
      </w:r>
      <w:r>
        <w:rPr>
          <w:color w:val="231F20"/>
          <w:spacing w:val="-4"/>
          <w:sz w:val="24"/>
        </w:rPr>
        <w:t>May, </w:t>
      </w:r>
      <w:r>
        <w:rPr>
          <w:color w:val="231F20"/>
          <w:sz w:val="24"/>
        </w:rPr>
        <w:t>and by 1.0% compared with a year ago. The number </w:t>
      </w:r>
      <w:r>
        <w:rPr>
          <w:color w:val="231F20"/>
          <w:spacing w:val="-9"/>
          <w:sz w:val="24"/>
        </w:rPr>
        <w:t>of </w:t>
      </w:r>
      <w:r>
        <w:rPr>
          <w:color w:val="231F20"/>
          <w:sz w:val="24"/>
        </w:rPr>
        <w:t>hours worked has risen strongly since 1994, but the </w:t>
      </w:r>
      <w:r>
        <w:rPr>
          <w:color w:val="231F20"/>
          <w:spacing w:val="-4"/>
          <w:sz w:val="24"/>
        </w:rPr>
        <w:t>rate </w:t>
      </w:r>
      <w:r>
        <w:rPr>
          <w:color w:val="231F20"/>
          <w:sz w:val="24"/>
        </w:rPr>
        <w:t>of increase appears to </w:t>
      </w:r>
      <w:r>
        <w:rPr>
          <w:color w:val="231F20"/>
          <w:spacing w:val="-3"/>
          <w:sz w:val="24"/>
        </w:rPr>
        <w:t>have </w:t>
      </w:r>
      <w:r>
        <w:rPr>
          <w:color w:val="231F20"/>
          <w:sz w:val="24"/>
        </w:rPr>
        <w:t>begun to flatten off.</w:t>
      </w:r>
    </w:p>
    <w:p>
      <w:pPr>
        <w:pStyle w:val="BodyText"/>
        <w:spacing w:before="4"/>
        <w:rPr>
          <w:sz w:val="24"/>
        </w:rPr>
      </w:pPr>
    </w:p>
    <w:p>
      <w:pPr>
        <w:spacing w:line="242" w:lineRule="auto" w:before="0"/>
        <w:ind w:left="843" w:right="235" w:firstLine="0"/>
        <w:jc w:val="left"/>
        <w:rPr>
          <w:sz w:val="24"/>
        </w:rPr>
      </w:pPr>
      <w:r>
        <w:rPr>
          <w:color w:val="231F20"/>
          <w:sz w:val="24"/>
        </w:rPr>
        <w:t>The Workforce jobs survey showed a stronger rise in employment than the LFS in 1998 Q1. The number of jobs rose by 116,000, or 0.4%, the same rate of increase</w:t>
      </w:r>
    </w:p>
    <w:p>
      <w:pPr>
        <w:spacing w:after="0" w:line="242" w:lineRule="auto"/>
        <w:jc w:val="left"/>
        <w:rPr>
          <w:sz w:val="24"/>
        </w:rPr>
        <w:sectPr>
          <w:type w:val="continuous"/>
          <w:pgSz w:w="11900" w:h="16840"/>
          <w:pgMar w:top="1220" w:bottom="280" w:left="620" w:right="640"/>
          <w:cols w:num="3" w:equalWidth="0">
            <w:col w:w="3391" w:space="40"/>
            <w:col w:w="470" w:space="269"/>
            <w:col w:w="6470"/>
          </w:cols>
        </w:sectPr>
      </w:pPr>
    </w:p>
    <w:p>
      <w:pPr>
        <w:pStyle w:val="ListParagraph"/>
        <w:numPr>
          <w:ilvl w:val="0"/>
          <w:numId w:val="25"/>
        </w:numPr>
        <w:tabs>
          <w:tab w:pos="463" w:val="left" w:leader="none"/>
        </w:tabs>
        <w:spacing w:line="104" w:lineRule="exact" w:before="0" w:after="0"/>
        <w:ind w:left="462" w:right="0" w:hanging="241"/>
        <w:jc w:val="left"/>
        <w:rPr>
          <w:sz w:val="12"/>
        </w:rPr>
      </w:pPr>
      <w:r>
        <w:rPr>
          <w:color w:val="231F20"/>
          <w:sz w:val="12"/>
        </w:rPr>
        <w:t>LFS data is centred around March, June, September and December.</w:t>
      </w:r>
    </w:p>
    <w:p>
      <w:pPr>
        <w:pStyle w:val="ListParagraph"/>
        <w:numPr>
          <w:ilvl w:val="0"/>
          <w:numId w:val="25"/>
        </w:numPr>
        <w:tabs>
          <w:tab w:pos="463" w:val="left" w:leader="none"/>
        </w:tabs>
        <w:spacing w:line="129" w:lineRule="exact" w:before="0" w:after="0"/>
        <w:ind w:left="462" w:right="0" w:hanging="241"/>
        <w:jc w:val="left"/>
        <w:rPr>
          <w:sz w:val="12"/>
        </w:rPr>
      </w:pPr>
      <w:r>
        <w:rPr>
          <w:color w:val="231F20"/>
          <w:sz w:val="12"/>
        </w:rPr>
        <w:t>March to May.</w:t>
      </w:r>
    </w:p>
    <w:p>
      <w:pPr>
        <w:pStyle w:val="Heading4"/>
        <w:spacing w:before="4"/>
        <w:ind w:left="222"/>
      </w:pPr>
      <w:r>
        <w:rPr/>
        <w:br w:type="column"/>
      </w:r>
      <w:r>
        <w:rPr>
          <w:color w:val="231F20"/>
        </w:rPr>
        <w:t>as in the previous year (see Chart 3.7). The difference</w:t>
      </w:r>
    </w:p>
    <w:p>
      <w:pPr>
        <w:spacing w:after="0"/>
        <w:sectPr>
          <w:type w:val="continuous"/>
          <w:pgSz w:w="11900" w:h="16840"/>
          <w:pgMar w:top="1220" w:bottom="280" w:left="620" w:right="640"/>
          <w:cols w:num="2" w:equalWidth="0">
            <w:col w:w="3749" w:space="1043"/>
            <w:col w:w="5848"/>
          </w:cols>
        </w:sectPr>
      </w:pPr>
    </w:p>
    <w:p>
      <w:pPr>
        <w:pStyle w:val="BodyText"/>
        <w:rPr>
          <w:sz w:val="20"/>
        </w:rPr>
      </w:pPr>
    </w:p>
    <w:p>
      <w:pPr>
        <w:spacing w:after="0"/>
        <w:rPr>
          <w:sz w:val="20"/>
        </w:rPr>
        <w:sectPr>
          <w:pgSz w:w="11900" w:h="16840"/>
          <w:pgMar w:header="586" w:footer="617" w:top="780" w:bottom="800" w:left="620" w:right="640"/>
        </w:sectPr>
      </w:pPr>
    </w:p>
    <w:p>
      <w:pPr>
        <w:pStyle w:val="BodyText"/>
        <w:spacing w:before="6"/>
        <w:rPr>
          <w:sz w:val="20"/>
        </w:rPr>
      </w:pPr>
    </w:p>
    <w:p>
      <w:pPr>
        <w:pStyle w:val="Heading8"/>
        <w:spacing w:before="0"/>
        <w:ind w:left="205"/>
      </w:pPr>
      <w:r>
        <w:rPr>
          <w:color w:val="0093C1"/>
        </w:rPr>
        <w:t>Chart 3.8</w:t>
      </w:r>
    </w:p>
    <w:p>
      <w:pPr>
        <w:spacing w:before="10"/>
        <w:ind w:left="205" w:right="0" w:firstLine="0"/>
        <w:jc w:val="left"/>
        <w:rPr>
          <w:b/>
          <w:sz w:val="20"/>
        </w:rPr>
      </w:pPr>
      <w:r>
        <w:rPr/>
        <w:pict>
          <v:line style="position:absolute;mso-position-horizontal-relative:page;mso-position-vertical-relative:paragraph;z-index:-20938752" from="207.447006pt,24.387947pt" to="203.447006pt,24.387947pt" stroked="true" strokeweight=".5pt" strokecolor="#000000">
            <v:stroke dashstyle="solid"/>
            <w10:wrap type="none"/>
          </v:line>
        </w:pict>
      </w:r>
      <w:r>
        <w:rPr>
          <w:b/>
          <w:color w:val="0093C1"/>
          <w:sz w:val="20"/>
        </w:rPr>
        <w:t>C</w:t>
      </w:r>
      <w:r>
        <w:rPr>
          <w:b/>
          <w:color w:val="0093C1"/>
          <w:sz w:val="16"/>
        </w:rPr>
        <w:t>IPS </w:t>
      </w:r>
      <w:r>
        <w:rPr>
          <w:b/>
          <w:color w:val="0093C1"/>
          <w:sz w:val="20"/>
        </w:rPr>
        <w:t>survey employment index</w:t>
      </w:r>
    </w:p>
    <w:p>
      <w:pPr>
        <w:pStyle w:val="BodyText"/>
        <w:spacing w:before="8" w:after="40"/>
        <w:rPr>
          <w:b/>
          <w:sz w:val="17"/>
        </w:rPr>
      </w:pPr>
    </w:p>
    <w:p>
      <w:pPr>
        <w:pStyle w:val="BodyText"/>
        <w:spacing w:line="20" w:lineRule="exact"/>
        <w:ind w:left="189"/>
        <w:rPr>
          <w:sz w:val="2"/>
        </w:rPr>
      </w:pPr>
      <w:r>
        <w:rPr>
          <w:sz w:val="2"/>
        </w:rPr>
        <w:pict>
          <v:group style="width:4pt;height:.5pt;mso-position-horizontal-relative:char;mso-position-vertical-relative:line" coordorigin="0,0" coordsize="80,10">
            <v:line style="position:absolute" from="80,5" to="0,5" stroked="true" strokeweight=".5pt" strokecolor="#000000">
              <v:stroke dashstyle="solid"/>
            </v:line>
          </v:group>
        </w:pict>
      </w:r>
      <w:r>
        <w:rPr>
          <w:sz w:val="2"/>
        </w:rPr>
      </w:r>
    </w:p>
    <w:p>
      <w:pPr>
        <w:pStyle w:val="BodyText"/>
        <w:rPr>
          <w:b/>
          <w:sz w:val="22"/>
        </w:rPr>
      </w:pPr>
      <w:r>
        <w:rPr/>
        <w:br w:type="column"/>
      </w:r>
      <w:r>
        <w:rPr>
          <w:b/>
          <w:sz w:val="22"/>
        </w:rPr>
      </w:r>
    </w:p>
    <w:p>
      <w:pPr>
        <w:pStyle w:val="BodyText"/>
        <w:rPr>
          <w:b/>
          <w:sz w:val="22"/>
        </w:rPr>
      </w:pPr>
    </w:p>
    <w:p>
      <w:pPr>
        <w:pStyle w:val="BodyText"/>
        <w:spacing w:before="10"/>
        <w:rPr>
          <w:b/>
          <w:sz w:val="24"/>
        </w:rPr>
      </w:pPr>
    </w:p>
    <w:p>
      <w:pPr>
        <w:spacing w:before="0"/>
        <w:ind w:left="205" w:right="0" w:firstLine="0"/>
        <w:jc w:val="left"/>
        <w:rPr>
          <w:sz w:val="12"/>
        </w:rPr>
      </w:pPr>
      <w:r>
        <w:rPr>
          <w:sz w:val="12"/>
        </w:rPr>
        <w:t>Index (a) </w:t>
      </w:r>
      <w:r>
        <w:rPr>
          <w:position w:val="-8"/>
          <w:sz w:val="12"/>
        </w:rPr>
        <w:t>58</w:t>
      </w:r>
    </w:p>
    <w:p>
      <w:pPr>
        <w:pStyle w:val="Heading4"/>
        <w:spacing w:line="242" w:lineRule="auto" w:before="217"/>
        <w:ind w:left="205" w:right="89"/>
      </w:pPr>
      <w:r>
        <w:rPr/>
        <w:br w:type="column"/>
      </w:r>
      <w:r>
        <w:rPr>
          <w:color w:val="231F20"/>
        </w:rPr>
        <w:t>between the two measures was accounted for by differences in the numbers of self-employed. The recorded increase in the number of employees was very similar in both measures.</w:t>
      </w:r>
    </w:p>
    <w:p>
      <w:pPr>
        <w:spacing w:after="0" w:line="242" w:lineRule="auto"/>
        <w:sectPr>
          <w:type w:val="continuous"/>
          <w:pgSz w:w="11900" w:h="16840"/>
          <w:pgMar w:top="1220" w:bottom="280" w:left="620" w:right="640"/>
          <w:cols w:num="3" w:equalWidth="0">
            <w:col w:w="2838" w:space="54"/>
            <w:col w:w="868" w:space="1028"/>
            <w:col w:w="5852"/>
          </w:cols>
        </w:sectPr>
      </w:pPr>
    </w:p>
    <w:p>
      <w:pPr>
        <w:pStyle w:val="BodyText"/>
        <w:spacing w:before="9"/>
        <w:rPr>
          <w:sz w:val="12"/>
        </w:rPr>
      </w:pPr>
    </w:p>
    <w:p>
      <w:pPr>
        <w:spacing w:before="0"/>
        <w:ind w:left="0" w:right="504" w:firstLine="0"/>
        <w:jc w:val="right"/>
        <w:rPr>
          <w:sz w:val="12"/>
        </w:rPr>
      </w:pPr>
      <w:r>
        <w:rPr/>
        <w:pict>
          <v:line style="position:absolute;mso-position-horizontal-relative:page;mso-position-vertical-relative:paragraph;z-index:15985664" from="44.737999pt,3.747562pt" to="40.737999pt,3.747562pt" stroked="true" strokeweight=".5pt" strokecolor="#000000">
            <v:stroke dashstyle="solid"/>
            <w10:wrap type="none"/>
          </v:line>
        </w:pict>
      </w:r>
      <w:r>
        <w:rPr/>
        <w:pict>
          <v:group style="position:absolute;margin-left:48.279999pt;margin-top:5.226563pt;width:151pt;height:92.7pt;mso-position-horizontal-relative:page;mso-position-vertical-relative:paragraph;z-index:15986688" coordorigin="966,105" coordsize="3020,1854">
            <v:shape style="position:absolute;left:975;top:114;width:3000;height:1780" coordorigin="976,115" coordsize="3000,1780" path="m976,1555l1076,1315,1176,775,1276,135,1376,1895,1476,775,1576,755,1676,115,1776,235,1876,375,1976,755,2076,435,2176,475,2276,235,2376,295,2476,435,2576,415,2676,615,2776,655,2876,655,2976,955,3076,915,3176,775,3276,715,3376,775,3476,755,3576,615,3676,895,3776,775,3876,915,3976,1255e" filled="false" stroked="true" strokeweight="1pt" strokecolor="#0099d8">
              <v:path arrowok="t"/>
              <v:stroke dashstyle="solid"/>
            </v:shape>
            <v:shape style="position:absolute;left:965;top:104;width:3020;height:1854" type="#_x0000_t202" filled="false" stroked="false">
              <v:textbox inset="0,0,0,0">
                <w:txbxContent>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2"/>
                      <w:rPr>
                        <w:sz w:val="17"/>
                      </w:rPr>
                    </w:pPr>
                  </w:p>
                  <w:p>
                    <w:pPr>
                      <w:tabs>
                        <w:tab w:pos="3009" w:val="left" w:leader="none"/>
                      </w:tabs>
                      <w:spacing w:before="0"/>
                      <w:ind w:left="10" w:right="0" w:firstLine="0"/>
                      <w:jc w:val="left"/>
                      <w:rPr>
                        <w:sz w:val="12"/>
                      </w:rPr>
                    </w:pPr>
                    <w:r>
                      <w:rPr>
                        <w:sz w:val="12"/>
                        <w:u w:val="dotted"/>
                      </w:rPr>
                      <w:t> </w:t>
                      <w:tab/>
                    </w:r>
                  </w:p>
                </w:txbxContent>
              </v:textbox>
              <w10:wrap type="none"/>
            </v:shape>
            <w10:wrap type="none"/>
          </v:group>
        </w:pict>
      </w:r>
      <w:r>
        <w:rPr>
          <w:sz w:val="12"/>
        </w:rPr>
        <w:t>56</w:t>
      </w:r>
    </w:p>
    <w:p>
      <w:pPr>
        <w:pStyle w:val="BodyText"/>
        <w:rPr>
          <w:sz w:val="12"/>
        </w:rPr>
      </w:pPr>
    </w:p>
    <w:p>
      <w:pPr>
        <w:pStyle w:val="BodyText"/>
        <w:rPr>
          <w:sz w:val="12"/>
        </w:rPr>
      </w:pPr>
    </w:p>
    <w:p>
      <w:pPr>
        <w:pStyle w:val="BodyText"/>
        <w:spacing w:before="2"/>
        <w:rPr>
          <w:sz w:val="16"/>
        </w:rPr>
      </w:pPr>
    </w:p>
    <w:p>
      <w:pPr>
        <w:spacing w:before="0"/>
        <w:ind w:left="0" w:right="504" w:firstLine="0"/>
        <w:jc w:val="right"/>
        <w:rPr>
          <w:sz w:val="12"/>
        </w:rPr>
      </w:pPr>
      <w:r>
        <w:rPr/>
        <w:pict>
          <v:shape style="position:absolute;margin-left:203.447006pt;margin-top:3.768563pt;width:4pt;height:.1pt;mso-position-horizontal-relative:page;mso-position-vertical-relative:paragraph;z-index:15985152" coordorigin="4069,75" coordsize="80,0" path="m4149,75l4069,75m4149,75l4069,75e" filled="false" stroked="true" strokeweight=".5pt" strokecolor="#000000">
            <v:path arrowok="t"/>
            <v:stroke dashstyle="solid"/>
            <w10:wrap type="none"/>
          </v:shape>
        </w:pict>
      </w:r>
      <w:r>
        <w:rPr/>
        <w:pict>
          <v:line style="position:absolute;mso-position-horizontal-relative:page;mso-position-vertical-relative:paragraph;z-index:15989760" from="44.737999pt,3.747562pt" to="40.737999pt,3.747562pt" stroked="true" strokeweight=".5pt" strokecolor="#000000">
            <v:stroke dashstyle="solid"/>
            <w10:wrap type="none"/>
          </v:line>
        </w:pict>
      </w:r>
      <w:r>
        <w:rPr>
          <w:sz w:val="12"/>
        </w:rPr>
        <w:t>54</w:t>
      </w:r>
    </w:p>
    <w:p>
      <w:pPr>
        <w:pStyle w:val="BodyText"/>
        <w:rPr>
          <w:sz w:val="12"/>
        </w:rPr>
      </w:pPr>
    </w:p>
    <w:p>
      <w:pPr>
        <w:pStyle w:val="BodyText"/>
        <w:rPr>
          <w:sz w:val="12"/>
        </w:rPr>
      </w:pPr>
    </w:p>
    <w:p>
      <w:pPr>
        <w:pStyle w:val="BodyText"/>
        <w:spacing w:before="2"/>
        <w:rPr>
          <w:sz w:val="16"/>
        </w:rPr>
      </w:pPr>
    </w:p>
    <w:p>
      <w:pPr>
        <w:spacing w:before="0"/>
        <w:ind w:left="0" w:right="504" w:firstLine="0"/>
        <w:jc w:val="right"/>
        <w:rPr>
          <w:sz w:val="12"/>
        </w:rPr>
      </w:pPr>
      <w:r>
        <w:rPr/>
        <w:pict>
          <v:line style="position:absolute;mso-position-horizontal-relative:page;mso-position-vertical-relative:paragraph;z-index:15984640" from="44.737999pt,3.747562pt" to="40.737999pt,3.747562pt" stroked="true" strokeweight=".5pt" strokecolor="#000000">
            <v:stroke dashstyle="solid"/>
            <w10:wrap type="none"/>
          </v:line>
        </w:pict>
      </w:r>
      <w:r>
        <w:rPr/>
        <w:pict>
          <v:line style="position:absolute;mso-position-horizontal-relative:page;mso-position-vertical-relative:paragraph;z-index:15988736" from="207.447006pt,3.768563pt" to="203.447006pt,3.768563pt" stroked="true" strokeweight=".5pt" strokecolor="#000000">
            <v:stroke dashstyle="solid"/>
            <w10:wrap type="none"/>
          </v:line>
        </w:pict>
      </w:r>
      <w:r>
        <w:rPr>
          <w:sz w:val="12"/>
        </w:rPr>
        <w:t>52</w:t>
      </w:r>
    </w:p>
    <w:p>
      <w:pPr>
        <w:pStyle w:val="BodyText"/>
        <w:rPr>
          <w:sz w:val="12"/>
        </w:rPr>
      </w:pPr>
    </w:p>
    <w:p>
      <w:pPr>
        <w:pStyle w:val="BodyText"/>
        <w:rPr>
          <w:sz w:val="12"/>
        </w:rPr>
      </w:pPr>
    </w:p>
    <w:p>
      <w:pPr>
        <w:pStyle w:val="BodyText"/>
        <w:spacing w:before="10"/>
        <w:rPr>
          <w:sz w:val="17"/>
        </w:rPr>
      </w:pPr>
    </w:p>
    <w:p>
      <w:pPr>
        <w:spacing w:before="0"/>
        <w:ind w:left="0" w:right="504" w:firstLine="0"/>
        <w:jc w:val="right"/>
        <w:rPr>
          <w:sz w:val="12"/>
        </w:rPr>
      </w:pPr>
      <w:r>
        <w:rPr/>
        <w:pict>
          <v:line style="position:absolute;mso-position-horizontal-relative:page;mso-position-vertical-relative:paragraph;z-index:15984128" from="44.737999pt,3.747562pt" to="40.737999pt,3.747562pt" stroked="true" strokeweight=".5pt" strokecolor="#000000">
            <v:stroke dashstyle="solid"/>
            <w10:wrap type="none"/>
          </v:line>
        </w:pict>
      </w:r>
      <w:r>
        <w:rPr/>
        <w:pict>
          <v:line style="position:absolute;mso-position-horizontal-relative:page;mso-position-vertical-relative:paragraph;z-index:15988224" from="207.447006pt,3.768563pt" to="203.447006pt,3.768563pt" stroked="true" strokeweight=".5pt" strokecolor="#000000">
            <v:stroke dashstyle="solid"/>
            <w10:wrap type="none"/>
          </v:line>
        </w:pict>
      </w:r>
      <w:r>
        <w:rPr>
          <w:sz w:val="12"/>
        </w:rPr>
        <w:t>50</w:t>
      </w:r>
    </w:p>
    <w:p>
      <w:pPr>
        <w:pStyle w:val="BodyText"/>
        <w:rPr>
          <w:sz w:val="12"/>
        </w:rPr>
      </w:pPr>
    </w:p>
    <w:p>
      <w:pPr>
        <w:pStyle w:val="BodyText"/>
        <w:rPr>
          <w:sz w:val="12"/>
        </w:rPr>
      </w:pPr>
    </w:p>
    <w:p>
      <w:pPr>
        <w:pStyle w:val="BodyText"/>
        <w:spacing w:before="2"/>
        <w:rPr>
          <w:sz w:val="16"/>
        </w:rPr>
      </w:pPr>
    </w:p>
    <w:p>
      <w:pPr>
        <w:spacing w:line="135" w:lineRule="exact" w:before="1"/>
        <w:ind w:left="3598" w:right="0" w:firstLine="0"/>
        <w:jc w:val="left"/>
        <w:rPr>
          <w:sz w:val="12"/>
        </w:rPr>
      </w:pPr>
      <w:r>
        <w:rPr/>
        <w:pict>
          <v:line style="position:absolute;mso-position-horizontal-relative:page;mso-position-vertical-relative:paragraph;z-index:15983616" from="44.737999pt,3.797563pt" to="40.737999pt,3.797563pt" stroked="true" strokeweight=".5pt" strokecolor="#000000">
            <v:stroke dashstyle="solid"/>
            <w10:wrap type="none"/>
          </v:line>
        </w:pict>
      </w:r>
      <w:r>
        <w:rPr/>
        <w:pict>
          <v:shape style="position:absolute;margin-left:48.779999pt;margin-top:-1.223438pt;width:150pt;height:5pt;mso-position-horizontal-relative:page;mso-position-vertical-relative:paragraph;z-index:15987200" coordorigin="976,-24" coordsize="3000,100" path="m976,76l3976,76m976,76l976,16m1076,76l1076,16m1176,76l1176,16m1276,76l1276,16m1376,76l1376,16m1476,76l1476,16m1576,76l1576,16m1676,76l1676,16m1776,76l1776,16m1876,76l1876,16m1976,76l1976,16m2076,76l2076,16m2176,76l2176,16m2276,76l2276,16m2376,76l2376,16m2476,76l2476,16m2576,76l2576,16m2676,76l2676,16m2776,76l2776,16m2876,76l2876,16m2976,76l2976,16m3076,76l3076,16m3176,76l3176,16m3276,76l3276,16m3376,76l3376,16m3476,76l3476,16m3576,76l3576,16m3676,76l3676,16m3776,76l3776,16m3876,76l3876,16m3976,76l3976,16m976,76l976,-24m2176,76l2176,-24m3376,76l3376,-24e" filled="false" stroked="true" strokeweight=".5pt" strokecolor="#000000">
            <v:path arrowok="t"/>
            <v:stroke dashstyle="solid"/>
            <w10:wrap type="none"/>
          </v:shape>
        </w:pict>
      </w:r>
      <w:r>
        <w:rPr/>
        <w:pict>
          <v:line style="position:absolute;mso-position-horizontal-relative:page;mso-position-vertical-relative:paragraph;z-index:15987712" from="207.447006pt,3.818563pt" to="203.447006pt,3.818563pt" stroked="true" strokeweight=".5pt" strokecolor="#000000">
            <v:stroke dashstyle="solid"/>
            <w10:wrap type="none"/>
          </v:line>
        </w:pict>
      </w:r>
      <w:r>
        <w:rPr>
          <w:sz w:val="12"/>
        </w:rPr>
        <w:t>48</w:t>
      </w:r>
    </w:p>
    <w:p>
      <w:pPr>
        <w:tabs>
          <w:tab w:pos="2085" w:val="left" w:leader="none"/>
          <w:tab w:pos="3045" w:val="left" w:leader="none"/>
        </w:tabs>
        <w:spacing w:line="135" w:lineRule="exact" w:before="0"/>
        <w:ind w:left="765" w:right="0" w:firstLine="0"/>
        <w:jc w:val="left"/>
        <w:rPr>
          <w:sz w:val="12"/>
        </w:rPr>
      </w:pPr>
      <w:r>
        <w:rPr>
          <w:sz w:val="12"/>
        </w:rPr>
        <w:t>1996</w:t>
        <w:tab/>
        <w:t>97</w:t>
        <w:tab/>
        <w:t>98</w:t>
      </w:r>
    </w:p>
    <w:p>
      <w:pPr>
        <w:spacing w:before="9"/>
        <w:ind w:left="195" w:right="0" w:firstLine="0"/>
        <w:jc w:val="left"/>
        <w:rPr>
          <w:sz w:val="12"/>
        </w:rPr>
      </w:pPr>
      <w:r>
        <w:rPr>
          <w:color w:val="231F20"/>
          <w:sz w:val="12"/>
        </w:rPr>
        <w:t>Source:  The Chartered Institute of Purchasing and Supply.</w:t>
      </w:r>
    </w:p>
    <w:p>
      <w:pPr>
        <w:pStyle w:val="BodyText"/>
        <w:spacing w:before="1"/>
        <w:rPr>
          <w:sz w:val="10"/>
        </w:rPr>
      </w:pPr>
    </w:p>
    <w:p>
      <w:pPr>
        <w:spacing w:line="208" w:lineRule="auto" w:before="0"/>
        <w:ind w:left="435" w:right="501" w:hanging="240"/>
        <w:jc w:val="left"/>
        <w:rPr>
          <w:sz w:val="12"/>
        </w:rPr>
      </w:pPr>
      <w:r>
        <w:rPr>
          <w:color w:val="231F20"/>
          <w:sz w:val="12"/>
        </w:rPr>
        <w:t>(a) Weighted index of data on manufacturing, services and </w:t>
      </w:r>
      <w:r>
        <w:rPr>
          <w:color w:val="231F20"/>
          <w:spacing w:val="-2"/>
          <w:sz w:val="12"/>
        </w:rPr>
        <w:t>construction. </w:t>
      </w:r>
      <w:r>
        <w:rPr>
          <w:color w:val="231F20"/>
          <w:sz w:val="12"/>
        </w:rPr>
        <w:t>A result of 50 indicates no change on previous month.</w:t>
      </w:r>
    </w:p>
    <w:p>
      <w:pPr>
        <w:pStyle w:val="BodyText"/>
        <w:rPr>
          <w:sz w:val="12"/>
        </w:rPr>
      </w:pPr>
    </w:p>
    <w:p>
      <w:pPr>
        <w:pStyle w:val="BodyText"/>
        <w:rPr>
          <w:sz w:val="12"/>
        </w:rPr>
      </w:pPr>
    </w:p>
    <w:p>
      <w:pPr>
        <w:pStyle w:val="BodyText"/>
        <w:spacing w:before="5"/>
        <w:rPr>
          <w:sz w:val="9"/>
        </w:rPr>
      </w:pPr>
    </w:p>
    <w:p>
      <w:pPr>
        <w:pStyle w:val="Heading8"/>
        <w:spacing w:before="1"/>
        <w:ind w:left="169"/>
      </w:pPr>
      <w:r>
        <w:rPr>
          <w:color w:val="0093C1"/>
        </w:rPr>
        <w:t>Table 3.B</w:t>
      </w:r>
    </w:p>
    <w:p>
      <w:pPr>
        <w:spacing w:before="10"/>
        <w:ind w:left="169" w:right="0" w:firstLine="0"/>
        <w:jc w:val="left"/>
        <w:rPr>
          <w:b/>
          <w:sz w:val="20"/>
        </w:rPr>
      </w:pPr>
      <w:r>
        <w:rPr>
          <w:b/>
          <w:color w:val="0093C1"/>
          <w:sz w:val="20"/>
        </w:rPr>
        <w:t>Surveys of employment intentions</w:t>
      </w:r>
    </w:p>
    <w:p>
      <w:pPr>
        <w:spacing w:before="106"/>
        <w:ind w:left="169" w:right="0" w:firstLine="0"/>
        <w:jc w:val="left"/>
        <w:rPr>
          <w:sz w:val="12"/>
        </w:rPr>
      </w:pPr>
      <w:r>
        <w:rPr>
          <w:color w:val="231F20"/>
          <w:sz w:val="14"/>
        </w:rPr>
        <w:t>Percentage balance of employers planning to recruit staff </w:t>
      </w:r>
      <w:r>
        <w:rPr>
          <w:color w:val="231F20"/>
          <w:sz w:val="12"/>
        </w:rPr>
        <w:t>(a)</w:t>
      </w:r>
    </w:p>
    <w:p>
      <w:pPr>
        <w:pStyle w:val="BodyText"/>
        <w:spacing w:before="9" w:after="1"/>
        <w:rPr>
          <w:sz w:val="10"/>
        </w:rPr>
      </w:pPr>
    </w:p>
    <w:tbl>
      <w:tblPr>
        <w:tblW w:w="0" w:type="auto"/>
        <w:jc w:val="left"/>
        <w:tblInd w:w="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1"/>
        <w:gridCol w:w="771"/>
        <w:gridCol w:w="399"/>
        <w:gridCol w:w="580"/>
        <w:gridCol w:w="535"/>
        <w:gridCol w:w="560"/>
        <w:gridCol w:w="448"/>
      </w:tblGrid>
      <w:tr>
        <w:trPr>
          <w:trHeight w:val="295" w:hRule="atLeast"/>
        </w:trPr>
        <w:tc>
          <w:tcPr>
            <w:tcW w:w="1041" w:type="dxa"/>
          </w:tcPr>
          <w:p>
            <w:pPr>
              <w:pStyle w:val="TableParagraph"/>
              <w:rPr>
                <w:sz w:val="20"/>
              </w:rPr>
            </w:pPr>
          </w:p>
        </w:tc>
        <w:tc>
          <w:tcPr>
            <w:tcW w:w="771" w:type="dxa"/>
          </w:tcPr>
          <w:p>
            <w:pPr>
              <w:pStyle w:val="TableParagraph"/>
              <w:spacing w:line="140" w:lineRule="exact" w:before="12"/>
              <w:ind w:left="89" w:right="51"/>
              <w:rPr>
                <w:sz w:val="12"/>
              </w:rPr>
            </w:pPr>
            <w:r>
              <w:rPr>
                <w:color w:val="231F20"/>
                <w:sz w:val="14"/>
              </w:rPr>
              <w:t>Series </w:t>
            </w:r>
            <w:r>
              <w:rPr>
                <w:color w:val="231F20"/>
                <w:sz w:val="14"/>
                <w:u w:val="single" w:color="231F20"/>
              </w:rPr>
              <w:t>average </w:t>
            </w:r>
            <w:r>
              <w:rPr>
                <w:color w:val="231F20"/>
                <w:sz w:val="12"/>
                <w:u w:val="single" w:color="231F20"/>
              </w:rPr>
              <w:t>(b</w:t>
            </w:r>
            <w:r>
              <w:rPr>
                <w:color w:val="231F20"/>
                <w:sz w:val="12"/>
              </w:rPr>
              <w:t>)</w:t>
            </w:r>
          </w:p>
        </w:tc>
        <w:tc>
          <w:tcPr>
            <w:tcW w:w="1514" w:type="dxa"/>
            <w:gridSpan w:val="3"/>
          </w:tcPr>
          <w:p>
            <w:pPr>
              <w:pStyle w:val="TableParagraph"/>
              <w:tabs>
                <w:tab w:pos="1333" w:val="left" w:leader="none"/>
              </w:tabs>
              <w:spacing w:line="145" w:lineRule="exact"/>
              <w:ind w:left="71"/>
              <w:rPr>
                <w:sz w:val="14"/>
              </w:rPr>
            </w:pPr>
            <w:r>
              <w:rPr>
                <w:color w:val="231F20"/>
                <w:sz w:val="14"/>
                <w:u w:val="single" w:color="231F20"/>
              </w:rPr>
              <w:t>1997</w:t>
              <w:tab/>
            </w:r>
          </w:p>
          <w:p>
            <w:pPr>
              <w:pStyle w:val="TableParagraph"/>
              <w:tabs>
                <w:tab w:pos="577" w:val="left" w:leader="none"/>
                <w:tab w:pos="1118" w:val="left" w:leader="none"/>
              </w:tabs>
              <w:spacing w:line="130" w:lineRule="exact"/>
              <w:ind w:left="71"/>
              <w:rPr>
                <w:sz w:val="14"/>
              </w:rPr>
            </w:pPr>
            <w:r>
              <w:rPr>
                <w:color w:val="231F20"/>
                <w:sz w:val="14"/>
                <w:u w:val="single" w:color="231F20"/>
              </w:rPr>
              <w:t>Q2</w:t>
            </w:r>
            <w:r>
              <w:rPr>
                <w:color w:val="231F20"/>
                <w:sz w:val="14"/>
              </w:rPr>
              <w:tab/>
            </w:r>
            <w:r>
              <w:rPr>
                <w:color w:val="231F20"/>
                <w:sz w:val="14"/>
                <w:u w:val="single" w:color="231F20"/>
              </w:rPr>
              <w:t>Q3</w:t>
            </w:r>
            <w:r>
              <w:rPr>
                <w:color w:val="231F20"/>
                <w:sz w:val="14"/>
              </w:rPr>
              <w:tab/>
            </w:r>
            <w:r>
              <w:rPr>
                <w:color w:val="231F20"/>
                <w:sz w:val="14"/>
                <w:u w:val="single" w:color="231F20"/>
              </w:rPr>
              <w:t> Q4</w:t>
            </w:r>
          </w:p>
        </w:tc>
        <w:tc>
          <w:tcPr>
            <w:tcW w:w="1008" w:type="dxa"/>
            <w:gridSpan w:val="2"/>
          </w:tcPr>
          <w:p>
            <w:pPr>
              <w:pStyle w:val="TableParagraph"/>
              <w:tabs>
                <w:tab w:pos="951" w:val="left" w:leader="none"/>
              </w:tabs>
              <w:spacing w:line="145" w:lineRule="exact"/>
              <w:ind w:left="172"/>
              <w:rPr>
                <w:sz w:val="14"/>
              </w:rPr>
            </w:pPr>
            <w:r>
              <w:rPr>
                <w:color w:val="231F20"/>
                <w:sz w:val="14"/>
                <w:u w:val="single" w:color="231F20"/>
              </w:rPr>
              <w:t>1998</w:t>
              <w:tab/>
            </w:r>
          </w:p>
          <w:p>
            <w:pPr>
              <w:pStyle w:val="TableParagraph"/>
              <w:tabs>
                <w:tab w:pos="732" w:val="left" w:leader="none"/>
              </w:tabs>
              <w:spacing w:line="130" w:lineRule="exact"/>
              <w:ind w:left="172"/>
              <w:rPr>
                <w:sz w:val="14"/>
              </w:rPr>
            </w:pPr>
            <w:r>
              <w:rPr>
                <w:color w:val="231F20"/>
                <w:sz w:val="14"/>
                <w:u w:val="single" w:color="231F20"/>
              </w:rPr>
              <w:t>Q1</w:t>
            </w:r>
            <w:r>
              <w:rPr>
                <w:color w:val="231F20"/>
                <w:sz w:val="14"/>
              </w:rPr>
              <w:tab/>
            </w:r>
            <w:r>
              <w:rPr>
                <w:color w:val="231F20"/>
                <w:sz w:val="14"/>
                <w:u w:val="single" w:color="231F20"/>
              </w:rPr>
              <w:t>Q2</w:t>
            </w:r>
            <w:r>
              <w:rPr>
                <w:color w:val="231F20"/>
                <w:spacing w:val="5"/>
                <w:sz w:val="14"/>
                <w:u w:val="single" w:color="231F20"/>
              </w:rPr>
              <w:t> </w:t>
            </w:r>
          </w:p>
        </w:tc>
      </w:tr>
      <w:tr>
        <w:trPr>
          <w:trHeight w:val="412" w:hRule="atLeast"/>
        </w:trPr>
        <w:tc>
          <w:tcPr>
            <w:tcW w:w="1041" w:type="dxa"/>
          </w:tcPr>
          <w:p>
            <w:pPr>
              <w:pStyle w:val="TableParagraph"/>
              <w:spacing w:line="150" w:lineRule="exact" w:before="119"/>
              <w:ind w:left="50"/>
              <w:rPr>
                <w:sz w:val="12"/>
              </w:rPr>
            </w:pPr>
            <w:r>
              <w:rPr>
                <w:b/>
                <w:color w:val="231F20"/>
                <w:sz w:val="14"/>
              </w:rPr>
              <w:t>BCC </w:t>
            </w:r>
            <w:r>
              <w:rPr>
                <w:color w:val="231F20"/>
                <w:sz w:val="12"/>
              </w:rPr>
              <w:t>(c)</w:t>
            </w:r>
          </w:p>
          <w:p>
            <w:pPr>
              <w:pStyle w:val="TableParagraph"/>
              <w:spacing w:line="123" w:lineRule="exact"/>
              <w:ind w:left="120"/>
              <w:rPr>
                <w:sz w:val="14"/>
              </w:rPr>
            </w:pPr>
            <w:r>
              <w:rPr>
                <w:color w:val="231F20"/>
                <w:sz w:val="14"/>
              </w:rPr>
              <w:t>Services</w:t>
            </w:r>
          </w:p>
        </w:tc>
        <w:tc>
          <w:tcPr>
            <w:tcW w:w="771" w:type="dxa"/>
          </w:tcPr>
          <w:p>
            <w:pPr>
              <w:pStyle w:val="TableParagraph"/>
              <w:spacing w:before="6"/>
              <w:rPr>
                <w:sz w:val="22"/>
              </w:rPr>
            </w:pPr>
          </w:p>
          <w:p>
            <w:pPr>
              <w:pStyle w:val="TableParagraph"/>
              <w:spacing w:line="133" w:lineRule="exact"/>
              <w:ind w:right="379"/>
              <w:jc w:val="right"/>
              <w:rPr>
                <w:sz w:val="14"/>
              </w:rPr>
            </w:pPr>
            <w:r>
              <w:rPr>
                <w:color w:val="231F20"/>
                <w:sz w:val="14"/>
              </w:rPr>
              <w:t>12</w:t>
            </w:r>
          </w:p>
        </w:tc>
        <w:tc>
          <w:tcPr>
            <w:tcW w:w="399" w:type="dxa"/>
          </w:tcPr>
          <w:p>
            <w:pPr>
              <w:pStyle w:val="TableParagraph"/>
              <w:spacing w:before="6"/>
              <w:rPr>
                <w:sz w:val="22"/>
              </w:rPr>
            </w:pPr>
          </w:p>
          <w:p>
            <w:pPr>
              <w:pStyle w:val="TableParagraph"/>
              <w:spacing w:line="133" w:lineRule="exact"/>
              <w:ind w:left="83"/>
              <w:rPr>
                <w:sz w:val="14"/>
              </w:rPr>
            </w:pPr>
            <w:r>
              <w:rPr>
                <w:color w:val="231F20"/>
                <w:sz w:val="14"/>
              </w:rPr>
              <w:t>25</w:t>
            </w:r>
          </w:p>
        </w:tc>
        <w:tc>
          <w:tcPr>
            <w:tcW w:w="580" w:type="dxa"/>
          </w:tcPr>
          <w:p>
            <w:pPr>
              <w:pStyle w:val="TableParagraph"/>
              <w:spacing w:before="6"/>
              <w:rPr>
                <w:sz w:val="22"/>
              </w:rPr>
            </w:pPr>
          </w:p>
          <w:p>
            <w:pPr>
              <w:pStyle w:val="TableParagraph"/>
              <w:spacing w:line="133" w:lineRule="exact"/>
              <w:ind w:right="218"/>
              <w:jc w:val="right"/>
              <w:rPr>
                <w:sz w:val="14"/>
              </w:rPr>
            </w:pPr>
            <w:r>
              <w:rPr>
                <w:color w:val="231F20"/>
                <w:sz w:val="14"/>
              </w:rPr>
              <w:t>25</w:t>
            </w:r>
          </w:p>
        </w:tc>
        <w:tc>
          <w:tcPr>
            <w:tcW w:w="535" w:type="dxa"/>
          </w:tcPr>
          <w:p>
            <w:pPr>
              <w:pStyle w:val="TableParagraph"/>
              <w:spacing w:before="6"/>
              <w:rPr>
                <w:sz w:val="22"/>
              </w:rPr>
            </w:pPr>
          </w:p>
          <w:p>
            <w:pPr>
              <w:pStyle w:val="TableParagraph"/>
              <w:spacing w:line="133" w:lineRule="exact"/>
              <w:ind w:right="177"/>
              <w:jc w:val="right"/>
              <w:rPr>
                <w:sz w:val="14"/>
              </w:rPr>
            </w:pPr>
            <w:r>
              <w:rPr>
                <w:color w:val="231F20"/>
                <w:sz w:val="14"/>
              </w:rPr>
              <w:t>23</w:t>
            </w:r>
          </w:p>
        </w:tc>
        <w:tc>
          <w:tcPr>
            <w:tcW w:w="560" w:type="dxa"/>
          </w:tcPr>
          <w:p>
            <w:pPr>
              <w:pStyle w:val="TableParagraph"/>
              <w:spacing w:before="6"/>
              <w:rPr>
                <w:sz w:val="22"/>
              </w:rPr>
            </w:pPr>
          </w:p>
          <w:p>
            <w:pPr>
              <w:pStyle w:val="TableParagraph"/>
              <w:spacing w:line="133" w:lineRule="exact"/>
              <w:ind w:right="173"/>
              <w:jc w:val="right"/>
              <w:rPr>
                <w:sz w:val="14"/>
              </w:rPr>
            </w:pPr>
            <w:r>
              <w:rPr>
                <w:color w:val="231F20"/>
                <w:sz w:val="14"/>
              </w:rPr>
              <w:t>23</w:t>
            </w:r>
          </w:p>
        </w:tc>
        <w:tc>
          <w:tcPr>
            <w:tcW w:w="448" w:type="dxa"/>
          </w:tcPr>
          <w:p>
            <w:pPr>
              <w:pStyle w:val="TableParagraph"/>
              <w:spacing w:before="6"/>
              <w:rPr>
                <w:sz w:val="22"/>
              </w:rPr>
            </w:pPr>
          </w:p>
          <w:p>
            <w:pPr>
              <w:pStyle w:val="TableParagraph"/>
              <w:spacing w:line="133" w:lineRule="exact"/>
              <w:ind w:right="92"/>
              <w:jc w:val="right"/>
              <w:rPr>
                <w:sz w:val="14"/>
              </w:rPr>
            </w:pPr>
            <w:r>
              <w:rPr>
                <w:color w:val="231F20"/>
                <w:sz w:val="14"/>
              </w:rPr>
              <w:t>22</w:t>
            </w:r>
          </w:p>
        </w:tc>
      </w:tr>
      <w:tr>
        <w:trPr>
          <w:trHeight w:val="210" w:hRule="atLeast"/>
        </w:trPr>
        <w:tc>
          <w:tcPr>
            <w:tcW w:w="1041" w:type="dxa"/>
          </w:tcPr>
          <w:p>
            <w:pPr>
              <w:pStyle w:val="TableParagraph"/>
              <w:spacing w:line="148" w:lineRule="exact"/>
              <w:ind w:left="120"/>
              <w:rPr>
                <w:sz w:val="14"/>
              </w:rPr>
            </w:pPr>
            <w:r>
              <w:rPr>
                <w:color w:val="231F20"/>
                <w:sz w:val="14"/>
              </w:rPr>
              <w:t>Manufacturing</w:t>
            </w:r>
          </w:p>
        </w:tc>
        <w:tc>
          <w:tcPr>
            <w:tcW w:w="771" w:type="dxa"/>
          </w:tcPr>
          <w:p>
            <w:pPr>
              <w:pStyle w:val="TableParagraph"/>
              <w:spacing w:line="148" w:lineRule="exact"/>
              <w:ind w:right="379"/>
              <w:jc w:val="right"/>
              <w:rPr>
                <w:sz w:val="14"/>
              </w:rPr>
            </w:pPr>
            <w:r>
              <w:rPr>
                <w:color w:val="231F20"/>
                <w:sz w:val="14"/>
              </w:rPr>
              <w:t>3</w:t>
            </w:r>
          </w:p>
        </w:tc>
        <w:tc>
          <w:tcPr>
            <w:tcW w:w="399" w:type="dxa"/>
          </w:tcPr>
          <w:p>
            <w:pPr>
              <w:pStyle w:val="TableParagraph"/>
              <w:spacing w:line="148" w:lineRule="exact"/>
              <w:ind w:left="83"/>
              <w:rPr>
                <w:sz w:val="14"/>
              </w:rPr>
            </w:pPr>
            <w:r>
              <w:rPr>
                <w:color w:val="231F20"/>
                <w:sz w:val="14"/>
              </w:rPr>
              <w:t>13</w:t>
            </w:r>
          </w:p>
        </w:tc>
        <w:tc>
          <w:tcPr>
            <w:tcW w:w="580" w:type="dxa"/>
          </w:tcPr>
          <w:p>
            <w:pPr>
              <w:pStyle w:val="TableParagraph"/>
              <w:spacing w:line="148" w:lineRule="exact"/>
              <w:ind w:right="218"/>
              <w:jc w:val="right"/>
              <w:rPr>
                <w:sz w:val="14"/>
              </w:rPr>
            </w:pPr>
            <w:r>
              <w:rPr>
                <w:color w:val="231F20"/>
                <w:sz w:val="14"/>
              </w:rPr>
              <w:t>9</w:t>
            </w:r>
          </w:p>
        </w:tc>
        <w:tc>
          <w:tcPr>
            <w:tcW w:w="535" w:type="dxa"/>
          </w:tcPr>
          <w:p>
            <w:pPr>
              <w:pStyle w:val="TableParagraph"/>
              <w:spacing w:line="148" w:lineRule="exact"/>
              <w:ind w:right="177"/>
              <w:jc w:val="right"/>
              <w:rPr>
                <w:sz w:val="14"/>
              </w:rPr>
            </w:pPr>
            <w:r>
              <w:rPr>
                <w:color w:val="231F20"/>
                <w:sz w:val="14"/>
              </w:rPr>
              <w:t>13</w:t>
            </w:r>
          </w:p>
        </w:tc>
        <w:tc>
          <w:tcPr>
            <w:tcW w:w="560" w:type="dxa"/>
          </w:tcPr>
          <w:p>
            <w:pPr>
              <w:pStyle w:val="TableParagraph"/>
              <w:spacing w:line="148" w:lineRule="exact"/>
              <w:ind w:right="173"/>
              <w:jc w:val="right"/>
              <w:rPr>
                <w:sz w:val="14"/>
              </w:rPr>
            </w:pPr>
            <w:r>
              <w:rPr>
                <w:color w:val="231F20"/>
                <w:sz w:val="14"/>
              </w:rPr>
              <w:t>8</w:t>
            </w:r>
          </w:p>
        </w:tc>
        <w:tc>
          <w:tcPr>
            <w:tcW w:w="448" w:type="dxa"/>
          </w:tcPr>
          <w:p>
            <w:pPr>
              <w:pStyle w:val="TableParagraph"/>
              <w:spacing w:line="148" w:lineRule="exact"/>
              <w:ind w:right="92"/>
              <w:jc w:val="right"/>
              <w:rPr>
                <w:sz w:val="14"/>
              </w:rPr>
            </w:pPr>
            <w:r>
              <w:rPr>
                <w:color w:val="231F20"/>
                <w:sz w:val="14"/>
              </w:rPr>
              <w:t>11</w:t>
            </w:r>
          </w:p>
        </w:tc>
      </w:tr>
      <w:tr>
        <w:trPr>
          <w:trHeight w:val="420" w:hRule="atLeast"/>
        </w:trPr>
        <w:tc>
          <w:tcPr>
            <w:tcW w:w="1041" w:type="dxa"/>
          </w:tcPr>
          <w:p>
            <w:pPr>
              <w:pStyle w:val="TableParagraph"/>
              <w:spacing w:line="150" w:lineRule="exact" w:before="56"/>
              <w:ind w:left="50"/>
              <w:rPr>
                <w:sz w:val="12"/>
              </w:rPr>
            </w:pPr>
            <w:r>
              <w:rPr>
                <w:b/>
                <w:color w:val="231F20"/>
                <w:sz w:val="14"/>
              </w:rPr>
              <w:t>CBI </w:t>
            </w:r>
            <w:r>
              <w:rPr>
                <w:color w:val="231F20"/>
                <w:sz w:val="12"/>
              </w:rPr>
              <w:t>(d)</w:t>
            </w:r>
          </w:p>
          <w:p>
            <w:pPr>
              <w:pStyle w:val="TableParagraph"/>
              <w:spacing w:line="150" w:lineRule="exact"/>
              <w:ind w:left="120"/>
              <w:rPr>
                <w:sz w:val="14"/>
              </w:rPr>
            </w:pPr>
            <w:r>
              <w:rPr>
                <w:color w:val="231F20"/>
                <w:sz w:val="14"/>
              </w:rPr>
              <w:t>Manufacturing</w:t>
            </w:r>
          </w:p>
        </w:tc>
        <w:tc>
          <w:tcPr>
            <w:tcW w:w="771" w:type="dxa"/>
          </w:tcPr>
          <w:p>
            <w:pPr>
              <w:pStyle w:val="TableParagraph"/>
              <w:spacing w:before="1"/>
              <w:rPr>
                <w:sz w:val="17"/>
              </w:rPr>
            </w:pPr>
          </w:p>
          <w:p>
            <w:pPr>
              <w:pStyle w:val="TableParagraph"/>
              <w:ind w:right="379"/>
              <w:jc w:val="right"/>
              <w:rPr>
                <w:sz w:val="14"/>
              </w:rPr>
            </w:pPr>
            <w:r>
              <w:rPr>
                <w:color w:val="231F20"/>
                <w:sz w:val="14"/>
              </w:rPr>
              <w:t>-21</w:t>
            </w:r>
          </w:p>
        </w:tc>
        <w:tc>
          <w:tcPr>
            <w:tcW w:w="399" w:type="dxa"/>
          </w:tcPr>
          <w:p>
            <w:pPr>
              <w:pStyle w:val="TableParagraph"/>
              <w:spacing w:before="1"/>
              <w:rPr>
                <w:sz w:val="17"/>
              </w:rPr>
            </w:pPr>
          </w:p>
          <w:p>
            <w:pPr>
              <w:pStyle w:val="TableParagraph"/>
              <w:ind w:left="106"/>
              <w:rPr>
                <w:sz w:val="14"/>
              </w:rPr>
            </w:pPr>
            <w:r>
              <w:rPr>
                <w:color w:val="231F20"/>
                <w:sz w:val="14"/>
              </w:rPr>
              <w:t>-2</w:t>
            </w:r>
          </w:p>
        </w:tc>
        <w:tc>
          <w:tcPr>
            <w:tcW w:w="580" w:type="dxa"/>
          </w:tcPr>
          <w:p>
            <w:pPr>
              <w:pStyle w:val="TableParagraph"/>
              <w:spacing w:before="1"/>
              <w:rPr>
                <w:sz w:val="17"/>
              </w:rPr>
            </w:pPr>
          </w:p>
          <w:p>
            <w:pPr>
              <w:pStyle w:val="TableParagraph"/>
              <w:ind w:right="218"/>
              <w:jc w:val="right"/>
              <w:rPr>
                <w:sz w:val="14"/>
              </w:rPr>
            </w:pPr>
            <w:r>
              <w:rPr>
                <w:color w:val="231F20"/>
                <w:sz w:val="14"/>
              </w:rPr>
              <w:t>-10</w:t>
            </w:r>
          </w:p>
        </w:tc>
        <w:tc>
          <w:tcPr>
            <w:tcW w:w="535" w:type="dxa"/>
          </w:tcPr>
          <w:p>
            <w:pPr>
              <w:pStyle w:val="TableParagraph"/>
              <w:spacing w:before="1"/>
              <w:rPr>
                <w:sz w:val="17"/>
              </w:rPr>
            </w:pPr>
          </w:p>
          <w:p>
            <w:pPr>
              <w:pStyle w:val="TableParagraph"/>
              <w:ind w:right="177"/>
              <w:jc w:val="right"/>
              <w:rPr>
                <w:sz w:val="14"/>
              </w:rPr>
            </w:pPr>
            <w:r>
              <w:rPr>
                <w:color w:val="231F20"/>
                <w:sz w:val="14"/>
              </w:rPr>
              <w:t>-1</w:t>
            </w:r>
          </w:p>
        </w:tc>
        <w:tc>
          <w:tcPr>
            <w:tcW w:w="560" w:type="dxa"/>
          </w:tcPr>
          <w:p>
            <w:pPr>
              <w:pStyle w:val="TableParagraph"/>
              <w:spacing w:before="1"/>
              <w:rPr>
                <w:sz w:val="17"/>
              </w:rPr>
            </w:pPr>
          </w:p>
          <w:p>
            <w:pPr>
              <w:pStyle w:val="TableParagraph"/>
              <w:ind w:right="173"/>
              <w:jc w:val="right"/>
              <w:rPr>
                <w:sz w:val="14"/>
              </w:rPr>
            </w:pPr>
            <w:r>
              <w:rPr>
                <w:color w:val="231F20"/>
                <w:sz w:val="14"/>
              </w:rPr>
              <w:t>-17</w:t>
            </w:r>
          </w:p>
        </w:tc>
        <w:tc>
          <w:tcPr>
            <w:tcW w:w="448" w:type="dxa"/>
          </w:tcPr>
          <w:p>
            <w:pPr>
              <w:pStyle w:val="TableParagraph"/>
              <w:spacing w:before="1"/>
              <w:rPr>
                <w:sz w:val="17"/>
              </w:rPr>
            </w:pPr>
          </w:p>
          <w:p>
            <w:pPr>
              <w:pStyle w:val="TableParagraph"/>
              <w:ind w:right="92"/>
              <w:jc w:val="right"/>
              <w:rPr>
                <w:sz w:val="14"/>
              </w:rPr>
            </w:pPr>
            <w:r>
              <w:rPr>
                <w:color w:val="231F20"/>
                <w:sz w:val="14"/>
              </w:rPr>
              <w:t>-16</w:t>
            </w:r>
          </w:p>
        </w:tc>
      </w:tr>
      <w:tr>
        <w:trPr>
          <w:trHeight w:val="350" w:hRule="atLeast"/>
        </w:trPr>
        <w:tc>
          <w:tcPr>
            <w:tcW w:w="1041" w:type="dxa"/>
          </w:tcPr>
          <w:p>
            <w:pPr>
              <w:pStyle w:val="TableParagraph"/>
              <w:spacing w:line="150" w:lineRule="exact" w:before="56"/>
              <w:ind w:left="50"/>
              <w:rPr>
                <w:b/>
                <w:sz w:val="14"/>
              </w:rPr>
            </w:pPr>
            <w:r>
              <w:rPr>
                <w:b/>
                <w:color w:val="231F20"/>
                <w:sz w:val="14"/>
              </w:rPr>
              <w:t>Manpower</w:t>
            </w:r>
          </w:p>
          <w:p>
            <w:pPr>
              <w:pStyle w:val="TableParagraph"/>
              <w:spacing w:line="123" w:lineRule="exact"/>
              <w:ind w:left="120"/>
              <w:rPr>
                <w:sz w:val="14"/>
              </w:rPr>
            </w:pPr>
            <w:r>
              <w:rPr>
                <w:color w:val="231F20"/>
                <w:sz w:val="14"/>
              </w:rPr>
              <w:t>Total</w:t>
            </w:r>
          </w:p>
        </w:tc>
        <w:tc>
          <w:tcPr>
            <w:tcW w:w="771" w:type="dxa"/>
          </w:tcPr>
          <w:p>
            <w:pPr>
              <w:pStyle w:val="TableParagraph"/>
              <w:spacing w:before="1"/>
              <w:rPr>
                <w:sz w:val="17"/>
              </w:rPr>
            </w:pPr>
          </w:p>
          <w:p>
            <w:pPr>
              <w:pStyle w:val="TableParagraph"/>
              <w:spacing w:line="133" w:lineRule="exact"/>
              <w:ind w:right="379"/>
              <w:jc w:val="right"/>
              <w:rPr>
                <w:sz w:val="14"/>
              </w:rPr>
            </w:pPr>
            <w:r>
              <w:rPr>
                <w:color w:val="231F20"/>
                <w:sz w:val="14"/>
              </w:rPr>
              <w:t>10</w:t>
            </w:r>
          </w:p>
        </w:tc>
        <w:tc>
          <w:tcPr>
            <w:tcW w:w="399" w:type="dxa"/>
          </w:tcPr>
          <w:p>
            <w:pPr>
              <w:pStyle w:val="TableParagraph"/>
              <w:spacing w:before="1"/>
              <w:rPr>
                <w:sz w:val="17"/>
              </w:rPr>
            </w:pPr>
          </w:p>
          <w:p>
            <w:pPr>
              <w:pStyle w:val="TableParagraph"/>
              <w:spacing w:line="133" w:lineRule="exact"/>
              <w:ind w:left="83"/>
              <w:rPr>
                <w:sz w:val="14"/>
              </w:rPr>
            </w:pPr>
            <w:r>
              <w:rPr>
                <w:color w:val="231F20"/>
                <w:sz w:val="14"/>
              </w:rPr>
              <w:t>16</w:t>
            </w:r>
          </w:p>
        </w:tc>
        <w:tc>
          <w:tcPr>
            <w:tcW w:w="580" w:type="dxa"/>
          </w:tcPr>
          <w:p>
            <w:pPr>
              <w:pStyle w:val="TableParagraph"/>
              <w:spacing w:before="1"/>
              <w:rPr>
                <w:sz w:val="17"/>
              </w:rPr>
            </w:pPr>
          </w:p>
          <w:p>
            <w:pPr>
              <w:pStyle w:val="TableParagraph"/>
              <w:spacing w:line="133" w:lineRule="exact"/>
              <w:ind w:right="218"/>
              <w:jc w:val="right"/>
              <w:rPr>
                <w:sz w:val="14"/>
              </w:rPr>
            </w:pPr>
            <w:r>
              <w:rPr>
                <w:color w:val="231F20"/>
                <w:sz w:val="14"/>
              </w:rPr>
              <w:t>18</w:t>
            </w:r>
          </w:p>
        </w:tc>
        <w:tc>
          <w:tcPr>
            <w:tcW w:w="535" w:type="dxa"/>
          </w:tcPr>
          <w:p>
            <w:pPr>
              <w:pStyle w:val="TableParagraph"/>
              <w:spacing w:before="1"/>
              <w:rPr>
                <w:sz w:val="17"/>
              </w:rPr>
            </w:pPr>
          </w:p>
          <w:p>
            <w:pPr>
              <w:pStyle w:val="TableParagraph"/>
              <w:spacing w:line="133" w:lineRule="exact"/>
              <w:ind w:right="177"/>
              <w:jc w:val="right"/>
              <w:rPr>
                <w:sz w:val="14"/>
              </w:rPr>
            </w:pPr>
            <w:r>
              <w:rPr>
                <w:color w:val="231F20"/>
                <w:sz w:val="14"/>
              </w:rPr>
              <w:t>17</w:t>
            </w:r>
          </w:p>
        </w:tc>
        <w:tc>
          <w:tcPr>
            <w:tcW w:w="560" w:type="dxa"/>
          </w:tcPr>
          <w:p>
            <w:pPr>
              <w:pStyle w:val="TableParagraph"/>
              <w:spacing w:before="1"/>
              <w:rPr>
                <w:sz w:val="17"/>
              </w:rPr>
            </w:pPr>
          </w:p>
          <w:p>
            <w:pPr>
              <w:pStyle w:val="TableParagraph"/>
              <w:spacing w:line="133" w:lineRule="exact"/>
              <w:ind w:right="173"/>
              <w:jc w:val="right"/>
              <w:rPr>
                <w:sz w:val="14"/>
              </w:rPr>
            </w:pPr>
            <w:r>
              <w:rPr>
                <w:color w:val="231F20"/>
                <w:sz w:val="14"/>
              </w:rPr>
              <w:t>19</w:t>
            </w:r>
          </w:p>
        </w:tc>
        <w:tc>
          <w:tcPr>
            <w:tcW w:w="448" w:type="dxa"/>
          </w:tcPr>
          <w:p>
            <w:pPr>
              <w:pStyle w:val="TableParagraph"/>
              <w:spacing w:before="1"/>
              <w:rPr>
                <w:sz w:val="17"/>
              </w:rPr>
            </w:pPr>
          </w:p>
          <w:p>
            <w:pPr>
              <w:pStyle w:val="TableParagraph"/>
              <w:spacing w:line="133" w:lineRule="exact"/>
              <w:ind w:right="92"/>
              <w:jc w:val="right"/>
              <w:rPr>
                <w:sz w:val="14"/>
              </w:rPr>
            </w:pPr>
            <w:r>
              <w:rPr>
                <w:color w:val="231F20"/>
                <w:sz w:val="14"/>
              </w:rPr>
              <w:t>17</w:t>
            </w:r>
          </w:p>
        </w:tc>
      </w:tr>
      <w:tr>
        <w:trPr>
          <w:trHeight w:val="140" w:hRule="atLeast"/>
        </w:trPr>
        <w:tc>
          <w:tcPr>
            <w:tcW w:w="1041" w:type="dxa"/>
          </w:tcPr>
          <w:p>
            <w:pPr>
              <w:pStyle w:val="TableParagraph"/>
              <w:spacing w:line="120" w:lineRule="exact"/>
              <w:ind w:left="120"/>
              <w:rPr>
                <w:sz w:val="14"/>
              </w:rPr>
            </w:pPr>
            <w:r>
              <w:rPr>
                <w:color w:val="231F20"/>
                <w:sz w:val="14"/>
              </w:rPr>
              <w:t>Services</w:t>
            </w:r>
          </w:p>
        </w:tc>
        <w:tc>
          <w:tcPr>
            <w:tcW w:w="771" w:type="dxa"/>
          </w:tcPr>
          <w:p>
            <w:pPr>
              <w:pStyle w:val="TableParagraph"/>
              <w:spacing w:line="120" w:lineRule="exact"/>
              <w:ind w:right="379"/>
              <w:jc w:val="right"/>
              <w:rPr>
                <w:sz w:val="14"/>
              </w:rPr>
            </w:pPr>
            <w:r>
              <w:rPr>
                <w:color w:val="231F20"/>
                <w:sz w:val="14"/>
              </w:rPr>
              <w:t>11</w:t>
            </w:r>
          </w:p>
        </w:tc>
        <w:tc>
          <w:tcPr>
            <w:tcW w:w="399" w:type="dxa"/>
          </w:tcPr>
          <w:p>
            <w:pPr>
              <w:pStyle w:val="TableParagraph"/>
              <w:spacing w:line="120" w:lineRule="exact"/>
              <w:ind w:left="83"/>
              <w:rPr>
                <w:sz w:val="14"/>
              </w:rPr>
            </w:pPr>
            <w:r>
              <w:rPr>
                <w:color w:val="231F20"/>
                <w:sz w:val="14"/>
              </w:rPr>
              <w:t>17</w:t>
            </w:r>
          </w:p>
        </w:tc>
        <w:tc>
          <w:tcPr>
            <w:tcW w:w="580" w:type="dxa"/>
          </w:tcPr>
          <w:p>
            <w:pPr>
              <w:pStyle w:val="TableParagraph"/>
              <w:spacing w:line="120" w:lineRule="exact"/>
              <w:ind w:right="218"/>
              <w:jc w:val="right"/>
              <w:rPr>
                <w:sz w:val="14"/>
              </w:rPr>
            </w:pPr>
            <w:r>
              <w:rPr>
                <w:color w:val="231F20"/>
                <w:sz w:val="14"/>
              </w:rPr>
              <w:t>22</w:t>
            </w:r>
          </w:p>
        </w:tc>
        <w:tc>
          <w:tcPr>
            <w:tcW w:w="535" w:type="dxa"/>
          </w:tcPr>
          <w:p>
            <w:pPr>
              <w:pStyle w:val="TableParagraph"/>
              <w:spacing w:line="120" w:lineRule="exact"/>
              <w:ind w:right="177"/>
              <w:jc w:val="right"/>
              <w:rPr>
                <w:sz w:val="14"/>
              </w:rPr>
            </w:pPr>
            <w:r>
              <w:rPr>
                <w:color w:val="231F20"/>
                <w:sz w:val="14"/>
              </w:rPr>
              <w:t>16</w:t>
            </w:r>
          </w:p>
        </w:tc>
        <w:tc>
          <w:tcPr>
            <w:tcW w:w="560" w:type="dxa"/>
          </w:tcPr>
          <w:p>
            <w:pPr>
              <w:pStyle w:val="TableParagraph"/>
              <w:spacing w:line="120" w:lineRule="exact"/>
              <w:ind w:right="173"/>
              <w:jc w:val="right"/>
              <w:rPr>
                <w:sz w:val="14"/>
              </w:rPr>
            </w:pPr>
            <w:r>
              <w:rPr>
                <w:color w:val="231F20"/>
                <w:sz w:val="14"/>
              </w:rPr>
              <w:t>18</w:t>
            </w:r>
          </w:p>
        </w:tc>
        <w:tc>
          <w:tcPr>
            <w:tcW w:w="448" w:type="dxa"/>
          </w:tcPr>
          <w:p>
            <w:pPr>
              <w:pStyle w:val="TableParagraph"/>
              <w:spacing w:line="120" w:lineRule="exact"/>
              <w:ind w:right="92"/>
              <w:jc w:val="right"/>
              <w:rPr>
                <w:sz w:val="14"/>
              </w:rPr>
            </w:pPr>
            <w:r>
              <w:rPr>
                <w:color w:val="231F20"/>
                <w:sz w:val="14"/>
              </w:rPr>
              <w:t>17</w:t>
            </w:r>
          </w:p>
        </w:tc>
      </w:tr>
      <w:tr>
        <w:trPr>
          <w:trHeight w:val="140" w:hRule="atLeast"/>
        </w:trPr>
        <w:tc>
          <w:tcPr>
            <w:tcW w:w="1041" w:type="dxa"/>
          </w:tcPr>
          <w:p>
            <w:pPr>
              <w:pStyle w:val="TableParagraph"/>
              <w:spacing w:line="120" w:lineRule="exact"/>
              <w:ind w:left="120"/>
              <w:rPr>
                <w:sz w:val="14"/>
              </w:rPr>
            </w:pPr>
            <w:r>
              <w:rPr>
                <w:color w:val="231F20"/>
                <w:sz w:val="14"/>
              </w:rPr>
              <w:t>Manufacturing</w:t>
            </w:r>
          </w:p>
        </w:tc>
        <w:tc>
          <w:tcPr>
            <w:tcW w:w="771" w:type="dxa"/>
          </w:tcPr>
          <w:p>
            <w:pPr>
              <w:pStyle w:val="TableParagraph"/>
              <w:spacing w:line="120" w:lineRule="exact"/>
              <w:ind w:right="379"/>
              <w:jc w:val="right"/>
              <w:rPr>
                <w:sz w:val="14"/>
              </w:rPr>
            </w:pPr>
            <w:r>
              <w:rPr>
                <w:color w:val="231F20"/>
                <w:sz w:val="14"/>
              </w:rPr>
              <w:t>14</w:t>
            </w:r>
          </w:p>
        </w:tc>
        <w:tc>
          <w:tcPr>
            <w:tcW w:w="399" w:type="dxa"/>
          </w:tcPr>
          <w:p>
            <w:pPr>
              <w:pStyle w:val="TableParagraph"/>
              <w:spacing w:line="120" w:lineRule="exact"/>
              <w:ind w:left="83"/>
              <w:rPr>
                <w:sz w:val="14"/>
              </w:rPr>
            </w:pPr>
            <w:r>
              <w:rPr>
                <w:color w:val="231F20"/>
                <w:sz w:val="14"/>
              </w:rPr>
              <w:t>20</w:t>
            </w:r>
          </w:p>
        </w:tc>
        <w:tc>
          <w:tcPr>
            <w:tcW w:w="580" w:type="dxa"/>
          </w:tcPr>
          <w:p>
            <w:pPr>
              <w:pStyle w:val="TableParagraph"/>
              <w:spacing w:line="120" w:lineRule="exact"/>
              <w:ind w:right="218"/>
              <w:jc w:val="right"/>
              <w:rPr>
                <w:sz w:val="14"/>
              </w:rPr>
            </w:pPr>
            <w:r>
              <w:rPr>
                <w:color w:val="231F20"/>
                <w:sz w:val="14"/>
              </w:rPr>
              <w:t>22</w:t>
            </w:r>
          </w:p>
        </w:tc>
        <w:tc>
          <w:tcPr>
            <w:tcW w:w="535" w:type="dxa"/>
          </w:tcPr>
          <w:p>
            <w:pPr>
              <w:pStyle w:val="TableParagraph"/>
              <w:spacing w:line="120" w:lineRule="exact"/>
              <w:ind w:right="177"/>
              <w:jc w:val="right"/>
              <w:rPr>
                <w:sz w:val="14"/>
              </w:rPr>
            </w:pPr>
            <w:r>
              <w:rPr>
                <w:color w:val="231F20"/>
                <w:sz w:val="14"/>
              </w:rPr>
              <w:t>21</w:t>
            </w:r>
          </w:p>
        </w:tc>
        <w:tc>
          <w:tcPr>
            <w:tcW w:w="560" w:type="dxa"/>
          </w:tcPr>
          <w:p>
            <w:pPr>
              <w:pStyle w:val="TableParagraph"/>
              <w:spacing w:line="120" w:lineRule="exact"/>
              <w:ind w:right="173"/>
              <w:jc w:val="right"/>
              <w:rPr>
                <w:sz w:val="14"/>
              </w:rPr>
            </w:pPr>
            <w:r>
              <w:rPr>
                <w:color w:val="231F20"/>
                <w:sz w:val="14"/>
              </w:rPr>
              <w:t>21</w:t>
            </w:r>
          </w:p>
        </w:tc>
        <w:tc>
          <w:tcPr>
            <w:tcW w:w="448" w:type="dxa"/>
          </w:tcPr>
          <w:p>
            <w:pPr>
              <w:pStyle w:val="TableParagraph"/>
              <w:spacing w:line="120" w:lineRule="exact"/>
              <w:ind w:right="92"/>
              <w:jc w:val="right"/>
              <w:rPr>
                <w:sz w:val="14"/>
              </w:rPr>
            </w:pPr>
            <w:r>
              <w:rPr>
                <w:color w:val="231F20"/>
                <w:sz w:val="14"/>
              </w:rPr>
              <w:t>19</w:t>
            </w:r>
          </w:p>
        </w:tc>
      </w:tr>
      <w:tr>
        <w:trPr>
          <w:trHeight w:val="147" w:hRule="atLeast"/>
        </w:trPr>
        <w:tc>
          <w:tcPr>
            <w:tcW w:w="1041" w:type="dxa"/>
          </w:tcPr>
          <w:p>
            <w:pPr>
              <w:pStyle w:val="TableParagraph"/>
              <w:spacing w:line="128" w:lineRule="exact"/>
              <w:ind w:left="120"/>
              <w:rPr>
                <w:sz w:val="14"/>
              </w:rPr>
            </w:pPr>
            <w:r>
              <w:rPr>
                <w:color w:val="231F20"/>
                <w:sz w:val="14"/>
              </w:rPr>
              <w:t>Public</w:t>
            </w:r>
          </w:p>
        </w:tc>
        <w:tc>
          <w:tcPr>
            <w:tcW w:w="771" w:type="dxa"/>
          </w:tcPr>
          <w:p>
            <w:pPr>
              <w:pStyle w:val="TableParagraph"/>
              <w:spacing w:line="128" w:lineRule="exact"/>
              <w:ind w:right="380"/>
              <w:jc w:val="right"/>
              <w:rPr>
                <w:sz w:val="14"/>
              </w:rPr>
            </w:pPr>
            <w:r>
              <w:rPr>
                <w:color w:val="231F20"/>
                <w:sz w:val="14"/>
              </w:rPr>
              <w:t>1</w:t>
            </w:r>
          </w:p>
        </w:tc>
        <w:tc>
          <w:tcPr>
            <w:tcW w:w="399" w:type="dxa"/>
          </w:tcPr>
          <w:p>
            <w:pPr>
              <w:pStyle w:val="TableParagraph"/>
              <w:spacing w:line="128" w:lineRule="exact"/>
              <w:ind w:left="153"/>
              <w:rPr>
                <w:sz w:val="14"/>
              </w:rPr>
            </w:pPr>
            <w:r>
              <w:rPr>
                <w:color w:val="231F20"/>
                <w:sz w:val="14"/>
              </w:rPr>
              <w:t>3</w:t>
            </w:r>
          </w:p>
        </w:tc>
        <w:tc>
          <w:tcPr>
            <w:tcW w:w="580" w:type="dxa"/>
          </w:tcPr>
          <w:p>
            <w:pPr>
              <w:pStyle w:val="TableParagraph"/>
              <w:spacing w:line="128" w:lineRule="exact"/>
              <w:ind w:right="219"/>
              <w:jc w:val="right"/>
              <w:rPr>
                <w:sz w:val="14"/>
              </w:rPr>
            </w:pPr>
            <w:r>
              <w:rPr>
                <w:color w:val="231F20"/>
                <w:sz w:val="14"/>
              </w:rPr>
              <w:t>3</w:t>
            </w:r>
          </w:p>
        </w:tc>
        <w:tc>
          <w:tcPr>
            <w:tcW w:w="535" w:type="dxa"/>
          </w:tcPr>
          <w:p>
            <w:pPr>
              <w:pStyle w:val="TableParagraph"/>
              <w:spacing w:line="128" w:lineRule="exact"/>
              <w:ind w:right="177"/>
              <w:jc w:val="right"/>
              <w:rPr>
                <w:sz w:val="14"/>
              </w:rPr>
            </w:pPr>
            <w:r>
              <w:rPr>
                <w:color w:val="231F20"/>
                <w:sz w:val="14"/>
              </w:rPr>
              <w:t>10</w:t>
            </w:r>
          </w:p>
        </w:tc>
        <w:tc>
          <w:tcPr>
            <w:tcW w:w="560" w:type="dxa"/>
          </w:tcPr>
          <w:p>
            <w:pPr>
              <w:pStyle w:val="TableParagraph"/>
              <w:spacing w:line="128" w:lineRule="exact"/>
              <w:ind w:right="174"/>
              <w:jc w:val="right"/>
              <w:rPr>
                <w:sz w:val="14"/>
              </w:rPr>
            </w:pPr>
            <w:r>
              <w:rPr>
                <w:color w:val="231F20"/>
                <w:sz w:val="14"/>
              </w:rPr>
              <w:t>10</w:t>
            </w:r>
          </w:p>
        </w:tc>
        <w:tc>
          <w:tcPr>
            <w:tcW w:w="448" w:type="dxa"/>
          </w:tcPr>
          <w:p>
            <w:pPr>
              <w:pStyle w:val="TableParagraph"/>
              <w:spacing w:line="128" w:lineRule="exact"/>
              <w:ind w:right="92"/>
              <w:jc w:val="right"/>
              <w:rPr>
                <w:sz w:val="14"/>
              </w:rPr>
            </w:pPr>
            <w:r>
              <w:rPr>
                <w:color w:val="231F20"/>
                <w:sz w:val="14"/>
              </w:rPr>
              <w:t>9</w:t>
            </w:r>
          </w:p>
        </w:tc>
      </w:tr>
    </w:tbl>
    <w:p>
      <w:pPr>
        <w:spacing w:before="117"/>
        <w:ind w:left="169" w:right="0" w:firstLine="0"/>
        <w:jc w:val="left"/>
        <w:rPr>
          <w:sz w:val="12"/>
        </w:rPr>
      </w:pPr>
      <w:r>
        <w:rPr>
          <w:color w:val="231F20"/>
          <w:sz w:val="12"/>
        </w:rPr>
        <w:t>Sources: British Chambers of Commerce, CBI and Manpower.</w:t>
      </w:r>
    </w:p>
    <w:p>
      <w:pPr>
        <w:pStyle w:val="ListParagraph"/>
        <w:numPr>
          <w:ilvl w:val="0"/>
          <w:numId w:val="26"/>
        </w:numPr>
        <w:tabs>
          <w:tab w:pos="410" w:val="left" w:leader="none"/>
        </w:tabs>
        <w:spacing w:line="129" w:lineRule="exact" w:before="102" w:after="0"/>
        <w:ind w:left="409" w:right="0" w:hanging="241"/>
        <w:jc w:val="left"/>
        <w:rPr>
          <w:sz w:val="12"/>
        </w:rPr>
      </w:pPr>
      <w:r>
        <w:rPr>
          <w:color w:val="231F20"/>
          <w:sz w:val="12"/>
        </w:rPr>
        <w:t>Seasonally adjusted by the Bank.</w:t>
      </w:r>
    </w:p>
    <w:p>
      <w:pPr>
        <w:pStyle w:val="ListParagraph"/>
        <w:numPr>
          <w:ilvl w:val="0"/>
          <w:numId w:val="26"/>
        </w:numPr>
        <w:tabs>
          <w:tab w:pos="410" w:val="left" w:leader="none"/>
        </w:tabs>
        <w:spacing w:line="208" w:lineRule="auto" w:before="6" w:after="0"/>
        <w:ind w:left="409" w:right="38" w:hanging="240"/>
        <w:jc w:val="left"/>
        <w:rPr>
          <w:sz w:val="12"/>
        </w:rPr>
      </w:pPr>
      <w:r>
        <w:rPr>
          <w:color w:val="231F20"/>
          <w:sz w:val="12"/>
        </w:rPr>
        <w:t>CBI manufacturing average since 1979; BCC average since 1989; </w:t>
      </w:r>
      <w:r>
        <w:rPr>
          <w:color w:val="231F20"/>
          <w:spacing w:val="-3"/>
          <w:sz w:val="12"/>
        </w:rPr>
        <w:t>Manpower </w:t>
      </w:r>
      <w:r>
        <w:rPr>
          <w:color w:val="231F20"/>
          <w:sz w:val="12"/>
        </w:rPr>
        <w:t>average since 1988.</w:t>
      </w:r>
    </w:p>
    <w:p>
      <w:pPr>
        <w:pStyle w:val="ListParagraph"/>
        <w:numPr>
          <w:ilvl w:val="0"/>
          <w:numId w:val="26"/>
        </w:numPr>
        <w:tabs>
          <w:tab w:pos="410" w:val="left" w:leader="none"/>
        </w:tabs>
        <w:spacing w:line="114" w:lineRule="exact" w:before="0" w:after="0"/>
        <w:ind w:left="409" w:right="0" w:hanging="241"/>
        <w:jc w:val="left"/>
        <w:rPr>
          <w:sz w:val="12"/>
        </w:rPr>
      </w:pPr>
      <w:r>
        <w:rPr>
          <w:color w:val="231F20"/>
          <w:sz w:val="12"/>
        </w:rPr>
        <w:t>Next three months.</w:t>
      </w:r>
    </w:p>
    <w:p>
      <w:pPr>
        <w:pStyle w:val="ListParagraph"/>
        <w:numPr>
          <w:ilvl w:val="0"/>
          <w:numId w:val="26"/>
        </w:numPr>
        <w:tabs>
          <w:tab w:pos="410" w:val="left" w:leader="none"/>
        </w:tabs>
        <w:spacing w:line="129" w:lineRule="exact" w:before="0" w:after="0"/>
        <w:ind w:left="409" w:right="0" w:hanging="241"/>
        <w:jc w:val="left"/>
        <w:rPr>
          <w:sz w:val="12"/>
        </w:rPr>
      </w:pPr>
      <w:r>
        <w:rPr>
          <w:color w:val="231F20"/>
          <w:sz w:val="12"/>
        </w:rPr>
        <w:t>Next four months.</w:t>
      </w:r>
    </w:p>
    <w:p>
      <w:pPr>
        <w:pStyle w:val="BodyText"/>
        <w:rPr>
          <w:sz w:val="12"/>
        </w:rPr>
      </w:pPr>
    </w:p>
    <w:p>
      <w:pPr>
        <w:pStyle w:val="BodyText"/>
        <w:rPr>
          <w:sz w:val="12"/>
        </w:rPr>
      </w:pPr>
    </w:p>
    <w:p>
      <w:pPr>
        <w:pStyle w:val="BodyText"/>
        <w:spacing w:before="3"/>
        <w:rPr>
          <w:sz w:val="17"/>
        </w:rPr>
      </w:pPr>
    </w:p>
    <w:p>
      <w:pPr>
        <w:pStyle w:val="Heading8"/>
        <w:spacing w:before="0"/>
        <w:ind w:left="185"/>
      </w:pPr>
      <w:r>
        <w:rPr>
          <w:color w:val="0093C1"/>
        </w:rPr>
        <w:t>Chart 3.9</w:t>
      </w:r>
    </w:p>
    <w:p>
      <w:pPr>
        <w:spacing w:before="10"/>
        <w:ind w:left="185" w:right="0" w:firstLine="0"/>
        <w:jc w:val="left"/>
        <w:rPr>
          <w:b/>
          <w:sz w:val="20"/>
        </w:rPr>
      </w:pPr>
      <w:r>
        <w:rPr>
          <w:b/>
          <w:color w:val="0093C1"/>
          <w:sz w:val="20"/>
        </w:rPr>
        <w:t>Recruitment difficulties</w:t>
      </w:r>
    </w:p>
    <w:p>
      <w:pPr>
        <w:spacing w:before="45"/>
        <w:ind w:left="3067" w:right="0" w:firstLine="0"/>
        <w:jc w:val="left"/>
        <w:rPr>
          <w:sz w:val="12"/>
        </w:rPr>
      </w:pPr>
      <w:r>
        <w:rPr/>
        <w:pict>
          <v:line style="position:absolute;mso-position-horizontal-relative:page;mso-position-vertical-relative:paragraph;z-index:15976448" from="44.779999pt,10.351560pt" to="39.779999pt,10.351560pt" stroked="true" strokeweight=".5pt" strokecolor="#000000">
            <v:stroke dashstyle="solid"/>
            <w10:wrap type="none"/>
          </v:line>
        </w:pict>
      </w:r>
      <w:r>
        <w:rPr/>
        <w:pict>
          <v:group style="position:absolute;margin-left:49.279999pt;margin-top:15.85156pt;width:152pt;height:108pt;mso-position-horizontal-relative:page;mso-position-vertical-relative:paragraph;z-index:15977984" coordorigin="986,317" coordsize="3040,2160">
            <v:shape style="position:absolute;left:995;top:327;width:3020;height:2040" coordorigin="996,327" coordsize="3020,2040" path="m996,827l1076,847,1156,747,1236,967,1316,707,1396,487,1476,887,1576,1087,1656,2027,1736,1947,1816,2207,1896,1987,1976,2327,2056,2367,2136,2167,2216,1947,2296,2027,2376,2027,2456,1787,2536,1647,2616,1827,2716,1527,2796,1487,2876,1187,2956,1427,3036,1307,3116,1007,3196,847,3276,1007,3356,847,3436,827,3516,407,3596,507,3676,707,3756,707,3836,447,3916,447,4016,327e" filled="false" stroked="true" strokeweight="1pt" strokecolor="#95459a">
              <v:path arrowok="t"/>
              <v:stroke dashstyle="solid"/>
            </v:shape>
            <v:shape style="position:absolute;left:995;top:587;width:3020;height:1880" coordorigin="996,587" coordsize="3020,1880" path="m996,1047l1076,1107,1156,887,1236,1227,1316,967,1396,967,1476,1147,1576,1467,1656,1867,1736,2127,1816,2467,1896,1987,1976,2387,2056,2367,2136,2167,2216,2247,2296,2167,2376,2167,2456,1907,2536,1787,2616,2027,2716,1567,2876,1727,2956,1607,3036,1567,3116,1487,3196,1307,3276,1187,3356,1147,3436,1087,3516,887,3596,747,3676,887,3756,927,3836,827,3916,747,4016,587e" filled="false" stroked="true" strokeweight="1pt" strokecolor="#faab54">
              <v:path arrowok="t"/>
              <v:stroke dashstyle="solid"/>
            </v:shape>
            <v:shape style="position:absolute;left:2738;top:416;width:734;height:133" type="#_x0000_t202" filled="false" stroked="false">
              <v:textbox inset="0,0,0,0">
                <w:txbxContent>
                  <w:p>
                    <w:pPr>
                      <w:spacing w:line="133" w:lineRule="exact" w:before="0"/>
                      <w:ind w:left="0" w:right="0" w:firstLine="0"/>
                      <w:jc w:val="left"/>
                      <w:rPr>
                        <w:sz w:val="12"/>
                      </w:rPr>
                    </w:pPr>
                    <w:r>
                      <w:rPr>
                        <w:sz w:val="12"/>
                      </w:rPr>
                      <w:t>Manufacturing</w:t>
                    </w:r>
                  </w:p>
                </w:txbxContent>
              </v:textbox>
              <w10:wrap type="none"/>
            </v:shape>
            <v:shape style="position:absolute;left:2965;top:1610;width:427;height:133" type="#_x0000_t202" filled="false" stroked="false">
              <v:textbox inset="0,0,0,0">
                <w:txbxContent>
                  <w:p>
                    <w:pPr>
                      <w:spacing w:line="133" w:lineRule="exact" w:before="0"/>
                      <w:ind w:left="0" w:right="0" w:firstLine="0"/>
                      <w:jc w:val="left"/>
                      <w:rPr>
                        <w:sz w:val="12"/>
                      </w:rPr>
                    </w:pPr>
                    <w:r>
                      <w:rPr>
                        <w:sz w:val="12"/>
                      </w:rPr>
                      <w:t>Services</w:t>
                    </w:r>
                  </w:p>
                </w:txbxContent>
              </v:textbox>
              <w10:wrap type="none"/>
            </v:shape>
            <w10:wrap type="none"/>
          </v:group>
        </w:pict>
      </w:r>
      <w:r>
        <w:rPr/>
        <w:pict>
          <v:line style="position:absolute;mso-position-horizontal-relative:page;mso-position-vertical-relative:paragraph;z-index:-20944896" from="211.779999pt,10.351560pt" to="206.779999pt,10.351560pt" stroked="true" strokeweight=".5pt" strokecolor="#000000">
            <v:stroke dashstyle="solid"/>
            <w10:wrap type="none"/>
          </v:line>
        </w:pict>
      </w:r>
      <w:r>
        <w:rPr>
          <w:sz w:val="12"/>
        </w:rPr>
        <w:t>Per cent (a) </w:t>
      </w:r>
      <w:r>
        <w:rPr>
          <w:spacing w:val="5"/>
          <w:sz w:val="12"/>
        </w:rPr>
        <w:t> </w:t>
      </w:r>
      <w:r>
        <w:rPr>
          <w:position w:val="-7"/>
          <w:sz w:val="12"/>
        </w:rPr>
        <w:t>80</w:t>
      </w:r>
    </w:p>
    <w:p>
      <w:pPr>
        <w:pStyle w:val="BodyText"/>
        <w:spacing w:before="1"/>
        <w:rPr>
          <w:sz w:val="21"/>
        </w:rPr>
      </w:pPr>
    </w:p>
    <w:p>
      <w:pPr>
        <w:spacing w:before="0"/>
        <w:ind w:left="0" w:right="417" w:firstLine="0"/>
        <w:jc w:val="right"/>
        <w:rPr>
          <w:sz w:val="12"/>
        </w:rPr>
      </w:pPr>
      <w:r>
        <w:rPr/>
        <w:pict>
          <v:line style="position:absolute;mso-position-horizontal-relative:page;mso-position-vertical-relative:paragraph;z-index:15975936" from="44.779999pt,4.10156pt" to="39.779999pt,4.10156pt" stroked="true" strokeweight=".5pt" strokecolor="#000000">
            <v:stroke dashstyle="solid"/>
            <w10:wrap type="none"/>
          </v:line>
        </w:pict>
      </w:r>
      <w:r>
        <w:rPr/>
        <w:pict>
          <v:line style="position:absolute;mso-position-horizontal-relative:page;mso-position-vertical-relative:paragraph;z-index:15982592" from="211.779999pt,4.10156pt" to="206.779999pt,4.10156pt" stroked="true" strokeweight=".5pt" strokecolor="#000000">
            <v:stroke dashstyle="solid"/>
            <w10:wrap type="none"/>
          </v:line>
        </w:pict>
      </w:r>
      <w:r>
        <w:rPr>
          <w:sz w:val="12"/>
        </w:rPr>
        <w:t>70</w:t>
      </w:r>
    </w:p>
    <w:p>
      <w:pPr>
        <w:pStyle w:val="BodyText"/>
        <w:rPr>
          <w:sz w:val="12"/>
        </w:rPr>
      </w:pPr>
    </w:p>
    <w:p>
      <w:pPr>
        <w:spacing w:before="104"/>
        <w:ind w:left="0" w:right="417" w:firstLine="0"/>
        <w:jc w:val="right"/>
        <w:rPr>
          <w:sz w:val="12"/>
        </w:rPr>
      </w:pPr>
      <w:r>
        <w:rPr/>
        <w:pict>
          <v:line style="position:absolute;mso-position-horizontal-relative:page;mso-position-vertical-relative:paragraph;z-index:15975424" from="44.779999pt,9.30156pt" to="39.779999pt,9.30156pt" stroked="true" strokeweight=".5pt" strokecolor="#000000">
            <v:stroke dashstyle="solid"/>
            <w10:wrap type="none"/>
          </v:line>
        </w:pict>
      </w:r>
      <w:r>
        <w:rPr/>
        <w:pict>
          <v:line style="position:absolute;mso-position-horizontal-relative:page;mso-position-vertical-relative:paragraph;z-index:15982080" from="211.779999pt,9.30156pt" to="206.779999pt,9.30156pt" stroked="true" strokeweight=".5pt" strokecolor="#000000">
            <v:stroke dashstyle="solid"/>
            <w10:wrap type="none"/>
          </v:line>
        </w:pict>
      </w:r>
      <w:r>
        <w:rPr>
          <w:sz w:val="12"/>
        </w:rPr>
        <w:t>60</w:t>
      </w:r>
    </w:p>
    <w:p>
      <w:pPr>
        <w:pStyle w:val="BodyText"/>
        <w:rPr>
          <w:sz w:val="12"/>
        </w:rPr>
      </w:pPr>
    </w:p>
    <w:p>
      <w:pPr>
        <w:spacing w:before="84"/>
        <w:ind w:left="0" w:right="417" w:firstLine="0"/>
        <w:jc w:val="right"/>
        <w:rPr>
          <w:sz w:val="12"/>
        </w:rPr>
      </w:pPr>
      <w:r>
        <w:rPr/>
        <w:pict>
          <v:line style="position:absolute;mso-position-horizontal-relative:page;mso-position-vertical-relative:paragraph;z-index:15974912" from="44.779999pt,9.30156pt" to="39.779999pt,9.30156pt" stroked="true" strokeweight=".5pt" strokecolor="#000000">
            <v:stroke dashstyle="solid"/>
            <w10:wrap type="none"/>
          </v:line>
        </w:pict>
      </w:r>
      <w:r>
        <w:rPr/>
        <w:pict>
          <v:line style="position:absolute;mso-position-horizontal-relative:page;mso-position-vertical-relative:paragraph;z-index:15981568" from="211.779999pt,9.30156pt" to="206.779999pt,9.30156pt" stroked="true" strokeweight=".5pt" strokecolor="#000000">
            <v:stroke dashstyle="solid"/>
            <w10:wrap type="none"/>
          </v:line>
        </w:pict>
      </w:r>
      <w:r>
        <w:rPr>
          <w:sz w:val="12"/>
        </w:rPr>
        <w:t>50</w:t>
      </w:r>
    </w:p>
    <w:p>
      <w:pPr>
        <w:pStyle w:val="BodyText"/>
        <w:rPr>
          <w:sz w:val="12"/>
        </w:rPr>
      </w:pPr>
    </w:p>
    <w:p>
      <w:pPr>
        <w:spacing w:before="104"/>
        <w:ind w:left="0" w:right="417" w:firstLine="0"/>
        <w:jc w:val="right"/>
        <w:rPr>
          <w:sz w:val="12"/>
        </w:rPr>
      </w:pPr>
      <w:r>
        <w:rPr/>
        <w:pict>
          <v:line style="position:absolute;mso-position-horizontal-relative:page;mso-position-vertical-relative:paragraph;z-index:15974400" from="44.779999pt,10.30156pt" to="39.779999pt,10.30156pt" stroked="true" strokeweight=".5pt" strokecolor="#000000">
            <v:stroke dashstyle="solid"/>
            <w10:wrap type="none"/>
          </v:line>
        </w:pict>
      </w:r>
      <w:r>
        <w:rPr/>
        <w:pict>
          <v:line style="position:absolute;mso-position-horizontal-relative:page;mso-position-vertical-relative:paragraph;z-index:15981056" from="211.779999pt,10.30156pt" to="206.779999pt,10.30156pt" stroked="true" strokeweight=".5pt" strokecolor="#000000">
            <v:stroke dashstyle="solid"/>
            <w10:wrap type="none"/>
          </v:line>
        </w:pict>
      </w:r>
      <w:r>
        <w:rPr>
          <w:sz w:val="12"/>
        </w:rPr>
        <w:t>40</w:t>
      </w:r>
    </w:p>
    <w:p>
      <w:pPr>
        <w:pStyle w:val="BodyText"/>
        <w:rPr>
          <w:sz w:val="12"/>
        </w:rPr>
      </w:pPr>
    </w:p>
    <w:p>
      <w:pPr>
        <w:spacing w:before="104"/>
        <w:ind w:left="0" w:right="417" w:firstLine="0"/>
        <w:jc w:val="right"/>
        <w:rPr>
          <w:sz w:val="12"/>
        </w:rPr>
      </w:pPr>
      <w:r>
        <w:rPr/>
        <w:pict>
          <v:line style="position:absolute;mso-position-horizontal-relative:page;mso-position-vertical-relative:paragraph;z-index:15973888" from="44.779999pt,10.30156pt" to="39.779999pt,10.30156pt" stroked="true" strokeweight=".5pt" strokecolor="#000000">
            <v:stroke dashstyle="solid"/>
            <w10:wrap type="none"/>
          </v:line>
        </w:pict>
      </w:r>
      <w:r>
        <w:rPr/>
        <w:pict>
          <v:line style="position:absolute;mso-position-horizontal-relative:page;mso-position-vertical-relative:paragraph;z-index:15980544" from="211.779999pt,10.30156pt" to="206.779999pt,10.30156pt" stroked="true" strokeweight=".5pt" strokecolor="#000000">
            <v:stroke dashstyle="solid"/>
            <w10:wrap type="none"/>
          </v:line>
        </w:pict>
      </w:r>
      <w:r>
        <w:rPr>
          <w:sz w:val="12"/>
        </w:rPr>
        <w:t>30</w:t>
      </w:r>
    </w:p>
    <w:p>
      <w:pPr>
        <w:pStyle w:val="BodyText"/>
        <w:rPr>
          <w:sz w:val="12"/>
        </w:rPr>
      </w:pPr>
    </w:p>
    <w:p>
      <w:pPr>
        <w:spacing w:before="104"/>
        <w:ind w:left="0" w:right="417" w:firstLine="0"/>
        <w:jc w:val="right"/>
        <w:rPr>
          <w:sz w:val="12"/>
        </w:rPr>
      </w:pPr>
      <w:r>
        <w:rPr/>
        <w:pict>
          <v:line style="position:absolute;mso-position-horizontal-relative:page;mso-position-vertical-relative:paragraph;z-index:15973376" from="44.779999pt,9.30156pt" to="39.779999pt,9.30156pt" stroked="true" strokeweight=".5pt" strokecolor="#000000">
            <v:stroke dashstyle="solid"/>
            <w10:wrap type="none"/>
          </v:line>
        </w:pict>
      </w:r>
      <w:r>
        <w:rPr/>
        <w:pict>
          <v:line style="position:absolute;mso-position-horizontal-relative:page;mso-position-vertical-relative:paragraph;z-index:15980032" from="211.779999pt,9.30156pt" to="206.779999pt,9.30156pt" stroked="true" strokeweight=".5pt" strokecolor="#000000">
            <v:stroke dashstyle="solid"/>
            <w10:wrap type="none"/>
          </v:line>
        </w:pict>
      </w:r>
      <w:r>
        <w:rPr>
          <w:sz w:val="12"/>
        </w:rPr>
        <w:t>20</w:t>
      </w:r>
    </w:p>
    <w:p>
      <w:pPr>
        <w:pStyle w:val="BodyText"/>
        <w:rPr>
          <w:sz w:val="12"/>
        </w:rPr>
      </w:pPr>
    </w:p>
    <w:p>
      <w:pPr>
        <w:spacing w:before="104"/>
        <w:ind w:left="0" w:right="417" w:firstLine="0"/>
        <w:jc w:val="right"/>
        <w:rPr>
          <w:sz w:val="12"/>
        </w:rPr>
      </w:pPr>
      <w:r>
        <w:rPr/>
        <w:pict>
          <v:line style="position:absolute;mso-position-horizontal-relative:page;mso-position-vertical-relative:paragraph;z-index:15972864" from="44.779999pt,9.30156pt" to="39.779999pt,9.30156pt" stroked="true" strokeweight=".5pt" strokecolor="#000000">
            <v:stroke dashstyle="solid"/>
            <w10:wrap type="none"/>
          </v:line>
        </w:pict>
      </w:r>
      <w:r>
        <w:rPr/>
        <w:pict>
          <v:line style="position:absolute;mso-position-horizontal-relative:page;mso-position-vertical-relative:paragraph;z-index:15979520" from="211.779999pt,9.30156pt" to="206.779999pt,9.30156pt" stroked="true" strokeweight=".5pt" strokecolor="#000000">
            <v:stroke dashstyle="solid"/>
            <w10:wrap type="none"/>
          </v:line>
        </w:pict>
      </w:r>
      <w:r>
        <w:rPr>
          <w:sz w:val="12"/>
        </w:rPr>
        <w:t>10</w:t>
      </w:r>
    </w:p>
    <w:p>
      <w:pPr>
        <w:pStyle w:val="BodyText"/>
        <w:rPr>
          <w:sz w:val="12"/>
        </w:rPr>
      </w:pPr>
    </w:p>
    <w:p>
      <w:pPr>
        <w:pStyle w:val="BodyText"/>
        <w:spacing w:before="7"/>
        <w:rPr>
          <w:sz w:val="9"/>
        </w:rPr>
      </w:pPr>
    </w:p>
    <w:p>
      <w:pPr>
        <w:spacing w:line="116" w:lineRule="exact" w:before="0"/>
        <w:ind w:left="3745" w:right="0" w:firstLine="0"/>
        <w:jc w:val="left"/>
        <w:rPr>
          <w:sz w:val="12"/>
        </w:rPr>
      </w:pPr>
      <w:r>
        <w:rPr/>
        <w:pict>
          <v:line style="position:absolute;mso-position-horizontal-relative:page;mso-position-vertical-relative:paragraph;z-index:15972352" from="44.779999pt,3.768568pt" to="39.779999pt,3.768568pt" stroked="true" strokeweight=".5pt" strokecolor="#000000">
            <v:stroke dashstyle="solid"/>
            <w10:wrap type="none"/>
          </v:line>
        </w:pict>
      </w:r>
      <w:r>
        <w:rPr/>
        <w:pict>
          <v:shape style="position:absolute;margin-left:49.779999pt;margin-top:-1.231432pt;width:150pt;height:5pt;mso-position-horizontal-relative:page;mso-position-vertical-relative:paragraph;z-index:15978496" coordorigin="996,-25" coordsize="3000,100" path="m996,75l3996,75m996,75l996,35m1076,75l1076,35m1156,75l1156,35m1236,75l1236,35m1316,75l1316,35m1396,75l1396,35m1476,75l1476,35m1556,75l1556,35m1636,75l1636,35m1736,75l1736,35m1816,75l1816,35m1896,75l1896,35m1976,75l1976,35m2056,75l2056,35m2136,75l2136,35m2216,75l2216,35m2296,75l2296,35m2376,75l2376,35m2456,75l2456,35m2536,75l2536,35m2616,75l2616,35m2696,75l2696,35m2796,75l2796,35m2876,75l2876,35m2956,75l2956,35m3036,75l3036,35m3116,75l3116,35m3196,75l3196,35m3276,75l3276,35m3356,75l3356,35m3436,75l3436,35m3516,75l3516,35m3596,75l3596,35m3676,75l3676,35m3756,75l3756,35m3836,75l3836,35m3916,75l3916,35m3996,75l3996,35m996,75l996,-25m1316,75l1316,-25m1636,75l1636,-25m1976,75l1976,-25m2296,75l2296,-25m2616,75l2616,-25m2956,75l2956,-25m3276,75l3276,-25m3596,75l3596,-25m3916,75l3916,-25e" filled="false" stroked="true" strokeweight=".5pt" strokecolor="#000000">
            <v:path arrowok="t"/>
            <v:stroke dashstyle="solid"/>
            <w10:wrap type="none"/>
          </v:shape>
        </w:pict>
      </w:r>
      <w:r>
        <w:rPr/>
        <w:pict>
          <v:line style="position:absolute;mso-position-horizontal-relative:page;mso-position-vertical-relative:paragraph;z-index:15979008" from="211.779999pt,3.768568pt" to="206.779999pt,3.768568pt" stroked="true" strokeweight=".5pt" strokecolor="#000000">
            <v:stroke dashstyle="solid"/>
            <w10:wrap type="none"/>
          </v:line>
        </w:pict>
      </w:r>
      <w:r>
        <w:rPr>
          <w:sz w:val="12"/>
        </w:rPr>
        <w:t>0</w:t>
      </w:r>
    </w:p>
    <w:p>
      <w:pPr>
        <w:tabs>
          <w:tab w:pos="1125" w:val="left" w:leader="none"/>
          <w:tab w:pos="2425" w:val="left" w:leader="none"/>
        </w:tabs>
        <w:spacing w:line="116" w:lineRule="exact" w:before="0"/>
        <w:ind w:left="425" w:right="0" w:firstLine="0"/>
        <w:jc w:val="left"/>
        <w:rPr>
          <w:sz w:val="12"/>
        </w:rPr>
      </w:pPr>
      <w:r>
        <w:rPr>
          <w:sz w:val="12"/>
        </w:rPr>
        <w:t>1989    90</w:t>
        <w:tab/>
        <w:t>91       92     </w:t>
      </w:r>
      <w:r>
        <w:rPr>
          <w:spacing w:val="10"/>
          <w:sz w:val="12"/>
        </w:rPr>
        <w:t> </w:t>
      </w:r>
      <w:r>
        <w:rPr>
          <w:sz w:val="12"/>
        </w:rPr>
        <w:t>93     </w:t>
      </w:r>
      <w:r>
        <w:rPr>
          <w:spacing w:val="20"/>
          <w:sz w:val="12"/>
        </w:rPr>
        <w:t> </w:t>
      </w:r>
      <w:r>
        <w:rPr>
          <w:sz w:val="12"/>
        </w:rPr>
        <w:t>94</w:t>
        <w:tab/>
        <w:t>95 96 97</w:t>
      </w:r>
      <w:r>
        <w:rPr>
          <w:spacing w:val="19"/>
          <w:sz w:val="12"/>
        </w:rPr>
        <w:t> </w:t>
      </w:r>
      <w:r>
        <w:rPr>
          <w:sz w:val="12"/>
        </w:rPr>
        <w:t>98</w:t>
      </w:r>
    </w:p>
    <w:p>
      <w:pPr>
        <w:spacing w:before="57"/>
        <w:ind w:left="186" w:right="0" w:firstLine="0"/>
        <w:jc w:val="left"/>
        <w:rPr>
          <w:sz w:val="12"/>
        </w:rPr>
      </w:pPr>
      <w:r>
        <w:rPr>
          <w:color w:val="231F20"/>
          <w:sz w:val="12"/>
        </w:rPr>
        <w:t>Source: BCC.</w:t>
      </w:r>
    </w:p>
    <w:p>
      <w:pPr>
        <w:pStyle w:val="BodyText"/>
        <w:spacing w:before="1"/>
        <w:rPr>
          <w:sz w:val="10"/>
        </w:rPr>
      </w:pPr>
    </w:p>
    <w:p>
      <w:pPr>
        <w:pStyle w:val="ListParagraph"/>
        <w:numPr>
          <w:ilvl w:val="0"/>
          <w:numId w:val="27"/>
        </w:numPr>
        <w:tabs>
          <w:tab w:pos="427" w:val="left" w:leader="none"/>
        </w:tabs>
        <w:spacing w:line="208" w:lineRule="auto" w:before="0" w:after="0"/>
        <w:ind w:left="426" w:right="498" w:hanging="240"/>
        <w:jc w:val="left"/>
        <w:rPr>
          <w:sz w:val="12"/>
        </w:rPr>
      </w:pPr>
      <w:r>
        <w:rPr>
          <w:color w:val="231F20"/>
          <w:sz w:val="12"/>
        </w:rPr>
        <w:t>Percentage of respondents answering ‘yes’ when asked whether </w:t>
      </w:r>
      <w:r>
        <w:rPr>
          <w:color w:val="231F20"/>
          <w:spacing w:val="-5"/>
          <w:sz w:val="12"/>
        </w:rPr>
        <w:t>they </w:t>
      </w:r>
      <w:r>
        <w:rPr>
          <w:color w:val="231F20"/>
          <w:sz w:val="12"/>
        </w:rPr>
        <w:t>have experienced recruitment difficulties.</w:t>
      </w:r>
    </w:p>
    <w:p>
      <w:pPr>
        <w:pStyle w:val="BodyText"/>
        <w:spacing w:before="10"/>
        <w:rPr>
          <w:sz w:val="23"/>
        </w:rPr>
      </w:pPr>
      <w:r>
        <w:rPr/>
        <w:br w:type="column"/>
      </w:r>
      <w:r>
        <w:rPr>
          <w:sz w:val="23"/>
        </w:rPr>
      </w:r>
    </w:p>
    <w:p>
      <w:pPr>
        <w:pStyle w:val="Heading4"/>
        <w:spacing w:line="242" w:lineRule="auto" w:before="1"/>
        <w:ind w:left="169" w:right="212"/>
      </w:pPr>
      <w:r>
        <w:rPr>
          <w:color w:val="231F20"/>
        </w:rPr>
        <w:t>The sectoral pattern of employment growth continues to reflect the divergence between weak manufacturing activity and more robust service sector growth. The number of manufacturing jobs was slightly lower in May than a year earlier, but service sector employment was 258,000 higher in 1998 Q1 than a year earlier. The Chartered Institute of Purchasing and Supply (C</w:t>
      </w:r>
      <w:r>
        <w:rPr>
          <w:color w:val="231F20"/>
          <w:sz w:val="20"/>
        </w:rPr>
        <w:t>IPS</w:t>
      </w:r>
      <w:r>
        <w:rPr>
          <w:color w:val="231F20"/>
        </w:rPr>
        <w:t>) survey shows the same pattern. The June survey </w:t>
      </w:r>
      <w:r>
        <w:rPr>
          <w:color w:val="231F20"/>
          <w:spacing w:val="-4"/>
        </w:rPr>
        <w:t>showed </w:t>
      </w:r>
      <w:r>
        <w:rPr>
          <w:color w:val="231F20"/>
        </w:rPr>
        <w:t>continued strong growth in service sector and construction employment, and a marked deterioration in manufacturing employment. A new C</w:t>
      </w:r>
      <w:r>
        <w:rPr>
          <w:color w:val="231F20"/>
          <w:sz w:val="20"/>
        </w:rPr>
        <w:t>IPS </w:t>
      </w:r>
      <w:r>
        <w:rPr>
          <w:color w:val="231F20"/>
        </w:rPr>
        <w:t>employment index</w:t>
      </w:r>
      <w:r>
        <w:rPr>
          <w:color w:val="231F20"/>
          <w:position w:val="5"/>
          <w:sz w:val="16"/>
        </w:rPr>
        <w:t>(1) </w:t>
      </w:r>
      <w:r>
        <w:rPr>
          <w:color w:val="231F20"/>
        </w:rPr>
        <w:t>weights these series together, and suggests that employment growth is likely to </w:t>
      </w:r>
      <w:r>
        <w:rPr>
          <w:color w:val="231F20"/>
          <w:spacing w:val="-3"/>
        </w:rPr>
        <w:t>have </w:t>
      </w:r>
      <w:r>
        <w:rPr>
          <w:color w:val="231F20"/>
        </w:rPr>
        <w:t>remained positive in 1998 Q2, though the pace of growth appears to be slower than in 1997 (see Chart</w:t>
      </w:r>
      <w:r>
        <w:rPr>
          <w:color w:val="231F20"/>
          <w:spacing w:val="-1"/>
        </w:rPr>
        <w:t> </w:t>
      </w:r>
      <w:r>
        <w:rPr>
          <w:color w:val="231F20"/>
        </w:rPr>
        <w:t>3.8).</w:t>
      </w:r>
    </w:p>
    <w:p>
      <w:pPr>
        <w:pStyle w:val="BodyText"/>
        <w:spacing w:before="1"/>
        <w:rPr>
          <w:sz w:val="25"/>
        </w:rPr>
      </w:pPr>
    </w:p>
    <w:p>
      <w:pPr>
        <w:spacing w:line="242" w:lineRule="auto" w:before="0"/>
        <w:ind w:left="169" w:right="183" w:firstLine="0"/>
        <w:jc w:val="left"/>
        <w:rPr>
          <w:sz w:val="24"/>
        </w:rPr>
      </w:pPr>
      <w:r>
        <w:rPr>
          <w:color w:val="231F20"/>
          <w:sz w:val="24"/>
        </w:rPr>
        <w:t>Employment intentions have nonetheless remained relatively robust. The BCC survey showed that employment intentions for 1998 Q3 were still positive for both manufacturing and service sector firms. There was a slight slowdown in employment intentions for 1998 Q3, according to the Manpower survey, though balances remained at around the same levels as a year ago. But the responses in the CBI survey, which covers manufacturing, have become markedly more pessimistic since the end of 1997 (see Table 3.B).</w:t>
      </w:r>
    </w:p>
    <w:p>
      <w:pPr>
        <w:pStyle w:val="BodyText"/>
        <w:spacing w:before="7"/>
        <w:rPr>
          <w:sz w:val="24"/>
        </w:rPr>
      </w:pPr>
    </w:p>
    <w:p>
      <w:pPr>
        <w:spacing w:line="242" w:lineRule="auto" w:before="0"/>
        <w:ind w:left="169" w:right="214" w:firstLine="0"/>
        <w:jc w:val="left"/>
        <w:rPr>
          <w:sz w:val="24"/>
        </w:rPr>
      </w:pPr>
      <w:r>
        <w:rPr>
          <w:color w:val="231F20"/>
          <w:sz w:val="24"/>
        </w:rPr>
        <w:t>Survey evidence also suggests that skill shortages remain a serious concern. The BCC survey for 1998 Q2 suggests that recruitment difficulties heightened further for both manufacturing and service sector firms. In both sectors, the percentage balance of firms experiencing recruitment difficulties was at its highest since the survey began in 1989 (see Chart 3.9). By contrast, the CBI survey suggests that skill shortages in the manufacturing sector have eased. Skill shortages were also a major concern in the construction industry, according to the C</w:t>
      </w:r>
      <w:r>
        <w:rPr>
          <w:color w:val="231F20"/>
          <w:sz w:val="20"/>
        </w:rPr>
        <w:t>IPS </w:t>
      </w:r>
      <w:r>
        <w:rPr>
          <w:color w:val="231F20"/>
          <w:sz w:val="24"/>
        </w:rPr>
        <w:t>construction report for June, but perhaps less so than they were earlier in the year.</w:t>
      </w:r>
    </w:p>
    <w:p>
      <w:pPr>
        <w:pStyle w:val="BodyText"/>
        <w:spacing w:before="9"/>
        <w:rPr>
          <w:sz w:val="24"/>
        </w:rPr>
      </w:pPr>
    </w:p>
    <w:p>
      <w:pPr>
        <w:spacing w:line="242" w:lineRule="auto" w:before="0"/>
        <w:ind w:left="169" w:right="394" w:firstLine="0"/>
        <w:jc w:val="left"/>
        <w:rPr>
          <w:sz w:val="24"/>
        </w:rPr>
      </w:pPr>
      <w:r>
        <w:rPr>
          <w:color w:val="231F20"/>
          <w:sz w:val="24"/>
        </w:rPr>
        <w:t>The stock of vacancies at job centres rose by a further 2,500 in June, to around 35,000 higher than its peak in the previous recovery. The relationship between the stock of vacancies and the stock of unemployment is</w:t>
      </w:r>
    </w:p>
    <w:p>
      <w:pPr>
        <w:spacing w:after="0" w:line="242" w:lineRule="auto"/>
        <w:jc w:val="left"/>
        <w:rPr>
          <w:sz w:val="24"/>
        </w:rPr>
        <w:sectPr>
          <w:type w:val="continuous"/>
          <w:pgSz w:w="11900" w:h="16840"/>
          <w:pgMar w:top="1220" w:bottom="280" w:left="620" w:right="640"/>
          <w:cols w:num="2" w:equalWidth="0">
            <w:col w:w="4226" w:space="598"/>
            <w:col w:w="5816"/>
          </w:cols>
        </w:sectPr>
      </w:pPr>
    </w:p>
    <w:p>
      <w:pPr>
        <w:pStyle w:val="BodyText"/>
        <w:spacing w:before="9"/>
        <w:rPr>
          <w:sz w:val="17"/>
        </w:rPr>
      </w:pPr>
    </w:p>
    <w:p>
      <w:pPr>
        <w:pStyle w:val="BodyText"/>
        <w:spacing w:line="20" w:lineRule="exact"/>
        <w:ind w:left="4945"/>
        <w:rPr>
          <w:sz w:val="2"/>
        </w:rPr>
      </w:pPr>
      <w:r>
        <w:rPr>
          <w:sz w:val="2"/>
        </w:rPr>
        <w:pict>
          <v:group style="width:276.650pt;height:.15pt;mso-position-horizontal-relative:char;mso-position-vertical-relative:line" coordorigin="0,0" coordsize="5533,3">
            <v:line style="position:absolute" from="0,1" to="5533,1" stroked="true" strokeweight=".125pt" strokecolor="#231f20">
              <v:stroke dashstyle="solid"/>
            </v:line>
          </v:group>
        </w:pict>
      </w:r>
      <w:r>
        <w:rPr>
          <w:sz w:val="2"/>
        </w:rPr>
      </w:r>
    </w:p>
    <w:p>
      <w:pPr>
        <w:pStyle w:val="ListParagraph"/>
        <w:numPr>
          <w:ilvl w:val="1"/>
          <w:numId w:val="27"/>
        </w:numPr>
        <w:tabs>
          <w:tab w:pos="5221" w:val="left" w:leader="none"/>
        </w:tabs>
        <w:spacing w:line="208" w:lineRule="auto" w:before="9" w:after="0"/>
        <w:ind w:left="5220" w:right="725" w:hanging="240"/>
        <w:jc w:val="left"/>
        <w:rPr>
          <w:sz w:val="16"/>
        </w:rPr>
      </w:pPr>
      <w:r>
        <w:rPr>
          <w:color w:val="231F20"/>
          <w:sz w:val="16"/>
        </w:rPr>
        <w:t>The CIPS employment index is derived from survey data on employment in the manufacturing, services and construction sectors, weighted by employment shares.</w:t>
      </w:r>
    </w:p>
    <w:p>
      <w:pPr>
        <w:spacing w:after="0" w:line="208" w:lineRule="auto"/>
        <w:jc w:val="left"/>
        <w:rPr>
          <w:sz w:val="16"/>
        </w:rPr>
        <w:sectPr>
          <w:type w:val="continuous"/>
          <w:pgSz w:w="11900" w:h="16840"/>
          <w:pgMar w:top="1220" w:bottom="280" w:left="620" w:right="640"/>
        </w:sectPr>
      </w:pPr>
    </w:p>
    <w:p>
      <w:pPr>
        <w:pStyle w:val="BodyText"/>
        <w:rPr>
          <w:sz w:val="20"/>
        </w:rPr>
      </w:pPr>
    </w:p>
    <w:p>
      <w:pPr>
        <w:pStyle w:val="Heading2"/>
        <w:spacing w:before="219"/>
        <w:ind w:left="1274" w:right="1264"/>
        <w:jc w:val="center"/>
      </w:pPr>
      <w:bookmarkStart w:name="The National Minimum Wage and other labo" w:id="62"/>
      <w:bookmarkEnd w:id="62"/>
      <w:r>
        <w:rPr>
          <w:b w:val="0"/>
        </w:rPr>
      </w:r>
      <w:bookmarkStart w:name="_bookmark26" w:id="63"/>
      <w:bookmarkEnd w:id="63"/>
      <w:r>
        <w:rPr>
          <w:b w:val="0"/>
        </w:rPr>
      </w:r>
      <w:bookmarkStart w:name="_bookmark27" w:id="64"/>
      <w:bookmarkEnd w:id="64"/>
      <w:r>
        <w:rPr>
          <w:b w:val="0"/>
        </w:rPr>
      </w:r>
      <w:r>
        <w:rPr>
          <w:color w:val="009483"/>
        </w:rPr>
        <w:t>The National Minimum Wage and other labour market reforms</w:t>
      </w:r>
    </w:p>
    <w:p>
      <w:pPr>
        <w:pStyle w:val="BodyText"/>
        <w:spacing w:before="3"/>
        <w:rPr>
          <w:b/>
          <w:sz w:val="28"/>
        </w:rPr>
      </w:pPr>
    </w:p>
    <w:p>
      <w:pPr>
        <w:spacing w:after="0"/>
        <w:rPr>
          <w:sz w:val="28"/>
        </w:rPr>
        <w:sectPr>
          <w:headerReference w:type="even" r:id="rId56"/>
          <w:headerReference w:type="default" r:id="rId57"/>
          <w:footerReference w:type="even" r:id="rId58"/>
          <w:footerReference w:type="default" r:id="rId59"/>
          <w:pgSz w:w="11900" w:h="16840"/>
          <w:pgMar w:header="586" w:footer="597" w:top="780" w:bottom="780" w:left="620" w:right="640"/>
          <w:pgNumType w:start="30"/>
        </w:sectPr>
      </w:pPr>
    </w:p>
    <w:p>
      <w:pPr>
        <w:pStyle w:val="Heading9"/>
        <w:spacing w:line="249" w:lineRule="auto" w:before="92"/>
        <w:ind w:left="424" w:right="41"/>
      </w:pPr>
      <w:r>
        <w:rPr/>
        <w:pict>
          <v:group style="position:absolute;margin-left:38.509998pt;margin-top:40.369999pt;width:516.5pt;height:739.7pt;mso-position-horizontal-relative:page;mso-position-vertical-relative:page;z-index:-20937728" coordorigin="770,807" coordsize="10330,14794">
            <v:shape style="position:absolute;left:790;top:827;width:10290;height:14754" coordorigin="790,827" coordsize="10290,14754" path="m11080,827l5921,827,790,827,790,8176,790,8233,790,15581,5921,15581,5949,15581,11080,15581,11080,827xe" filled="true" fillcolor="#c3e0dc" stroked="false">
              <v:path arrowok="t"/>
              <v:fill type="solid"/>
            </v:shape>
            <v:shape style="position:absolute;left:869;top:949;width:10131;height:14510" coordorigin="870,950" coordsize="10131,14510" path="m5935,950l870,8204,5935,15459,11001,8204,5935,950xe" filled="true" fillcolor="#c4e1dd" stroked="false">
              <v:path arrowok="t"/>
              <v:fill type="solid"/>
            </v:shape>
            <v:shape style="position:absolute;left:968;top:1091;width:9933;height:14225" coordorigin="969,1092" coordsize="9933,14225" path="m5935,1092l969,8204,5935,15317,10901,8204,5935,1092xe" filled="true" fillcolor="#c5e1dd" stroked="false">
              <v:path arrowok="t"/>
              <v:fill type="solid"/>
            </v:shape>
            <v:shape style="position:absolute;left:1068;top:1234;width:9734;height:13941" coordorigin="1068,1234" coordsize="9734,13941" path="m5935,1234l1068,8204,5935,15174,10802,8204,5935,1234xe" filled="true" fillcolor="#c6e2de" stroked="false">
              <v:path arrowok="t"/>
              <v:fill type="solid"/>
            </v:shape>
            <v:shape style="position:absolute;left:1167;top:1376;width:9535;height:13656" coordorigin="1168,1376" coordsize="9535,13656" path="m5935,1376l1168,8204,5935,15032,10703,8204,5935,1376xe" filled="true" fillcolor="#c7e2df" stroked="false">
              <v:path arrowok="t"/>
              <v:fill type="solid"/>
            </v:shape>
            <v:shape style="position:absolute;left:1266;top:1518;width:9337;height:13372" coordorigin="1267,1519" coordsize="9337,13372" path="m5935,1519l1267,8204,5935,14890,10603,8204,5935,1519xe" filled="true" fillcolor="#c8e3df" stroked="false">
              <v:path arrowok="t"/>
              <v:fill type="solid"/>
            </v:shape>
            <v:shape style="position:absolute;left:1366;top:1660;width:9138;height:13087" coordorigin="1366,1661" coordsize="9138,13087" path="m5935,1661l1366,8204,5935,14748,10504,8204,5935,1661xe" filled="true" fillcolor="#c9e3e0" stroked="false">
              <v:path arrowok="t"/>
              <v:fill type="solid"/>
            </v:shape>
            <v:shape style="position:absolute;left:1465;top:1803;width:8940;height:12803" coordorigin="1465,1803" coordsize="8940,12803" path="m5935,1803l1465,8204,5935,14605,10405,8204,5935,1803xe" filled="true" fillcolor="#cae4e0" stroked="false">
              <v:path arrowok="t"/>
              <v:fill type="solid"/>
            </v:shape>
            <v:shape style="position:absolute;left:1564;top:1945;width:8741;height:12518" coordorigin="1565,1945" coordsize="8741,12518" path="m5935,1945l1565,8204,5935,14463,10305,8204,5935,1945xe" filled="true" fillcolor="#cbe4e1" stroked="false">
              <v:path arrowok="t"/>
              <v:fill type="solid"/>
            </v:shape>
            <v:shape style="position:absolute;left:1664;top:2087;width:8542;height:12234" coordorigin="1664,2088" coordsize="8542,12234" path="m5935,2088l1664,8204,5935,14321,10206,8204,5935,2088xe" filled="true" fillcolor="#cce5e1" stroked="false">
              <v:path arrowok="t"/>
              <v:fill type="solid"/>
            </v:shape>
            <v:shape style="position:absolute;left:1763;top:2229;width:8344;height:11949" coordorigin="1763,2230" coordsize="8344,11949" path="m5935,2230l1763,8204,5935,14179,10107,8204,5935,2230xe" filled="true" fillcolor="#cde5e2" stroked="false">
              <v:path arrowok="t"/>
              <v:fill type="solid"/>
            </v:shape>
            <v:shape style="position:absolute;left:1862;top:2372;width:8145;height:11665" coordorigin="1863,2372" coordsize="8145,11665" path="m5935,2372l1863,8204,5935,14036,10007,8204,5935,2372xe" filled="true" fillcolor="#cee6e3" stroked="false">
              <v:path arrowok="t"/>
              <v:fill type="solid"/>
            </v:shape>
            <v:shape style="position:absolute;left:1962;top:2514;width:7946;height:11380" coordorigin="1962,2514" coordsize="7946,11380" path="m5935,2514l1962,8204,5935,13894,9908,8204,5935,2514xe" filled="true" fillcolor="#cfe6e3" stroked="false">
              <v:path arrowok="t"/>
              <v:fill type="solid"/>
            </v:shape>
            <v:shape style="position:absolute;left:2061;top:2656;width:7748;height:11096" coordorigin="2061,2657" coordsize="7748,11096" path="m5935,2657l2061,8204,5935,13752,9809,8204,5935,2657xe" filled="true" fillcolor="#d0e7e4" stroked="false">
              <v:path arrowok="t"/>
              <v:fill type="solid"/>
            </v:shape>
            <v:shape style="position:absolute;left:2160;top:2798;width:7549;height:10811" coordorigin="2161,2799" coordsize="7549,10811" path="m5935,2799l2161,8204,5935,13610,9709,8204,5935,2799xe" filled="true" fillcolor="#d1e7e4" stroked="false">
              <v:path arrowok="t"/>
              <v:fill type="solid"/>
            </v:shape>
            <v:shape style="position:absolute;left:2260;top:2941;width:7350;height:10527" coordorigin="2260,2941" coordsize="7350,10527" path="m5935,2941l2260,8204,5935,13467,9610,8204,5935,2941xe" filled="true" fillcolor="#d3e8e5" stroked="false">
              <v:path arrowok="t"/>
              <v:fill type="solid"/>
            </v:shape>
            <v:shape style="position:absolute;left:2359;top:3083;width:7152;height:10242" coordorigin="2359,3083" coordsize="7152,10242" path="m5935,3083l2359,8204,5935,13325,9511,8204,5935,3083xe" filled="true" fillcolor="#d4e8e5" stroked="false">
              <v:path arrowok="t"/>
              <v:fill type="solid"/>
            </v:shape>
            <v:shape style="position:absolute;left:2458;top:3225;width:6953;height:9958" coordorigin="2459,3226" coordsize="6953,9958" path="m5935,3226l2459,8204,5935,13183,9411,8204,5935,3226xe" filled="true" fillcolor="#d5e9e6" stroked="false">
              <v:path arrowok="t"/>
              <v:fill type="solid"/>
            </v:shape>
            <v:shape style="position:absolute;left:2558;top:3367;width:6754;height:9673" coordorigin="2558,3368" coordsize="6754,9673" path="m5935,3368l2558,8204,5935,13041,9312,8204,5935,3368xe" filled="true" fillcolor="#d6eae7" stroked="false">
              <v:path arrowok="t"/>
              <v:fill type="solid"/>
            </v:shape>
            <v:shape style="position:absolute;left:2657;top:3510;width:6556;height:9389" coordorigin="2657,3510" coordsize="6556,9389" path="m5935,3510l2657,8204,5935,12898,9213,8204,5935,3510xe" filled="true" fillcolor="#d7eae7" stroked="false">
              <v:path arrowok="t"/>
              <v:fill type="solid"/>
            </v:shape>
            <v:shape style="position:absolute;left:2756;top:3652;width:6357;height:9104" coordorigin="2757,3652" coordsize="6357,9104" path="m5935,3652l2757,8204,5935,12756,9113,8204,5935,3652xe" filled="true" fillcolor="#d8ebe8" stroked="false">
              <v:path arrowok="t"/>
              <v:fill type="solid"/>
            </v:shape>
            <v:shape style="position:absolute;left:2856;top:3794;width:6159;height:8820" coordorigin="2856,3795" coordsize="6159,8820" path="m5935,3795l2856,8204,5935,12614,9014,8204,5935,3795xe" filled="true" fillcolor="#d9ebe8" stroked="false">
              <v:path arrowok="t"/>
              <v:fill type="solid"/>
            </v:shape>
            <v:shape style="position:absolute;left:2955;top:3936;width:5960;height:8535" coordorigin="2955,3937" coordsize="5960,8535" path="m5935,3937l2955,8204,5935,12472,8915,8204,5935,3937xe" filled="true" fillcolor="#daece9" stroked="false">
              <v:path arrowok="t"/>
              <v:fill type="solid"/>
            </v:shape>
            <v:shape style="position:absolute;left:3054;top:4079;width:5761;height:8251" coordorigin="3055,4079" coordsize="5761,8251" path="m5935,4079l3055,8204,5935,12329,8815,8204,5935,4079xe" filled="true" fillcolor="#dbece9" stroked="false">
              <v:path arrowok="t"/>
              <v:fill type="solid"/>
            </v:shape>
            <v:shape style="position:absolute;left:3154;top:4221;width:5563;height:7966" coordorigin="3154,4221" coordsize="5563,7966" path="m5935,4221l3154,8204,5935,12187,8716,8204,5935,4221xe" filled="true" fillcolor="#dcedea" stroked="false">
              <v:path arrowok="t"/>
              <v:fill type="solid"/>
            </v:shape>
            <v:shape style="position:absolute;left:3253;top:4363;width:5364;height:7682" coordorigin="3253,4364" coordsize="5364,7682" path="m5935,4364l3253,8204,5935,12045,8617,8204,5935,4364xe" filled="true" fillcolor="#ddedeb" stroked="false">
              <v:path arrowok="t"/>
              <v:fill type="solid"/>
            </v:shape>
            <v:shape style="position:absolute;left:3352;top:4505;width:5165;height:7397" coordorigin="3353,4506" coordsize="5165,7397" path="m5935,4506l3353,8204,5935,11903,8517,8204,5935,4506xe" filled="true" fillcolor="#deeeeb" stroked="false">
              <v:path arrowok="t"/>
              <v:fill type="solid"/>
            </v:shape>
            <v:shape style="position:absolute;left:3451;top:4648;width:4967;height:7113" coordorigin="3452,4648" coordsize="4967,7113" path="m5935,4648l3452,8204,5935,11760,8418,8204,5935,4648xe" filled="true" fillcolor="#e0efec" stroked="false">
              <v:path arrowok="t"/>
              <v:fill type="solid"/>
            </v:shape>
            <v:shape style="position:absolute;left:3551;top:4790;width:4768;height:6828" coordorigin="3551,4790" coordsize="4768,6828" path="m5935,4790l3551,8204,5935,11618,8319,8204,5935,4790xe" filled="true" fillcolor="#e1efec" stroked="false">
              <v:path arrowok="t"/>
              <v:fill type="solid"/>
            </v:shape>
            <v:shape style="position:absolute;left:3650;top:4932;width:4569;height:6544" coordorigin="3651,4933" coordsize="4569,6544" path="m5935,4933l3651,8204,5935,11476,8219,8204,5935,4933xe" filled="true" fillcolor="#e2f0ed" stroked="false">
              <v:path arrowok="t"/>
              <v:fill type="solid"/>
            </v:shape>
            <v:shape style="position:absolute;left:3749;top:5074;width:4371;height:6259" coordorigin="3750,5075" coordsize="4371,6259" path="m5935,5075l3750,8204,5935,11334,8120,8204,5935,5075xe" filled="true" fillcolor="#e3f0ee" stroked="false">
              <v:path arrowok="t"/>
              <v:fill type="solid"/>
            </v:shape>
            <v:shape style="position:absolute;left:3849;top:5217;width:4172;height:5975" coordorigin="3849,5217" coordsize="4172,5975" path="m5935,5217l3849,8204,5935,11191,8021,8204,5935,5217xe" filled="true" fillcolor="#e4f1ee" stroked="false">
              <v:path arrowok="t"/>
              <v:fill type="solid"/>
            </v:shape>
            <v:shape style="position:absolute;left:3948;top:5359;width:3973;height:5690" coordorigin="3949,5359" coordsize="3973,5690" path="m5935,5359l3949,8204,5935,11049,7922,8204,5935,5359xe" filled="true" fillcolor="#e5f1ef" stroked="false">
              <v:path arrowok="t"/>
              <v:fill type="solid"/>
            </v:shape>
            <v:shape style="position:absolute;left:4047;top:5501;width:3775;height:5406" coordorigin="4048,5502" coordsize="3775,5406" path="m5935,5502l4048,8204,5935,10907,7822,8204,5935,5502xe" filled="true" fillcolor="#e6f2ef" stroked="false">
              <v:path arrowok="t"/>
              <v:fill type="solid"/>
            </v:shape>
            <v:shape style="position:absolute;left:4147;top:5643;width:3576;height:5121" coordorigin="4147,5644" coordsize="3576,5121" path="m5935,5644l4147,8204,5935,10765,7723,8204,5935,5644xe" filled="true" fillcolor="#e7f3f0" stroked="false">
              <v:path arrowok="t"/>
              <v:fill type="solid"/>
            </v:shape>
            <v:shape style="position:absolute;left:4246;top:5786;width:3377;height:4837" coordorigin="4247,5786" coordsize="3377,4837" path="m5935,5786l4247,8204,5935,10622,7624,8204,5935,5786xe" filled="true" fillcolor="#e9f3f1" stroked="false">
              <v:path arrowok="t"/>
              <v:fill type="solid"/>
            </v:shape>
            <v:shape style="position:absolute;left:4345;top:5928;width:3179;height:4552" coordorigin="4346,5928" coordsize="3179,4552" path="m5935,5928l4346,8204,5935,10480,7524,8204,5935,5928xe" filled="true" fillcolor="#eaf4f2" stroked="false">
              <v:path arrowok="t"/>
              <v:fill type="solid"/>
            </v:shape>
            <v:shape style="position:absolute;left:4445;top:6070;width:2980;height:4268" coordorigin="4445,6071" coordsize="2980,4268" path="m5935,6071l4445,8204,5935,10338,7425,8204,5935,6071xe" filled="true" fillcolor="#ebf4f2" stroked="false">
              <v:path arrowok="t"/>
              <v:fill type="solid"/>
            </v:shape>
            <v:shape style="position:absolute;left:4544;top:6212;width:2782;height:3983" coordorigin="4545,6213" coordsize="2782,3983" path="m5935,6213l4545,8204,5935,10196,7326,8204,5935,6213xe" filled="true" fillcolor="#ecf5f3" stroked="false">
              <v:path arrowok="t"/>
              <v:fill type="solid"/>
            </v:shape>
            <v:shape style="position:absolute;left:4643;top:6355;width:2583;height:3699" coordorigin="4644,6355" coordsize="2583,3699" path="m5935,6355l4644,8204,5935,10054,7226,8204,5935,6355xe" filled="true" fillcolor="#edf6f4" stroked="false">
              <v:path arrowok="t"/>
              <v:fill type="solid"/>
            </v:shape>
            <v:shape style="position:absolute;left:4743;top:6497;width:2384;height:3414" coordorigin="4743,6497" coordsize="2384,3414" path="m5935,6497l4743,8204,5935,9911,7127,8204,5935,6497xe" filled="true" fillcolor="#eff7f5" stroked="false">
              <v:path arrowok="t"/>
              <v:fill type="solid"/>
            </v:shape>
            <v:shape style="position:absolute;left:4842;top:6639;width:2186;height:3130" coordorigin="4842,6640" coordsize="2186,3130" path="m5935,6640l4842,8204,5935,9769,7028,8204,5935,6640xe" filled="true" fillcolor="#f0f7f5" stroked="false">
              <v:path arrowok="t"/>
              <v:fill type="solid"/>
            </v:shape>
            <v:shape style="position:absolute;left:4941;top:6781;width:1987;height:2845" coordorigin="4942,6782" coordsize="1987,2845" path="m5935,6782l4942,8204,5935,9627,6928,8204,5935,6782xe" filled="true" fillcolor="#f1f8f6" stroked="false">
              <v:path arrowok="t"/>
              <v:fill type="solid"/>
            </v:shape>
            <v:shape style="position:absolute;left:5041;top:6924;width:1788;height:2561" coordorigin="5041,6924" coordsize="1788,2561" path="m5935,6924l5041,8204,5935,9485,6829,8204,5935,6924xe" filled="true" fillcolor="#f2f8f7" stroked="false">
              <v:path arrowok="t"/>
              <v:fill type="solid"/>
            </v:shape>
            <v:shape style="position:absolute;left:5140;top:7066;width:1590;height:2276" coordorigin="5140,7066" coordsize="1590,2276" path="m5935,7066l5140,8204,5935,9342,6730,8204,5935,7066xe" filled="true" fillcolor="#f3f9f8" stroked="false">
              <v:path arrowok="t"/>
              <v:fill type="solid"/>
            </v:shape>
            <v:shape style="position:absolute;left:5239;top:7208;width:1391;height:1992" coordorigin="5240,7209" coordsize="1391,1992" path="m5935,7209l5240,8204,5935,9200,6630,8204,5935,7209xe" filled="true" fillcolor="#f5f9f8" stroked="false">
              <v:path arrowok="t"/>
              <v:fill type="solid"/>
            </v:shape>
            <v:shape style="position:absolute;left:5339;top:7350;width:1192;height:1707" coordorigin="5339,7351" coordsize="1192,1707" path="m5935,7351l5339,8204,5935,9058,6531,8204,5935,7351xe" filled="true" fillcolor="#f6faf9" stroked="false">
              <v:path arrowok="t"/>
              <v:fill type="solid"/>
            </v:shape>
            <v:shape style="position:absolute;left:5438;top:7493;width:994;height:1423" coordorigin="5438,7493" coordsize="994,1423" path="m5935,7493l5438,8204,5935,8916,6432,8204,5935,7493xe" filled="true" fillcolor="#f8fbfa" stroked="false">
              <v:path arrowok="t"/>
              <v:fill type="solid"/>
            </v:shape>
            <v:shape style="position:absolute;left:5537;top:7635;width:795;height:1138" coordorigin="5538,7635" coordsize="795,1138" path="m5935,7635l5538,8204,5935,8773,6332,8204,5935,7635xe" filled="true" fillcolor="#f9fcfc" stroked="false">
              <v:path arrowok="t"/>
              <v:fill type="solid"/>
            </v:shape>
            <v:shape style="position:absolute;left:5637;top:7777;width:596;height:854" coordorigin="5637,7778" coordsize="596,854" path="m5935,7778l5637,8204,5935,8631,6233,8204,5935,7778xe" filled="true" fillcolor="#fbfdfd" stroked="false">
              <v:path arrowok="t"/>
              <v:fill type="solid"/>
            </v:shape>
            <v:shape style="position:absolute;left:5736;top:7919;width:398;height:569" coordorigin="5736,7920" coordsize="398,569" path="m5935,7920l5736,8204,5935,8489,6134,8204,5935,7920xe" filled="true" fillcolor="#fdfefe" stroked="false">
              <v:path arrowok="t"/>
              <v:fill type="solid"/>
            </v:shape>
            <v:shape style="position:absolute;left:5835;top:8062;width:199;height:285" coordorigin="5836,8062" coordsize="199,285" path="m5935,8062l5836,8204,5935,8347,6034,8204,5935,8062xe" filled="true" fillcolor="#ffffff" stroked="false">
              <v:path arrowok="t"/>
              <v:fill type="solid"/>
            </v:shape>
            <v:rect style="position:absolute;left:780;top:817;width:10310;height:14774" filled="false" stroked="true" strokeweight="1pt" strokecolor="#009483">
              <v:stroke dashstyle="solid"/>
            </v:rect>
            <w10:wrap type="none"/>
          </v:group>
        </w:pict>
      </w:r>
      <w:r>
        <w:rPr>
          <w:color w:val="231F20"/>
        </w:rPr>
        <w:t>The MPC has considered the implications of the National Minimum Wage and some of the other labour market reforms introduced by the Government. This box describes how these policies have affected the MPC’s inflation projection.</w:t>
      </w:r>
    </w:p>
    <w:p>
      <w:pPr>
        <w:pStyle w:val="BodyText"/>
        <w:spacing w:before="8"/>
        <w:rPr>
          <w:sz w:val="17"/>
        </w:rPr>
      </w:pPr>
    </w:p>
    <w:p>
      <w:pPr>
        <w:spacing w:line="249" w:lineRule="auto" w:before="0"/>
        <w:ind w:left="424" w:right="41" w:firstLine="0"/>
        <w:jc w:val="left"/>
        <w:rPr>
          <w:sz w:val="20"/>
        </w:rPr>
      </w:pPr>
      <w:r>
        <w:rPr>
          <w:color w:val="231F20"/>
          <w:sz w:val="20"/>
        </w:rPr>
        <w:t>On 18 June, the Government announced the levels and coverage of the National Minimum Wage, to be introduced in April 1999. A rate of £3.60 per hour has been set for workers over 21 years of age. A lower development rate of £3 per hour, rising to £3.20 in June 2000, has been announced for workers aged between 18–21. Older workers in the first six months in a new job with a new employer undertaking an accredited training course will also entitled to a National Minimum Wage of</w:t>
      </w:r>
    </w:p>
    <w:p>
      <w:pPr>
        <w:spacing w:before="8"/>
        <w:ind w:left="424" w:right="0" w:firstLine="0"/>
        <w:jc w:val="left"/>
        <w:rPr>
          <w:sz w:val="20"/>
        </w:rPr>
      </w:pPr>
      <w:r>
        <w:rPr>
          <w:color w:val="231F20"/>
          <w:sz w:val="20"/>
        </w:rPr>
        <w:t>£3.20 per hour.</w:t>
      </w:r>
    </w:p>
    <w:p>
      <w:pPr>
        <w:pStyle w:val="BodyText"/>
        <w:spacing w:before="2"/>
      </w:pPr>
    </w:p>
    <w:p>
      <w:pPr>
        <w:spacing w:line="249" w:lineRule="auto" w:before="1"/>
        <w:ind w:left="424" w:right="41" w:firstLine="0"/>
        <w:jc w:val="left"/>
        <w:rPr>
          <w:sz w:val="20"/>
        </w:rPr>
      </w:pPr>
      <w:r>
        <w:rPr>
          <w:color w:val="231F20"/>
          <w:sz w:val="20"/>
        </w:rPr>
        <w:t>The rate of £3.60 per hour represents around 55% of </w:t>
      </w:r>
      <w:r>
        <w:rPr>
          <w:color w:val="231F20"/>
          <w:spacing w:val="-6"/>
          <w:sz w:val="20"/>
        </w:rPr>
        <w:t>the </w:t>
      </w:r>
      <w:r>
        <w:rPr>
          <w:color w:val="231F20"/>
          <w:sz w:val="20"/>
        </w:rPr>
        <w:t>median of all LFS earnings per hour and around 45% of LFS full-time male median earnings per hour. That is lower than O</w:t>
      </w:r>
      <w:r>
        <w:rPr>
          <w:color w:val="231F20"/>
          <w:sz w:val="16"/>
        </w:rPr>
        <w:t>ECD </w:t>
      </w:r>
      <w:r>
        <w:rPr>
          <w:color w:val="231F20"/>
          <w:sz w:val="20"/>
        </w:rPr>
        <w:t>estimates of the level of the minimum wage in, for example, France, but higher than in the United States.</w:t>
      </w:r>
    </w:p>
    <w:p>
      <w:pPr>
        <w:pStyle w:val="BodyText"/>
        <w:spacing w:before="9"/>
        <w:rPr>
          <w:sz w:val="17"/>
        </w:rPr>
      </w:pPr>
    </w:p>
    <w:p>
      <w:pPr>
        <w:spacing w:line="249" w:lineRule="auto" w:before="0"/>
        <w:ind w:left="424" w:right="142" w:firstLine="0"/>
        <w:jc w:val="left"/>
        <w:rPr>
          <w:sz w:val="20"/>
        </w:rPr>
      </w:pPr>
      <w:r>
        <w:rPr>
          <w:color w:val="231F20"/>
          <w:sz w:val="20"/>
        </w:rPr>
        <w:t>An estimated 1.9 million workers—8</w:t>
      </w:r>
      <w:r>
        <w:rPr>
          <w:color w:val="231F20"/>
          <w:position w:val="7"/>
          <w:sz w:val="10"/>
        </w:rPr>
        <w:t>1</w:t>
      </w:r>
      <w:r>
        <w:rPr>
          <w:color w:val="231F20"/>
          <w:sz w:val="20"/>
        </w:rPr>
        <w:t>/</w:t>
      </w:r>
      <w:r>
        <w:rPr>
          <w:color w:val="231F20"/>
          <w:sz w:val="10"/>
        </w:rPr>
        <w:t>2</w:t>
      </w:r>
      <w:r>
        <w:rPr>
          <w:color w:val="231F20"/>
          <w:sz w:val="20"/>
        </w:rPr>
        <w:t>% of the workforce—will be directly affected by the introduction of the National Minimum Wage. About two thirds of these will be women.</w:t>
      </w:r>
    </w:p>
    <w:p>
      <w:pPr>
        <w:pStyle w:val="BodyText"/>
        <w:spacing w:before="8"/>
        <w:rPr>
          <w:sz w:val="17"/>
        </w:rPr>
      </w:pPr>
    </w:p>
    <w:p>
      <w:pPr>
        <w:spacing w:line="249" w:lineRule="auto" w:before="0"/>
        <w:ind w:left="424" w:right="92" w:firstLine="0"/>
        <w:jc w:val="left"/>
        <w:rPr>
          <w:sz w:val="20"/>
        </w:rPr>
      </w:pPr>
      <w:r>
        <w:rPr>
          <w:color w:val="231F20"/>
          <w:sz w:val="20"/>
        </w:rPr>
        <w:t>The National Minimum Wage is expected to lead to an average increase of about one third in the wage of those directly affected by its introduction. The direct effect of this on the aggregate wage bill would be to raise its level by about 0.6%.</w:t>
      </w:r>
    </w:p>
    <w:p>
      <w:pPr>
        <w:pStyle w:val="BodyText"/>
        <w:spacing w:before="8"/>
        <w:rPr>
          <w:sz w:val="17"/>
        </w:rPr>
      </w:pPr>
    </w:p>
    <w:p>
      <w:pPr>
        <w:spacing w:line="249" w:lineRule="auto" w:before="1"/>
        <w:ind w:left="424" w:right="0" w:firstLine="0"/>
        <w:jc w:val="left"/>
        <w:rPr>
          <w:sz w:val="20"/>
        </w:rPr>
      </w:pPr>
      <w:r>
        <w:rPr>
          <w:color w:val="231F20"/>
          <w:sz w:val="20"/>
        </w:rPr>
        <w:t>The overall impact on the aggregate wage bill and employment will also depend on a number of indirect factors. They include the degree of differentials restoration higher up the wage distribution; the degree of market power that firms have over the labour market </w:t>
      </w:r>
      <w:r>
        <w:rPr>
          <w:color w:val="231F20"/>
          <w:spacing w:val="-5"/>
          <w:sz w:val="20"/>
        </w:rPr>
        <w:t>from </w:t>
      </w:r>
      <w:r>
        <w:rPr>
          <w:color w:val="231F20"/>
          <w:sz w:val="20"/>
        </w:rPr>
        <w:t>which they recruit (the degree of monopsony); the degree of compliance with the law; the extent to which firms </w:t>
      </w:r>
      <w:r>
        <w:rPr>
          <w:color w:val="231F20"/>
          <w:spacing w:val="-7"/>
          <w:sz w:val="20"/>
        </w:rPr>
        <w:t>can </w:t>
      </w:r>
      <w:r>
        <w:rPr>
          <w:color w:val="231F20"/>
          <w:sz w:val="20"/>
        </w:rPr>
        <w:t>offset the impact of the National Minimum Wage on their total costs per hour by consolidating non-wage costs, for example, cash tips; and the degree of substitutability between those covered by the National Minimum Wage, other workers and capital. In addition, though the Government has made no formal commitment to link the rate of the National Minimum Wage to any particular price or earnings index, the long-run impact of the National Minimum Wage will depend on whether its real value is maintained at its current level. The MPC has assumed that the nominal value of the National Minimum Wage is held constant over the forecast period.</w:t>
      </w:r>
    </w:p>
    <w:p>
      <w:pPr>
        <w:pStyle w:val="BodyText"/>
        <w:spacing w:before="8"/>
      </w:pPr>
    </w:p>
    <w:p>
      <w:pPr>
        <w:spacing w:line="249" w:lineRule="auto" w:before="0"/>
        <w:ind w:left="424" w:right="109" w:firstLine="0"/>
        <w:jc w:val="left"/>
        <w:rPr>
          <w:sz w:val="20"/>
        </w:rPr>
      </w:pPr>
      <w:r>
        <w:rPr>
          <w:color w:val="231F20"/>
          <w:sz w:val="20"/>
        </w:rPr>
        <w:t>Some of these factors will tend to increase the impact on the aggregate wage bill, but others to reduce it. It is not</w:t>
      </w:r>
    </w:p>
    <w:p>
      <w:pPr>
        <w:spacing w:line="249" w:lineRule="auto" w:before="92"/>
        <w:ind w:left="424" w:right="685" w:firstLine="0"/>
        <w:jc w:val="left"/>
        <w:rPr>
          <w:sz w:val="20"/>
        </w:rPr>
      </w:pPr>
      <w:r>
        <w:rPr/>
        <w:br w:type="column"/>
      </w:r>
      <w:r>
        <w:rPr>
          <w:color w:val="231F20"/>
          <w:sz w:val="20"/>
        </w:rPr>
        <w:t>possible </w:t>
      </w:r>
      <w:r>
        <w:rPr>
          <w:i/>
          <w:color w:val="231F20"/>
          <w:sz w:val="20"/>
        </w:rPr>
        <w:t>ex ante </w:t>
      </w:r>
      <w:r>
        <w:rPr>
          <w:color w:val="231F20"/>
          <w:sz w:val="20"/>
        </w:rPr>
        <w:t>to know how significant any of these factors will prove to be. So there is a great deal of uncertainty surrounding any estimates of the impact of the National Minimum Wage on wages and prices.</w:t>
      </w:r>
    </w:p>
    <w:p>
      <w:pPr>
        <w:spacing w:line="249" w:lineRule="auto" w:before="3"/>
        <w:ind w:left="424" w:right="546" w:firstLine="0"/>
        <w:jc w:val="left"/>
        <w:rPr>
          <w:sz w:val="20"/>
        </w:rPr>
      </w:pPr>
      <w:r>
        <w:rPr>
          <w:color w:val="231F20"/>
          <w:sz w:val="20"/>
        </w:rPr>
        <w:t>Taking all of the above factors into consideration, the MPC’s central projection assumes that the net effect of the National Minimum Wage on the aggregate wage bill will be to raise its level by 0.5%. However, as some firms will have adjusted wages prior to April 1999, it is assumed that around half of the full effect will come through before then.</w:t>
      </w:r>
    </w:p>
    <w:p>
      <w:pPr>
        <w:pStyle w:val="BodyText"/>
        <w:spacing w:before="4"/>
        <w:rPr>
          <w:sz w:val="21"/>
        </w:rPr>
      </w:pPr>
    </w:p>
    <w:p>
      <w:pPr>
        <w:spacing w:line="249" w:lineRule="auto" w:before="0"/>
        <w:ind w:left="424" w:right="468" w:firstLine="0"/>
        <w:jc w:val="left"/>
        <w:rPr>
          <w:sz w:val="20"/>
        </w:rPr>
      </w:pPr>
      <w:r>
        <w:rPr>
          <w:color w:val="231F20"/>
          <w:sz w:val="20"/>
        </w:rPr>
        <w:t>In addition to the factors listed above, the overall impact on wages and prices will depend on the extent to which the higher price level feeds into higher wage demands from all workers, by raising inflation expectations. The central projection assumes that inflation expectations rise slightly following the introduction of the National Minimum Wage. That raises the central estimate of the effects of the National Minimum Wage on both wages and prices.</w:t>
      </w:r>
    </w:p>
    <w:p>
      <w:pPr>
        <w:pStyle w:val="BodyText"/>
        <w:spacing w:before="6"/>
        <w:rPr>
          <w:sz w:val="21"/>
        </w:rPr>
      </w:pPr>
    </w:p>
    <w:p>
      <w:pPr>
        <w:spacing w:line="249" w:lineRule="auto" w:before="0"/>
        <w:ind w:left="424" w:right="796" w:firstLine="0"/>
        <w:jc w:val="left"/>
        <w:rPr>
          <w:sz w:val="20"/>
        </w:rPr>
      </w:pPr>
      <w:r>
        <w:rPr>
          <w:color w:val="231F20"/>
          <w:sz w:val="20"/>
        </w:rPr>
        <w:t>The Bank’s regional Agencies conducted an </w:t>
      </w:r>
      <w:r>
        <w:rPr>
          <w:color w:val="231F20"/>
          <w:spacing w:val="-3"/>
          <w:sz w:val="20"/>
        </w:rPr>
        <w:t>informal </w:t>
      </w:r>
      <w:r>
        <w:rPr>
          <w:color w:val="231F20"/>
          <w:sz w:val="20"/>
        </w:rPr>
        <w:t>survey of contacts during July, asking them how </w:t>
      </w:r>
      <w:r>
        <w:rPr>
          <w:color w:val="231F20"/>
          <w:spacing w:val="-3"/>
          <w:sz w:val="20"/>
        </w:rPr>
        <w:t>they </w:t>
      </w:r>
      <w:r>
        <w:rPr>
          <w:color w:val="231F20"/>
          <w:sz w:val="20"/>
        </w:rPr>
        <w:t>were likely to react to the National Minimum Wage. They found that 24% of the total sample had already taken some action, in anticipation of the introduction of the National Minimum Wage. But 43% of the firms surveyed did not expect to have complied in full until April 1999. Nearly half of those affected</w:t>
      </w:r>
    </w:p>
    <w:p>
      <w:pPr>
        <w:spacing w:line="249" w:lineRule="auto" w:before="7"/>
        <w:ind w:left="424" w:right="546" w:firstLine="0"/>
        <w:jc w:val="left"/>
        <w:rPr>
          <w:sz w:val="20"/>
        </w:rPr>
      </w:pPr>
      <w:r>
        <w:rPr>
          <w:color w:val="231F20"/>
          <w:sz w:val="20"/>
        </w:rPr>
        <w:t>expected to reduce margins, but 35% said they </w:t>
      </w:r>
      <w:r>
        <w:rPr>
          <w:color w:val="231F20"/>
          <w:spacing w:val="-3"/>
          <w:sz w:val="20"/>
        </w:rPr>
        <w:t>expected </w:t>
      </w:r>
      <w:r>
        <w:rPr>
          <w:color w:val="231F20"/>
          <w:sz w:val="20"/>
        </w:rPr>
        <w:t>to pass on the rise in wage costs into higher prices.</w:t>
      </w:r>
    </w:p>
    <w:p>
      <w:pPr>
        <w:spacing w:line="249" w:lineRule="auto" w:before="1"/>
        <w:ind w:left="424" w:right="441" w:firstLine="0"/>
        <w:jc w:val="left"/>
        <w:rPr>
          <w:sz w:val="20"/>
        </w:rPr>
      </w:pPr>
      <w:r>
        <w:rPr>
          <w:color w:val="231F20"/>
          <w:sz w:val="20"/>
        </w:rPr>
        <w:t>The expected impact on employment was mixed, but a larger percentage of firms expected to reduce employment than to increase it in the light of the </w:t>
      </w:r>
      <w:r>
        <w:rPr>
          <w:color w:val="231F20"/>
          <w:spacing w:val="-3"/>
          <w:sz w:val="20"/>
        </w:rPr>
        <w:t>National </w:t>
      </w:r>
      <w:r>
        <w:rPr>
          <w:color w:val="231F20"/>
          <w:sz w:val="20"/>
        </w:rPr>
        <w:t>Minimum Wage.</w:t>
      </w:r>
    </w:p>
    <w:p>
      <w:pPr>
        <w:pStyle w:val="BodyText"/>
        <w:spacing w:before="2"/>
        <w:rPr>
          <w:sz w:val="21"/>
        </w:rPr>
      </w:pPr>
    </w:p>
    <w:p>
      <w:pPr>
        <w:spacing w:line="249" w:lineRule="auto" w:before="0"/>
        <w:ind w:left="424" w:right="412" w:firstLine="0"/>
        <w:jc w:val="left"/>
        <w:rPr>
          <w:sz w:val="20"/>
        </w:rPr>
      </w:pPr>
      <w:r>
        <w:rPr>
          <w:color w:val="231F20"/>
          <w:sz w:val="20"/>
        </w:rPr>
        <w:t>The relationship between wages and prices is not straightforward. The central projection assumes a small positive effect of about 0.4% on the price level. This allows for a degree of monopsony in the low-wage sector, and higher inflation expectations. The effect on RPIX inflation is spread out.</w:t>
      </w:r>
    </w:p>
    <w:p>
      <w:pPr>
        <w:pStyle w:val="BodyText"/>
        <w:spacing w:before="3"/>
        <w:rPr>
          <w:sz w:val="21"/>
        </w:rPr>
      </w:pPr>
    </w:p>
    <w:p>
      <w:pPr>
        <w:spacing w:line="249" w:lineRule="auto" w:before="1"/>
        <w:ind w:left="424" w:right="513" w:firstLine="0"/>
        <w:jc w:val="left"/>
        <w:rPr>
          <w:sz w:val="20"/>
        </w:rPr>
      </w:pPr>
      <w:r>
        <w:rPr>
          <w:color w:val="231F20"/>
          <w:sz w:val="20"/>
        </w:rPr>
        <w:t>There are a number of risks to this central projection, concerning both magnitude and timing. For example, it is possible that as the introduction of the National Minimum Wage is common to all firms, there will be a more rapid adjustment to the price level than in the central case. It is also possible that the extent of differentials restoration will be greater than that </w:t>
      </w:r>
      <w:r>
        <w:rPr>
          <w:color w:val="231F20"/>
          <w:spacing w:val="-3"/>
          <w:sz w:val="20"/>
        </w:rPr>
        <w:t>assumed </w:t>
      </w:r>
      <w:r>
        <w:rPr>
          <w:color w:val="231F20"/>
          <w:sz w:val="20"/>
        </w:rPr>
        <w:t>in the central case, which would increase the impact on both wages and prices. On balance, the MPC has assumed that the risks to the central projection of the introduction of the National Minimum Wage are on the upside for inflation.</w:t>
      </w:r>
    </w:p>
    <w:p>
      <w:pPr>
        <w:spacing w:after="0" w:line="249" w:lineRule="auto"/>
        <w:jc w:val="left"/>
        <w:rPr>
          <w:sz w:val="20"/>
        </w:rPr>
        <w:sectPr>
          <w:type w:val="continuous"/>
          <w:pgSz w:w="11900" w:h="16840"/>
          <w:pgMar w:top="1220" w:bottom="280" w:left="620" w:right="640"/>
          <w:cols w:num="2" w:equalWidth="0">
            <w:col w:w="5085" w:space="55"/>
            <w:col w:w="5500"/>
          </w:cols>
        </w:sectPr>
      </w:pPr>
    </w:p>
    <w:p>
      <w:pPr>
        <w:pStyle w:val="BodyText"/>
        <w:rPr>
          <w:sz w:val="20"/>
        </w:rPr>
      </w:pPr>
    </w:p>
    <w:p>
      <w:pPr>
        <w:spacing w:after="0"/>
        <w:rPr>
          <w:sz w:val="20"/>
        </w:rPr>
        <w:sectPr>
          <w:pgSz w:w="11900" w:h="16840"/>
          <w:pgMar w:header="586" w:footer="617" w:top="780" w:bottom="800" w:left="620" w:right="640"/>
        </w:sectPr>
      </w:pPr>
    </w:p>
    <w:p>
      <w:pPr>
        <w:pStyle w:val="BodyText"/>
        <w:spacing w:before="6"/>
        <w:rPr>
          <w:sz w:val="20"/>
        </w:rPr>
      </w:pPr>
    </w:p>
    <w:p>
      <w:pPr>
        <w:spacing w:line="249" w:lineRule="auto" w:before="0"/>
        <w:ind w:left="420" w:right="59" w:firstLine="0"/>
        <w:jc w:val="left"/>
        <w:rPr>
          <w:sz w:val="20"/>
        </w:rPr>
      </w:pPr>
      <w:r>
        <w:rPr/>
        <w:pict>
          <v:group style="position:absolute;margin-left:39.310001pt;margin-top:-21.854053pt;width:516.5pt;height:322.2pt;mso-position-horizontal-relative:page;mso-position-vertical-relative:paragraph;z-index:-20936192" coordorigin="786,-437" coordsize="10330,6444">
            <v:shape style="position:absolute;left:806;top:-418;width:10290;height:6404" coordorigin="806,-417" coordsize="10290,6404" path="m11096,-417l5983,-417,5919,-417,806,-417,806,2772,806,2797,806,5987,5919,5987,5983,5987,11096,5987,11096,2773,11096,-417xe" filled="true" fillcolor="#c3e0dc" stroked="false">
              <v:path arrowok="t"/>
              <v:fill type="solid"/>
            </v:shape>
            <v:shape style="position:absolute;left:885;top:-376;width:10131;height:6321" coordorigin="886,-375" coordsize="10131,6321" path="m5951,-375l886,2785,5951,5945,11016,2785,5951,-375xe" filled="true" fillcolor="#c4e1dd" stroked="false">
              <v:path arrowok="t"/>
              <v:fill type="solid"/>
            </v:shape>
            <v:shape style="position:absolute;left:984;top:-314;width:9933;height:6197" coordorigin="985,-313" coordsize="9933,6197" path="m5951,-313l985,2785,5951,5883,10917,2785,5951,-313xe" filled="true" fillcolor="#c5e1dd" stroked="false">
              <v:path arrowok="t"/>
              <v:fill type="solid"/>
            </v:shape>
            <v:shape style="position:absolute;left:1084;top:-252;width:9734;height:6073" coordorigin="1084,-251" coordsize="9734,6073" path="m5951,-251l1084,2785,5951,5821,10818,2785,5951,-251xe" filled="true" fillcolor="#c6e2de" stroked="false">
              <v:path arrowok="t"/>
              <v:fill type="solid"/>
            </v:shape>
            <v:shape style="position:absolute;left:1183;top:-190;width:9536;height:5949" coordorigin="1184,-189" coordsize="9536,5949" path="m5951,-189l1184,2785,5951,5759,10719,2785,5951,-189xe" filled="true" fillcolor="#c7e2df" stroked="false">
              <v:path arrowok="t"/>
              <v:fill type="solid"/>
            </v:shape>
            <v:shape style="position:absolute;left:1282;top:-128;width:9337;height:5825" coordorigin="1283,-127" coordsize="9337,5825" path="m5951,-127l1283,2785,5951,5697,10619,2785,5951,-127xe" filled="true" fillcolor="#c8e3df" stroked="false">
              <v:path arrowok="t"/>
              <v:fill type="solid"/>
            </v:shape>
            <v:shape style="position:absolute;left:1382;top:-66;width:9138;height:5701" coordorigin="1382,-65" coordsize="9138,5701" path="m5951,-65l1382,2785,5951,5635,10520,2785,5951,-65xe" filled="true" fillcolor="#c9e3e0" stroked="false">
              <v:path arrowok="t"/>
              <v:fill type="solid"/>
            </v:shape>
            <v:shape style="position:absolute;left:1481;top:-4;width:8940;height:5577" coordorigin="1481,-3" coordsize="8940,5577" path="m5951,-3l1481,2785,5951,5573,10421,2785,5951,-3xe" filled="true" fillcolor="#cae4e0" stroked="false">
              <v:path arrowok="t"/>
              <v:fill type="solid"/>
            </v:shape>
            <v:shape style="position:absolute;left:1580;top:58;width:8741;height:5453" coordorigin="1581,59" coordsize="8741,5453" path="m5951,59l1581,2785,5951,5511,10321,2785,5951,59xe" filled="true" fillcolor="#cbe4e1" stroked="false">
              <v:path arrowok="t"/>
              <v:fill type="solid"/>
            </v:shape>
            <v:shape style="position:absolute;left:1680;top:120;width:8542;height:5329" coordorigin="1680,121" coordsize="8542,5329" path="m5951,121l1680,2785,5951,5449,10222,2785,5951,121xe" filled="true" fillcolor="#cce5e1" stroked="false">
              <v:path arrowok="t"/>
              <v:fill type="solid"/>
            </v:shape>
            <v:shape style="position:absolute;left:1779;top:182;width:8344;height:5205" coordorigin="1779,183" coordsize="8344,5205" path="m5951,183l1779,2785,5951,5387,10123,2785,5951,183xe" filled="true" fillcolor="#cde5e2" stroked="false">
              <v:path arrowok="t"/>
              <v:fill type="solid"/>
            </v:shape>
            <v:shape style="position:absolute;left:1878;top:244;width:8145;height:5081" coordorigin="1879,244" coordsize="8145,5081" path="m5951,244l1879,2785,5951,5325,10023,2785,5951,244xe" filled="true" fillcolor="#cee6e3" stroked="false">
              <v:path arrowok="t"/>
              <v:fill type="solid"/>
            </v:shape>
            <v:shape style="position:absolute;left:1978;top:306;width:7946;height:4957" coordorigin="1978,306" coordsize="7946,4957" path="m5951,306l1978,2785,5951,5263,9924,2785,5951,306xe" filled="true" fillcolor="#cfe6e3" stroked="false">
              <v:path arrowok="t"/>
              <v:fill type="solid"/>
            </v:shape>
            <v:shape style="position:absolute;left:2077;top:368;width:7748;height:4834" coordorigin="2077,368" coordsize="7748,4834" path="m5951,368l2077,2785,5951,5201,9825,2785,5951,368xe" filled="true" fillcolor="#d0e7e4" stroked="false">
              <v:path arrowok="t"/>
              <v:fill type="solid"/>
            </v:shape>
            <v:shape style="position:absolute;left:2176;top:430;width:7549;height:4710" coordorigin="2177,430" coordsize="7549,4710" path="m5951,430l2177,2785,5951,5139,9725,2785,5951,430xe" filled="true" fillcolor="#d1e7e4" stroked="false">
              <v:path arrowok="t"/>
              <v:fill type="solid"/>
            </v:shape>
            <v:shape style="position:absolute;left:2276;top:492;width:7350;height:4586" coordorigin="2276,492" coordsize="7350,4586" path="m5951,492l2276,2785,5951,5077,9626,2785,5951,492xe" filled="true" fillcolor="#d3e8e5" stroked="false">
              <v:path arrowok="t"/>
              <v:fill type="solid"/>
            </v:shape>
            <v:shape style="position:absolute;left:2375;top:554;width:7152;height:4462" coordorigin="2375,554" coordsize="7152,4462" path="m5951,554l2375,2785,5951,5016,9527,2785,5951,554xe" filled="true" fillcolor="#d4e8e5" stroked="false">
              <v:path arrowok="t"/>
              <v:fill type="solid"/>
            </v:shape>
            <v:shape style="position:absolute;left:2474;top:616;width:6953;height:4338" coordorigin="2475,616" coordsize="6953,4338" path="m5951,616l2475,2785,5951,4954,9427,2785,5951,616xe" filled="true" fillcolor="#d5e9e6" stroked="false">
              <v:path arrowok="t"/>
              <v:fill type="solid"/>
            </v:shape>
            <v:shape style="position:absolute;left:2574;top:678;width:6754;height:4214" coordorigin="2574,678" coordsize="6754,4214" path="m5951,678l2574,2785,5951,4892,9328,2785,5951,678xe" filled="true" fillcolor="#d6eae7" stroked="false">
              <v:path arrowok="t"/>
              <v:fill type="solid"/>
            </v:shape>
            <v:shape style="position:absolute;left:2673;top:740;width:6556;height:4090" coordorigin="2673,740" coordsize="6556,4090" path="m5951,740l2673,2785,5951,4830,9229,2785,5951,740xe" filled="true" fillcolor="#d7eae7" stroked="false">
              <v:path arrowok="t"/>
              <v:fill type="solid"/>
            </v:shape>
            <v:shape style="position:absolute;left:2772;top:802;width:6357;height:3966" coordorigin="2773,802" coordsize="6357,3966" path="m5951,802l2773,2785,5951,4768,9129,2785,5951,802xe" filled="true" fillcolor="#d8ebe8" stroked="false">
              <v:path arrowok="t"/>
              <v:fill type="solid"/>
            </v:shape>
            <v:shape style="position:absolute;left:2872;top:864;width:6159;height:3842" coordorigin="2872,864" coordsize="6159,3842" path="m5951,864l2872,2785,5951,4706,9030,2785,5951,864xe" filled="true" fillcolor="#d9ebe8" stroked="false">
              <v:path arrowok="t"/>
              <v:fill type="solid"/>
            </v:shape>
            <v:shape style="position:absolute;left:2971;top:926;width:5960;height:3718" coordorigin="2971,926" coordsize="5960,3718" path="m5951,926l2971,2785,5951,4644,8931,2785,5951,926xe" filled="true" fillcolor="#daece9" stroked="false">
              <v:path arrowok="t"/>
              <v:fill type="solid"/>
            </v:shape>
            <v:shape style="position:absolute;left:3070;top:988;width:5761;height:3594" coordorigin="3071,988" coordsize="5761,3594" path="m5951,988l3071,2785,5951,4582,8831,2785,5951,988xe" filled="true" fillcolor="#dbece9" stroked="false">
              <v:path arrowok="t"/>
              <v:fill type="solid"/>
            </v:shape>
            <v:shape style="position:absolute;left:3169;top:1049;width:5563;height:3470" coordorigin="3170,1050" coordsize="5563,3470" path="m5951,1050l3170,2785,5951,4520,8732,2785,5951,1050xe" filled="true" fillcolor="#dcedea" stroked="false">
              <v:path arrowok="t"/>
              <v:fill type="solid"/>
            </v:shape>
            <v:shape style="position:absolute;left:3269;top:1111;width:5364;height:3346" coordorigin="3269,1112" coordsize="5364,3346" path="m5951,1112l3269,2785,5951,4458,8633,2785,5951,1112xe" filled="true" fillcolor="#ddedeb" stroked="false">
              <v:path arrowok="t"/>
              <v:fill type="solid"/>
            </v:shape>
            <v:shape style="position:absolute;left:3368;top:1173;width:5165;height:3223" coordorigin="3369,1174" coordsize="5165,3223" path="m5951,1174l3369,2785,5951,4396,8533,2785,5951,1174xe" filled="true" fillcolor="#deeeeb" stroked="false">
              <v:path arrowok="t"/>
              <v:fill type="solid"/>
            </v:shape>
            <v:shape style="position:absolute;left:3467;top:1235;width:4967;height:3099" coordorigin="3468,1236" coordsize="4967,3099" path="m5951,1236l3468,2785,5951,4334,8434,2785,5951,1236xe" filled="true" fillcolor="#e0efec" stroked="false">
              <v:path arrowok="t"/>
              <v:fill type="solid"/>
            </v:shape>
            <v:shape style="position:absolute;left:3567;top:1297;width:4768;height:2975" coordorigin="3567,1298" coordsize="4768,2975" path="m5951,1298l3567,2785,5951,4272,8335,2785,5951,1298xe" filled="true" fillcolor="#e1efec" stroked="false">
              <v:path arrowok="t"/>
              <v:fill type="solid"/>
            </v:shape>
            <v:shape style="position:absolute;left:3666;top:1359;width:4569;height:2851" coordorigin="3667,1360" coordsize="4569,2851" path="m5951,1360l3667,2785,5951,4210,8235,2785,5951,1360xe" filled="true" fillcolor="#e2f0ed" stroked="false">
              <v:path arrowok="t"/>
              <v:fill type="solid"/>
            </v:shape>
            <v:shape style="position:absolute;left:3765;top:1421;width:4371;height:2727" coordorigin="3766,1422" coordsize="4371,2727" path="m5951,1422l3766,2785,5951,4148,8136,2785,5951,1422xe" filled="true" fillcolor="#e3f0ee" stroked="false">
              <v:path arrowok="t"/>
              <v:fill type="solid"/>
            </v:shape>
            <v:shape style="position:absolute;left:3865;top:1483;width:4172;height:2603" coordorigin="3865,1484" coordsize="4172,2603" path="m5951,1484l3865,2785,5951,4086,8037,2785,5951,1484xe" filled="true" fillcolor="#e4f1ee" stroked="false">
              <v:path arrowok="t"/>
              <v:fill type="solid"/>
            </v:shape>
            <v:shape style="position:absolute;left:3964;top:1545;width:3973;height:2479" coordorigin="3965,1546" coordsize="3973,2479" path="m5951,1546l3965,2785,5951,4024,7937,2785,5951,1546xe" filled="true" fillcolor="#e5f1ef" stroked="false">
              <v:path arrowok="t"/>
              <v:fill type="solid"/>
            </v:shape>
            <v:shape style="position:absolute;left:4063;top:1607;width:3775;height:2355" coordorigin="4064,1608" coordsize="3775,2355" path="m5951,1608l4064,2785,5951,3962,7838,2785,5951,1608xe" filled="true" fillcolor="#e6f2ef" stroked="false">
              <v:path arrowok="t"/>
              <v:fill type="solid"/>
            </v:shape>
            <v:shape style="position:absolute;left:4163;top:1669;width:3576;height:2231" coordorigin="4163,1670" coordsize="3576,2231" path="m5951,1670l4163,2785,5951,3900,7739,2785,5951,1670xe" filled="true" fillcolor="#e7f3f0" stroked="false">
              <v:path arrowok="t"/>
              <v:fill type="solid"/>
            </v:shape>
            <v:shape style="position:absolute;left:4262;top:1731;width:3377;height:2107" coordorigin="4263,1732" coordsize="3377,2107" path="m5951,1732l4263,2785,5951,3838,7639,2785,5951,1732xe" filled="true" fillcolor="#e9f3f1" stroked="false">
              <v:path arrowok="t"/>
              <v:fill type="solid"/>
            </v:shape>
            <v:shape style="position:absolute;left:4361;top:1793;width:3179;height:1983" coordorigin="4362,1794" coordsize="3179,1983" path="m5951,1794l4362,2785,5951,3776,7540,2785,5951,1794xe" filled="true" fillcolor="#eaf4f2" stroked="false">
              <v:path arrowok="t"/>
              <v:fill type="solid"/>
            </v:shape>
            <v:shape style="position:absolute;left:4461;top:1855;width:2980;height:1859" coordorigin="4461,1855" coordsize="2980,1859" path="m5951,1855l4461,2785,5951,3714,7441,2785,5951,1855xe" filled="true" fillcolor="#ebf4f2" stroked="false">
              <v:path arrowok="t"/>
              <v:fill type="solid"/>
            </v:shape>
            <v:shape style="position:absolute;left:4560;top:1917;width:2782;height:1735" coordorigin="4560,1917" coordsize="2782,1735" path="m5951,1917l4560,2785,5951,3652,7342,2785,5951,1917xe" filled="true" fillcolor="#ecf5f3" stroked="false">
              <v:path arrowok="t"/>
              <v:fill type="solid"/>
            </v:shape>
            <v:shape style="position:absolute;left:4659;top:1979;width:2583;height:1611" coordorigin="4660,1979" coordsize="2583,1611" path="m5951,1979l4660,2785,5951,3590,7242,2785,5951,1979xe" filled="true" fillcolor="#edf6f4" stroked="false">
              <v:path arrowok="t"/>
              <v:fill type="solid"/>
            </v:shape>
            <v:shape style="position:absolute;left:4759;top:2041;width:2384;height:1488" coordorigin="4759,2041" coordsize="2384,1488" path="m5951,2041l4759,2785,5951,3528,7143,2785,5951,2041xe" filled="true" fillcolor="#eff7f5" stroked="false">
              <v:path arrowok="t"/>
              <v:fill type="solid"/>
            </v:shape>
            <v:shape style="position:absolute;left:4858;top:2103;width:2186;height:1364" coordorigin="4858,2103" coordsize="2186,1364" path="m5951,2103l4858,2785,5951,3466,7044,2785,5951,2103xe" filled="true" fillcolor="#f0f7f5" stroked="false">
              <v:path arrowok="t"/>
              <v:fill type="solid"/>
            </v:shape>
            <v:shape style="position:absolute;left:4957;top:2165;width:1987;height:1240" coordorigin="4958,2165" coordsize="1987,1240" path="m5951,2165l4958,2785,5951,3405,6944,2785,5951,2165xe" filled="true" fillcolor="#f1f8f6" stroked="false">
              <v:path arrowok="t"/>
              <v:fill type="solid"/>
            </v:shape>
            <v:shape style="position:absolute;left:5057;top:2227;width:1788;height:1116" coordorigin="5057,2227" coordsize="1788,1116" path="m5951,2227l5057,2785,5951,3343,6845,2785,5951,2227xe" filled="true" fillcolor="#f2f8f7" stroked="false">
              <v:path arrowok="t"/>
              <v:fill type="solid"/>
            </v:shape>
            <v:shape style="position:absolute;left:5156;top:2289;width:1590;height:992" coordorigin="5156,2289" coordsize="1590,992" path="m5951,2289l5156,2785,5951,3281,6746,2785,5951,2289xe" filled="true" fillcolor="#f3f9f8" stroked="false">
              <v:path arrowok="t"/>
              <v:fill type="solid"/>
            </v:shape>
            <v:shape style="position:absolute;left:5255;top:2351;width:1391;height:868" coordorigin="5256,2351" coordsize="1391,868" path="m5951,2351l5256,2785,5951,3219,6646,2785,5951,2351xe" filled="true" fillcolor="#f5f9f8" stroked="false">
              <v:path arrowok="t"/>
              <v:fill type="solid"/>
            </v:shape>
            <v:shape style="position:absolute;left:5355;top:2413;width:1192;height:744" coordorigin="5355,2413" coordsize="1192,744" path="m5951,2413l5355,2785,5951,3157,6547,2785,5951,2413xe" filled="true" fillcolor="#f6faf9" stroked="false">
              <v:path arrowok="t"/>
              <v:fill type="solid"/>
            </v:shape>
            <v:shape style="position:absolute;left:5454;top:2475;width:994;height:620" coordorigin="5454,2475" coordsize="994,620" path="m5951,2475l5454,2785,5951,3095,6448,2785,5951,2475xe" filled="true" fillcolor="#f8fbfa" stroked="false">
              <v:path arrowok="t"/>
              <v:fill type="solid"/>
            </v:shape>
            <v:shape style="position:absolute;left:5553;top:2537;width:795;height:496" coordorigin="5554,2537" coordsize="795,496" path="m5951,2537l5554,2785,5951,3033,6348,2785,5951,2537xe" filled="true" fillcolor="#f9fcfc" stroked="false">
              <v:path arrowok="t"/>
              <v:fill type="solid"/>
            </v:shape>
            <v:shape style="position:absolute;left:5653;top:2599;width:596;height:372" coordorigin="5653,2599" coordsize="596,372" path="m5951,2599l5653,2785,5951,2971,6249,2785,5951,2599xe" filled="true" fillcolor="#fbfdfd" stroked="false">
              <v:path arrowok="t"/>
              <v:fill type="solid"/>
            </v:shape>
            <v:shape style="position:absolute;left:5752;top:2661;width:398;height:248" type="#_x0000_t75" stroked="false">
              <v:imagedata r:id="rId60" o:title=""/>
            </v:shape>
            <v:rect style="position:absolute;left:796;top:-428;width:10310;height:6424" filled="false" stroked="true" strokeweight="1pt" strokecolor="#009483">
              <v:stroke dashstyle="solid"/>
            </v:rect>
            <v:line style="position:absolute" from="1025,5379" to="10845,5379" stroked="true" strokeweight=".125pt" strokecolor="#231f20">
              <v:stroke dashstyle="solid"/>
            </v:line>
            <w10:wrap type="none"/>
          </v:group>
        </w:pict>
      </w:r>
      <w:bookmarkStart w:name="Unemployment and inflation" w:id="65"/>
      <w:bookmarkEnd w:id="65"/>
      <w:r>
        <w:rPr/>
      </w:r>
      <w:bookmarkStart w:name="_bookmark28" w:id="66"/>
      <w:bookmarkEnd w:id="66"/>
      <w:r>
        <w:rPr/>
      </w:r>
      <w:r>
        <w:rPr>
          <w:color w:val="231F20"/>
          <w:sz w:val="20"/>
        </w:rPr>
        <w:t>The overall effect of the National Minimum Wage on the level of employment is even more uncertain. Studies in the United Kingdom and in the United States have found both positive and negative employment effects from the introduction of minimum wages.</w:t>
      </w:r>
      <w:r>
        <w:rPr>
          <w:color w:val="231F20"/>
          <w:position w:val="4"/>
          <w:sz w:val="12"/>
        </w:rPr>
        <w:t>(1) </w:t>
      </w:r>
      <w:r>
        <w:rPr>
          <w:color w:val="231F20"/>
          <w:sz w:val="20"/>
        </w:rPr>
        <w:t>A key factor is the degree of monopsony in the low-wage sector. If the labour market is perfectly competitive, then the introduction of the National Minimum Wage will lead to lower employment and potential output, and raise the natural rate of unemployment. However, the greater the degree of market power over recruitment held by firms, the smaller will be the negative effect.</w:t>
      </w:r>
    </w:p>
    <w:p>
      <w:pPr>
        <w:pStyle w:val="BodyText"/>
        <w:spacing w:before="9"/>
        <w:rPr>
          <w:sz w:val="21"/>
        </w:rPr>
      </w:pPr>
    </w:p>
    <w:p>
      <w:pPr>
        <w:spacing w:line="249" w:lineRule="auto" w:before="0"/>
        <w:ind w:left="420" w:right="34" w:firstLine="0"/>
        <w:jc w:val="left"/>
        <w:rPr>
          <w:sz w:val="20"/>
        </w:rPr>
      </w:pPr>
      <w:r>
        <w:rPr>
          <w:color w:val="231F20"/>
          <w:sz w:val="20"/>
        </w:rPr>
        <w:t>The National Minimum Wage is only one of a package of labour market reforms introduced by the Government, and it is important to consider these policies together.</w:t>
      </w:r>
    </w:p>
    <w:p>
      <w:pPr>
        <w:spacing w:line="249" w:lineRule="auto" w:before="2"/>
        <w:ind w:left="420" w:right="86" w:firstLine="0"/>
        <w:jc w:val="left"/>
        <w:rPr>
          <w:sz w:val="20"/>
        </w:rPr>
      </w:pPr>
      <w:r>
        <w:rPr>
          <w:color w:val="231F20"/>
          <w:sz w:val="20"/>
        </w:rPr>
        <w:t>The box on page 29 of the February </w:t>
      </w:r>
      <w:r>
        <w:rPr>
          <w:i/>
          <w:color w:val="231F20"/>
          <w:sz w:val="20"/>
        </w:rPr>
        <w:t>Inflation Report </w:t>
      </w:r>
      <w:r>
        <w:rPr>
          <w:color w:val="231F20"/>
          <w:sz w:val="20"/>
        </w:rPr>
        <w:t>sets out the key points of the Government’s Welfare to Work initiative. The Welfare to Work initiative which incorporates the New Deal should increase the effective supply of labour and thereby reduce the pressure on wages. The March Budget announced a further</w:t>
      </w:r>
    </w:p>
    <w:p>
      <w:pPr>
        <w:pStyle w:val="BodyText"/>
        <w:spacing w:before="6"/>
        <w:rPr>
          <w:sz w:val="20"/>
        </w:rPr>
      </w:pPr>
      <w:r>
        <w:rPr/>
        <w:br w:type="column"/>
      </w:r>
      <w:r>
        <w:rPr>
          <w:sz w:val="20"/>
        </w:rPr>
      </w:r>
    </w:p>
    <w:p>
      <w:pPr>
        <w:spacing w:line="249" w:lineRule="auto" w:before="0"/>
        <w:ind w:left="420" w:right="403" w:firstLine="0"/>
        <w:jc w:val="left"/>
        <w:rPr>
          <w:sz w:val="20"/>
        </w:rPr>
      </w:pPr>
      <w:r>
        <w:rPr>
          <w:color w:val="231F20"/>
          <w:sz w:val="20"/>
        </w:rPr>
        <w:t>expansion of the Welfare to Work initiative. The </w:t>
      </w:r>
      <w:r>
        <w:rPr>
          <w:color w:val="231F20"/>
          <w:spacing w:val="-6"/>
          <w:sz w:val="20"/>
        </w:rPr>
        <w:t>MPC </w:t>
      </w:r>
      <w:r>
        <w:rPr>
          <w:color w:val="231F20"/>
          <w:sz w:val="20"/>
        </w:rPr>
        <w:t>expects the employment effects of National Minimum Wage and the New Deal to be relatively small and offsetting.</w:t>
      </w:r>
    </w:p>
    <w:p>
      <w:pPr>
        <w:pStyle w:val="BodyText"/>
        <w:spacing w:before="2"/>
        <w:rPr>
          <w:sz w:val="21"/>
        </w:rPr>
      </w:pPr>
    </w:p>
    <w:p>
      <w:pPr>
        <w:spacing w:line="249" w:lineRule="auto" w:before="0"/>
        <w:ind w:left="420" w:right="470" w:firstLine="0"/>
        <w:jc w:val="left"/>
        <w:rPr>
          <w:sz w:val="20"/>
        </w:rPr>
      </w:pPr>
      <w:r>
        <w:rPr>
          <w:color w:val="231F20"/>
          <w:sz w:val="20"/>
        </w:rPr>
        <w:t>The Government also announced the introduction in October 1999 of the Working Families Tax Credit (W</w:t>
      </w:r>
      <w:r>
        <w:rPr>
          <w:color w:val="231F20"/>
          <w:sz w:val="16"/>
        </w:rPr>
        <w:t>FTC</w:t>
      </w:r>
      <w:r>
        <w:rPr>
          <w:color w:val="231F20"/>
          <w:sz w:val="20"/>
        </w:rPr>
        <w:t>) to replace Family Credit. Within the W</w:t>
      </w:r>
      <w:r>
        <w:rPr>
          <w:color w:val="231F20"/>
          <w:sz w:val="16"/>
        </w:rPr>
        <w:t>FTC, </w:t>
      </w:r>
      <w:r>
        <w:rPr>
          <w:color w:val="231F20"/>
          <w:sz w:val="20"/>
        </w:rPr>
        <w:t>a childcare tax credit will be introduced to help meet childcare costs. And the system of National Insurance </w:t>
      </w:r>
      <w:r>
        <w:rPr>
          <w:color w:val="231F20"/>
          <w:spacing w:val="-9"/>
          <w:sz w:val="20"/>
        </w:rPr>
        <w:t>is </w:t>
      </w:r>
      <w:r>
        <w:rPr>
          <w:color w:val="231F20"/>
          <w:sz w:val="20"/>
        </w:rPr>
        <w:t>also being reformed to remove step changes in its incidence.</w:t>
      </w:r>
    </w:p>
    <w:p>
      <w:pPr>
        <w:pStyle w:val="BodyText"/>
        <w:spacing w:before="4"/>
        <w:rPr>
          <w:sz w:val="21"/>
        </w:rPr>
      </w:pPr>
    </w:p>
    <w:p>
      <w:pPr>
        <w:spacing w:line="249" w:lineRule="auto" w:before="0"/>
        <w:ind w:left="420" w:right="850" w:firstLine="0"/>
        <w:jc w:val="left"/>
        <w:rPr>
          <w:sz w:val="20"/>
        </w:rPr>
      </w:pPr>
      <w:r>
        <w:rPr>
          <w:color w:val="231F20"/>
          <w:sz w:val="20"/>
        </w:rPr>
        <w:t>These further reforms will all tend to raise the participation rate</w:t>
      </w:r>
      <w:r>
        <w:rPr>
          <w:color w:val="231F20"/>
          <w:position w:val="4"/>
          <w:sz w:val="12"/>
        </w:rPr>
        <w:t>(2) </w:t>
      </w:r>
      <w:r>
        <w:rPr>
          <w:color w:val="231F20"/>
          <w:sz w:val="20"/>
        </w:rPr>
        <w:t>by making work more financially attractive, and by increasing the incentives to employ people moving from welfare to work. </w:t>
      </w:r>
      <w:r>
        <w:rPr>
          <w:color w:val="231F20"/>
          <w:spacing w:val="-4"/>
          <w:sz w:val="20"/>
        </w:rPr>
        <w:t>These </w:t>
      </w:r>
      <w:r>
        <w:rPr>
          <w:color w:val="231F20"/>
          <w:sz w:val="20"/>
        </w:rPr>
        <w:t>reforms could have a large impact on employment and output in the longer run. But it is unlikely that much of this will be felt within the two-year forecast period, given that the W</w:t>
      </w:r>
      <w:r>
        <w:rPr>
          <w:color w:val="231F20"/>
          <w:sz w:val="16"/>
        </w:rPr>
        <w:t>FTC </w:t>
      </w:r>
      <w:r>
        <w:rPr>
          <w:color w:val="231F20"/>
          <w:sz w:val="20"/>
        </w:rPr>
        <w:t>is to be introduced in late 1999.</w:t>
      </w:r>
    </w:p>
    <w:p>
      <w:pPr>
        <w:spacing w:after="0" w:line="249" w:lineRule="auto"/>
        <w:jc w:val="left"/>
        <w:rPr>
          <w:sz w:val="20"/>
        </w:rPr>
        <w:sectPr>
          <w:type w:val="continuous"/>
          <w:pgSz w:w="11900" w:h="16840"/>
          <w:pgMar w:top="1220" w:bottom="280" w:left="620" w:right="640"/>
          <w:cols w:num="2" w:equalWidth="0">
            <w:col w:w="5081" w:space="59"/>
            <w:col w:w="5500"/>
          </w:cols>
        </w:sectPr>
      </w:pPr>
    </w:p>
    <w:p>
      <w:pPr>
        <w:pStyle w:val="BodyText"/>
        <w:rPr>
          <w:sz w:val="12"/>
        </w:rPr>
      </w:pPr>
    </w:p>
    <w:p>
      <w:pPr>
        <w:pStyle w:val="ListParagraph"/>
        <w:numPr>
          <w:ilvl w:val="0"/>
          <w:numId w:val="28"/>
        </w:numPr>
        <w:tabs>
          <w:tab w:pos="666" w:val="left" w:leader="none"/>
        </w:tabs>
        <w:spacing w:line="208" w:lineRule="auto" w:before="0" w:after="0"/>
        <w:ind w:left="665" w:right="3311" w:hanging="240"/>
        <w:jc w:val="left"/>
        <w:rPr>
          <w:sz w:val="12"/>
        </w:rPr>
      </w:pPr>
      <w:r>
        <w:rPr>
          <w:color w:val="231F20"/>
          <w:sz w:val="12"/>
        </w:rPr>
        <w:t>For an example of a study on the United Kingdom, see Dickens </w:t>
      </w:r>
      <w:r>
        <w:rPr>
          <w:i/>
          <w:color w:val="231F20"/>
          <w:sz w:val="12"/>
        </w:rPr>
        <w:t>et al </w:t>
      </w:r>
      <w:r>
        <w:rPr>
          <w:color w:val="231F20"/>
          <w:sz w:val="12"/>
        </w:rPr>
        <w:t>(1997) ‘The Effect of Minimum Wages on Employment: Theory </w:t>
      </w:r>
      <w:r>
        <w:rPr>
          <w:color w:val="231F20"/>
          <w:spacing w:val="-6"/>
          <w:sz w:val="12"/>
        </w:rPr>
        <w:t>and </w:t>
      </w:r>
      <w:r>
        <w:rPr>
          <w:color w:val="231F20"/>
          <w:sz w:val="12"/>
        </w:rPr>
        <w:t>Evidence from the UK’. </w:t>
      </w:r>
      <w:r>
        <w:rPr>
          <w:i/>
          <w:color w:val="231F20"/>
          <w:sz w:val="12"/>
        </w:rPr>
        <w:t>National Bureau of Economic Research Working Paper No 4742, </w:t>
      </w:r>
      <w:r>
        <w:rPr>
          <w:color w:val="231F20"/>
          <w:sz w:val="12"/>
        </w:rPr>
        <w:t>May</w:t>
      </w:r>
      <w:r>
        <w:rPr>
          <w:color w:val="231F20"/>
          <w:spacing w:val="-2"/>
          <w:sz w:val="12"/>
        </w:rPr>
        <w:t> </w:t>
      </w:r>
      <w:r>
        <w:rPr>
          <w:color w:val="231F20"/>
          <w:sz w:val="12"/>
        </w:rPr>
        <w:t>1994.</w:t>
      </w:r>
    </w:p>
    <w:p>
      <w:pPr>
        <w:pStyle w:val="ListParagraph"/>
        <w:numPr>
          <w:ilvl w:val="0"/>
          <w:numId w:val="28"/>
        </w:numPr>
        <w:tabs>
          <w:tab w:pos="666" w:val="left" w:leader="none"/>
        </w:tabs>
        <w:spacing w:line="123" w:lineRule="exact" w:before="0" w:after="0"/>
        <w:ind w:left="665" w:right="0" w:hanging="241"/>
        <w:jc w:val="left"/>
        <w:rPr>
          <w:sz w:val="12"/>
        </w:rPr>
      </w:pPr>
      <w:r>
        <w:rPr>
          <w:color w:val="231F20"/>
          <w:sz w:val="12"/>
        </w:rPr>
        <w:t>The proportion of the working-age population either in a job or looking for a job.</w:t>
      </w:r>
    </w:p>
    <w:p>
      <w:pPr>
        <w:pStyle w:val="BodyText"/>
        <w:rPr>
          <w:sz w:val="20"/>
        </w:rPr>
      </w:pPr>
    </w:p>
    <w:p>
      <w:pPr>
        <w:pStyle w:val="BodyText"/>
        <w:rPr>
          <w:sz w:val="20"/>
        </w:rPr>
      </w:pPr>
    </w:p>
    <w:p>
      <w:pPr>
        <w:spacing w:after="0"/>
        <w:rPr>
          <w:sz w:val="20"/>
        </w:rPr>
        <w:sectPr>
          <w:type w:val="continuous"/>
          <w:pgSz w:w="11900" w:h="16840"/>
          <w:pgMar w:top="1220" w:bottom="280" w:left="620" w:right="640"/>
        </w:sectPr>
      </w:pPr>
    </w:p>
    <w:p>
      <w:pPr>
        <w:pStyle w:val="BodyText"/>
        <w:spacing w:before="4"/>
        <w:rPr>
          <w:sz w:val="22"/>
        </w:rPr>
      </w:pPr>
    </w:p>
    <w:p>
      <w:pPr>
        <w:spacing w:before="0"/>
        <w:ind w:left="172" w:right="0" w:firstLine="0"/>
        <w:jc w:val="left"/>
        <w:rPr>
          <w:b/>
          <w:sz w:val="20"/>
        </w:rPr>
      </w:pPr>
      <w:r>
        <w:rPr>
          <w:b/>
          <w:color w:val="0093C1"/>
          <w:sz w:val="20"/>
        </w:rPr>
        <w:t>Chart 3.10</w:t>
      </w:r>
    </w:p>
    <w:p>
      <w:pPr>
        <w:spacing w:before="10"/>
        <w:ind w:left="172" w:right="0" w:firstLine="0"/>
        <w:jc w:val="left"/>
        <w:rPr>
          <w:b/>
          <w:sz w:val="20"/>
        </w:rPr>
      </w:pPr>
      <w:r>
        <w:rPr>
          <w:b/>
          <w:color w:val="0093C1"/>
          <w:sz w:val="20"/>
        </w:rPr>
        <w:t>Stock-flow vacancy-unemployment relationships</w:t>
      </w:r>
    </w:p>
    <w:p>
      <w:pPr>
        <w:tabs>
          <w:tab w:pos="3505" w:val="left" w:leader="none"/>
        </w:tabs>
        <w:spacing w:before="26"/>
        <w:ind w:left="170" w:right="0" w:firstLine="0"/>
        <w:jc w:val="left"/>
        <w:rPr>
          <w:sz w:val="12"/>
        </w:rPr>
      </w:pPr>
      <w:r>
        <w:rPr/>
        <w:pict>
          <v:line style="position:absolute;mso-position-horizontal-relative:page;mso-position-vertical-relative:paragraph;z-index:-20933120" from="215.042999pt,8.40157pt" to="219.042999pt,8.40157pt" stroked="true" strokeweight=".5pt" strokecolor="#000000">
            <v:stroke dashstyle="solid"/>
            <w10:wrap type="none"/>
          </v:line>
        </w:pict>
      </w:r>
      <w:r>
        <w:rPr>
          <w:position w:val="-5"/>
          <w:sz w:val="12"/>
        </w:rPr>
        <w:t>1.75</w:t>
      </w:r>
      <w:r>
        <w:rPr>
          <w:spacing w:val="25"/>
          <w:sz w:val="12"/>
        </w:rPr>
        <w:t> </w:t>
      </w:r>
      <w:r>
        <w:rPr>
          <w:sz w:val="12"/>
          <w:u w:val="single"/>
        </w:rPr>
        <w:t>R</w:t>
      </w:r>
      <w:r>
        <w:rPr>
          <w:sz w:val="12"/>
        </w:rPr>
        <w:t>atio</w:t>
        <w:tab/>
        <w:t>Ratio</w:t>
      </w:r>
      <w:r>
        <w:rPr>
          <w:spacing w:val="5"/>
          <w:sz w:val="12"/>
        </w:rPr>
        <w:t> </w:t>
      </w:r>
      <w:r>
        <w:rPr>
          <w:position w:val="-3"/>
          <w:sz w:val="12"/>
        </w:rPr>
        <w:t>0.175</w:t>
      </w:r>
    </w:p>
    <w:p>
      <w:pPr>
        <w:pStyle w:val="BodyText"/>
        <w:spacing w:before="4"/>
        <w:rPr>
          <w:sz w:val="20"/>
        </w:rPr>
      </w:pPr>
      <w:r>
        <w:rPr/>
        <w:br w:type="column"/>
      </w:r>
      <w:r>
        <w:rPr>
          <w:sz w:val="20"/>
        </w:rPr>
      </w:r>
    </w:p>
    <w:p>
      <w:pPr>
        <w:spacing w:line="242" w:lineRule="auto" w:before="0"/>
        <w:ind w:left="170" w:right="123" w:firstLine="0"/>
        <w:jc w:val="left"/>
        <w:rPr>
          <w:sz w:val="24"/>
        </w:rPr>
      </w:pPr>
      <w:r>
        <w:rPr>
          <w:color w:val="231F20"/>
          <w:sz w:val="24"/>
        </w:rPr>
        <w:t>another measure of labour market tightness. Chart 3.10 shows two measures of the relationship between vacancies and unemployment. Both show that the</w:t>
      </w:r>
    </w:p>
    <w:p>
      <w:pPr>
        <w:spacing w:after="0" w:line="242" w:lineRule="auto"/>
        <w:jc w:val="left"/>
        <w:rPr>
          <w:sz w:val="24"/>
        </w:rPr>
        <w:sectPr>
          <w:type w:val="continuous"/>
          <w:pgSz w:w="11900" w:h="16840"/>
          <w:pgMar w:top="1220" w:bottom="280" w:left="620" w:right="640"/>
          <w:cols w:num="2" w:equalWidth="0">
            <w:col w:w="4357" w:space="452"/>
            <w:col w:w="5831"/>
          </w:cols>
        </w:sectPr>
      </w:pPr>
    </w:p>
    <w:p>
      <w:pPr>
        <w:pStyle w:val="BodyText"/>
        <w:spacing w:before="2"/>
        <w:rPr>
          <w:sz w:val="14"/>
        </w:rPr>
      </w:pPr>
    </w:p>
    <w:p>
      <w:pPr>
        <w:spacing w:before="0"/>
        <w:ind w:left="170" w:right="0" w:firstLine="0"/>
        <w:jc w:val="left"/>
        <w:rPr>
          <w:sz w:val="12"/>
        </w:rPr>
      </w:pPr>
      <w:r>
        <w:rPr>
          <w:sz w:val="12"/>
        </w:rPr>
        <w:t>1.50</w:t>
      </w:r>
    </w:p>
    <w:p>
      <w:pPr>
        <w:pStyle w:val="BodyText"/>
        <w:rPr>
          <w:sz w:val="12"/>
        </w:rPr>
      </w:pPr>
    </w:p>
    <w:p>
      <w:pPr>
        <w:pStyle w:val="BodyText"/>
        <w:spacing w:before="3"/>
        <w:rPr>
          <w:sz w:val="14"/>
        </w:rPr>
      </w:pPr>
    </w:p>
    <w:p>
      <w:pPr>
        <w:spacing w:before="0"/>
        <w:ind w:left="170" w:right="0" w:firstLine="0"/>
        <w:jc w:val="left"/>
        <w:rPr>
          <w:sz w:val="12"/>
        </w:rPr>
      </w:pPr>
      <w:r>
        <w:rPr>
          <w:sz w:val="12"/>
        </w:rPr>
        <w:t>1.25</w:t>
      </w:r>
    </w:p>
    <w:p>
      <w:pPr>
        <w:pStyle w:val="BodyText"/>
        <w:rPr>
          <w:sz w:val="12"/>
        </w:rPr>
      </w:pPr>
    </w:p>
    <w:p>
      <w:pPr>
        <w:pStyle w:val="BodyText"/>
        <w:spacing w:before="3"/>
        <w:rPr>
          <w:sz w:val="14"/>
        </w:rPr>
      </w:pPr>
    </w:p>
    <w:p>
      <w:pPr>
        <w:spacing w:before="0"/>
        <w:ind w:left="170" w:right="0" w:firstLine="0"/>
        <w:jc w:val="left"/>
        <w:rPr>
          <w:sz w:val="12"/>
        </w:rPr>
      </w:pPr>
      <w:r>
        <w:rPr>
          <w:sz w:val="12"/>
        </w:rPr>
        <w:t>1.00</w:t>
      </w:r>
    </w:p>
    <w:p>
      <w:pPr>
        <w:pStyle w:val="BodyText"/>
        <w:rPr>
          <w:sz w:val="12"/>
        </w:rPr>
      </w:pPr>
    </w:p>
    <w:p>
      <w:pPr>
        <w:pStyle w:val="BodyText"/>
        <w:spacing w:before="6"/>
        <w:rPr>
          <w:sz w:val="12"/>
        </w:rPr>
      </w:pPr>
    </w:p>
    <w:p>
      <w:pPr>
        <w:spacing w:before="0"/>
        <w:ind w:left="170" w:right="0" w:firstLine="0"/>
        <w:jc w:val="left"/>
        <w:rPr>
          <w:sz w:val="12"/>
        </w:rPr>
      </w:pPr>
      <w:r>
        <w:rPr>
          <w:sz w:val="12"/>
        </w:rPr>
        <w:t>0.75</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spacing w:before="10"/>
        <w:rPr>
          <w:sz w:val="10"/>
        </w:rPr>
      </w:pPr>
    </w:p>
    <w:p>
      <w:pPr>
        <w:spacing w:line="208" w:lineRule="auto" w:before="1"/>
        <w:ind w:left="260" w:right="38" w:hanging="90"/>
        <w:jc w:val="left"/>
        <w:rPr>
          <w:sz w:val="12"/>
        </w:rPr>
      </w:pPr>
      <w:r>
        <w:rPr>
          <w:sz w:val="12"/>
        </w:rPr>
        <w:t>Vacancy inflows/stock of unemployed (right-hand scale)</w:t>
      </w:r>
    </w:p>
    <w:p>
      <w:pPr>
        <w:pStyle w:val="BodyText"/>
        <w:spacing w:before="2"/>
        <w:rPr>
          <w:sz w:val="14"/>
        </w:rPr>
      </w:pPr>
      <w:r>
        <w:rPr/>
        <w:br w:type="column"/>
      </w:r>
      <w:r>
        <w:rPr>
          <w:sz w:val="14"/>
        </w:rPr>
      </w:r>
    </w:p>
    <w:p>
      <w:pPr>
        <w:spacing w:before="0"/>
        <w:ind w:left="170" w:right="0" w:firstLine="0"/>
        <w:jc w:val="left"/>
        <w:rPr>
          <w:sz w:val="12"/>
        </w:rPr>
      </w:pPr>
      <w:r>
        <w:rPr>
          <w:sz w:val="12"/>
        </w:rPr>
        <w:t>0.150</w:t>
      </w:r>
    </w:p>
    <w:p>
      <w:pPr>
        <w:pStyle w:val="BodyText"/>
        <w:rPr>
          <w:sz w:val="12"/>
        </w:rPr>
      </w:pPr>
    </w:p>
    <w:p>
      <w:pPr>
        <w:pStyle w:val="BodyText"/>
        <w:spacing w:before="3"/>
        <w:rPr>
          <w:sz w:val="14"/>
        </w:rPr>
      </w:pPr>
    </w:p>
    <w:p>
      <w:pPr>
        <w:spacing w:before="0"/>
        <w:ind w:left="170" w:right="0" w:firstLine="0"/>
        <w:jc w:val="left"/>
        <w:rPr>
          <w:sz w:val="12"/>
        </w:rPr>
      </w:pPr>
      <w:r>
        <w:rPr/>
        <w:pict>
          <v:group style="position:absolute;margin-left:53.042999pt;margin-top:-29.39843pt;width:166pt;height:117pt;mso-position-horizontal-relative:page;mso-position-vertical-relative:paragraph;z-index:-20935168" coordorigin="1061,-588" coordsize="3320,2340">
            <v:shape style="position:absolute;left:1060;top:-338;width:100;height:1280" coordorigin="1061,-338" coordsize="100,1280" path="m1161,942l1061,942m1161,522l1061,522m1161,82l1061,82m1161,-338l1061,-338e" filled="false" stroked="true" strokeweight=".5pt" strokecolor="#000000">
              <v:path arrowok="t"/>
              <v:stroke dashstyle="solid"/>
            </v:shape>
            <v:shape style="position:absolute;left:1220;top:-578;width:3020;height:1840" coordorigin="1221,-578" coordsize="3020,1840" path="m1221,302l1241,162,1281,162,1321,142,1341,2,1381,-18,1421,-98,1481,-98,1501,-58,1541,82,1561,-158,1581,-98,1621,-78,1641,-58,1661,82,1681,142,1721,162,1741,202,1801,442,1821,602,1861,542,1881,782,1901,842,1941,782,1961,822,1981,1002,2021,1022,2041,1022,2061,1042,2101,1062,2121,1102,2141,1102,2181,1122,2201,1142,2221,1122,2261,1182,2281,1182,2301,1122,2321,1142,2361,1222,2381,1222,2421,1202,2441,1262,2461,1222,2501,1182,2521,1202,2541,1182,2601,1182,2621,1142,2661,1102,2681,1142,2701,1082,2721,1082,2781,1022,2821,1002,2841,982,2861,982,2901,922,2921,902,2941,842,2981,862,3001,742,3021,782,3061,722,3081,682,3101,622,3141,662,3161,642,3181,662,3221,722,3241,542,3261,562,3301,542,3321,482,3341,502,3401,442,3421,522,3461,502,3481,522,3501,502,3521,422,3561,482,3581,462,3621,402,3641,422,3661,382,3701,502,3721,162,3741,122,3761,242,3801,-98,3821,-218,3861,-218,3881,-238,3901,-198,3941,-278,3961,-258,3981,-418,4021,-438,4041,-358,4081,-378,4101,-218,4121,-538,4141,-578,4181,-558,4201,-398,4241,-578e" filled="false" stroked="true" strokeweight="1pt" strokecolor="#00a995">
              <v:path arrowok="t"/>
              <v:stroke dashstyle="solid"/>
            </v:shape>
            <v:shape style="position:absolute;left:4300;top:-338;width:80;height:1280" coordorigin="4301,-338" coordsize="80,1280" path="m4301,942l4381,942m4301,522l4381,522m4301,82l4381,82m4301,-338l4381,-338e" filled="false" stroked="true" strokeweight=".5pt" strokecolor="#000000">
              <v:path arrowok="t"/>
              <v:stroke dashstyle="solid"/>
            </v:shape>
            <v:shape style="position:absolute;left:1220;top:282;width:3020;height:1460" coordorigin="1221,282" coordsize="3020,1460" path="m1221,782l1241,762,1261,802,1281,762,1321,842,1341,802,1381,642,1401,802,1421,842,1461,802,1481,822,1501,942,1561,1002,1581,1042,1621,1022,1641,1022,1661,1122,1681,1142,1721,1222m1721,1222l1741,1302,1781,1382,1801,1502,1821,1582,1861,1502,1881,1582,1901,1642,1941,1662,1961,1722,1981,1742,2021,1742,2061,1702,2121,1702,2141,1682,2221,1682m2221,1682l2261,1702,2281,1682,2321,1682,2361,1702,2381,1722,2421,1742,2461,1702,2501,1702,2541,1622,2581,1662,2601,1622,2621,1642,2661,1622,2681,1622,2761,1542,2781,1542,2821,1522,2841,1482,2861,1482,2901,1462,2921,1462,2941,1422,2981,1382,3001,1342,3021,1322,3061,1242,3161,1242,3221,1182,3241,1142m3241,1142l3261,1182,3301,1202,3341,1202,3381,1182,3401,1182,3421,1162,3461,1162,3481,1122,3501,1042,3521,1042,3561,1022,3581,962,3621,942,3641,902,3661,802,3721,682,3741,702m3741,702l3761,822,3801,762,3821,782,3861,762m3861,762l3881,782,3901,782,3941,622,3961,582,3981,582,4021,502,4101,502,4181,342,4241,282e" filled="false" stroked="true" strokeweight="1pt" strokecolor="#75442b">
              <v:path arrowok="t"/>
              <v:stroke dashstyle="solid"/>
            </v:shape>
            <w10:wrap type="none"/>
          </v:group>
        </w:pict>
      </w:r>
      <w:r>
        <w:rPr>
          <w:sz w:val="12"/>
        </w:rPr>
        <w:t>0.125</w:t>
      </w:r>
    </w:p>
    <w:p>
      <w:pPr>
        <w:pStyle w:val="BodyText"/>
        <w:rPr>
          <w:sz w:val="12"/>
        </w:rPr>
      </w:pPr>
    </w:p>
    <w:p>
      <w:pPr>
        <w:pStyle w:val="BodyText"/>
        <w:spacing w:before="6"/>
        <w:rPr>
          <w:sz w:val="12"/>
        </w:rPr>
      </w:pPr>
    </w:p>
    <w:p>
      <w:pPr>
        <w:spacing w:before="0"/>
        <w:ind w:left="170" w:right="0" w:firstLine="0"/>
        <w:jc w:val="left"/>
        <w:rPr>
          <w:sz w:val="12"/>
        </w:rPr>
      </w:pPr>
      <w:r>
        <w:rPr>
          <w:sz w:val="12"/>
        </w:rPr>
        <w:t>0.100</w:t>
      </w:r>
    </w:p>
    <w:p>
      <w:pPr>
        <w:pStyle w:val="BodyText"/>
        <w:rPr>
          <w:sz w:val="12"/>
        </w:rPr>
      </w:pPr>
    </w:p>
    <w:p>
      <w:pPr>
        <w:pStyle w:val="BodyText"/>
        <w:spacing w:before="6"/>
        <w:rPr>
          <w:sz w:val="12"/>
        </w:rPr>
      </w:pPr>
    </w:p>
    <w:p>
      <w:pPr>
        <w:spacing w:before="0"/>
        <w:ind w:left="170" w:right="0" w:firstLine="0"/>
        <w:jc w:val="left"/>
        <w:rPr>
          <w:sz w:val="12"/>
        </w:rPr>
      </w:pPr>
      <w:r>
        <w:rPr>
          <w:sz w:val="12"/>
        </w:rPr>
        <w:t>0.075</w:t>
      </w:r>
    </w:p>
    <w:p>
      <w:pPr>
        <w:pStyle w:val="Heading4"/>
        <w:spacing w:line="242" w:lineRule="auto" w:before="4"/>
        <w:ind w:left="170" w:right="123"/>
      </w:pPr>
      <w:r>
        <w:rPr/>
        <w:br w:type="column"/>
      </w:r>
      <w:r>
        <w:rPr>
          <w:color w:val="231F20"/>
        </w:rPr>
        <w:t>labour market appears tighter now than it did in the late 1980s. In the past, vacancies have been a leading indicator of turning points in output growth. Thus the continued rise in the stock of vacancies is somewhat at odds with other evidence, which suggested that the pace of activity was easing.</w:t>
      </w:r>
    </w:p>
    <w:p>
      <w:pPr>
        <w:spacing w:after="0" w:line="242" w:lineRule="auto"/>
        <w:sectPr>
          <w:type w:val="continuous"/>
          <w:pgSz w:w="11900" w:h="16840"/>
          <w:pgMar w:top="1220" w:bottom="280" w:left="620" w:right="640"/>
          <w:cols w:num="4" w:equalWidth="0">
            <w:col w:w="421" w:space="579"/>
            <w:col w:w="1308" w:space="1352"/>
            <w:col w:w="481" w:space="668"/>
            <w:col w:w="5831"/>
          </w:cols>
        </w:sectPr>
      </w:pPr>
    </w:p>
    <w:p>
      <w:pPr>
        <w:pStyle w:val="BodyText"/>
        <w:spacing w:before="8"/>
        <w:rPr>
          <w:sz w:val="9"/>
        </w:rPr>
      </w:pPr>
    </w:p>
    <w:p>
      <w:pPr>
        <w:spacing w:after="0"/>
        <w:rPr>
          <w:sz w:val="9"/>
        </w:rPr>
        <w:sectPr>
          <w:type w:val="continuous"/>
          <w:pgSz w:w="11900" w:h="16840"/>
          <w:pgMar w:top="1220" w:bottom="280" w:left="620" w:right="640"/>
        </w:sectPr>
      </w:pPr>
    </w:p>
    <w:p>
      <w:pPr>
        <w:spacing w:before="95"/>
        <w:ind w:left="170" w:right="0" w:firstLine="0"/>
        <w:jc w:val="left"/>
        <w:rPr>
          <w:sz w:val="12"/>
        </w:rPr>
      </w:pPr>
      <w:r>
        <w:rPr>
          <w:sz w:val="12"/>
        </w:rPr>
        <w:t>0.50</w:t>
      </w:r>
    </w:p>
    <w:p>
      <w:pPr>
        <w:pStyle w:val="BodyText"/>
        <w:rPr>
          <w:sz w:val="12"/>
        </w:rPr>
      </w:pPr>
    </w:p>
    <w:p>
      <w:pPr>
        <w:pStyle w:val="BodyText"/>
        <w:spacing w:before="3"/>
        <w:rPr>
          <w:sz w:val="14"/>
        </w:rPr>
      </w:pPr>
    </w:p>
    <w:p>
      <w:pPr>
        <w:spacing w:before="0"/>
        <w:ind w:left="170" w:right="0" w:firstLine="0"/>
        <w:jc w:val="left"/>
        <w:rPr>
          <w:sz w:val="12"/>
        </w:rPr>
      </w:pPr>
      <w:r>
        <w:rPr>
          <w:sz w:val="12"/>
        </w:rPr>
        <w:t>0.25</w:t>
      </w:r>
    </w:p>
    <w:p>
      <w:pPr>
        <w:pStyle w:val="BodyText"/>
        <w:rPr>
          <w:sz w:val="12"/>
        </w:rPr>
      </w:pPr>
    </w:p>
    <w:p>
      <w:pPr>
        <w:pStyle w:val="BodyText"/>
        <w:spacing w:before="6"/>
        <w:rPr>
          <w:sz w:val="12"/>
        </w:rPr>
      </w:pPr>
    </w:p>
    <w:p>
      <w:pPr>
        <w:spacing w:before="0"/>
        <w:ind w:left="170" w:right="0" w:firstLine="0"/>
        <w:jc w:val="left"/>
        <w:rPr>
          <w:sz w:val="12"/>
        </w:rPr>
      </w:pPr>
      <w:r>
        <w:rPr>
          <w:sz w:val="12"/>
        </w:rPr>
        <w:t>0.00</w:t>
      </w:r>
    </w:p>
    <w:p>
      <w:pPr>
        <w:pStyle w:val="BodyText"/>
        <w:spacing w:before="6" w:after="40"/>
        <w:rPr>
          <w:sz w:val="11"/>
        </w:rPr>
      </w:pPr>
      <w:r>
        <w:rPr/>
        <w:br w:type="column"/>
      </w:r>
      <w:r>
        <w:rPr>
          <w:sz w:val="11"/>
        </w:rPr>
      </w:r>
    </w:p>
    <w:p>
      <w:pPr>
        <w:pStyle w:val="BodyText"/>
        <w:spacing w:line="20" w:lineRule="exact"/>
        <w:ind w:left="15"/>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rPr>
          <w:sz w:val="20"/>
        </w:rPr>
      </w:pPr>
    </w:p>
    <w:p>
      <w:pPr>
        <w:pStyle w:val="BodyText"/>
        <w:spacing w:before="1"/>
        <w:rPr>
          <w:sz w:val="13"/>
        </w:rPr>
      </w:pPr>
      <w:r>
        <w:rPr/>
        <w:pict>
          <v:shape style="position:absolute;margin-left:53.042999pt;margin-top:9.750977pt;width:5pt;height:.1pt;mso-position-horizontal-relative:page;mso-position-vertical-relative:paragraph;z-index:-15465984;mso-wrap-distance-left:0;mso-wrap-distance-right:0" coordorigin="1061,195" coordsize="100,0" path="m1161,195l1061,195e" filled="false" stroked="true" strokeweight=".5pt" strokecolor="#000000">
            <v:path arrowok="t"/>
            <v:stroke dashstyle="solid"/>
            <w10:wrap type="topAndBottom"/>
          </v:shape>
        </w:pict>
      </w:r>
    </w:p>
    <w:p>
      <w:pPr>
        <w:pStyle w:val="BodyText"/>
        <w:rPr>
          <w:sz w:val="12"/>
        </w:rPr>
      </w:pPr>
    </w:p>
    <w:p>
      <w:pPr>
        <w:pStyle w:val="BodyText"/>
        <w:rPr>
          <w:sz w:val="12"/>
        </w:rPr>
      </w:pPr>
    </w:p>
    <w:p>
      <w:pPr>
        <w:pStyle w:val="BodyText"/>
        <w:spacing w:before="8"/>
        <w:rPr>
          <w:sz w:val="11"/>
        </w:rPr>
      </w:pPr>
    </w:p>
    <w:p>
      <w:pPr>
        <w:spacing w:before="0"/>
        <w:ind w:left="149" w:right="0" w:firstLine="0"/>
        <w:jc w:val="left"/>
        <w:rPr>
          <w:sz w:val="12"/>
        </w:rPr>
      </w:pPr>
      <w:r>
        <w:rPr>
          <w:sz w:val="12"/>
        </w:rPr>
        <w:t>1989 90 91</w:t>
      </w:r>
    </w:p>
    <w:p>
      <w:pPr>
        <w:pStyle w:val="BodyText"/>
        <w:rPr>
          <w:sz w:val="12"/>
        </w:rPr>
      </w:pPr>
      <w:r>
        <w:rPr/>
        <w:br w:type="column"/>
      </w:r>
      <w:r>
        <w:rPr>
          <w:sz w:val="12"/>
        </w:rPr>
      </w:r>
    </w:p>
    <w:p>
      <w:pPr>
        <w:pStyle w:val="BodyText"/>
        <w:rPr>
          <w:sz w:val="12"/>
        </w:rPr>
      </w:pPr>
    </w:p>
    <w:p>
      <w:pPr>
        <w:pStyle w:val="BodyText"/>
        <w:spacing w:before="10"/>
        <w:rPr>
          <w:sz w:val="9"/>
        </w:rPr>
      </w:pPr>
    </w:p>
    <w:p>
      <w:pPr>
        <w:spacing w:line="208" w:lineRule="auto" w:before="0"/>
        <w:ind w:left="709" w:right="345" w:hanging="90"/>
        <w:jc w:val="left"/>
        <w:rPr>
          <w:sz w:val="12"/>
        </w:rPr>
      </w:pPr>
      <w:r>
        <w:rPr>
          <w:sz w:val="12"/>
        </w:rPr>
        <w:t>Vacancy stock (a)/ unemployment inflow (left-hand scale)</w:t>
      </w:r>
    </w:p>
    <w:p>
      <w:pPr>
        <w:pStyle w:val="BodyText"/>
        <w:rPr>
          <w:sz w:val="12"/>
        </w:rPr>
      </w:pPr>
    </w:p>
    <w:p>
      <w:pPr>
        <w:pStyle w:val="BodyText"/>
        <w:spacing w:before="1"/>
        <w:rPr>
          <w:sz w:val="15"/>
        </w:rPr>
      </w:pPr>
    </w:p>
    <w:p>
      <w:pPr>
        <w:spacing w:before="1"/>
        <w:ind w:left="159" w:right="0" w:firstLine="0"/>
        <w:jc w:val="left"/>
        <w:rPr>
          <w:sz w:val="12"/>
        </w:rPr>
      </w:pPr>
      <w:r>
        <w:rPr/>
        <w:pict>
          <v:shape style="position:absolute;margin-left:53.042999pt;margin-top:-5.181834pt;width:158pt;height:4pt;mso-position-horizontal-relative:page;mso-position-vertical-relative:paragraph;z-index:15992320" coordorigin="1061,-104" coordsize="3160,80" path="m1161,-24l1061,-24m1221,-24l4221,-24m1221,-24l1221,-64m1541,-24l1541,-64m1861,-24l1861,-64m2181,-24l2181,-64m2501,-24l2501,-64m2821,-24l2821,-64m3121,-24l3121,-64m3461,-24l3461,-64m3761,-24l3761,-64m4101,-24l4101,-64m1541,-24l1541,-104m3121,-24l3121,-104m1221,-24l4221,-24m1221,-24l1221,-64m1541,-24l1541,-64m1861,-24l1861,-64m2181,-24l2181,-64m2501,-24l2501,-64m2821,-24l2821,-64m3121,-24l3121,-64m3461,-24l3461,-64m3761,-24l3761,-64m4101,-24l4101,-64m1541,-24l1541,-104m3121,-24l3121,-104e" filled="false" stroked="true" strokeweight=".5pt" strokecolor="#000000">
            <v:path arrowok="t"/>
            <v:stroke dashstyle="solid"/>
            <w10:wrap type="none"/>
          </v:shape>
        </w:pict>
      </w:r>
      <w:r>
        <w:rPr>
          <w:sz w:val="12"/>
        </w:rPr>
        <w:t>92 93 94 95 96 97 98</w:t>
      </w:r>
    </w:p>
    <w:p>
      <w:pPr>
        <w:spacing w:before="95"/>
        <w:ind w:left="170" w:right="0" w:firstLine="0"/>
        <w:jc w:val="left"/>
        <w:rPr>
          <w:sz w:val="12"/>
        </w:rPr>
      </w:pPr>
      <w:r>
        <w:rPr/>
        <w:br w:type="column"/>
      </w:r>
      <w:r>
        <w:rPr>
          <w:sz w:val="12"/>
        </w:rPr>
        <w:t>0.050</w:t>
      </w:r>
    </w:p>
    <w:p>
      <w:pPr>
        <w:pStyle w:val="BodyText"/>
        <w:rPr>
          <w:sz w:val="12"/>
        </w:rPr>
      </w:pPr>
    </w:p>
    <w:p>
      <w:pPr>
        <w:pStyle w:val="BodyText"/>
        <w:spacing w:before="6"/>
        <w:rPr>
          <w:sz w:val="12"/>
        </w:rPr>
      </w:pPr>
    </w:p>
    <w:p>
      <w:pPr>
        <w:spacing w:before="0"/>
        <w:ind w:left="170" w:right="0" w:firstLine="0"/>
        <w:jc w:val="left"/>
        <w:rPr>
          <w:sz w:val="12"/>
        </w:rPr>
      </w:pPr>
      <w:r>
        <w:rPr/>
        <w:pict>
          <v:line style="position:absolute;mso-position-horizontal-relative:page;mso-position-vertical-relative:paragraph;z-index:15993856" from="215.042999pt,5.101571pt" to="219.042999pt,5.101571pt" stroked="true" strokeweight=".5pt" strokecolor="#000000">
            <v:stroke dashstyle="solid"/>
            <w10:wrap type="none"/>
          </v:line>
        </w:pict>
      </w:r>
      <w:r>
        <w:rPr/>
        <w:pict>
          <v:line style="position:absolute;mso-position-horizontal-relative:page;mso-position-vertical-relative:paragraph;z-index:15994368" from="215.042999pt,-16.898430pt" to="219.042999pt,-16.898430pt" stroked="true" strokeweight=".5pt" strokecolor="#000000">
            <v:stroke dashstyle="solid"/>
            <w10:wrap type="none"/>
          </v:line>
        </w:pict>
      </w:r>
      <w:r>
        <w:rPr>
          <w:sz w:val="12"/>
        </w:rPr>
        <w:t>0.025</w:t>
      </w:r>
    </w:p>
    <w:p>
      <w:pPr>
        <w:pStyle w:val="BodyText"/>
        <w:rPr>
          <w:sz w:val="12"/>
        </w:rPr>
      </w:pPr>
    </w:p>
    <w:p>
      <w:pPr>
        <w:pStyle w:val="BodyText"/>
        <w:spacing w:before="3"/>
        <w:rPr>
          <w:sz w:val="14"/>
        </w:rPr>
      </w:pPr>
    </w:p>
    <w:p>
      <w:pPr>
        <w:spacing w:before="0"/>
        <w:ind w:left="170" w:right="0" w:firstLine="0"/>
        <w:jc w:val="left"/>
        <w:rPr>
          <w:sz w:val="12"/>
        </w:rPr>
      </w:pPr>
      <w:r>
        <w:rPr/>
        <w:pict>
          <v:line style="position:absolute;mso-position-horizontal-relative:page;mso-position-vertical-relative:paragraph;z-index:15993344" from="215.042999pt,4.101571pt" to="219.042999pt,4.101571pt" stroked="true" strokeweight=".5pt" strokecolor="#000000">
            <v:stroke dashstyle="solid"/>
            <w10:wrap type="none"/>
          </v:line>
        </w:pict>
      </w:r>
      <w:r>
        <w:rPr>
          <w:sz w:val="12"/>
        </w:rPr>
        <w:t>0.000</w:t>
      </w:r>
    </w:p>
    <w:p>
      <w:pPr>
        <w:pStyle w:val="Heading4"/>
        <w:spacing w:line="280" w:lineRule="atLeast" w:before="212"/>
        <w:ind w:left="170" w:right="123"/>
      </w:pPr>
      <w:r>
        <w:rPr/>
        <w:br w:type="column"/>
      </w:r>
      <w:r>
        <w:rPr>
          <w:color w:val="231F20"/>
        </w:rPr>
        <w:t>A new monthly survey by the Federation of Recruitment and Employment Services (F</w:t>
      </w:r>
      <w:r>
        <w:rPr>
          <w:color w:val="231F20"/>
          <w:sz w:val="20"/>
        </w:rPr>
        <w:t>RES</w:t>
      </w:r>
      <w:r>
        <w:rPr>
          <w:color w:val="231F20"/>
        </w:rPr>
        <w:t>) and NTC Research combines information from newspaper recruitment advertisements with ONS vacancies data. The F</w:t>
      </w:r>
      <w:r>
        <w:rPr>
          <w:color w:val="231F20"/>
          <w:sz w:val="20"/>
        </w:rPr>
        <w:t>RES </w:t>
      </w:r>
      <w:r>
        <w:rPr>
          <w:color w:val="231F20"/>
        </w:rPr>
        <w:t>job</w:t>
      </w:r>
    </w:p>
    <w:p>
      <w:pPr>
        <w:spacing w:after="0" w:line="280" w:lineRule="atLeast"/>
        <w:sectPr>
          <w:type w:val="continuous"/>
          <w:pgSz w:w="11900" w:h="16840"/>
          <w:pgMar w:top="1220" w:bottom="280" w:left="620" w:right="640"/>
          <w:cols w:num="5" w:equalWidth="0">
            <w:col w:w="381" w:space="40"/>
            <w:col w:w="1031" w:space="39"/>
            <w:col w:w="2121" w:space="48"/>
            <w:col w:w="481" w:space="668"/>
            <w:col w:w="5831"/>
          </w:cols>
        </w:sectPr>
      </w:pPr>
    </w:p>
    <w:p>
      <w:pPr>
        <w:spacing w:line="5" w:lineRule="exact" w:before="0"/>
        <w:ind w:left="180" w:right="0" w:firstLine="0"/>
        <w:jc w:val="left"/>
        <w:rPr>
          <w:sz w:val="12"/>
        </w:rPr>
      </w:pPr>
      <w:r>
        <w:rPr>
          <w:color w:val="231F20"/>
          <w:sz w:val="12"/>
        </w:rPr>
        <w:t>(a) Adjusted to allow for the overstatement in the stock and the ONS’s</w:t>
      </w:r>
    </w:p>
    <w:p>
      <w:pPr>
        <w:spacing w:line="129" w:lineRule="exact" w:before="0"/>
        <w:ind w:left="420" w:right="0" w:firstLine="0"/>
        <w:jc w:val="left"/>
        <w:rPr>
          <w:sz w:val="12"/>
        </w:rPr>
      </w:pPr>
      <w:r>
        <w:rPr>
          <w:color w:val="231F20"/>
          <w:sz w:val="12"/>
        </w:rPr>
        <w:t>subsequent correction.</w:t>
      </w:r>
    </w:p>
    <w:p>
      <w:pPr>
        <w:pStyle w:val="Heading4"/>
        <w:spacing w:line="242" w:lineRule="auto" w:before="4"/>
        <w:ind w:left="180" w:right="20"/>
      </w:pPr>
      <w:r>
        <w:rPr/>
        <w:br w:type="column"/>
      </w:r>
      <w:r>
        <w:rPr>
          <w:color w:val="231F20"/>
        </w:rPr>
        <w:t>market index is intended to act as a leading indicator of employment growth (see Chart 3.11). It suggests that employment will continue to grow, but more slowly than in 1997.</w:t>
      </w:r>
    </w:p>
    <w:p>
      <w:pPr>
        <w:spacing w:after="0" w:line="242" w:lineRule="auto"/>
        <w:sectPr>
          <w:type w:val="continuous"/>
          <w:pgSz w:w="11900" w:h="16840"/>
          <w:pgMar w:top="1220" w:bottom="280" w:left="620" w:right="640"/>
          <w:cols w:num="2" w:equalWidth="0">
            <w:col w:w="3684" w:space="1116"/>
            <w:col w:w="5840"/>
          </w:cols>
        </w:sectPr>
      </w:pPr>
    </w:p>
    <w:p>
      <w:pPr>
        <w:pStyle w:val="BodyText"/>
        <w:spacing w:before="4"/>
        <w:rPr>
          <w:sz w:val="24"/>
        </w:rPr>
      </w:pPr>
    </w:p>
    <w:p>
      <w:pPr>
        <w:pStyle w:val="Heading2"/>
        <w:numPr>
          <w:ilvl w:val="1"/>
          <w:numId w:val="29"/>
        </w:numPr>
        <w:tabs>
          <w:tab w:pos="6822" w:val="left" w:leader="none"/>
          <w:tab w:pos="6823" w:val="left" w:leader="none"/>
        </w:tabs>
        <w:spacing w:line="240" w:lineRule="auto" w:before="88" w:after="0"/>
        <w:ind w:left="6822" w:right="0" w:hanging="1843"/>
        <w:jc w:val="left"/>
      </w:pPr>
      <w:r>
        <w:rPr>
          <w:color w:val="009483"/>
          <w:u w:val="thick" w:color="0093C1"/>
        </w:rPr>
        <w:t>Unemployment and inflation</w:t>
      </w:r>
      <w:r>
        <w:rPr>
          <w:color w:val="009483"/>
          <w:spacing w:val="-11"/>
          <w:u w:val="thick" w:color="0093C1"/>
        </w:rPr>
        <w:t> </w:t>
      </w:r>
    </w:p>
    <w:p>
      <w:pPr>
        <w:pStyle w:val="BodyText"/>
        <w:spacing w:before="11"/>
        <w:rPr>
          <w:b/>
          <w:sz w:val="23"/>
        </w:rPr>
      </w:pPr>
    </w:p>
    <w:p>
      <w:pPr>
        <w:spacing w:line="242" w:lineRule="auto" w:before="0"/>
        <w:ind w:left="4980" w:right="195" w:firstLine="0"/>
        <w:jc w:val="left"/>
        <w:rPr>
          <w:sz w:val="24"/>
        </w:rPr>
      </w:pPr>
      <w:r>
        <w:rPr>
          <w:color w:val="231F20"/>
          <w:sz w:val="24"/>
        </w:rPr>
        <w:t>In the short run, there tends to be a trade-off between unemployment and inflation. Wage pressure will tend to rise if the actual rate of unemployment falls below the natural rate of unemployment, at which wage inflation is stable. There is a great deal of uncertainty about the natural rate of unemployment, because it cannot be</w:t>
      </w:r>
    </w:p>
    <w:p>
      <w:pPr>
        <w:spacing w:after="0" w:line="242" w:lineRule="auto"/>
        <w:jc w:val="left"/>
        <w:rPr>
          <w:sz w:val="24"/>
        </w:rPr>
        <w:sectPr>
          <w:type w:val="continuous"/>
          <w:pgSz w:w="11900" w:h="16840"/>
          <w:pgMar w:top="1220" w:bottom="280" w:left="620" w:right="640"/>
        </w:sectPr>
      </w:pPr>
    </w:p>
    <w:p>
      <w:pPr>
        <w:pStyle w:val="BodyText"/>
        <w:rPr>
          <w:sz w:val="20"/>
        </w:rPr>
      </w:pPr>
    </w:p>
    <w:p>
      <w:pPr>
        <w:spacing w:after="0"/>
        <w:rPr>
          <w:sz w:val="20"/>
        </w:rPr>
        <w:sectPr>
          <w:headerReference w:type="even" r:id="rId61"/>
          <w:headerReference w:type="default" r:id="rId62"/>
          <w:footerReference w:type="even" r:id="rId63"/>
          <w:footerReference w:type="default" r:id="rId64"/>
          <w:pgSz w:w="11900" w:h="16840"/>
          <w:pgMar w:header="586" w:footer="597" w:top="780" w:bottom="780" w:left="620" w:right="640"/>
          <w:pgNumType w:start="32"/>
        </w:sectPr>
      </w:pPr>
    </w:p>
    <w:p>
      <w:pPr>
        <w:pStyle w:val="BodyText"/>
        <w:spacing w:before="4"/>
        <w:rPr>
          <w:sz w:val="20"/>
        </w:rPr>
      </w:pPr>
    </w:p>
    <w:p>
      <w:pPr>
        <w:pStyle w:val="Heading8"/>
        <w:spacing w:before="0"/>
        <w:ind w:left="220"/>
      </w:pPr>
      <w:bookmarkStart w:name="Reforms affecting the labour market" w:id="67"/>
      <w:bookmarkEnd w:id="67"/>
      <w:r>
        <w:rPr>
          <w:b w:val="0"/>
        </w:rPr>
      </w:r>
      <w:bookmarkStart w:name="Summary" w:id="68"/>
      <w:bookmarkEnd w:id="68"/>
      <w:r>
        <w:rPr>
          <w:b w:val="0"/>
        </w:rPr>
      </w:r>
      <w:bookmarkStart w:name="_bookmark29" w:id="69"/>
      <w:bookmarkEnd w:id="69"/>
      <w:r>
        <w:rPr>
          <w:b w:val="0"/>
        </w:rPr>
      </w:r>
      <w:r>
        <w:rPr>
          <w:color w:val="0093C1"/>
        </w:rPr>
        <w:t>Chart 3.11</w:t>
      </w:r>
    </w:p>
    <w:p>
      <w:pPr>
        <w:spacing w:before="10"/>
        <w:ind w:left="220" w:right="0" w:firstLine="0"/>
        <w:jc w:val="left"/>
        <w:rPr>
          <w:b/>
          <w:sz w:val="20"/>
        </w:rPr>
      </w:pPr>
      <w:r>
        <w:rPr>
          <w:b/>
          <w:color w:val="0093C1"/>
          <w:sz w:val="20"/>
        </w:rPr>
        <w:t>F</w:t>
      </w:r>
      <w:r>
        <w:rPr>
          <w:b/>
          <w:color w:val="0093C1"/>
          <w:sz w:val="16"/>
        </w:rPr>
        <w:t>RES </w:t>
      </w:r>
      <w:r>
        <w:rPr>
          <w:b/>
          <w:color w:val="0093C1"/>
          <w:sz w:val="20"/>
        </w:rPr>
        <w:t>job market index</w:t>
      </w:r>
    </w:p>
    <w:p>
      <w:pPr>
        <w:pStyle w:val="BodyText"/>
        <w:spacing w:before="2" w:after="39"/>
        <w:rPr>
          <w:b/>
          <w:sz w:val="14"/>
        </w:rPr>
      </w:pPr>
    </w:p>
    <w:p>
      <w:pPr>
        <w:pStyle w:val="BodyText"/>
        <w:spacing w:line="20" w:lineRule="exact"/>
        <w:ind w:left="205"/>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spacing w:before="5"/>
        <w:rPr>
          <w:b/>
          <w:sz w:val="24"/>
        </w:rPr>
      </w:pPr>
      <w:r>
        <w:rPr/>
        <w:pict>
          <v:shape style="position:absolute;margin-left:41.5pt;margin-top:16.25pt;width:5pt;height:.1pt;mso-position-horizontal-relative:page;mso-position-vertical-relative:paragraph;z-index:-15461376;mso-wrap-distance-left:0;mso-wrap-distance-right:0" coordorigin="830,325" coordsize="100,0" path="m930,325l830,325e" filled="false" stroked="true" strokeweight=".5pt" strokecolor="#000000">
            <v:path arrowok="t"/>
            <v:stroke dashstyle="solid"/>
            <w10:wrap type="topAndBottom"/>
          </v:shape>
        </w:pict>
      </w:r>
      <w:r>
        <w:rPr/>
        <w:pict>
          <v:shape style="position:absolute;margin-left:41.5pt;margin-top:33.25pt;width:5pt;height:.1pt;mso-position-horizontal-relative:page;mso-position-vertical-relative:paragraph;z-index:-15460864;mso-wrap-distance-left:0;mso-wrap-distance-right:0" coordorigin="830,665" coordsize="100,0" path="m930,665l830,665e" filled="false" stroked="true" strokeweight=".5pt" strokecolor="#000000">
            <v:path arrowok="t"/>
            <v:stroke dashstyle="solid"/>
            <w10:wrap type="topAndBottom"/>
          </v:shape>
        </w:pict>
      </w:r>
      <w:r>
        <w:rPr/>
        <w:pict>
          <v:shape style="position:absolute;margin-left:41.5pt;margin-top:49.25pt;width:5pt;height:.1pt;mso-position-horizontal-relative:page;mso-position-vertical-relative:paragraph;z-index:-15460352;mso-wrap-distance-left:0;mso-wrap-distance-right:0" coordorigin="830,985" coordsize="100,0" path="m930,985l830,985e" filled="false" stroked="true" strokeweight=".5pt" strokecolor="#000000">
            <v:path arrowok="t"/>
            <v:stroke dashstyle="solid"/>
            <w10:wrap type="topAndBottom"/>
          </v:shape>
        </w:pict>
      </w:r>
      <w:r>
        <w:rPr/>
        <w:pict>
          <v:shape style="position:absolute;margin-left:41.5pt;margin-top:66.25pt;width:5pt;height:.1pt;mso-position-horizontal-relative:page;mso-position-vertical-relative:paragraph;z-index:-15459840;mso-wrap-distance-left:0;mso-wrap-distance-right:0" coordorigin="830,1325" coordsize="100,0" path="m930,1325l830,1325e" filled="false" stroked="true" strokeweight=".5pt" strokecolor="#000000">
            <v:path arrowok="t"/>
            <v:stroke dashstyle="solid"/>
            <w10:wrap type="topAndBottom"/>
          </v:shape>
        </w:pict>
      </w:r>
      <w:r>
        <w:rPr/>
        <w:pict>
          <v:shape style="position:absolute;margin-left:41.5pt;margin-top:83.25pt;width:5pt;height:.1pt;mso-position-horizontal-relative:page;mso-position-vertical-relative:paragraph;z-index:-15459328;mso-wrap-distance-left:0;mso-wrap-distance-right:0" coordorigin="830,1665" coordsize="100,0" path="m930,1665l830,1665e" filled="false" stroked="true" strokeweight=".5pt" strokecolor="#000000">
            <v:path arrowok="t"/>
            <v:stroke dashstyle="solid"/>
            <w10:wrap type="topAndBottom"/>
          </v:shape>
        </w:pict>
      </w:r>
      <w:r>
        <w:rPr/>
        <w:pict>
          <v:shape style="position:absolute;margin-left:41.5pt;margin-top:99.25pt;width:5pt;height:.1pt;mso-position-horizontal-relative:page;mso-position-vertical-relative:paragraph;z-index:-15458816;mso-wrap-distance-left:0;mso-wrap-distance-right:0" coordorigin="830,1985" coordsize="100,0" path="m930,1985l830,1985e" filled="false" stroked="true" strokeweight=".5pt" strokecolor="#000000">
            <v:path arrowok="t"/>
            <v:stroke dashstyle="solid"/>
            <w10:wrap type="topAndBottom"/>
          </v:shape>
        </w:pict>
      </w:r>
      <w:r>
        <w:rPr/>
        <w:pict>
          <v:shape style="position:absolute;margin-left:41.5pt;margin-top:116.25pt;width:5pt;height:.1pt;mso-position-horizontal-relative:page;mso-position-vertical-relative:paragraph;z-index:-15458304;mso-wrap-distance-left:0;mso-wrap-distance-right:0" coordorigin="830,2325" coordsize="100,0" path="m930,2325l830,2325e" filled="false" stroked="true" strokeweight=".5pt" strokecolor="#000000">
            <v:path arrowok="t"/>
            <v:stroke dashstyle="solid"/>
            <w10:wrap type="topAndBottom"/>
          </v:shape>
        </w:pict>
      </w:r>
      <w:r>
        <w:rPr/>
        <w:pict>
          <v:shape style="position:absolute;margin-left:41.5pt;margin-top:133.25pt;width:5pt;height:.1pt;mso-position-horizontal-relative:page;mso-position-vertical-relative:paragraph;z-index:-15457792;mso-wrap-distance-left:0;mso-wrap-distance-right:0" coordorigin="830,2665" coordsize="100,0" path="m930,2665l830,2665e" filled="false" stroked="true" strokeweight=".5pt" strokecolor="#000000">
            <v:path arrowok="t"/>
            <v:stroke dashstyle="solid"/>
            <w10:wrap type="topAndBottom"/>
          </v:shape>
        </w:pict>
      </w:r>
      <w:r>
        <w:rPr/>
        <w:pict>
          <v:shape style="position:absolute;margin-left:41.5pt;margin-top:149.25pt;width:5pt;height:.1pt;mso-position-horizontal-relative:page;mso-position-vertical-relative:paragraph;z-index:-15457280;mso-wrap-distance-left:0;mso-wrap-distance-right:0" coordorigin="830,2985" coordsize="100,0" path="m930,2985l830,2985e" filled="false" stroked="true" strokeweight=".5pt" strokecolor="#000000">
            <v:path arrowok="t"/>
            <v:stroke dashstyle="solid"/>
            <w10:wrap type="topAndBottom"/>
          </v:shape>
        </w:pict>
      </w:r>
    </w:p>
    <w:p>
      <w:pPr>
        <w:pStyle w:val="BodyText"/>
        <w:spacing w:before="9"/>
        <w:rPr>
          <w:b/>
          <w:sz w:val="22"/>
        </w:rPr>
      </w:pPr>
    </w:p>
    <w:p>
      <w:pPr>
        <w:pStyle w:val="BodyText"/>
        <w:rPr>
          <w:b/>
          <w:sz w:val="21"/>
        </w:rPr>
      </w:pPr>
    </w:p>
    <w:p>
      <w:pPr>
        <w:pStyle w:val="BodyText"/>
        <w:spacing w:before="9"/>
        <w:rPr>
          <w:b/>
          <w:sz w:val="22"/>
        </w:rPr>
      </w:pPr>
    </w:p>
    <w:p>
      <w:pPr>
        <w:pStyle w:val="BodyText"/>
        <w:spacing w:before="9"/>
        <w:rPr>
          <w:b/>
          <w:sz w:val="22"/>
        </w:rPr>
      </w:pPr>
    </w:p>
    <w:p>
      <w:pPr>
        <w:pStyle w:val="BodyText"/>
        <w:rPr>
          <w:b/>
          <w:sz w:val="21"/>
        </w:rPr>
      </w:pPr>
    </w:p>
    <w:p>
      <w:pPr>
        <w:pStyle w:val="BodyText"/>
        <w:spacing w:before="9"/>
        <w:rPr>
          <w:b/>
          <w:sz w:val="22"/>
        </w:rPr>
      </w:pPr>
    </w:p>
    <w:p>
      <w:pPr>
        <w:pStyle w:val="BodyText"/>
        <w:spacing w:before="9"/>
        <w:rPr>
          <w:b/>
          <w:sz w:val="22"/>
        </w:rPr>
      </w:pPr>
    </w:p>
    <w:p>
      <w:pPr>
        <w:pStyle w:val="BodyText"/>
        <w:rPr>
          <w:b/>
          <w:sz w:val="21"/>
        </w:rPr>
      </w:pPr>
    </w:p>
    <w:p>
      <w:pPr>
        <w:pStyle w:val="BodyText"/>
        <w:rPr>
          <w:b/>
          <w:sz w:val="20"/>
        </w:rPr>
      </w:pPr>
      <w:r>
        <w:rPr/>
        <w:br w:type="column"/>
      </w:r>
      <w:r>
        <w:rPr>
          <w:b/>
          <w:sz w:val="20"/>
        </w:rPr>
      </w:r>
    </w:p>
    <w:p>
      <w:pPr>
        <w:pStyle w:val="BodyText"/>
        <w:rPr>
          <w:b/>
          <w:sz w:val="20"/>
        </w:rPr>
      </w:pPr>
    </w:p>
    <w:p>
      <w:pPr>
        <w:pStyle w:val="BodyText"/>
        <w:spacing w:before="10"/>
        <w:rPr>
          <w:b/>
          <w:sz w:val="26"/>
        </w:rPr>
      </w:pPr>
    </w:p>
    <w:p>
      <w:pPr>
        <w:spacing w:before="0"/>
        <w:ind w:left="0" w:right="38" w:firstLine="0"/>
        <w:jc w:val="right"/>
        <w:rPr>
          <w:sz w:val="12"/>
        </w:rPr>
      </w:pPr>
      <w:r>
        <w:rPr>
          <w:sz w:val="12"/>
        </w:rPr>
        <w:t>Per ce</w:t>
      </w:r>
      <w:r>
        <w:rPr>
          <w:sz w:val="12"/>
          <w:u w:val="single"/>
        </w:rPr>
        <w:t>n</w:t>
      </w:r>
      <w:r>
        <w:rPr>
          <w:sz w:val="12"/>
        </w:rPr>
        <w:t>t </w:t>
      </w:r>
      <w:r>
        <w:rPr>
          <w:position w:val="-6"/>
          <w:sz w:val="12"/>
        </w:rPr>
        <w:t>4</w:t>
      </w:r>
    </w:p>
    <w:p>
      <w:pPr>
        <w:pStyle w:val="BodyText"/>
        <w:spacing w:before="3"/>
        <w:rPr>
          <w:sz w:val="17"/>
        </w:rPr>
      </w:pPr>
    </w:p>
    <w:p>
      <w:pPr>
        <w:spacing w:before="0"/>
        <w:ind w:left="0" w:right="38" w:firstLine="0"/>
        <w:jc w:val="right"/>
        <w:rPr>
          <w:sz w:val="12"/>
        </w:rPr>
      </w:pPr>
      <w:r>
        <w:rPr/>
        <w:pict>
          <v:group style="position:absolute;margin-left:53pt;margin-top:-1.73145pt;width:152pt;height:122pt;mso-position-horizontal-relative:page;mso-position-vertical-relative:paragraph;z-index:16017408" coordorigin="1060,-35" coordsize="3040,2440">
            <v:line style="position:absolute" from="1070,1075" to="4090,1075" stroked="true" strokeweight=".5pt" strokecolor="#000000">
              <v:stroke dashstyle="solid"/>
            </v:line>
            <v:shape style="position:absolute;left:1070;top:-25;width:3020;height:2420" coordorigin="1070,-25" coordsize="3020,2420" path="m1070,835l1090,815,1110,835,1150,835,1170,875,1190,875,1210,835,1230,835,1250,895,1270,895,1310,735,1330,635,1370,555,1390,475,1430,355,1450,355,1470,315,1470,275,1510,135,1510,175,1530,195,1550,175,1570,115,1610,35,1630,95,1650,195,1670,235,1690,295,1710,315,1730,415,1750,435,1770,515,1790,575,1810,675,1850,835,1870,855,1890,935,1910,955,1930,1035,1950,1135,1970,1215,1990,1215,2010,1255,2030,1235,2050,1255,2090,1415,2110,1535,2130,1555,2150,1635,2190,1715,2210,1855,2230,1975,2250,2055,2270,2155,2290,2275,2310,2335,2330,2315,2350,2255,2370,2235,2390,2235,2410,2355,2430,2395,2450,2335,2510,1915,2530,1815,2570,1495,2590,1515,2610,1455,2630,1375,2650,1255,2690,1095,2730,1095,2750,1135,2790,1055,2810,1075,2830,1015,2830,975,2870,915,2870,855,2890,795,2910,755,2930,655,2950,575,2970,475,2990,415,3010,335,3030,315,3070,315,3090,355,3110,335,3130,355,3150,335,3170,355,3190,335,3230,375,3250,415,3290,535,3330,575,3350,575,3390,695,3430,735,3450,675,3470,755,3510,715,3530,655,3550,615,3550,515,3570,495,3590,415,3630,175,3650,115,3670,95,3690,35,3710,-5,3730,-25,3750,-5,3770,-25,3790,-5,3810,35,3830,115,3850,155,3870,175,3890,175,3910,195,3930,195,3950,395,3970,415,3990,475,4010,455,4030,495,4050,495,4070,475,4090,475e" filled="false" stroked="true" strokeweight="1pt" strokecolor="#95459a">
              <v:path arrowok="t"/>
              <v:stroke dashstyle="solid"/>
            </v:shape>
            <v:shape style="position:absolute;left:1110;top:-25;width:2800;height:2200" coordorigin="1110,-25" coordsize="2800,2200" path="m1110,1075l1170,1135,1230,1155,1290,1115,1350,1035,1410,755,1470,515,1530,195,1570,-25,1630,15,1690,35,1750,235,1810,275,1870,455,1930,555,1990,555,2050,775,2110,695,2170,895,2230,1255,2270,1655,2330,2035,2390,2175,2450,2115,2510,1735,2570,1595,2630,1875,2690,1795,2750,1775,2810,1555,2850,955,2910,855,2970,915,3030,955,3090,815,3270,575,3330,815,3390,595,3450,635,3510,555,3550,335,3610,495,3670,315,3730,355,3790,435,3850,275,3910,315e" filled="false" stroked="true" strokeweight="1pt" strokecolor="#008256">
              <v:path arrowok="t"/>
              <v:stroke dashstyle="solid"/>
            </v:shape>
            <v:shape style="position:absolute;left:2633;top:31;width:1010;height:133" type="#_x0000_t202" filled="false" stroked="false">
              <v:textbox inset="0,0,0,0">
                <w:txbxContent>
                  <w:p>
                    <w:pPr>
                      <w:spacing w:line="133" w:lineRule="exact" w:before="0"/>
                      <w:ind w:left="0" w:right="0" w:firstLine="0"/>
                      <w:jc w:val="left"/>
                      <w:rPr>
                        <w:sz w:val="12"/>
                      </w:rPr>
                    </w:pPr>
                    <w:r>
                      <w:rPr>
                        <w:sz w:val="12"/>
                      </w:rPr>
                      <w:t>Job market index (a)</w:t>
                    </w:r>
                  </w:p>
                </w:txbxContent>
              </v:textbox>
              <w10:wrap type="none"/>
            </v:shape>
            <v:shape style="position:absolute;left:2793;top:1665;width:1180;height:133" type="#_x0000_t202" filled="false" stroked="false">
              <v:textbox inset="0,0,0,0">
                <w:txbxContent>
                  <w:p>
                    <w:pPr>
                      <w:spacing w:line="133" w:lineRule="exact" w:before="0"/>
                      <w:ind w:left="0" w:right="0" w:firstLine="0"/>
                      <w:jc w:val="left"/>
                      <w:rPr>
                        <w:sz w:val="12"/>
                      </w:rPr>
                    </w:pPr>
                    <w:r>
                      <w:rPr>
                        <w:sz w:val="12"/>
                      </w:rPr>
                      <w:t>Employment growth (b)</w:t>
                    </w:r>
                  </w:p>
                </w:txbxContent>
              </v:textbox>
              <w10:wrap type="none"/>
            </v:shape>
            <w10:wrap type="none"/>
          </v:group>
        </w:pict>
      </w:r>
      <w:r>
        <w:rPr/>
        <w:pict>
          <v:line style="position:absolute;mso-position-horizontal-relative:page;mso-position-vertical-relative:paragraph;z-index:16022016" from="215.5pt,3.76855pt" to="210.5pt,3.76855pt" stroked="true" strokeweight=".5pt" strokecolor="#000000">
            <v:stroke dashstyle="solid"/>
            <w10:wrap type="none"/>
          </v:line>
        </w:pict>
      </w:r>
      <w:r>
        <w:rPr>
          <w:sz w:val="12"/>
        </w:rPr>
        <w:t>3</w:t>
      </w:r>
    </w:p>
    <w:p>
      <w:pPr>
        <w:pStyle w:val="BodyText"/>
        <w:spacing w:before="6"/>
        <w:rPr>
          <w:sz w:val="17"/>
        </w:rPr>
      </w:pPr>
    </w:p>
    <w:p>
      <w:pPr>
        <w:spacing w:before="1"/>
        <w:ind w:left="0" w:right="38" w:firstLine="0"/>
        <w:jc w:val="right"/>
        <w:rPr>
          <w:sz w:val="12"/>
        </w:rPr>
      </w:pPr>
      <w:r>
        <w:rPr/>
        <w:pict>
          <v:line style="position:absolute;mso-position-horizontal-relative:page;mso-position-vertical-relative:paragraph;z-index:16021504" from="215.5pt,3.81855pt" to="210.5pt,3.81855pt" stroked="true" strokeweight=".5pt" strokecolor="#000000">
            <v:stroke dashstyle="solid"/>
            <w10:wrap type="none"/>
          </v:line>
        </w:pict>
      </w:r>
      <w:r>
        <w:rPr>
          <w:sz w:val="12"/>
        </w:rPr>
        <w:t>2</w:t>
      </w:r>
    </w:p>
    <w:p>
      <w:pPr>
        <w:pStyle w:val="BodyText"/>
        <w:spacing w:before="9"/>
        <w:rPr>
          <w:sz w:val="15"/>
        </w:rPr>
      </w:pPr>
    </w:p>
    <w:p>
      <w:pPr>
        <w:spacing w:before="0"/>
        <w:ind w:left="0" w:right="38" w:firstLine="0"/>
        <w:jc w:val="right"/>
        <w:rPr>
          <w:sz w:val="12"/>
        </w:rPr>
      </w:pPr>
      <w:r>
        <w:rPr/>
        <w:pict>
          <v:line style="position:absolute;mso-position-horizontal-relative:page;mso-position-vertical-relative:paragraph;z-index:16020992" from="215.5pt,3.76855pt" to="210.5pt,3.76855pt" stroked="true" strokeweight=".5pt" strokecolor="#000000">
            <v:stroke dashstyle="solid"/>
            <w10:wrap type="none"/>
          </v:line>
        </w:pict>
      </w:r>
      <w:r>
        <w:rPr>
          <w:sz w:val="12"/>
        </w:rPr>
        <w:t>1</w:t>
      </w:r>
    </w:p>
    <w:p>
      <w:pPr>
        <w:spacing w:before="12"/>
        <w:ind w:left="0" w:right="73" w:firstLine="0"/>
        <w:jc w:val="right"/>
        <w:rPr>
          <w:sz w:val="16"/>
        </w:rPr>
      </w:pPr>
      <w:r>
        <w:rPr>
          <w:sz w:val="16"/>
        </w:rPr>
        <w:t>+</w:t>
      </w:r>
    </w:p>
    <w:p>
      <w:pPr>
        <w:spacing w:before="6"/>
        <w:ind w:left="0" w:right="38" w:firstLine="0"/>
        <w:jc w:val="right"/>
        <w:rPr>
          <w:sz w:val="12"/>
        </w:rPr>
      </w:pPr>
      <w:r>
        <w:rPr/>
        <w:pict>
          <v:line style="position:absolute;mso-position-horizontal-relative:page;mso-position-vertical-relative:paragraph;z-index:16020480" from="215.5pt,4.06855pt" to="210.5pt,4.06855pt" stroked="true" strokeweight=".5pt" strokecolor="#000000">
            <v:stroke dashstyle="solid"/>
            <w10:wrap type="none"/>
          </v:line>
        </w:pict>
      </w:r>
      <w:r>
        <w:rPr>
          <w:sz w:val="12"/>
        </w:rPr>
        <w:t>0</w:t>
      </w:r>
    </w:p>
    <w:p>
      <w:pPr>
        <w:spacing w:before="12"/>
        <w:ind w:left="0" w:right="78" w:firstLine="0"/>
        <w:jc w:val="right"/>
        <w:rPr>
          <w:sz w:val="16"/>
        </w:rPr>
      </w:pPr>
      <w:r>
        <w:rPr>
          <w:color w:val="231F20"/>
          <w:sz w:val="16"/>
        </w:rPr>
        <w:t>–</w:t>
      </w:r>
    </w:p>
    <w:p>
      <w:pPr>
        <w:spacing w:before="6"/>
        <w:ind w:left="0" w:right="38" w:firstLine="0"/>
        <w:jc w:val="right"/>
        <w:rPr>
          <w:sz w:val="12"/>
        </w:rPr>
      </w:pPr>
      <w:r>
        <w:rPr/>
        <w:pict>
          <v:line style="position:absolute;mso-position-horizontal-relative:page;mso-position-vertical-relative:paragraph;z-index:16018432" from="215.5pt,4.06855pt" to="210.5pt,4.06855pt" stroked="true" strokeweight=".5pt" strokecolor="#000000">
            <v:stroke dashstyle="solid"/>
            <w10:wrap type="none"/>
          </v:line>
        </w:pict>
      </w:r>
      <w:r>
        <w:rPr>
          <w:sz w:val="12"/>
        </w:rPr>
        <w:t>1</w:t>
      </w:r>
    </w:p>
    <w:p>
      <w:pPr>
        <w:pStyle w:val="BodyText"/>
        <w:spacing w:before="10"/>
        <w:rPr>
          <w:sz w:val="15"/>
        </w:rPr>
      </w:pPr>
    </w:p>
    <w:p>
      <w:pPr>
        <w:spacing w:before="0"/>
        <w:ind w:left="0" w:right="38" w:firstLine="0"/>
        <w:jc w:val="right"/>
        <w:rPr>
          <w:sz w:val="12"/>
        </w:rPr>
      </w:pPr>
      <w:r>
        <w:rPr/>
        <w:pict>
          <v:line style="position:absolute;mso-position-horizontal-relative:page;mso-position-vertical-relative:paragraph;z-index:16018944" from="215.5pt,3.76855pt" to="210.5pt,3.76855pt" stroked="true" strokeweight=".5pt" strokecolor="#000000">
            <v:stroke dashstyle="solid"/>
            <w10:wrap type="none"/>
          </v:line>
        </w:pict>
      </w:r>
      <w:r>
        <w:rPr>
          <w:sz w:val="12"/>
        </w:rPr>
        <w:t>2</w:t>
      </w:r>
    </w:p>
    <w:p>
      <w:pPr>
        <w:pStyle w:val="BodyText"/>
        <w:spacing w:before="6"/>
        <w:rPr>
          <w:sz w:val="17"/>
        </w:rPr>
      </w:pPr>
    </w:p>
    <w:p>
      <w:pPr>
        <w:spacing w:before="0"/>
        <w:ind w:left="0" w:right="38" w:firstLine="0"/>
        <w:jc w:val="right"/>
        <w:rPr>
          <w:sz w:val="12"/>
        </w:rPr>
      </w:pPr>
      <w:r>
        <w:rPr/>
        <w:pict>
          <v:line style="position:absolute;mso-position-horizontal-relative:page;mso-position-vertical-relative:paragraph;z-index:16019456" from="215.5pt,3.76855pt" to="210.5pt,3.76855pt" stroked="true" strokeweight=".5pt" strokecolor="#000000">
            <v:stroke dashstyle="solid"/>
            <w10:wrap type="none"/>
          </v:line>
        </w:pict>
      </w:r>
      <w:r>
        <w:rPr>
          <w:sz w:val="12"/>
        </w:rPr>
        <w:t>3</w:t>
      </w:r>
    </w:p>
    <w:p>
      <w:pPr>
        <w:pStyle w:val="BodyText"/>
        <w:spacing w:before="7"/>
        <w:rPr>
          <w:sz w:val="17"/>
        </w:rPr>
      </w:pPr>
    </w:p>
    <w:p>
      <w:pPr>
        <w:spacing w:before="0"/>
        <w:ind w:left="0" w:right="38" w:firstLine="0"/>
        <w:jc w:val="right"/>
        <w:rPr>
          <w:sz w:val="12"/>
        </w:rPr>
      </w:pPr>
      <w:r>
        <w:rPr/>
        <w:pict>
          <v:line style="position:absolute;mso-position-horizontal-relative:page;mso-position-vertical-relative:paragraph;z-index:16019968" from="215.5pt,3.76855pt" to="210.5pt,3.76855pt" stroked="true" strokeweight=".5pt" strokecolor="#000000">
            <v:stroke dashstyle="solid"/>
            <w10:wrap type="none"/>
          </v:line>
        </w:pict>
      </w:r>
      <w:r>
        <w:rPr>
          <w:sz w:val="12"/>
        </w:rPr>
        <w:t>4</w:t>
      </w:r>
    </w:p>
    <w:p>
      <w:pPr>
        <w:pStyle w:val="BodyText"/>
        <w:spacing w:before="9"/>
        <w:rPr>
          <w:sz w:val="15"/>
        </w:rPr>
      </w:pPr>
    </w:p>
    <w:p>
      <w:pPr>
        <w:spacing w:line="32" w:lineRule="exact" w:before="0"/>
        <w:ind w:left="0" w:right="38" w:firstLine="0"/>
        <w:jc w:val="right"/>
        <w:rPr>
          <w:sz w:val="12"/>
        </w:rPr>
      </w:pPr>
      <w:r>
        <w:rPr/>
        <w:pict>
          <v:shape style="position:absolute;margin-left:53.5pt;margin-top:-.23145pt;width:151pt;height:4pt;mso-position-horizontal-relative:page;mso-position-vertical-relative:paragraph;z-index:16017920" coordorigin="1070,-5" coordsize="3020,80" path="m1070,75l4090,75m1070,75l1070,35m1130,75l1130,35m1190,75l1190,35m1250,75l1250,35m1310,75l1310,35m1370,75l1370,35m1420,75l1420,35m1470,75l1470,35m1530,75l1530,35m1590,75l1590,35m1650,75l1650,35m1710,75l1710,35m1770,75l1770,35m1830,75l1830,35m1890,75l1890,35m1950,75l1950,35m2010,75l2010,35m2070,75l2070,35m2120,75l2120,35m2170,75l2170,35m2230,75l2230,35m2290,75l2290,35m2350,75l2350,35m2410,75l2410,35m2470,75l2470,35m2530,75l2530,35m2590,75l2590,35m2650,75l2650,35m2710,75l2710,35m2770,75l2770,35m2820,75l2820,35m2870,75l2870,35m2930,75l2930,35m2990,75l2990,35m3050,75l3050,35m3110,75l3110,35m3170,75l3170,35m3230,75l3230,35m3290,75l3290,35m3350,75l3350,35m3410,75l3410,35m3470,75l3470,35m3520,75l3520,35m3570,75l3570,35m3630,75l3630,35m3690,75l3690,35m3750,75l3750,35m3810,75l3810,35m3870,75l3870,35m3930,75l3930,35m3990,75l3990,35m4050,75l4050,35m1070,75l1070,-5m1310,75l1310,-5m1530,75l1530,-5m1770,75l1770,-5m2010,75l2010,-5m2230,75l2230,-5m2470,75l2470,-5m2710,75l2710,-5m2930,75l2930,-5m3170,75l3170,-5m3410,75l3410,-5m3630,75l3630,-5m3870,75l3870,-5e" filled="false" stroked="true" strokeweight=".5pt" strokecolor="#000000">
            <v:path arrowok="t"/>
            <v:stroke dashstyle="solid"/>
            <w10:wrap type="none"/>
          </v:shape>
        </w:pict>
      </w:r>
      <w:r>
        <w:rPr>
          <w:sz w:val="12"/>
        </w:rPr>
        <w:t>5</w:t>
      </w:r>
    </w:p>
    <w:p>
      <w:pPr>
        <w:pStyle w:val="BodyText"/>
        <w:spacing w:before="4"/>
        <w:rPr>
          <w:sz w:val="3"/>
        </w:rPr>
      </w:pPr>
    </w:p>
    <w:p>
      <w:pPr>
        <w:pStyle w:val="BodyText"/>
        <w:spacing w:line="20" w:lineRule="exact"/>
        <w:ind w:left="499"/>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Heading4"/>
        <w:spacing w:line="242" w:lineRule="auto" w:before="217"/>
        <w:ind w:left="220" w:right="196"/>
      </w:pPr>
      <w:r>
        <w:rPr/>
        <w:br w:type="column"/>
      </w:r>
      <w:r>
        <w:rPr>
          <w:color w:val="231F20"/>
        </w:rPr>
        <w:t>directly measured and it changes over time in response to structural changes in the labour market. Real unit labour cost growth has been positive since 1997 Q1 and was 0.5% in the year to 1998 Q1. Positive real unit labour cost growth is consistent with the actual rate of unemployment being below the current natural rate.</w:t>
      </w:r>
    </w:p>
    <w:p>
      <w:pPr>
        <w:pStyle w:val="BodyText"/>
        <w:rPr>
          <w:sz w:val="25"/>
        </w:rPr>
      </w:pPr>
    </w:p>
    <w:p>
      <w:pPr>
        <w:spacing w:line="242" w:lineRule="auto" w:before="0"/>
        <w:ind w:left="220" w:right="96" w:firstLine="0"/>
        <w:jc w:val="left"/>
        <w:rPr>
          <w:sz w:val="24"/>
        </w:rPr>
      </w:pPr>
      <w:r>
        <w:rPr>
          <w:color w:val="231F20"/>
          <w:sz w:val="24"/>
        </w:rPr>
        <w:t>The extent to which inflationary pressures will continue to build up in the labour market will depend on how quickly unemployment and employment respond to the expected slowdown in GDP growth. Unemployment is strongly counter-cyclical, and tends to lag turning-points in output growth. The lags between output and</w:t>
      </w:r>
    </w:p>
    <w:p>
      <w:pPr>
        <w:spacing w:after="0" w:line="242" w:lineRule="auto"/>
        <w:jc w:val="left"/>
        <w:rPr>
          <w:sz w:val="24"/>
        </w:rPr>
        <w:sectPr>
          <w:type w:val="continuous"/>
          <w:pgSz w:w="11900" w:h="16840"/>
          <w:pgMar w:top="1220" w:bottom="280" w:left="620" w:right="640"/>
          <w:cols w:num="3" w:equalWidth="0">
            <w:col w:w="2211" w:space="875"/>
            <w:col w:w="749" w:space="957"/>
            <w:col w:w="5848"/>
          </w:cols>
        </w:sectPr>
      </w:pPr>
    </w:p>
    <w:p>
      <w:pPr>
        <w:spacing w:line="122" w:lineRule="exact" w:before="0"/>
        <w:ind w:left="440" w:right="0" w:firstLine="0"/>
        <w:jc w:val="left"/>
        <w:rPr>
          <w:sz w:val="12"/>
        </w:rPr>
      </w:pPr>
      <w:r>
        <w:rPr>
          <w:sz w:val="12"/>
        </w:rPr>
        <w:t>1986 87 88 89 90 91 92 93 94 95 96 97 98</w:t>
      </w:r>
    </w:p>
    <w:p>
      <w:pPr>
        <w:spacing w:before="25"/>
        <w:ind w:left="217" w:right="0" w:firstLine="0"/>
        <w:jc w:val="left"/>
        <w:rPr>
          <w:sz w:val="12"/>
        </w:rPr>
      </w:pPr>
      <w:r>
        <w:rPr>
          <w:color w:val="231F20"/>
          <w:sz w:val="12"/>
        </w:rPr>
        <w:t>Sources: ONS and The Federation of Recruitment and Employment Services.</w:t>
      </w:r>
    </w:p>
    <w:p>
      <w:pPr>
        <w:pStyle w:val="ListParagraph"/>
        <w:numPr>
          <w:ilvl w:val="0"/>
          <w:numId w:val="30"/>
        </w:numPr>
        <w:tabs>
          <w:tab w:pos="458" w:val="left" w:leader="none"/>
        </w:tabs>
        <w:spacing w:line="208" w:lineRule="auto" w:before="96" w:after="0"/>
        <w:ind w:left="457" w:right="515" w:hanging="240"/>
        <w:jc w:val="left"/>
        <w:rPr>
          <w:sz w:val="12"/>
        </w:rPr>
      </w:pPr>
      <w:r>
        <w:rPr>
          <w:color w:val="231F20"/>
          <w:sz w:val="12"/>
        </w:rPr>
        <w:t>Normalised to be consistent with the annual percentage change </w:t>
      </w:r>
      <w:r>
        <w:rPr>
          <w:color w:val="231F20"/>
          <w:spacing w:val="-9"/>
          <w:sz w:val="12"/>
        </w:rPr>
        <w:t>in </w:t>
      </w:r>
      <w:r>
        <w:rPr>
          <w:color w:val="231F20"/>
          <w:sz w:val="12"/>
        </w:rPr>
        <w:t>whole-economy employment.</w:t>
      </w:r>
    </w:p>
    <w:p>
      <w:pPr>
        <w:pStyle w:val="ListParagraph"/>
        <w:numPr>
          <w:ilvl w:val="0"/>
          <w:numId w:val="30"/>
        </w:numPr>
        <w:tabs>
          <w:tab w:pos="458" w:val="left" w:leader="none"/>
        </w:tabs>
        <w:spacing w:line="123" w:lineRule="exact" w:before="0" w:after="0"/>
        <w:ind w:left="457" w:right="0" w:hanging="241"/>
        <w:jc w:val="left"/>
        <w:rPr>
          <w:sz w:val="12"/>
        </w:rPr>
      </w:pPr>
      <w:r>
        <w:rPr>
          <w:color w:val="231F20"/>
          <w:sz w:val="12"/>
        </w:rPr>
        <w:t>Employee jobs percentage change on a year earlier.</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9"/>
        <w:rPr>
          <w:sz w:val="13"/>
        </w:rPr>
      </w:pPr>
    </w:p>
    <w:p>
      <w:pPr>
        <w:pStyle w:val="Heading8"/>
        <w:spacing w:before="0"/>
      </w:pPr>
      <w:r>
        <w:rPr>
          <w:color w:val="0093C1"/>
        </w:rPr>
        <w:t>Chart 3.12</w:t>
      </w:r>
    </w:p>
    <w:p>
      <w:pPr>
        <w:spacing w:before="10"/>
        <w:ind w:left="200" w:right="0" w:firstLine="0"/>
        <w:jc w:val="left"/>
        <w:rPr>
          <w:b/>
          <w:sz w:val="20"/>
        </w:rPr>
      </w:pPr>
      <w:r>
        <w:rPr>
          <w:b/>
          <w:color w:val="0093C1"/>
          <w:sz w:val="20"/>
        </w:rPr>
        <w:t>Claimant count unemployment and real GDP</w:t>
      </w:r>
    </w:p>
    <w:p>
      <w:pPr>
        <w:spacing w:line="188" w:lineRule="exact" w:before="0"/>
        <w:ind w:left="200" w:right="0" w:firstLine="0"/>
        <w:jc w:val="left"/>
        <w:rPr>
          <w:sz w:val="24"/>
        </w:rPr>
      </w:pPr>
      <w:r>
        <w:rPr/>
        <w:br w:type="column"/>
      </w:r>
      <w:r>
        <w:rPr>
          <w:color w:val="231F20"/>
          <w:sz w:val="24"/>
        </w:rPr>
        <w:t>unemployment have been shorter in the present cycle</w:t>
      </w:r>
    </w:p>
    <w:p>
      <w:pPr>
        <w:spacing w:line="242" w:lineRule="auto" w:before="4"/>
        <w:ind w:left="200" w:right="162" w:firstLine="0"/>
        <w:jc w:val="left"/>
        <w:rPr>
          <w:sz w:val="24"/>
        </w:rPr>
      </w:pPr>
      <w:r>
        <w:rPr>
          <w:color w:val="231F20"/>
          <w:sz w:val="24"/>
        </w:rPr>
        <w:t>than in the past, despite slightly slower GDP growth in the present recovery than in the previous recovery over the same number of quarters. In the previous economic upturn, claimant unemployment continued to rise for more than five years after the trough in GDP. By contrast, claimant unemployment began to fall around a year after the trough in GDP in the early 1990s (see</w:t>
      </w:r>
    </w:p>
    <w:p>
      <w:pPr>
        <w:spacing w:after="0" w:line="242" w:lineRule="auto"/>
        <w:jc w:val="left"/>
        <w:rPr>
          <w:sz w:val="24"/>
        </w:rPr>
        <w:sectPr>
          <w:type w:val="continuous"/>
          <w:pgSz w:w="11900" w:h="16840"/>
          <w:pgMar w:top="1220" w:bottom="280" w:left="620" w:right="640"/>
          <w:cols w:num="2" w:equalWidth="0">
            <w:col w:w="4124" w:space="688"/>
            <w:col w:w="5828"/>
          </w:cols>
        </w:sectPr>
      </w:pPr>
    </w:p>
    <w:p>
      <w:pPr>
        <w:spacing w:line="126" w:lineRule="exact" w:before="4"/>
        <w:ind w:left="365" w:right="0" w:firstLine="0"/>
        <w:jc w:val="left"/>
        <w:rPr>
          <w:sz w:val="12"/>
        </w:rPr>
      </w:pPr>
      <w:r>
        <w:rPr>
          <w:color w:val="231F20"/>
          <w:sz w:val="12"/>
        </w:rPr>
        <w:t>Per cent</w:t>
      </w:r>
    </w:p>
    <w:p>
      <w:pPr>
        <w:spacing w:line="126" w:lineRule="exact" w:before="0"/>
        <w:ind w:left="186" w:right="0" w:firstLine="0"/>
        <w:jc w:val="left"/>
        <w:rPr>
          <w:sz w:val="12"/>
        </w:rPr>
      </w:pPr>
      <w:r>
        <w:rPr/>
        <w:pict>
          <v:line style="position:absolute;mso-position-horizontal-relative:page;mso-position-vertical-relative:paragraph;z-index:16007680" from="54.5pt,2.818352pt" to="49.5pt,2.818352pt" stroked="true" strokeweight=".5pt" strokecolor="#000000">
            <v:stroke dashstyle="solid"/>
            <w10:wrap type="none"/>
          </v:line>
        </w:pict>
      </w:r>
      <w:r>
        <w:rPr/>
        <w:pict>
          <v:group style="position:absolute;margin-left:60.25pt;margin-top:8.971672pt;width:151.75pt;height:145.1pt;mso-position-horizontal-relative:page;mso-position-vertical-relative:paragraph;z-index:16009216" coordorigin="1205,179" coordsize="3035,2902">
            <v:shape style="position:absolute;left:1230;top:256;width:3000;height:1840" coordorigin="1230,256" coordsize="3000,1840" path="m1230,2056l1250,2056,1330,2096,1370,2076,1410,1976,1450,1816,1490,1596,1530,1336,1570,1136,1610,996,1650,896,1690,816,1730,776,1810,616,1850,516,1890,496,1930,436,1950,436,2010,456,2050,436,2130,356,2150,376,2190,336,2230,356,2350,296,2390,256,2430,316,2470,356,2510,456,2550,596,2590,716,2630,876,2670,976,2710,1096,2750,1196,2830,1476,2870,1556,2910,1596,2950,1676,2970,1696,3010,1676,3050,1556,3090,1416,3130,1156,3170,996,3290,696,3330,636,3410,436,3530,536,3610,656,3650,736,3690,836,3730,976,3770,1036,3870,1136,3910,1156,3970,1216,3990,1316,4030,1476,4070,1616,4110,1716,4150,1796,4230,1876e" filled="false" stroked="true" strokeweight="1pt" strokecolor="#df6f1d">
              <v:path arrowok="t"/>
              <v:stroke dashstyle="solid"/>
            </v:shape>
            <v:line style="position:absolute" from="1210,1816" to="4230,1816" stroked="true" strokeweight=".5pt" strokecolor="#000000">
              <v:stroke dashstyle="solid"/>
            </v:line>
            <v:shape style="position:absolute;left:1230;top:356;width:2960;height:2640" coordorigin="1230,356" coordsize="2960,2640" path="m1230,1416l1250,676,1290,1156,1330,1256,1370,1276,1410,2516,1450,2536,1490,2996,1530,2796,1570,2336,1610,1856,1650,1396,1690,1356,1730,1256,1770,1456,1810,1416,1850,916,1890,1076,1930,816,1950,696,2010,956,2050,1296,2070,1536,2130,1456,2150,1336,2190,576,2230,616,2270,716,2310,936,2350,1016,2390,756,2430,556,2470,676,2510,736,2550,536,2590,696,2630,356,2670,576,2710,656,2750,716,2790,1016,2830,1076,2870,1396,2910,1496,2950,1496,2970,1476,3010,1756,3050,1996,3090,2316,3130,2516,3170,2336,3210,2216,3250,2176,3290,2056,3330,1836,3370,1736,3410,1396,3450,1296,3490,1236,3530,1136,3610,696,3650,576,3690,576,3730,816,3770,1096,3790,1276,3850,1316,3870,1296,3910,1216,3970,1196,3990,1096,4030,1136,4070,1036,4110,956,4150,1076,4190,1076e" filled="false" stroked="true" strokeweight="1pt" strokecolor="#008256">
              <v:path arrowok="t"/>
              <v:stroke dashstyle="solid"/>
            </v:shape>
            <v:shape style="position:absolute;left:1210;top:2976;width:3020;height:100" coordorigin="1210,2976" coordsize="3020,100" path="m1210,3076l4230,3076m1210,3076l1210,3036m1370,3076l1370,3036m1530,3076l1530,3036m1690,3076l1690,3036m1850,3076l1850,3036m1990,3076l1990,3036m2150,3076l2150,3036m2310,3076l2310,3036m2470,3076l2470,3036m2630,3076l2630,3036m2790,3076l2790,3036m2930,3076l2930,3036m3090,3076l3090,3036m3250,3076l3250,3036m3410,3076l3410,3036m3570,3076l3570,3036m3730,3076l3730,3036m3870,3076l3870,3036m4030,3076l4030,3036m4190,3076l4190,3036m1370,3076l1370,2976m2150,3076l2150,2976m2930,3076l2930,2976m3730,3076l3730,2976m1210,3076l4230,3076m1210,3076l1210,3036m1370,3076l1370,3036m1530,3076l1530,3036m1690,3076l1690,3036m1850,3076l1850,3036m1990,3076l1990,3036m2150,3076l2150,3036m2310,3076l2310,3036m2470,3076l2470,3036m2630,3076l2630,3036m2790,3076l2790,3036m2930,3076l2930,3036m3090,3076l3090,3036m3250,3076l3250,3036m3410,3076l3410,3036m3570,3076l3570,3036m3730,3076l3730,3036m3870,3076l3870,3036m4030,3076l4030,3036m4190,3076l4190,3036m1370,3076l1370,2976m2150,3076l2150,2976m2930,3076l2930,2976m3730,3076l3730,2976e" filled="false" stroked="true" strokeweight=".5pt" strokecolor="#000000">
              <v:path arrowok="t"/>
              <v:stroke dashstyle="solid"/>
            </v:shape>
            <v:shape style="position:absolute;left:3022;top:315;width:246;height:388" type="#_x0000_t75" stroked="false">
              <v:imagedata r:id="rId65" o:title=""/>
            </v:shape>
            <v:shape style="position:absolute;left:2526;top:179;width:803;height:133" type="#_x0000_t202" filled="false" stroked="false">
              <v:textbox inset="0,0,0,0">
                <w:txbxContent>
                  <w:p>
                    <w:pPr>
                      <w:spacing w:line="133" w:lineRule="exact" w:before="0"/>
                      <w:ind w:left="0" w:right="0" w:firstLine="0"/>
                      <w:jc w:val="left"/>
                      <w:rPr>
                        <w:sz w:val="12"/>
                      </w:rPr>
                    </w:pPr>
                    <w:r>
                      <w:rPr>
                        <w:sz w:val="12"/>
                      </w:rPr>
                      <w:t>(left-hand scale)</w:t>
                    </w:r>
                  </w:p>
                </w:txbxContent>
              </v:textbox>
              <w10:wrap type="none"/>
            </v:shape>
            <v:shape style="position:absolute;left:1966;top:2392;width:1140;height:133" type="#_x0000_t202" filled="false" stroked="false">
              <v:textbox inset="0,0,0,0">
                <w:txbxContent>
                  <w:p>
                    <w:pPr>
                      <w:spacing w:line="133" w:lineRule="exact" w:before="0"/>
                      <w:ind w:left="0" w:right="0" w:firstLine="0"/>
                      <w:jc w:val="left"/>
                      <w:rPr>
                        <w:sz w:val="12"/>
                      </w:rPr>
                    </w:pPr>
                    <w:r>
                      <w:rPr>
                        <w:sz w:val="12"/>
                      </w:rPr>
                      <w:t>GDP (right-hand scale)</w:t>
                    </w:r>
                  </w:p>
                </w:txbxContent>
              </v:textbox>
              <w10:wrap type="none"/>
            </v:shape>
            <w10:wrap type="none"/>
          </v:group>
        </w:pict>
      </w:r>
      <w:r>
        <w:rPr>
          <w:sz w:val="12"/>
        </w:rPr>
        <w:t>12</w:t>
      </w:r>
    </w:p>
    <w:p>
      <w:pPr>
        <w:pStyle w:val="BodyText"/>
        <w:spacing w:before="7"/>
        <w:rPr>
          <w:sz w:val="10"/>
        </w:rPr>
      </w:pPr>
    </w:p>
    <w:p>
      <w:pPr>
        <w:spacing w:before="0"/>
        <w:ind w:left="186" w:right="0" w:firstLine="0"/>
        <w:jc w:val="left"/>
        <w:rPr>
          <w:sz w:val="12"/>
        </w:rPr>
      </w:pPr>
      <w:r>
        <w:rPr/>
        <w:pict>
          <v:line style="position:absolute;mso-position-horizontal-relative:page;mso-position-vertical-relative:paragraph;z-index:16007168" from="54.5pt,3.434563pt" to="49.5pt,3.434563pt" stroked="true" strokeweight=".5pt" strokecolor="#000000">
            <v:stroke dashstyle="solid"/>
            <w10:wrap type="none"/>
          </v:line>
        </w:pict>
      </w:r>
      <w:r>
        <w:rPr>
          <w:sz w:val="12"/>
        </w:rPr>
        <w:t>11</w:t>
      </w:r>
    </w:p>
    <w:p>
      <w:pPr>
        <w:spacing w:before="102"/>
        <w:ind w:left="186" w:right="0" w:firstLine="0"/>
        <w:jc w:val="left"/>
        <w:rPr>
          <w:sz w:val="12"/>
        </w:rPr>
      </w:pPr>
      <w:r>
        <w:rPr/>
        <w:pict>
          <v:line style="position:absolute;mso-position-horizontal-relative:page;mso-position-vertical-relative:paragraph;z-index:16006656" from="54.5pt,8.534563pt" to="49.5pt,8.534563pt" stroked="true" strokeweight=".5pt" strokecolor="#000000">
            <v:stroke dashstyle="solid"/>
            <w10:wrap type="none"/>
          </v:line>
        </w:pict>
      </w:r>
      <w:r>
        <w:rPr>
          <w:sz w:val="12"/>
        </w:rPr>
        <w:t>10</w:t>
      </w:r>
    </w:p>
    <w:p>
      <w:pPr>
        <w:pStyle w:val="BodyText"/>
        <w:spacing w:before="7"/>
        <w:rPr>
          <w:sz w:val="10"/>
        </w:rPr>
      </w:pPr>
    </w:p>
    <w:p>
      <w:pPr>
        <w:spacing w:before="0"/>
        <w:ind w:left="246" w:right="0" w:firstLine="0"/>
        <w:jc w:val="left"/>
        <w:rPr>
          <w:sz w:val="12"/>
        </w:rPr>
      </w:pPr>
      <w:r>
        <w:rPr/>
        <w:pict>
          <v:line style="position:absolute;mso-position-horizontal-relative:page;mso-position-vertical-relative:paragraph;z-index:16006144" from="54.5pt,3.434563pt" to="49.5pt,3.434563pt" stroked="true" strokeweight=".5pt" strokecolor="#000000">
            <v:stroke dashstyle="solid"/>
            <w10:wrap type="none"/>
          </v:line>
        </w:pict>
      </w:r>
      <w:r>
        <w:rPr>
          <w:sz w:val="12"/>
        </w:rPr>
        <w:t>9</w:t>
      </w:r>
    </w:p>
    <w:p>
      <w:pPr>
        <w:spacing w:before="102"/>
        <w:ind w:left="246" w:right="0" w:firstLine="0"/>
        <w:jc w:val="left"/>
        <w:rPr>
          <w:sz w:val="12"/>
        </w:rPr>
      </w:pPr>
      <w:r>
        <w:rPr/>
        <w:pict>
          <v:line style="position:absolute;mso-position-horizontal-relative:page;mso-position-vertical-relative:paragraph;z-index:16005632" from="54.5pt,8.534563pt" to="49.5pt,8.534563pt" stroked="true" strokeweight=".5pt" strokecolor="#000000">
            <v:stroke dashstyle="solid"/>
            <w10:wrap type="none"/>
          </v:line>
        </w:pict>
      </w:r>
      <w:r>
        <w:rPr>
          <w:sz w:val="12"/>
        </w:rPr>
        <w:t>8</w:t>
      </w:r>
    </w:p>
    <w:p>
      <w:pPr>
        <w:pStyle w:val="BodyText"/>
        <w:spacing w:before="7"/>
        <w:rPr>
          <w:sz w:val="10"/>
        </w:rPr>
      </w:pPr>
    </w:p>
    <w:p>
      <w:pPr>
        <w:spacing w:before="0"/>
        <w:ind w:left="246" w:right="0" w:firstLine="0"/>
        <w:jc w:val="left"/>
        <w:rPr>
          <w:sz w:val="12"/>
        </w:rPr>
      </w:pPr>
      <w:r>
        <w:rPr/>
        <w:pict>
          <v:line style="position:absolute;mso-position-horizontal-relative:page;mso-position-vertical-relative:paragraph;z-index:16005120" from="54.5pt,3.434563pt" to="49.5pt,3.434563pt" stroked="true" strokeweight=".5pt" strokecolor="#000000">
            <v:stroke dashstyle="solid"/>
            <w10:wrap type="none"/>
          </v:line>
        </w:pict>
      </w:r>
      <w:r>
        <w:rPr>
          <w:sz w:val="12"/>
        </w:rPr>
        <w:t>7</w:t>
      </w:r>
    </w:p>
    <w:p>
      <w:pPr>
        <w:spacing w:before="102"/>
        <w:ind w:left="246" w:right="0" w:firstLine="0"/>
        <w:jc w:val="left"/>
        <w:rPr>
          <w:sz w:val="12"/>
        </w:rPr>
      </w:pPr>
      <w:r>
        <w:rPr/>
        <w:pict>
          <v:line style="position:absolute;mso-position-horizontal-relative:page;mso-position-vertical-relative:paragraph;z-index:16004608" from="54.5pt,8.534563pt" to="49.5pt,8.534563pt" stroked="true" strokeweight=".5pt" strokecolor="#000000">
            <v:stroke dashstyle="solid"/>
            <w10:wrap type="none"/>
          </v:line>
        </w:pict>
      </w:r>
      <w:r>
        <w:rPr>
          <w:sz w:val="12"/>
        </w:rPr>
        <w:t>6</w:t>
      </w:r>
    </w:p>
    <w:p>
      <w:pPr>
        <w:pStyle w:val="BodyText"/>
        <w:spacing w:before="7"/>
        <w:rPr>
          <w:sz w:val="10"/>
        </w:rPr>
      </w:pPr>
    </w:p>
    <w:p>
      <w:pPr>
        <w:spacing w:before="0"/>
        <w:ind w:left="246" w:right="0" w:firstLine="0"/>
        <w:jc w:val="left"/>
        <w:rPr>
          <w:sz w:val="12"/>
        </w:rPr>
      </w:pPr>
      <w:r>
        <w:rPr/>
        <w:pict>
          <v:line style="position:absolute;mso-position-horizontal-relative:page;mso-position-vertical-relative:paragraph;z-index:16004096" from="54.5pt,3.434563pt" to="49.5pt,3.434563pt" stroked="true" strokeweight=".5pt" strokecolor="#000000">
            <v:stroke dashstyle="solid"/>
            <w10:wrap type="none"/>
          </v:line>
        </w:pict>
      </w:r>
      <w:r>
        <w:rPr>
          <w:sz w:val="12"/>
        </w:rPr>
        <w:t>5</w:t>
      </w:r>
    </w:p>
    <w:p>
      <w:pPr>
        <w:pStyle w:val="BodyText"/>
        <w:spacing w:before="7"/>
        <w:rPr>
          <w:sz w:val="10"/>
        </w:rPr>
      </w:pPr>
    </w:p>
    <w:p>
      <w:pPr>
        <w:spacing w:before="0"/>
        <w:ind w:left="246" w:right="0" w:firstLine="0"/>
        <w:jc w:val="left"/>
        <w:rPr>
          <w:sz w:val="12"/>
        </w:rPr>
      </w:pPr>
      <w:r>
        <w:rPr/>
        <w:pict>
          <v:line style="position:absolute;mso-position-horizontal-relative:page;mso-position-vertical-relative:paragraph;z-index:16003584" from="54.5pt,3.434563pt" to="49.5pt,3.434563pt" stroked="true" strokeweight=".5pt" strokecolor="#000000">
            <v:stroke dashstyle="solid"/>
            <w10:wrap type="none"/>
          </v:line>
        </w:pict>
      </w:r>
      <w:r>
        <w:rPr>
          <w:sz w:val="12"/>
        </w:rPr>
        <w:t>4</w:t>
      </w:r>
    </w:p>
    <w:p>
      <w:pPr>
        <w:spacing w:before="102"/>
        <w:ind w:left="246" w:right="0" w:firstLine="0"/>
        <w:jc w:val="left"/>
        <w:rPr>
          <w:sz w:val="12"/>
        </w:rPr>
      </w:pPr>
      <w:r>
        <w:rPr/>
        <w:pict>
          <v:line style="position:absolute;mso-position-horizontal-relative:page;mso-position-vertical-relative:paragraph;z-index:16003072" from="54.5pt,8.534563pt" to="49.5pt,8.534563pt" stroked="true" strokeweight=".5pt" strokecolor="#000000">
            <v:stroke dashstyle="solid"/>
            <w10:wrap type="none"/>
          </v:line>
        </w:pict>
      </w:r>
      <w:r>
        <w:rPr>
          <w:sz w:val="12"/>
        </w:rPr>
        <w:t>3</w:t>
      </w:r>
    </w:p>
    <w:p>
      <w:pPr>
        <w:pStyle w:val="BodyText"/>
        <w:spacing w:before="7"/>
        <w:rPr>
          <w:sz w:val="10"/>
        </w:rPr>
      </w:pPr>
    </w:p>
    <w:p>
      <w:pPr>
        <w:spacing w:before="0"/>
        <w:ind w:left="246" w:right="0" w:firstLine="0"/>
        <w:jc w:val="left"/>
        <w:rPr>
          <w:sz w:val="12"/>
        </w:rPr>
      </w:pPr>
      <w:r>
        <w:rPr/>
        <w:pict>
          <v:line style="position:absolute;mso-position-horizontal-relative:page;mso-position-vertical-relative:paragraph;z-index:16002560" from="54.5pt,3.434563pt" to="49.5pt,3.434563pt" stroked="true" strokeweight=".5pt" strokecolor="#000000">
            <v:stroke dashstyle="solid"/>
            <w10:wrap type="none"/>
          </v:line>
        </w:pict>
      </w:r>
      <w:r>
        <w:rPr>
          <w:sz w:val="12"/>
        </w:rPr>
        <w:t>2</w:t>
      </w:r>
    </w:p>
    <w:p>
      <w:pPr>
        <w:spacing w:before="102"/>
        <w:ind w:left="246" w:right="0" w:firstLine="0"/>
        <w:jc w:val="left"/>
        <w:rPr>
          <w:sz w:val="12"/>
        </w:rPr>
      </w:pPr>
      <w:r>
        <w:rPr/>
        <w:pict>
          <v:line style="position:absolute;mso-position-horizontal-relative:page;mso-position-vertical-relative:paragraph;z-index:16002048" from="54.5pt,8.534563pt" to="49.5pt,8.534563pt" stroked="true" strokeweight=".5pt" strokecolor="#000000">
            <v:stroke dashstyle="solid"/>
            <w10:wrap type="none"/>
          </v:line>
        </w:pict>
      </w:r>
      <w:r>
        <w:rPr>
          <w:sz w:val="12"/>
        </w:rPr>
        <w:t>1</w:t>
      </w:r>
    </w:p>
    <w:p>
      <w:pPr>
        <w:pStyle w:val="BodyText"/>
        <w:spacing w:before="7"/>
        <w:rPr>
          <w:sz w:val="10"/>
        </w:rPr>
      </w:pPr>
    </w:p>
    <w:p>
      <w:pPr>
        <w:spacing w:line="119" w:lineRule="exact" w:before="0"/>
        <w:ind w:left="246" w:right="0" w:firstLine="0"/>
        <w:jc w:val="left"/>
        <w:rPr>
          <w:sz w:val="12"/>
        </w:rPr>
      </w:pPr>
      <w:r>
        <w:rPr/>
        <w:pict>
          <v:line style="position:absolute;mso-position-horizontal-relative:page;mso-position-vertical-relative:paragraph;z-index:16001536" from="54.5pt,3.434563pt" to="49.5pt,3.434563pt" stroked="true" strokeweight=".5pt" strokecolor="#000000">
            <v:stroke dashstyle="solid"/>
            <w10:wrap type="none"/>
          </v:line>
        </w:pict>
      </w:r>
      <w:r>
        <w:rPr>
          <w:sz w:val="12"/>
        </w:rPr>
        <w:t>0</w:t>
      </w:r>
    </w:p>
    <w:p>
      <w:pPr>
        <w:tabs>
          <w:tab w:pos="1559" w:val="left" w:leader="none"/>
        </w:tabs>
        <w:spacing w:line="119" w:lineRule="exact" w:before="0"/>
        <w:ind w:left="526" w:right="0" w:firstLine="0"/>
        <w:jc w:val="left"/>
        <w:rPr>
          <w:sz w:val="12"/>
        </w:rPr>
      </w:pPr>
      <w:r>
        <w:rPr>
          <w:sz w:val="12"/>
        </w:rPr>
        <w:t>1979</w:t>
        <w:tab/>
      </w:r>
      <w:r>
        <w:rPr>
          <w:spacing w:val="-10"/>
          <w:sz w:val="12"/>
        </w:rPr>
        <w:t>85</w:t>
      </w:r>
    </w:p>
    <w:p>
      <w:pPr>
        <w:tabs>
          <w:tab w:pos="2199" w:val="right" w:leader="none"/>
        </w:tabs>
        <w:spacing w:line="199" w:lineRule="auto" w:before="23"/>
        <w:ind w:left="126" w:right="38" w:firstLine="265"/>
        <w:jc w:val="left"/>
        <w:rPr>
          <w:sz w:val="12"/>
        </w:rPr>
      </w:pPr>
      <w:r>
        <w:rPr/>
        <w:br w:type="column"/>
      </w:r>
      <w:r>
        <w:rPr>
          <w:sz w:val="12"/>
        </w:rPr>
        <w:t>Percentage change on a year earlier Claimant-count unemployment</w:t>
        <w:tab/>
      </w:r>
      <w:r>
        <w:rPr>
          <w:position w:val="8"/>
          <w:sz w:val="12"/>
        </w:rPr>
        <w:t>7</w:t>
      </w:r>
    </w:p>
    <w:p>
      <w:pPr>
        <w:spacing w:before="32"/>
        <w:ind w:left="0" w:right="38" w:firstLine="0"/>
        <w:jc w:val="right"/>
        <w:rPr>
          <w:sz w:val="12"/>
        </w:rPr>
      </w:pPr>
      <w:r>
        <w:rPr/>
        <w:pict>
          <v:line style="position:absolute;mso-position-horizontal-relative:page;mso-position-vertical-relative:paragraph;z-index:16015360" from="216.5pt,5.701555pt" to="221.5pt,5.701555pt" stroked="true" strokeweight=".5pt" strokecolor="#000000">
            <v:stroke dashstyle="solid"/>
            <w10:wrap type="none"/>
          </v:line>
        </w:pict>
      </w:r>
      <w:r>
        <w:rPr/>
        <w:pict>
          <v:line style="position:absolute;mso-position-horizontal-relative:page;mso-position-vertical-relative:paragraph;z-index:-20912128" from="216.5pt,-7.298445pt" to="221.5pt,-7.298445pt" stroked="true" strokeweight=".5pt" strokecolor="#000000">
            <v:stroke dashstyle="solid"/>
            <w10:wrap type="none"/>
          </v:line>
        </w:pict>
      </w:r>
      <w:r>
        <w:rPr>
          <w:sz w:val="12"/>
        </w:rPr>
        <w:t>6</w:t>
      </w:r>
    </w:p>
    <w:p>
      <w:pPr>
        <w:spacing w:before="102"/>
        <w:ind w:left="0" w:right="38" w:firstLine="0"/>
        <w:jc w:val="right"/>
        <w:rPr>
          <w:sz w:val="12"/>
        </w:rPr>
      </w:pPr>
      <w:r>
        <w:rPr/>
        <w:pict>
          <v:line style="position:absolute;mso-position-horizontal-relative:page;mso-position-vertical-relative:paragraph;z-index:16014848" from="216.5pt,9.201555pt" to="221.5pt,9.201555pt" stroked="true" strokeweight=".5pt" strokecolor="#000000">
            <v:stroke dashstyle="solid"/>
            <w10:wrap type="none"/>
          </v:line>
        </w:pict>
      </w:r>
      <w:r>
        <w:rPr>
          <w:sz w:val="12"/>
        </w:rPr>
        <w:t>5</w:t>
      </w:r>
    </w:p>
    <w:p>
      <w:pPr>
        <w:pStyle w:val="BodyText"/>
        <w:spacing w:before="7"/>
        <w:rPr>
          <w:sz w:val="10"/>
        </w:rPr>
      </w:pPr>
    </w:p>
    <w:p>
      <w:pPr>
        <w:spacing w:before="0"/>
        <w:ind w:left="0" w:right="38" w:firstLine="0"/>
        <w:jc w:val="right"/>
        <w:rPr>
          <w:sz w:val="12"/>
        </w:rPr>
      </w:pPr>
      <w:r>
        <w:rPr/>
        <w:pict>
          <v:line style="position:absolute;mso-position-horizontal-relative:page;mso-position-vertical-relative:paragraph;z-index:16014336" from="216.5pt,4.101555pt" to="221.5pt,4.101555pt" stroked="true" strokeweight=".5pt" strokecolor="#000000">
            <v:stroke dashstyle="solid"/>
            <w10:wrap type="none"/>
          </v:line>
        </w:pict>
      </w:r>
      <w:r>
        <w:rPr>
          <w:sz w:val="12"/>
        </w:rPr>
        <w:t>4</w:t>
      </w:r>
    </w:p>
    <w:p>
      <w:pPr>
        <w:spacing w:before="102"/>
        <w:ind w:left="0" w:right="38" w:firstLine="0"/>
        <w:jc w:val="right"/>
        <w:rPr>
          <w:sz w:val="12"/>
        </w:rPr>
      </w:pPr>
      <w:r>
        <w:rPr/>
        <w:pict>
          <v:line style="position:absolute;mso-position-horizontal-relative:page;mso-position-vertical-relative:paragraph;z-index:16013824" from="216.5pt,9.201555pt" to="221.5pt,9.201555pt" stroked="true" strokeweight=".5pt" strokecolor="#000000">
            <v:stroke dashstyle="solid"/>
            <w10:wrap type="none"/>
          </v:line>
        </w:pict>
      </w:r>
      <w:r>
        <w:rPr>
          <w:sz w:val="12"/>
        </w:rPr>
        <w:t>3</w:t>
      </w:r>
    </w:p>
    <w:p>
      <w:pPr>
        <w:pStyle w:val="BodyText"/>
        <w:spacing w:before="7"/>
        <w:rPr>
          <w:sz w:val="10"/>
        </w:rPr>
      </w:pPr>
    </w:p>
    <w:p>
      <w:pPr>
        <w:spacing w:before="0"/>
        <w:ind w:left="0" w:right="38" w:firstLine="0"/>
        <w:jc w:val="right"/>
        <w:rPr>
          <w:sz w:val="12"/>
        </w:rPr>
      </w:pPr>
      <w:r>
        <w:rPr/>
        <w:pict>
          <v:line style="position:absolute;mso-position-horizontal-relative:page;mso-position-vertical-relative:paragraph;z-index:16013312" from="216.5pt,4.101555pt" to="221.5pt,4.101555pt" stroked="true" strokeweight=".5pt" strokecolor="#000000">
            <v:stroke dashstyle="solid"/>
            <w10:wrap type="none"/>
          </v:line>
        </w:pict>
      </w:r>
      <w:r>
        <w:rPr>
          <w:sz w:val="12"/>
        </w:rPr>
        <w:t>2</w:t>
      </w:r>
    </w:p>
    <w:p>
      <w:pPr>
        <w:spacing w:line="124" w:lineRule="exact" w:before="102"/>
        <w:ind w:left="2140" w:right="0" w:firstLine="0"/>
        <w:jc w:val="left"/>
        <w:rPr>
          <w:sz w:val="12"/>
        </w:rPr>
      </w:pPr>
      <w:r>
        <w:rPr/>
        <w:pict>
          <v:line style="position:absolute;mso-position-horizontal-relative:page;mso-position-vertical-relative:paragraph;z-index:16012800" from="216.5pt,9.201555pt" to="221.5pt,9.201555pt" stroked="true" strokeweight=".5pt" strokecolor="#000000">
            <v:stroke dashstyle="solid"/>
            <w10:wrap type="none"/>
          </v:line>
        </w:pict>
      </w:r>
      <w:r>
        <w:rPr>
          <w:sz w:val="12"/>
        </w:rPr>
        <w:t>1</w:t>
      </w:r>
    </w:p>
    <w:p>
      <w:pPr>
        <w:spacing w:line="153" w:lineRule="exact" w:before="0"/>
        <w:ind w:left="2046" w:right="0" w:firstLine="0"/>
        <w:jc w:val="left"/>
        <w:rPr>
          <w:sz w:val="16"/>
        </w:rPr>
      </w:pPr>
      <w:r>
        <w:rPr>
          <w:color w:val="231F20"/>
          <w:sz w:val="16"/>
        </w:rPr>
        <w:t>+</w:t>
      </w:r>
    </w:p>
    <w:p>
      <w:pPr>
        <w:spacing w:line="100" w:lineRule="exact" w:before="0"/>
        <w:ind w:left="2140" w:right="0" w:firstLine="0"/>
        <w:jc w:val="left"/>
        <w:rPr>
          <w:sz w:val="12"/>
        </w:rPr>
      </w:pPr>
      <w:r>
        <w:rPr/>
        <w:pict>
          <v:line style="position:absolute;mso-position-horizontal-relative:page;mso-position-vertical-relative:paragraph;z-index:16012288" from="216.5pt,3.268837pt" to="221.5pt,3.268837pt" stroked="true" strokeweight=".5pt" strokecolor="#000000">
            <v:stroke dashstyle="solid"/>
            <w10:wrap type="none"/>
          </v:line>
        </w:pict>
      </w:r>
      <w:r>
        <w:rPr>
          <w:sz w:val="12"/>
        </w:rPr>
        <w:t>0</w:t>
      </w:r>
    </w:p>
    <w:p>
      <w:pPr>
        <w:spacing w:line="153" w:lineRule="exact" w:before="0"/>
        <w:ind w:left="2053" w:right="0" w:firstLine="0"/>
        <w:jc w:val="left"/>
        <w:rPr>
          <w:sz w:val="16"/>
        </w:rPr>
      </w:pPr>
      <w:r>
        <w:rPr>
          <w:color w:val="231F20"/>
          <w:sz w:val="16"/>
        </w:rPr>
        <w:t>–</w:t>
      </w:r>
    </w:p>
    <w:p>
      <w:pPr>
        <w:spacing w:line="128" w:lineRule="exact" w:before="0"/>
        <w:ind w:left="2140" w:right="0" w:firstLine="0"/>
        <w:jc w:val="left"/>
        <w:rPr>
          <w:sz w:val="12"/>
        </w:rPr>
      </w:pPr>
      <w:r>
        <w:rPr/>
        <w:pict>
          <v:line style="position:absolute;mso-position-horizontal-relative:page;mso-position-vertical-relative:paragraph;z-index:16009728" from="216.5pt,3.602043pt" to="221.5pt,3.602043pt" stroked="true" strokeweight=".5pt" strokecolor="#000000">
            <v:stroke dashstyle="solid"/>
            <w10:wrap type="none"/>
          </v:line>
        </w:pict>
      </w:r>
      <w:r>
        <w:rPr>
          <w:sz w:val="12"/>
        </w:rPr>
        <w:t>1</w:t>
      </w:r>
    </w:p>
    <w:p>
      <w:pPr>
        <w:spacing w:before="102"/>
        <w:ind w:left="0" w:right="38" w:firstLine="0"/>
        <w:jc w:val="right"/>
        <w:rPr>
          <w:sz w:val="12"/>
        </w:rPr>
      </w:pPr>
      <w:r>
        <w:rPr/>
        <w:pict>
          <v:line style="position:absolute;mso-position-horizontal-relative:page;mso-position-vertical-relative:paragraph;z-index:16010240" from="216.5pt,9.201555pt" to="221.5pt,9.201555pt" stroked="true" strokeweight=".5pt" strokecolor="#000000">
            <v:stroke dashstyle="solid"/>
            <w10:wrap type="none"/>
          </v:line>
        </w:pict>
      </w:r>
      <w:r>
        <w:rPr>
          <w:sz w:val="12"/>
        </w:rPr>
        <w:t>2</w:t>
      </w:r>
    </w:p>
    <w:p>
      <w:pPr>
        <w:pStyle w:val="BodyText"/>
        <w:spacing w:before="7"/>
        <w:rPr>
          <w:sz w:val="10"/>
        </w:rPr>
      </w:pPr>
    </w:p>
    <w:p>
      <w:pPr>
        <w:spacing w:before="0"/>
        <w:ind w:left="0" w:right="38" w:firstLine="0"/>
        <w:jc w:val="right"/>
        <w:rPr>
          <w:sz w:val="12"/>
        </w:rPr>
      </w:pPr>
      <w:r>
        <w:rPr/>
        <w:pict>
          <v:line style="position:absolute;mso-position-horizontal-relative:page;mso-position-vertical-relative:paragraph;z-index:16010752" from="216.5pt,4.101555pt" to="221.5pt,4.101555pt" stroked="true" strokeweight=".5pt" strokecolor="#000000">
            <v:stroke dashstyle="solid"/>
            <w10:wrap type="none"/>
          </v:line>
        </w:pict>
      </w:r>
      <w:r>
        <w:rPr>
          <w:sz w:val="12"/>
        </w:rPr>
        <w:t>3</w:t>
      </w:r>
    </w:p>
    <w:p>
      <w:pPr>
        <w:spacing w:before="102"/>
        <w:ind w:left="0" w:right="38" w:firstLine="0"/>
        <w:jc w:val="right"/>
        <w:rPr>
          <w:sz w:val="12"/>
        </w:rPr>
      </w:pPr>
      <w:r>
        <w:rPr/>
        <w:pict>
          <v:line style="position:absolute;mso-position-horizontal-relative:page;mso-position-vertical-relative:paragraph;z-index:16011264" from="216.5pt,9.201555pt" to="221.5pt,9.201555pt" stroked="true" strokeweight=".5pt" strokecolor="#000000">
            <v:stroke dashstyle="solid"/>
            <w10:wrap type="none"/>
          </v:line>
        </w:pict>
      </w:r>
      <w:r>
        <w:rPr>
          <w:sz w:val="12"/>
        </w:rPr>
        <w:t>4</w:t>
      </w:r>
    </w:p>
    <w:p>
      <w:pPr>
        <w:pStyle w:val="BodyText"/>
        <w:spacing w:before="7"/>
        <w:rPr>
          <w:sz w:val="10"/>
        </w:rPr>
      </w:pPr>
    </w:p>
    <w:p>
      <w:pPr>
        <w:spacing w:line="126" w:lineRule="exact" w:before="0"/>
        <w:ind w:left="2140" w:right="0" w:firstLine="0"/>
        <w:jc w:val="left"/>
        <w:rPr>
          <w:sz w:val="12"/>
        </w:rPr>
      </w:pPr>
      <w:r>
        <w:rPr/>
        <w:pict>
          <v:line style="position:absolute;mso-position-horizontal-relative:page;mso-position-vertical-relative:paragraph;z-index:16011776" from="216.5pt,4.101555pt" to="221.5pt,4.101555pt" stroked="true" strokeweight=".5pt" strokecolor="#000000">
            <v:stroke dashstyle="solid"/>
            <w10:wrap type="none"/>
          </v:line>
        </w:pict>
      </w:r>
      <w:r>
        <w:rPr>
          <w:sz w:val="12"/>
        </w:rPr>
        <w:t>5</w:t>
      </w:r>
    </w:p>
    <w:p>
      <w:pPr>
        <w:tabs>
          <w:tab w:pos="1399" w:val="left" w:leader="none"/>
        </w:tabs>
        <w:spacing w:line="126" w:lineRule="exact" w:before="0"/>
        <w:ind w:left="620" w:right="0" w:firstLine="0"/>
        <w:jc w:val="left"/>
        <w:rPr>
          <w:sz w:val="12"/>
        </w:rPr>
      </w:pPr>
      <w:r>
        <w:rPr>
          <w:sz w:val="12"/>
        </w:rPr>
        <w:t>90</w:t>
        <w:tab/>
        <w:t>95</w:t>
      </w:r>
    </w:p>
    <w:p>
      <w:pPr>
        <w:pStyle w:val="Heading4"/>
        <w:spacing w:line="242" w:lineRule="auto" w:before="9"/>
        <w:ind w:left="186" w:right="242"/>
      </w:pPr>
      <w:r>
        <w:rPr/>
        <w:br w:type="column"/>
      </w:r>
      <w:r>
        <w:rPr>
          <w:color w:val="231F20"/>
        </w:rPr>
        <w:t>Chart 3.12). Similarly, employment did not rise for eleven quarters after the trough in GDP in the previous upturn, compared with a lag of only six quarters in the present recovery.</w:t>
      </w:r>
    </w:p>
    <w:p>
      <w:pPr>
        <w:pStyle w:val="BodyText"/>
        <w:spacing w:before="5"/>
        <w:rPr>
          <w:sz w:val="28"/>
        </w:rPr>
      </w:pPr>
    </w:p>
    <w:p>
      <w:pPr>
        <w:pStyle w:val="ListParagraph"/>
        <w:numPr>
          <w:ilvl w:val="1"/>
          <w:numId w:val="29"/>
        </w:numPr>
        <w:tabs>
          <w:tab w:pos="1091" w:val="left" w:leader="none"/>
          <w:tab w:pos="1092" w:val="left" w:leader="none"/>
          <w:tab w:pos="5672" w:val="left" w:leader="none"/>
        </w:tabs>
        <w:spacing w:line="240" w:lineRule="auto" w:before="0" w:after="0"/>
        <w:ind w:left="1091" w:right="0" w:hanging="906"/>
        <w:jc w:val="left"/>
        <w:rPr>
          <w:b/>
          <w:sz w:val="28"/>
        </w:rPr>
      </w:pPr>
      <w:r>
        <w:rPr>
          <w:b/>
          <w:color w:val="009483"/>
          <w:sz w:val="28"/>
          <w:u w:val="thick" w:color="0093C1"/>
        </w:rPr>
        <w:t>Reforms affecting the labour</w:t>
      </w:r>
      <w:r>
        <w:rPr>
          <w:b/>
          <w:color w:val="009483"/>
          <w:spacing w:val="-10"/>
          <w:sz w:val="28"/>
          <w:u w:val="thick" w:color="0093C1"/>
        </w:rPr>
        <w:t> </w:t>
      </w:r>
      <w:r>
        <w:rPr>
          <w:b/>
          <w:color w:val="009483"/>
          <w:sz w:val="28"/>
          <w:u w:val="thick" w:color="0093C1"/>
        </w:rPr>
        <w:t>market</w:t>
        <w:tab/>
      </w:r>
    </w:p>
    <w:p>
      <w:pPr>
        <w:pStyle w:val="BodyText"/>
        <w:spacing w:before="11"/>
        <w:rPr>
          <w:b/>
          <w:sz w:val="23"/>
        </w:rPr>
      </w:pPr>
    </w:p>
    <w:p>
      <w:pPr>
        <w:spacing w:line="242" w:lineRule="auto" w:before="0"/>
        <w:ind w:left="186" w:right="242" w:firstLine="0"/>
        <w:jc w:val="left"/>
        <w:rPr>
          <w:sz w:val="24"/>
        </w:rPr>
      </w:pPr>
      <w:r>
        <w:rPr>
          <w:color w:val="231F20"/>
          <w:sz w:val="24"/>
        </w:rPr>
        <w:t>The Government announced the levels of the National Minimum Wage to be introduced in April 1999. The </w:t>
      </w:r>
      <w:hyperlink w:history="true" w:anchor="_bookmark27">
        <w:r>
          <w:rPr>
            <w:color w:val="231F20"/>
            <w:sz w:val="24"/>
          </w:rPr>
          <w:t>box</w:t>
        </w:r>
      </w:hyperlink>
      <w:r>
        <w:rPr>
          <w:color w:val="231F20"/>
          <w:sz w:val="24"/>
        </w:rPr>
        <w:t> on pages 30–31 discusses the implications of the National Minimum Wage and other labour market reforms for the structure of the labour market and inflation. The MPC has incorporated these effects into its inflation projection.</w:t>
      </w:r>
    </w:p>
    <w:p>
      <w:pPr>
        <w:spacing w:after="0" w:line="242" w:lineRule="auto"/>
        <w:jc w:val="left"/>
        <w:rPr>
          <w:sz w:val="24"/>
        </w:rPr>
        <w:sectPr>
          <w:type w:val="continuous"/>
          <w:pgSz w:w="11900" w:h="16840"/>
          <w:pgMar w:top="1220" w:bottom="280" w:left="620" w:right="640"/>
          <w:cols w:num="3" w:equalWidth="0">
            <w:col w:w="1680" w:space="40"/>
            <w:col w:w="2241" w:space="865"/>
            <w:col w:w="5814"/>
          </w:cols>
        </w:sectPr>
      </w:pPr>
    </w:p>
    <w:p>
      <w:pPr>
        <w:pStyle w:val="BodyText"/>
        <w:spacing w:before="2"/>
        <w:rPr>
          <w:sz w:val="21"/>
        </w:rPr>
      </w:pPr>
    </w:p>
    <w:p>
      <w:pPr>
        <w:pStyle w:val="Heading2"/>
        <w:numPr>
          <w:ilvl w:val="1"/>
          <w:numId w:val="29"/>
        </w:numPr>
        <w:tabs>
          <w:tab w:pos="9109" w:val="left" w:leader="none"/>
          <w:tab w:pos="9110" w:val="left" w:leader="none"/>
          <w:tab w:pos="10497" w:val="left" w:leader="none"/>
        </w:tabs>
        <w:spacing w:line="240" w:lineRule="auto" w:before="88" w:after="0"/>
        <w:ind w:left="9109" w:right="0" w:hanging="4099"/>
        <w:jc w:val="left"/>
      </w:pPr>
      <w:r>
        <w:rPr>
          <w:color w:val="009483"/>
          <w:u w:val="thick" w:color="0093C1"/>
        </w:rPr>
        <w:t>Summary</w:t>
        <w:tab/>
      </w:r>
    </w:p>
    <w:p>
      <w:pPr>
        <w:pStyle w:val="BodyText"/>
        <w:spacing w:before="11"/>
        <w:rPr>
          <w:b/>
          <w:sz w:val="23"/>
        </w:rPr>
      </w:pPr>
    </w:p>
    <w:p>
      <w:pPr>
        <w:spacing w:line="242" w:lineRule="auto" w:before="0"/>
        <w:ind w:left="5011" w:right="83" w:firstLine="0"/>
        <w:jc w:val="left"/>
        <w:rPr>
          <w:sz w:val="24"/>
        </w:rPr>
      </w:pPr>
      <w:r>
        <w:rPr>
          <w:color w:val="231F20"/>
          <w:sz w:val="24"/>
        </w:rPr>
        <w:t>Headline earnings growth continued to rise in April, reflecting an increase in both regular and non-basic pay. The current rate of earnings growth would not be consistent with the inflation target in the long run, unless trend productivity growth were to increase markedly.</w:t>
      </w:r>
      <w:r>
        <w:rPr>
          <w:color w:val="231F20"/>
          <w:position w:val="5"/>
          <w:sz w:val="16"/>
        </w:rPr>
        <w:t>(1) </w:t>
      </w:r>
      <w:r>
        <w:rPr>
          <w:color w:val="231F20"/>
          <w:sz w:val="24"/>
        </w:rPr>
        <w:t>The fall in LFS unemployment in the three months to May was in line with the fall in the preceding three months, but was less than the average fall in 1997.</w:t>
      </w:r>
    </w:p>
    <w:p>
      <w:pPr>
        <w:spacing w:before="10"/>
        <w:ind w:left="5011" w:right="0" w:firstLine="0"/>
        <w:jc w:val="left"/>
        <w:rPr>
          <w:sz w:val="24"/>
        </w:rPr>
      </w:pPr>
      <w:r>
        <w:rPr>
          <w:color w:val="231F20"/>
          <w:sz w:val="24"/>
        </w:rPr>
        <w:t>Claimant-count unemployment rose slightly in June for</w:t>
      </w:r>
    </w:p>
    <w:p>
      <w:pPr>
        <w:pStyle w:val="BodyText"/>
        <w:spacing w:before="6"/>
        <w:rPr>
          <w:sz w:val="19"/>
        </w:rPr>
      </w:pPr>
      <w:r>
        <w:rPr/>
        <w:pict>
          <v:shape style="position:absolute;margin-left:279.75pt;margin-top:13.286633pt;width:276.650pt;height:.1pt;mso-position-horizontal-relative:page;mso-position-vertical-relative:paragraph;z-index:-15456256;mso-wrap-distance-left:0;mso-wrap-distance-right:0" coordorigin="5595,266" coordsize="5533,0" path="m5595,266l11127,266e" filled="false" stroked="true" strokeweight=".125pt" strokecolor="#231f20">
            <v:path arrowok="t"/>
            <v:stroke dashstyle="solid"/>
            <w10:wrap type="topAndBottom"/>
          </v:shape>
        </w:pict>
      </w:r>
    </w:p>
    <w:p>
      <w:pPr>
        <w:spacing w:line="208" w:lineRule="auto" w:before="0"/>
        <w:ind w:left="5245" w:right="709" w:hanging="240"/>
        <w:jc w:val="left"/>
        <w:rPr>
          <w:sz w:val="16"/>
        </w:rPr>
      </w:pPr>
      <w:r>
        <w:rPr>
          <w:color w:val="231F20"/>
          <w:sz w:val="16"/>
        </w:rPr>
        <w:t>(1) In the long run, assuming trend productivity growth of 2% a year, an inflation target of 2.5% is consistent with average nominal earnings growth of 4.5%. In the shorter run, productivity may fluctuate around its trend, and the labour share of national income may vary, for example, cyclically.</w:t>
      </w:r>
    </w:p>
    <w:p>
      <w:pPr>
        <w:spacing w:after="0" w:line="208" w:lineRule="auto"/>
        <w:jc w:val="left"/>
        <w:rPr>
          <w:sz w:val="16"/>
        </w:rPr>
        <w:sectPr>
          <w:type w:val="continuous"/>
          <w:pgSz w:w="11900" w:h="16840"/>
          <w:pgMar w:top="1220" w:bottom="280" w:left="620" w:right="640"/>
        </w:sectPr>
      </w:pPr>
    </w:p>
    <w:p>
      <w:pPr>
        <w:pStyle w:val="BodyText"/>
        <w:spacing w:line="20" w:lineRule="exact"/>
        <w:ind w:left="143"/>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spacing w:before="4"/>
        <w:rPr>
          <w:sz w:val="29"/>
        </w:rPr>
      </w:pPr>
    </w:p>
    <w:p>
      <w:pPr>
        <w:pStyle w:val="Heading4"/>
        <w:spacing w:line="242" w:lineRule="auto" w:before="90"/>
        <w:ind w:left="5002" w:right="221"/>
      </w:pPr>
      <w:r>
        <w:rPr>
          <w:color w:val="231F20"/>
        </w:rPr>
        <w:t>the second consecutive month. Employment intentions remain positive, particularly in the service sector. The stock of vacancies is historically high, and skill shortages continue to be widely reported.</w:t>
      </w:r>
    </w:p>
    <w:p>
      <w:pPr>
        <w:pStyle w:val="BodyText"/>
        <w:spacing w:before="8"/>
        <w:rPr>
          <w:sz w:val="24"/>
        </w:rPr>
      </w:pPr>
    </w:p>
    <w:p>
      <w:pPr>
        <w:spacing w:line="242" w:lineRule="auto" w:before="1"/>
        <w:ind w:left="5002" w:right="159" w:firstLine="0"/>
        <w:jc w:val="left"/>
        <w:rPr>
          <w:sz w:val="24"/>
        </w:rPr>
      </w:pPr>
      <w:r>
        <w:rPr>
          <w:color w:val="231F20"/>
          <w:sz w:val="24"/>
        </w:rPr>
        <w:t>The rate at which the labour market is tightening may </w:t>
      </w:r>
      <w:r>
        <w:rPr>
          <w:color w:val="231F20"/>
          <w:spacing w:val="-3"/>
          <w:sz w:val="24"/>
        </w:rPr>
        <w:t>have </w:t>
      </w:r>
      <w:r>
        <w:rPr>
          <w:color w:val="231F20"/>
          <w:sz w:val="24"/>
        </w:rPr>
        <w:t>slowed. Unemployment is unlikely to fall much further, and may well soon start rising if, as expected, the rate of growth of output slows through the </w:t>
      </w:r>
      <w:r>
        <w:rPr>
          <w:color w:val="231F20"/>
          <w:spacing w:val="-3"/>
          <w:sz w:val="24"/>
        </w:rPr>
        <w:t>year. </w:t>
      </w:r>
      <w:r>
        <w:rPr>
          <w:color w:val="231F20"/>
          <w:sz w:val="24"/>
        </w:rPr>
        <w:t>But inflationary pressures in the labour market depend on </w:t>
      </w:r>
      <w:r>
        <w:rPr>
          <w:color w:val="231F20"/>
          <w:spacing w:val="-6"/>
          <w:sz w:val="24"/>
        </w:rPr>
        <w:t>the </w:t>
      </w:r>
      <w:r>
        <w:rPr>
          <w:color w:val="231F20"/>
          <w:sz w:val="24"/>
        </w:rPr>
        <w:t>degree of tightness, as well as its rate of change. The balance of evidence suggests that the actual rate of unemployment is probably below its current natural</w:t>
      </w:r>
      <w:r>
        <w:rPr>
          <w:color w:val="231F20"/>
          <w:spacing w:val="-9"/>
          <w:sz w:val="24"/>
        </w:rPr>
        <w:t> </w:t>
      </w:r>
      <w:r>
        <w:rPr>
          <w:color w:val="231F20"/>
          <w:sz w:val="24"/>
        </w:rPr>
        <w:t>rate.</w:t>
      </w:r>
    </w:p>
    <w:p>
      <w:pPr>
        <w:spacing w:after="0" w:line="242" w:lineRule="auto"/>
        <w:jc w:val="left"/>
        <w:rPr>
          <w:sz w:val="24"/>
        </w:rPr>
        <w:sectPr>
          <w:pgSz w:w="11900" w:h="16840"/>
          <w:pgMar w:header="586" w:footer="617" w:top="780" w:bottom="800" w:left="620" w:right="640"/>
        </w:sectPr>
      </w:pPr>
    </w:p>
    <w:p>
      <w:pPr>
        <w:pStyle w:val="BodyText"/>
        <w:spacing w:line="20" w:lineRule="exact"/>
        <w:ind w:left="158"/>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rPr>
          <w:sz w:val="20"/>
        </w:rPr>
      </w:pPr>
    </w:p>
    <w:p>
      <w:pPr>
        <w:pStyle w:val="BodyText"/>
        <w:spacing w:before="9"/>
      </w:pPr>
      <w:r>
        <w:rPr/>
        <w:pict>
          <v:shape style="position:absolute;margin-left:40.090pt;margin-top:12.000977pt;width:516pt;height:48pt;mso-position-horizontal-relative:page;mso-position-vertical-relative:paragraph;z-index:-15433728;mso-wrap-distance-left:0;mso-wrap-distance-right:0" type="#_x0000_t202" filled="true" fillcolor="#b5dad6" stroked="false">
            <v:textbox inset="0,0,0,0">
              <w:txbxContent>
                <w:p>
                  <w:pPr>
                    <w:tabs>
                      <w:tab w:pos="6740" w:val="left" w:leader="none"/>
                    </w:tabs>
                    <w:spacing w:before="51"/>
                    <w:ind w:left="260" w:right="0" w:firstLine="0"/>
                    <w:jc w:val="left"/>
                    <w:rPr>
                      <w:b/>
                      <w:sz w:val="48"/>
                    </w:rPr>
                  </w:pPr>
                  <w:bookmarkStart w:name="Costs and prices" w:id="70"/>
                  <w:bookmarkEnd w:id="70"/>
                  <w:r>
                    <w:rPr/>
                  </w:r>
                  <w:bookmarkStart w:name="Import prices and the exchange rate" w:id="71"/>
                  <w:bookmarkEnd w:id="71"/>
                  <w:r>
                    <w:rPr/>
                  </w:r>
                  <w:bookmarkStart w:name="_bookmark30" w:id="72"/>
                  <w:bookmarkEnd w:id="72"/>
                  <w:r>
                    <w:rPr/>
                  </w:r>
                  <w:r>
                    <w:rPr>
                      <w:b/>
                      <w:color w:val="009483"/>
                      <w:sz w:val="72"/>
                    </w:rPr>
                    <w:t>4</w:t>
                    <w:tab/>
                  </w:r>
                  <w:r>
                    <w:rPr>
                      <w:b/>
                      <w:color w:val="009483"/>
                      <w:sz w:val="48"/>
                    </w:rPr>
                    <w:t>Costs and prices</w:t>
                  </w:r>
                </w:p>
              </w:txbxContent>
            </v:textbox>
            <v:fill type="solid"/>
            <w10:wrap type="topAndBottom"/>
          </v:shape>
        </w:pict>
      </w:r>
    </w:p>
    <w:p>
      <w:pPr>
        <w:pStyle w:val="BodyText"/>
        <w:rPr>
          <w:sz w:val="20"/>
        </w:rPr>
      </w:pPr>
    </w:p>
    <w:p>
      <w:pPr>
        <w:pStyle w:val="BodyText"/>
        <w:rPr>
          <w:sz w:val="20"/>
        </w:rPr>
      </w:pPr>
    </w:p>
    <w:p>
      <w:pPr>
        <w:spacing w:after="0"/>
        <w:rPr>
          <w:sz w:val="20"/>
        </w:rPr>
        <w:sectPr>
          <w:headerReference w:type="even" r:id="rId66"/>
          <w:footerReference w:type="even" r:id="rId67"/>
          <w:footerReference w:type="default" r:id="rId68"/>
          <w:pgSz w:w="11900" w:h="16840"/>
          <w:pgMar w:header="0" w:footer="597" w:top="780" w:bottom="780" w:left="620" w:right="640"/>
          <w:pgNumType w:start="34"/>
        </w:sectPr>
      </w:pPr>
    </w:p>
    <w:p>
      <w:pPr>
        <w:pStyle w:val="BodyText"/>
        <w:spacing w:before="9"/>
        <w:rPr>
          <w:sz w:val="19"/>
        </w:rPr>
      </w:pPr>
    </w:p>
    <w:p>
      <w:pPr>
        <w:pStyle w:val="Heading8"/>
        <w:spacing w:before="0"/>
        <w:ind w:left="194"/>
      </w:pPr>
      <w:r>
        <w:rPr>
          <w:color w:val="0093C1"/>
        </w:rPr>
        <w:t>Chart 4.1</w:t>
      </w:r>
    </w:p>
    <w:p>
      <w:pPr>
        <w:spacing w:line="249" w:lineRule="auto" w:before="10"/>
        <w:ind w:left="194" w:right="21" w:firstLine="0"/>
        <w:jc w:val="left"/>
        <w:rPr>
          <w:b/>
          <w:sz w:val="20"/>
        </w:rPr>
      </w:pPr>
      <w:r>
        <w:rPr>
          <w:b/>
          <w:color w:val="0093C1"/>
          <w:sz w:val="20"/>
        </w:rPr>
        <w:t>Non-oil goods import prices and the exchange rate</w:t>
      </w:r>
    </w:p>
    <w:p>
      <w:pPr>
        <w:spacing w:line="242" w:lineRule="auto" w:before="218"/>
        <w:ind w:left="194" w:right="242" w:firstLine="0"/>
        <w:jc w:val="left"/>
        <w:rPr>
          <w:sz w:val="24"/>
        </w:rPr>
      </w:pPr>
      <w:r>
        <w:rPr/>
        <w:br w:type="column"/>
      </w:r>
      <w:r>
        <w:rPr>
          <w:color w:val="231F20"/>
          <w:sz w:val="24"/>
        </w:rPr>
        <w:t>Manufacturing output prices have remained weak, because rising unit labour costs have been offset by falling world commodity prices and the appreciation of</w:t>
      </w:r>
    </w:p>
    <w:p>
      <w:pPr>
        <w:spacing w:after="0" w:line="242" w:lineRule="auto"/>
        <w:jc w:val="left"/>
        <w:rPr>
          <w:sz w:val="24"/>
        </w:rPr>
        <w:sectPr>
          <w:type w:val="continuous"/>
          <w:pgSz w:w="11900" w:h="16840"/>
          <w:pgMar w:top="1220" w:bottom="280" w:left="620" w:right="640"/>
          <w:cols w:num="2" w:equalWidth="0">
            <w:col w:w="4135" w:space="691"/>
            <w:col w:w="5814"/>
          </w:cols>
        </w:sectPr>
      </w:pPr>
    </w:p>
    <w:p>
      <w:pPr>
        <w:spacing w:before="98"/>
        <w:ind w:left="184" w:right="0" w:firstLine="0"/>
        <w:jc w:val="left"/>
        <w:rPr>
          <w:sz w:val="12"/>
        </w:rPr>
      </w:pPr>
      <w:r>
        <w:rPr>
          <w:sz w:val="12"/>
        </w:rPr>
        <w:t>70</w:t>
      </w:r>
    </w:p>
    <w:p>
      <w:pPr>
        <w:pStyle w:val="BodyText"/>
        <w:rPr>
          <w:sz w:val="12"/>
        </w:rPr>
      </w:pPr>
    </w:p>
    <w:p>
      <w:pPr>
        <w:pStyle w:val="BodyText"/>
        <w:rPr>
          <w:sz w:val="16"/>
        </w:rPr>
      </w:pPr>
    </w:p>
    <w:p>
      <w:pPr>
        <w:spacing w:before="1"/>
        <w:ind w:left="184" w:right="0" w:firstLine="0"/>
        <w:jc w:val="left"/>
        <w:rPr>
          <w:sz w:val="12"/>
        </w:rPr>
      </w:pPr>
      <w:r>
        <w:rPr>
          <w:sz w:val="12"/>
        </w:rPr>
        <w:t>75</w:t>
      </w:r>
    </w:p>
    <w:p>
      <w:pPr>
        <w:pStyle w:val="BodyText"/>
        <w:rPr>
          <w:sz w:val="12"/>
        </w:rPr>
      </w:pPr>
    </w:p>
    <w:p>
      <w:pPr>
        <w:pStyle w:val="BodyText"/>
        <w:spacing w:before="8"/>
        <w:rPr>
          <w:sz w:val="10"/>
        </w:rPr>
      </w:pPr>
    </w:p>
    <w:p>
      <w:pPr>
        <w:spacing w:before="1"/>
        <w:ind w:left="184" w:right="0" w:firstLine="0"/>
        <w:jc w:val="left"/>
        <w:rPr>
          <w:sz w:val="12"/>
        </w:rPr>
      </w:pPr>
      <w:r>
        <w:rPr>
          <w:sz w:val="12"/>
        </w:rPr>
        <w:t>80</w:t>
      </w:r>
    </w:p>
    <w:p>
      <w:pPr>
        <w:pStyle w:val="BodyText"/>
        <w:rPr>
          <w:sz w:val="12"/>
        </w:rPr>
      </w:pPr>
    </w:p>
    <w:p>
      <w:pPr>
        <w:pStyle w:val="BodyText"/>
        <w:spacing w:before="5"/>
        <w:rPr>
          <w:sz w:val="12"/>
        </w:rPr>
      </w:pPr>
    </w:p>
    <w:p>
      <w:pPr>
        <w:spacing w:before="1"/>
        <w:ind w:left="184" w:right="0" w:firstLine="0"/>
        <w:jc w:val="left"/>
        <w:rPr>
          <w:sz w:val="12"/>
        </w:rPr>
      </w:pPr>
      <w:r>
        <w:rPr>
          <w:sz w:val="12"/>
        </w:rPr>
        <w:t>85</w:t>
      </w:r>
    </w:p>
    <w:p>
      <w:pPr>
        <w:pStyle w:val="BodyText"/>
        <w:rPr>
          <w:sz w:val="12"/>
        </w:rPr>
      </w:pPr>
    </w:p>
    <w:p>
      <w:pPr>
        <w:spacing w:before="104"/>
        <w:ind w:left="184" w:right="0" w:firstLine="0"/>
        <w:jc w:val="left"/>
        <w:rPr>
          <w:sz w:val="12"/>
        </w:rPr>
      </w:pPr>
      <w:r>
        <w:rPr>
          <w:sz w:val="12"/>
        </w:rPr>
        <w:t>90</w:t>
      </w:r>
    </w:p>
    <w:p>
      <w:pPr>
        <w:pStyle w:val="BodyText"/>
        <w:rPr>
          <w:sz w:val="12"/>
        </w:rPr>
      </w:pPr>
    </w:p>
    <w:p>
      <w:pPr>
        <w:spacing w:before="84"/>
        <w:ind w:left="184" w:right="0" w:firstLine="0"/>
        <w:jc w:val="left"/>
        <w:rPr>
          <w:sz w:val="12"/>
        </w:rPr>
      </w:pPr>
      <w:r>
        <w:rPr>
          <w:sz w:val="12"/>
        </w:rPr>
        <w:t>95</w:t>
      </w:r>
    </w:p>
    <w:p>
      <w:pPr>
        <w:pStyle w:val="BodyText"/>
        <w:rPr>
          <w:sz w:val="12"/>
        </w:rPr>
      </w:pPr>
    </w:p>
    <w:p>
      <w:pPr>
        <w:spacing w:before="84"/>
        <w:ind w:left="184" w:right="0" w:firstLine="0"/>
        <w:jc w:val="left"/>
        <w:rPr>
          <w:sz w:val="12"/>
        </w:rPr>
      </w:pPr>
      <w:r>
        <w:rPr>
          <w:sz w:val="12"/>
        </w:rPr>
        <w:t>100</w:t>
      </w:r>
    </w:p>
    <w:p>
      <w:pPr>
        <w:pStyle w:val="BodyText"/>
        <w:spacing w:before="9"/>
        <w:rPr>
          <w:sz w:val="15"/>
        </w:rPr>
      </w:pPr>
    </w:p>
    <w:p>
      <w:pPr>
        <w:spacing w:before="0"/>
        <w:ind w:left="184" w:right="0" w:firstLine="0"/>
        <w:jc w:val="left"/>
        <w:rPr>
          <w:sz w:val="12"/>
        </w:rPr>
      </w:pPr>
      <w:r>
        <w:rPr>
          <w:sz w:val="12"/>
        </w:rPr>
        <w:t>105</w:t>
      </w:r>
    </w:p>
    <w:p>
      <w:pPr>
        <w:pStyle w:val="BodyText"/>
        <w:spacing w:before="4"/>
        <w:rPr>
          <w:sz w:val="12"/>
        </w:rPr>
      </w:pPr>
    </w:p>
    <w:p>
      <w:pPr>
        <w:spacing w:before="0"/>
        <w:ind w:left="184" w:right="0" w:firstLine="0"/>
        <w:jc w:val="left"/>
        <w:rPr>
          <w:sz w:val="12"/>
        </w:rPr>
      </w:pPr>
      <w:r>
        <w:rPr>
          <w:sz w:val="12"/>
        </w:rPr>
        <w:t>110</w:t>
      </w:r>
    </w:p>
    <w:p>
      <w:pPr>
        <w:tabs>
          <w:tab w:pos="2689" w:val="left" w:leader="none"/>
        </w:tabs>
        <w:spacing w:line="137" w:lineRule="exact" w:before="0"/>
        <w:ind w:left="10" w:right="0" w:firstLine="0"/>
        <w:jc w:val="center"/>
        <w:rPr>
          <w:sz w:val="12"/>
        </w:rPr>
      </w:pPr>
      <w:r>
        <w:rPr/>
        <w:br w:type="column"/>
      </w:r>
      <w:r>
        <w:rPr>
          <w:sz w:val="12"/>
        </w:rPr>
        <w:t>1990 = 100 (a)</w:t>
        <w:tab/>
        <w:t>1990 = 100</w:t>
      </w:r>
      <w:r>
        <w:rPr>
          <w:spacing w:val="1"/>
          <w:sz w:val="12"/>
        </w:rPr>
        <w:t> </w:t>
      </w:r>
      <w:r>
        <w:rPr>
          <w:spacing w:val="-7"/>
          <w:sz w:val="12"/>
        </w:rPr>
        <w:t>(a)</w:t>
      </w:r>
    </w:p>
    <w:p>
      <w:pPr>
        <w:pStyle w:val="BodyText"/>
        <w:spacing w:before="4"/>
        <w:rPr>
          <w:sz w:val="3"/>
        </w:rPr>
      </w:pPr>
    </w:p>
    <w:p>
      <w:pPr>
        <w:tabs>
          <w:tab w:pos="3315" w:val="left" w:leader="none"/>
        </w:tabs>
        <w:spacing w:line="20" w:lineRule="exact"/>
        <w:ind w:left="15" w:right="-87" w:firstLine="0"/>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r>
        <w:rPr>
          <w:sz w:val="2"/>
        </w:rPr>
        <w:tab/>
      </w: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0"/>
        <w:rPr>
          <w:sz w:val="10"/>
        </w:rPr>
      </w:pPr>
    </w:p>
    <w:p>
      <w:pPr>
        <w:tabs>
          <w:tab w:pos="639" w:val="left" w:leader="none"/>
          <w:tab w:pos="1099" w:val="left" w:leader="none"/>
          <w:tab w:pos="1558" w:val="left" w:leader="none"/>
          <w:tab w:pos="2018" w:val="left" w:leader="none"/>
          <w:tab w:pos="2498" w:val="left" w:leader="none"/>
          <w:tab w:pos="2858" w:val="left" w:leader="none"/>
        </w:tabs>
        <w:spacing w:before="0"/>
        <w:ind w:left="79" w:right="0" w:firstLine="0"/>
        <w:jc w:val="center"/>
        <w:rPr>
          <w:sz w:val="12"/>
        </w:rPr>
      </w:pPr>
      <w:r>
        <w:rPr/>
        <w:pict>
          <v:group style="position:absolute;margin-left:61.970001pt;margin-top:-138.079315pt;width:160.25pt;height:136.450pt;mso-position-horizontal-relative:page;mso-position-vertical-relative:paragraph;z-index:16026624" coordorigin="1239,-2762" coordsize="3205,2729">
            <v:shape style="position:absolute;left:1264;top:-1918;width:3000;height:1720" coordorigin="1264,-1918" coordsize="3000,1720" path="m1264,-698l1284,-678,1324,-738,1364,-658,1404,-558,1444,-558,1484,-578,1524,-638,1564,-898,1604,-1458,1644,-1658,1684,-1498,1724,-1458,1744,-1758,1804,-1638,1824,-1458,1864,-1438,1904,-1498,1944,-1338,1984,-1338,2064,-1418,2104,-1338,2144,-1298,2184,-1218,2224,-1338,2344,-1458,2364,-1438,2404,-1518,2444,-1538,2484,-1498,2524,-1438,2604,-1438,2644,-1478,2684,-1558,2724,-1698,2764,-1798,2804,-1798,2844,-1818,2884,-1858,2904,-1798,2944,-1758,2984,-1798,3024,-1878,3064,-1918,3144,-1838,3184,-1858,3224,-1838,3264,-1778,3304,-1678,3344,-1698,3384,-1758,3424,-1658,3444,-1478,3504,-1218,3524,-1078,3564,-938,3604,-838,3644,-838,3684,-698,3724,-718,3764,-638,3804,-378,3844,-498,3884,-638,3924,-598,3964,-418,3984,-378,4044,-358,4064,-358,4104,-218,4144,-198,4184,-438,4224,-318,4264,-318e" filled="false" stroked="true" strokeweight="1pt" strokecolor="#522e91">
              <v:path arrowok="t"/>
              <v:stroke dashstyle="solid"/>
            </v:shape>
            <v:shape style="position:absolute;left:1264;top:-2598;width:2920;height:2160" coordorigin="1264,-2598" coordsize="2920,2160" path="m1264,-538l1284,-618,1324,-698,1364,-698,1404,-478,1444,-438,1484,-498,1524,-438,1564,-458,1604,-818,1644,-978,1684,-1118,1724,-1138,1744,-1398,1804,-1498,1824,-1498,1864,-1398,1904,-1338,1944,-1498,1984,-1478,2024,-1378,2104,-1458,2144,-1478,2224,-1438,2264,-1538,2304,-1678,2344,-1658,2364,-1838,2404,-1878,2444,-1738,2484,-1798,2524,-1718,2564,-1758,2604,-1898,2644,-2118,2684,-2218,2724,-2258,2764,-2418,2804,-2458,2844,-2518,2904,-2578,2944,-2598,2984,-2518,3024,-2518,3064,-2538,3104,-2518,3144,-2478,3184,-2498,3224,-2538,3264,-2538,3304,-2498,3344,-2438,3384,-2458,3424,-2438,3444,-2358,3504,-2158,3524,-2118,3564,-2058,3604,-2098,3644,-2078,3684,-1978,3724,-1978,3764,-1938,3804,-1858,3844,-1918,3924,-1878,3964,-1798,3984,-1778,4044,-1798,4064,-1798,4104,-1738,4144,-1718,4184,-1778e" filled="false" stroked="true" strokeweight="1pt" strokecolor="#f7a08b">
              <v:path arrowok="t"/>
              <v:stroke dashstyle="solid"/>
            </v:shape>
            <v:shape style="position:absolute;left:1244;top:-2478;width:3200;height:2440" coordorigin="1244,-2478" coordsize="3200,2440" path="m1244,-38l4264,-38m1244,-38l1244,-78m1364,-38l1364,-78m1484,-38l1484,-78m1604,-38l1604,-78m1704,-38l1704,-78m1824,-38l1824,-78m1944,-38l1944,-78m2064,-38l2064,-78m2184,-38l2184,-78m2304,-38l2304,-78m2404,-38l2404,-78m2524,-38l2524,-78m2644,-38l2644,-78m2764,-38l2764,-78m2864,-38l2864,-78m2984,-38l2984,-78m3104,-38l3104,-78m3224,-38l3224,-78m3344,-38l3344,-78m3444,-38l3444,-78m3564,-38l3564,-78m3684,-38l3684,-78m3804,-38l3804,-78m3924,-38l3924,-78m4024,-38l4024,-78m4144,-38l4144,-78m4264,-38l4264,-78m1244,-38l1244,-118m1704,-38l1704,-118m2184,-38l2184,-118m2644,-38l2644,-118m3104,-38l3104,-118m3564,-38l3564,-118m4024,-38l4024,-118m1244,-38l4264,-38m1244,-38l1244,-78m1364,-38l1364,-78m1484,-38l1484,-78m1604,-38l1604,-78m1704,-38l1704,-78m1824,-38l1824,-78m1944,-38l1944,-78m2064,-38l2064,-78m2184,-38l2184,-78m2304,-38l2304,-78m2404,-38l2404,-78m2524,-38l2524,-78m2644,-38l2644,-78m2764,-38l2764,-78m2864,-38l2864,-78m2984,-38l2984,-78m3104,-38l3104,-78m3224,-38l3224,-78m3344,-38l3344,-78m3444,-38l3444,-78m3564,-38l3564,-78m3684,-38l3684,-78m3804,-38l3804,-78m3924,-38l3924,-78m4024,-38l4024,-78m4144,-38l4144,-78m4264,-38l4264,-78m1244,-38l1244,-118m1704,-38l1704,-118m2184,-38l2184,-118m2644,-38l2644,-118m3104,-38l3104,-118m3564,-38l3564,-118m4024,-38l4024,-118m4444,-38l4344,-38m4444,-438l4344,-438m4444,-818l4344,-818m4444,-1178l4344,-1178m4444,-1518l4344,-1518m4444,-1858l4344,-1858m4444,-2158l4344,-2158m4444,-2478l4344,-2478e" filled="false" stroked="true" strokeweight=".5pt" strokecolor="#000000">
              <v:path arrowok="t"/>
              <v:stroke dashstyle="solid"/>
            </v:shape>
            <v:shape style="position:absolute;left:1507;top:-2762;width:1540;height:393" type="#_x0000_t202" filled="false" stroked="false">
              <v:textbox inset="0,0,0,0">
                <w:txbxContent>
                  <w:p>
                    <w:pPr>
                      <w:spacing w:line="225" w:lineRule="auto" w:before="1"/>
                      <w:ind w:left="0" w:right="18" w:firstLine="0"/>
                      <w:jc w:val="left"/>
                      <w:rPr>
                        <w:sz w:val="12"/>
                      </w:rPr>
                    </w:pPr>
                    <w:r>
                      <w:rPr>
                        <w:sz w:val="12"/>
                      </w:rPr>
                      <w:t>Sterling prices of non-oil goods imports from whole world (right-hand scale)</w:t>
                    </w:r>
                  </w:p>
                </w:txbxContent>
              </v:textbox>
              <w10:wrap type="none"/>
            </v:shape>
            <v:shape style="position:absolute;left:2534;top:-1415;width:910;height:393" type="#_x0000_t202" filled="false" stroked="false">
              <v:textbox inset="0,0,0,0">
                <w:txbxContent>
                  <w:p>
                    <w:pPr>
                      <w:spacing w:line="225" w:lineRule="auto" w:before="1"/>
                      <w:ind w:left="0" w:right="18" w:firstLine="0"/>
                      <w:jc w:val="left"/>
                      <w:rPr>
                        <w:sz w:val="12"/>
                      </w:rPr>
                    </w:pPr>
                    <w:r>
                      <w:rPr>
                        <w:sz w:val="12"/>
                      </w:rPr>
                      <w:t>Sterling effective index, inverted (b) (left-hand scale)</w:t>
                    </w:r>
                  </w:p>
                </w:txbxContent>
              </v:textbox>
              <w10:wrap type="none"/>
            </v:shape>
            <w10:wrap type="none"/>
          </v:group>
        </w:pict>
      </w:r>
      <w:r>
        <w:rPr/>
        <w:pict>
          <v:line style="position:absolute;mso-position-horizontal-relative:page;mso-position-vertical-relative:paragraph;z-index:16027136" from="57.220001pt,-1.898438pt" to="52.220001pt,-1.898438pt" stroked="true" strokeweight=".5pt" strokecolor="#000000">
            <v:stroke dashstyle="solid"/>
            <w10:wrap type="none"/>
          </v:line>
        </w:pict>
      </w:r>
      <w:r>
        <w:rPr/>
        <w:pict>
          <v:line style="position:absolute;mso-position-horizontal-relative:page;mso-position-vertical-relative:paragraph;z-index:16027648" from="57.220001pt,-16.898438pt" to="52.220001pt,-16.898438pt" stroked="true" strokeweight=".5pt" strokecolor="#000000">
            <v:stroke dashstyle="solid"/>
            <w10:wrap type="none"/>
          </v:line>
        </w:pict>
      </w:r>
      <w:r>
        <w:rPr/>
        <w:pict>
          <v:line style="position:absolute;mso-position-horizontal-relative:page;mso-position-vertical-relative:paragraph;z-index:16028160" from="57.220001pt,-32.898438pt" to="52.220001pt,-32.898438pt" stroked="true" strokeweight=".5pt" strokecolor="#000000">
            <v:stroke dashstyle="solid"/>
            <w10:wrap type="none"/>
          </v:line>
        </w:pict>
      </w:r>
      <w:r>
        <w:rPr/>
        <w:pict>
          <v:line style="position:absolute;mso-position-horizontal-relative:page;mso-position-vertical-relative:paragraph;z-index:16028672" from="57.220001pt,-49.898438pt" to="52.220001pt,-49.898438pt" stroked="true" strokeweight=".5pt" strokecolor="#000000">
            <v:stroke dashstyle="solid"/>
            <w10:wrap type="none"/>
          </v:line>
        </w:pict>
      </w:r>
      <w:r>
        <w:rPr/>
        <w:pict>
          <v:line style="position:absolute;mso-position-horizontal-relative:page;mso-position-vertical-relative:paragraph;z-index:16029184" from="57.220001pt,-67.898438pt" to="52.220001pt,-67.898438pt" stroked="true" strokeweight=".5pt" strokecolor="#000000">
            <v:stroke dashstyle="solid"/>
            <w10:wrap type="none"/>
          </v:line>
        </w:pict>
      </w:r>
      <w:r>
        <w:rPr/>
        <w:pict>
          <v:line style="position:absolute;mso-position-horizontal-relative:page;mso-position-vertical-relative:paragraph;z-index:16029696" from="57.220001pt,-86.898438pt" to="52.220001pt,-86.898438pt" stroked="true" strokeweight=".5pt" strokecolor="#000000">
            <v:stroke dashstyle="solid"/>
            <w10:wrap type="none"/>
          </v:line>
        </w:pict>
      </w:r>
      <w:r>
        <w:rPr/>
        <w:pict>
          <v:line style="position:absolute;mso-position-horizontal-relative:page;mso-position-vertical-relative:paragraph;z-index:16030208" from="57.220001pt,-107.898438pt" to="52.220001pt,-107.898438pt" stroked="true" strokeweight=".5pt" strokecolor="#000000">
            <v:stroke dashstyle="solid"/>
            <w10:wrap type="none"/>
          </v:line>
        </w:pict>
      </w:r>
      <w:r>
        <w:rPr/>
        <w:pict>
          <v:line style="position:absolute;mso-position-horizontal-relative:page;mso-position-vertical-relative:paragraph;z-index:16030720" from="57.220001pt,-128.898438pt" to="52.220001pt,-128.898438pt" stroked="true" strokeweight=".5pt" strokecolor="#000000">
            <v:stroke dashstyle="solid"/>
            <w10:wrap type="none"/>
          </v:line>
        </w:pict>
      </w:r>
      <w:r>
        <w:rPr/>
        <w:pict>
          <v:line style="position:absolute;mso-position-horizontal-relative:page;mso-position-vertical-relative:paragraph;z-index:16031232" from="222.220001pt,-137.898438pt" to="217.220001pt,-137.898438pt" stroked="true" strokeweight=".5pt" strokecolor="#000000">
            <v:stroke dashstyle="solid"/>
            <w10:wrap type="none"/>
          </v:line>
        </w:pict>
      </w:r>
      <w:r>
        <w:rPr>
          <w:sz w:val="12"/>
        </w:rPr>
        <w:t>1992</w:t>
        <w:tab/>
        <w:t>93</w:t>
        <w:tab/>
        <w:t>94</w:t>
        <w:tab/>
        <w:t>95</w:t>
        <w:tab/>
        <w:t>96</w:t>
        <w:tab/>
        <w:t>97</w:t>
        <w:tab/>
        <w:t>98</w:t>
      </w:r>
    </w:p>
    <w:p>
      <w:pPr>
        <w:spacing w:before="98"/>
        <w:ind w:left="69" w:right="0" w:firstLine="0"/>
        <w:jc w:val="left"/>
        <w:rPr>
          <w:sz w:val="12"/>
        </w:rPr>
      </w:pPr>
      <w:r>
        <w:rPr/>
        <w:br w:type="column"/>
      </w:r>
      <w:r>
        <w:rPr>
          <w:sz w:val="12"/>
        </w:rPr>
        <w:t>140</w:t>
      </w:r>
    </w:p>
    <w:p>
      <w:pPr>
        <w:pStyle w:val="BodyText"/>
        <w:spacing w:before="4"/>
        <w:rPr>
          <w:sz w:val="12"/>
        </w:rPr>
      </w:pPr>
    </w:p>
    <w:p>
      <w:pPr>
        <w:spacing w:before="1"/>
        <w:ind w:left="69" w:right="0" w:firstLine="0"/>
        <w:jc w:val="left"/>
        <w:rPr>
          <w:sz w:val="12"/>
        </w:rPr>
      </w:pPr>
      <w:r>
        <w:rPr>
          <w:sz w:val="12"/>
        </w:rPr>
        <w:t>135</w:t>
      </w:r>
    </w:p>
    <w:p>
      <w:pPr>
        <w:pStyle w:val="BodyText"/>
        <w:rPr>
          <w:sz w:val="14"/>
        </w:rPr>
      </w:pPr>
    </w:p>
    <w:p>
      <w:pPr>
        <w:spacing w:before="1"/>
        <w:ind w:left="69" w:right="0" w:firstLine="0"/>
        <w:jc w:val="left"/>
        <w:rPr>
          <w:sz w:val="12"/>
        </w:rPr>
      </w:pPr>
      <w:r>
        <w:rPr>
          <w:sz w:val="12"/>
        </w:rPr>
        <w:t>130</w:t>
      </w:r>
    </w:p>
    <w:p>
      <w:pPr>
        <w:pStyle w:val="BodyText"/>
        <w:rPr>
          <w:sz w:val="14"/>
        </w:rPr>
      </w:pPr>
    </w:p>
    <w:p>
      <w:pPr>
        <w:spacing w:before="1"/>
        <w:ind w:left="69" w:right="0" w:firstLine="0"/>
        <w:jc w:val="left"/>
        <w:rPr>
          <w:sz w:val="12"/>
        </w:rPr>
      </w:pPr>
      <w:r>
        <w:rPr>
          <w:sz w:val="12"/>
        </w:rPr>
        <w:t>125</w:t>
      </w:r>
    </w:p>
    <w:p>
      <w:pPr>
        <w:pStyle w:val="BodyText"/>
        <w:spacing w:before="9"/>
        <w:rPr>
          <w:sz w:val="15"/>
        </w:rPr>
      </w:pPr>
    </w:p>
    <w:p>
      <w:pPr>
        <w:spacing w:before="0"/>
        <w:ind w:left="69" w:right="0" w:firstLine="0"/>
        <w:jc w:val="left"/>
        <w:rPr>
          <w:sz w:val="12"/>
        </w:rPr>
      </w:pPr>
      <w:r>
        <w:rPr>
          <w:sz w:val="12"/>
        </w:rPr>
        <w:t>120</w:t>
      </w:r>
    </w:p>
    <w:p>
      <w:pPr>
        <w:pStyle w:val="BodyText"/>
        <w:spacing w:before="6"/>
        <w:rPr>
          <w:sz w:val="17"/>
        </w:rPr>
      </w:pPr>
    </w:p>
    <w:p>
      <w:pPr>
        <w:spacing w:before="1"/>
        <w:ind w:left="69" w:right="0" w:firstLine="0"/>
        <w:jc w:val="left"/>
        <w:rPr>
          <w:sz w:val="12"/>
        </w:rPr>
      </w:pPr>
      <w:r>
        <w:rPr>
          <w:sz w:val="12"/>
        </w:rPr>
        <w:t>115</w:t>
      </w:r>
    </w:p>
    <w:p>
      <w:pPr>
        <w:pStyle w:val="BodyText"/>
        <w:spacing w:before="6"/>
        <w:rPr>
          <w:sz w:val="17"/>
        </w:rPr>
      </w:pPr>
    </w:p>
    <w:p>
      <w:pPr>
        <w:spacing w:before="0"/>
        <w:ind w:left="69" w:right="0" w:firstLine="0"/>
        <w:jc w:val="left"/>
        <w:rPr>
          <w:sz w:val="12"/>
        </w:rPr>
      </w:pPr>
      <w:r>
        <w:rPr>
          <w:sz w:val="12"/>
        </w:rPr>
        <w:t>110</w:t>
      </w:r>
    </w:p>
    <w:p>
      <w:pPr>
        <w:pStyle w:val="BodyText"/>
        <w:spacing w:before="6"/>
        <w:rPr>
          <w:sz w:val="17"/>
        </w:rPr>
      </w:pPr>
    </w:p>
    <w:p>
      <w:pPr>
        <w:spacing w:before="1"/>
        <w:ind w:left="69" w:right="0" w:firstLine="0"/>
        <w:jc w:val="left"/>
        <w:rPr>
          <w:sz w:val="12"/>
        </w:rPr>
      </w:pPr>
      <w:r>
        <w:rPr>
          <w:sz w:val="12"/>
        </w:rPr>
        <w:t>105</w:t>
      </w:r>
    </w:p>
    <w:p>
      <w:pPr>
        <w:pStyle w:val="BodyText"/>
        <w:rPr>
          <w:sz w:val="12"/>
        </w:rPr>
      </w:pPr>
    </w:p>
    <w:p>
      <w:pPr>
        <w:pStyle w:val="BodyText"/>
        <w:spacing w:before="9"/>
        <w:rPr>
          <w:sz w:val="10"/>
        </w:rPr>
      </w:pPr>
    </w:p>
    <w:p>
      <w:pPr>
        <w:spacing w:before="0"/>
        <w:ind w:left="69" w:right="0" w:firstLine="0"/>
        <w:jc w:val="left"/>
        <w:rPr>
          <w:sz w:val="12"/>
        </w:rPr>
      </w:pPr>
      <w:r>
        <w:rPr>
          <w:sz w:val="12"/>
        </w:rPr>
        <w:t>100</w:t>
      </w:r>
    </w:p>
    <w:p>
      <w:pPr>
        <w:pStyle w:val="BodyText"/>
        <w:rPr>
          <w:sz w:val="12"/>
        </w:rPr>
      </w:pPr>
    </w:p>
    <w:p>
      <w:pPr>
        <w:spacing w:before="104"/>
        <w:ind w:left="129" w:right="0" w:firstLine="0"/>
        <w:jc w:val="left"/>
        <w:rPr>
          <w:sz w:val="12"/>
        </w:rPr>
      </w:pPr>
      <w:r>
        <w:rPr>
          <w:sz w:val="12"/>
        </w:rPr>
        <w:t>95</w:t>
      </w:r>
    </w:p>
    <w:p>
      <w:pPr>
        <w:pStyle w:val="Heading4"/>
        <w:spacing w:line="242" w:lineRule="auto" w:before="4"/>
        <w:ind w:left="184" w:right="216"/>
      </w:pPr>
      <w:r>
        <w:rPr/>
        <w:br w:type="column"/>
      </w:r>
      <w:r>
        <w:rPr>
          <w:color w:val="231F20"/>
        </w:rPr>
        <w:t>sterling. The service sector continues to show signs of inflationary pressure. Annual retail price inflation measured by RPIX rose to 3.0% in 1998 Q2, slightly higher than expected by the MPC at the time of the </w:t>
      </w:r>
      <w:r>
        <w:rPr>
          <w:color w:val="231F20"/>
          <w:spacing w:val="-6"/>
        </w:rPr>
        <w:t>May </w:t>
      </w:r>
      <w:r>
        <w:rPr>
          <w:i/>
          <w:color w:val="231F20"/>
        </w:rPr>
        <w:t>Report. </w:t>
      </w:r>
      <w:r>
        <w:rPr>
          <w:color w:val="231F20"/>
        </w:rPr>
        <w:t>This probably reflected erratic factors such as seasonal food prices. Rising earnings </w:t>
      </w:r>
      <w:r>
        <w:rPr>
          <w:color w:val="231F20"/>
          <w:spacing w:val="-3"/>
        </w:rPr>
        <w:t>have </w:t>
      </w:r>
      <w:r>
        <w:rPr>
          <w:color w:val="231F20"/>
        </w:rPr>
        <w:t>increased unit labour costs and contributed towards a rate of domestically generated inflation that is currently higher than the RPIX inflation rate.</w:t>
      </w:r>
    </w:p>
    <w:p>
      <w:pPr>
        <w:pStyle w:val="BodyText"/>
        <w:spacing w:before="1"/>
        <w:rPr>
          <w:sz w:val="22"/>
        </w:rPr>
      </w:pPr>
    </w:p>
    <w:p>
      <w:pPr>
        <w:pStyle w:val="ListParagraph"/>
        <w:numPr>
          <w:ilvl w:val="1"/>
          <w:numId w:val="31"/>
        </w:numPr>
        <w:tabs>
          <w:tab w:pos="1133" w:val="left" w:leader="none"/>
          <w:tab w:pos="1134" w:val="left" w:leader="none"/>
        </w:tabs>
        <w:spacing w:line="240" w:lineRule="auto" w:before="0" w:after="0"/>
        <w:ind w:left="1133" w:right="0" w:hanging="950"/>
        <w:jc w:val="left"/>
        <w:rPr>
          <w:b/>
          <w:sz w:val="28"/>
        </w:rPr>
      </w:pPr>
      <w:r>
        <w:rPr>
          <w:b/>
          <w:color w:val="009483"/>
          <w:sz w:val="28"/>
          <w:u w:val="thick" w:color="0093C1"/>
        </w:rPr>
        <w:t>Import prices and the exchange rate</w:t>
      </w:r>
      <w:r>
        <w:rPr>
          <w:b/>
          <w:color w:val="009483"/>
          <w:spacing w:val="-11"/>
          <w:sz w:val="28"/>
          <w:u w:val="thick" w:color="0093C1"/>
        </w:rPr>
        <w:t> </w:t>
      </w:r>
    </w:p>
    <w:p>
      <w:pPr>
        <w:spacing w:after="0" w:line="240" w:lineRule="auto"/>
        <w:jc w:val="left"/>
        <w:rPr>
          <w:sz w:val="28"/>
        </w:rPr>
        <w:sectPr>
          <w:type w:val="continuous"/>
          <w:pgSz w:w="11900" w:h="16840"/>
          <w:pgMar w:top="1220" w:bottom="280" w:left="620" w:right="640"/>
          <w:cols w:num="4" w:equalWidth="0">
            <w:col w:w="365" w:space="40"/>
            <w:col w:w="3401" w:space="39"/>
            <w:col w:w="290" w:space="701"/>
            <w:col w:w="5804"/>
          </w:cols>
        </w:sectPr>
      </w:pPr>
    </w:p>
    <w:p>
      <w:pPr>
        <w:spacing w:line="208" w:lineRule="auto" w:before="101"/>
        <w:ind w:left="564" w:right="423" w:hanging="370"/>
        <w:jc w:val="left"/>
        <w:rPr>
          <w:sz w:val="12"/>
        </w:rPr>
      </w:pPr>
      <w:r>
        <w:rPr>
          <w:color w:val="231F20"/>
          <w:sz w:val="12"/>
        </w:rPr>
        <w:t>Note:  The ERI is measured against 20 other industrialised countries.  The import price index for the whole world covers imports from all</w:t>
      </w:r>
      <w:r>
        <w:rPr>
          <w:color w:val="231F20"/>
          <w:spacing w:val="-17"/>
          <w:sz w:val="12"/>
        </w:rPr>
        <w:t> </w:t>
      </w:r>
      <w:r>
        <w:rPr>
          <w:color w:val="231F20"/>
          <w:sz w:val="12"/>
        </w:rPr>
        <w:t>countries.</w:t>
      </w:r>
    </w:p>
    <w:p>
      <w:pPr>
        <w:spacing w:before="105"/>
        <w:ind w:left="194" w:right="0" w:firstLine="0"/>
        <w:jc w:val="left"/>
        <w:rPr>
          <w:sz w:val="12"/>
        </w:rPr>
      </w:pPr>
      <w:r>
        <w:rPr>
          <w:color w:val="231F20"/>
          <w:sz w:val="12"/>
        </w:rPr>
        <w:t>Sources: ONS and Bank of England.</w:t>
      </w:r>
    </w:p>
    <w:p>
      <w:pPr>
        <w:pStyle w:val="ListParagraph"/>
        <w:numPr>
          <w:ilvl w:val="0"/>
          <w:numId w:val="32"/>
        </w:numPr>
        <w:tabs>
          <w:tab w:pos="435" w:val="left" w:leader="none"/>
        </w:tabs>
        <w:spacing w:line="129" w:lineRule="exact" w:before="102" w:after="0"/>
        <w:ind w:left="434" w:right="0" w:hanging="241"/>
        <w:jc w:val="left"/>
        <w:rPr>
          <w:sz w:val="12"/>
        </w:rPr>
      </w:pPr>
      <w:r>
        <w:rPr>
          <w:color w:val="231F20"/>
          <w:sz w:val="12"/>
        </w:rPr>
        <w:t>Both scales are logarithmic.</w:t>
      </w:r>
    </w:p>
    <w:p>
      <w:pPr>
        <w:pStyle w:val="ListParagraph"/>
        <w:numPr>
          <w:ilvl w:val="0"/>
          <w:numId w:val="32"/>
        </w:numPr>
        <w:tabs>
          <w:tab w:pos="435" w:val="left" w:leader="none"/>
        </w:tabs>
        <w:spacing w:line="129" w:lineRule="exact" w:before="0" w:after="0"/>
        <w:ind w:left="434" w:right="0" w:hanging="241"/>
        <w:jc w:val="left"/>
        <w:rPr>
          <w:sz w:val="12"/>
        </w:rPr>
      </w:pPr>
      <w:r>
        <w:rPr>
          <w:color w:val="231F20"/>
          <w:sz w:val="12"/>
        </w:rPr>
        <w:t>Monthly average of daily data. A rise in the line reflects a depreciation.</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Heading8"/>
        <w:spacing w:before="99"/>
      </w:pPr>
      <w:r>
        <w:rPr>
          <w:color w:val="0093C1"/>
        </w:rPr>
        <w:t>Chart 4.2</w:t>
      </w:r>
    </w:p>
    <w:p>
      <w:pPr>
        <w:spacing w:line="249" w:lineRule="auto" w:before="10"/>
        <w:ind w:left="200" w:right="984" w:firstLine="0"/>
        <w:jc w:val="left"/>
        <w:rPr>
          <w:sz w:val="12"/>
        </w:rPr>
      </w:pPr>
      <w:r>
        <w:rPr>
          <w:b/>
          <w:color w:val="0093C1"/>
          <w:sz w:val="20"/>
        </w:rPr>
        <w:t>Ratio of UK import prices to major six overseas economies’ export prices</w:t>
      </w:r>
      <w:r>
        <w:rPr>
          <w:color w:val="231F20"/>
          <w:position w:val="4"/>
          <w:sz w:val="12"/>
        </w:rPr>
        <w:t>(a)</w:t>
      </w:r>
    </w:p>
    <w:p>
      <w:pPr>
        <w:spacing w:before="138"/>
        <w:ind w:left="0" w:right="483" w:firstLine="0"/>
        <w:jc w:val="right"/>
        <w:rPr>
          <w:sz w:val="12"/>
        </w:rPr>
      </w:pPr>
      <w:r>
        <w:rPr/>
        <w:pict>
          <v:line style="position:absolute;mso-position-horizontal-relative:page;mso-position-vertical-relative:paragraph;z-index:16033792" from="51.167pt,15.001554pt" to="46.167pt,15.001554pt" stroked="true" strokeweight=".5pt" strokecolor="#000000">
            <v:stroke dashstyle="solid"/>
            <w10:wrap type="none"/>
          </v:line>
        </w:pict>
      </w:r>
      <w:r>
        <w:rPr/>
        <w:pict>
          <v:shape style="position:absolute;margin-left:59.167pt;margin-top:29.001554pt;width:150pt;height:98pt;mso-position-horizontal-relative:page;mso-position-vertical-relative:paragraph;z-index:16034304" coordorigin="1183,580" coordsize="3000,1960" path="m1183,1880l1203,1520,1243,1680,1263,1860,1303,1860,1323,1980,1363,2080,1383,2000,1423,1960,1463,2160,1483,2140,1523,2300,1543,1940,1583,1960,1603,1940,1643,1880,1683,1900,1703,2380,1743,2000,1763,1680,1803,1840,1823,1400,1863,1520,1903,1460,1923,1080,1963,840,1983,820,2023,600,2043,580,2083,760,2103,1140,2143,1060,2183,1140,2203,1200,2243,1100,2263,1280,2303,1860,2343,1460,2363,1380,2403,1560,2423,1600,2463,1620,2483,1560,2523,1700,2543,1780,2583,1340,2623,1260,2643,1620,2683,2100,2703,2020,2743,2260,2763,2460,2803,2300,2843,2100,2903,1980,2923,2000,2963,1780,2983,1860,3023,2000,3063,1840,3083,1880,3123,1920,3143,2180,3183,2020,3243,1660,3283,1620,3303,1720,3343,1860,3363,1800,3403,1860,3423,1980,3463,1920,3483,1960,3523,2540,3563,2480,3583,2300,3623,2280,3643,2240,3683,2200,3723,2140,3743,2140,3783,2060,3803,2000,3843,2100,3863,2080,3903,2080,3923,2100,3963,2020,4003,1980,4023,1620,4063,1420,4083,1520,4123,1360,4163,1260,4183,1260e" filled="false" stroked="true" strokeweight="1pt" strokecolor="#008256">
            <v:path arrowok="t"/>
            <v:stroke dashstyle="solid"/>
            <w10:wrap type="none"/>
          </v:shape>
        </w:pict>
      </w:r>
      <w:r>
        <w:rPr/>
        <w:pict>
          <v:line style="position:absolute;mso-position-horizontal-relative:page;mso-position-vertical-relative:paragraph;z-index:16036352" from="221.167007pt,15.001554pt" to="216.167007pt,15.001554pt" stroked="true" strokeweight=".5pt" strokecolor="#000000">
            <v:stroke dashstyle="solid"/>
            <w10:wrap type="none"/>
          </v:line>
        </w:pict>
      </w:r>
      <w:r>
        <w:rPr>
          <w:sz w:val="12"/>
        </w:rPr>
        <w:t>1990 = 100 </w:t>
      </w:r>
      <w:r>
        <w:rPr>
          <w:spacing w:val="5"/>
          <w:sz w:val="12"/>
        </w:rPr>
        <w:t> </w:t>
      </w:r>
      <w:r>
        <w:rPr>
          <w:position w:val="-5"/>
          <w:sz w:val="12"/>
        </w:rPr>
        <w:t>1.2</w:t>
      </w:r>
    </w:p>
    <w:p>
      <w:pPr>
        <w:pStyle w:val="BodyText"/>
      </w:pPr>
    </w:p>
    <w:p>
      <w:pPr>
        <w:pStyle w:val="BodyText"/>
      </w:pPr>
    </w:p>
    <w:p>
      <w:pPr>
        <w:pStyle w:val="BodyText"/>
        <w:spacing w:before="1"/>
      </w:pPr>
    </w:p>
    <w:p>
      <w:pPr>
        <w:spacing w:before="0"/>
        <w:ind w:left="3873" w:right="0" w:firstLine="0"/>
        <w:jc w:val="left"/>
        <w:rPr>
          <w:sz w:val="12"/>
        </w:rPr>
      </w:pPr>
      <w:r>
        <w:rPr/>
        <w:pict>
          <v:line style="position:absolute;mso-position-horizontal-relative:page;mso-position-vertical-relative:paragraph;z-index:16033280" from="51.167pt,5.101555pt" to="46.167pt,5.101555pt" stroked="true" strokeweight=".5pt" strokecolor="#000000">
            <v:stroke dashstyle="solid"/>
            <w10:wrap type="none"/>
          </v:line>
        </w:pict>
      </w:r>
      <w:r>
        <w:rPr/>
        <w:pict>
          <v:line style="position:absolute;mso-position-horizontal-relative:page;mso-position-vertical-relative:paragraph;z-index:16035840" from="221.167007pt,5.101555pt" to="216.167007pt,5.101555pt" stroked="true" strokeweight=".5pt" strokecolor="#000000">
            <v:stroke dashstyle="solid"/>
            <w10:wrap type="none"/>
          </v:line>
        </w:pict>
      </w:r>
      <w:r>
        <w:rPr>
          <w:sz w:val="12"/>
        </w:rPr>
        <w:t>1.1</w:t>
      </w:r>
    </w:p>
    <w:p>
      <w:pPr>
        <w:pStyle w:val="BodyText"/>
        <w:rPr>
          <w:sz w:val="12"/>
        </w:rPr>
      </w:pPr>
    </w:p>
    <w:p>
      <w:pPr>
        <w:pStyle w:val="BodyText"/>
        <w:rPr>
          <w:sz w:val="12"/>
        </w:rPr>
      </w:pPr>
    </w:p>
    <w:p>
      <w:pPr>
        <w:pStyle w:val="BodyText"/>
        <w:rPr>
          <w:sz w:val="12"/>
        </w:rPr>
      </w:pPr>
    </w:p>
    <w:p>
      <w:pPr>
        <w:pStyle w:val="BodyText"/>
        <w:spacing w:before="4"/>
        <w:rPr>
          <w:sz w:val="16"/>
        </w:rPr>
      </w:pPr>
    </w:p>
    <w:p>
      <w:pPr>
        <w:spacing w:before="0"/>
        <w:ind w:left="3873" w:right="0" w:firstLine="0"/>
        <w:jc w:val="left"/>
        <w:rPr>
          <w:sz w:val="12"/>
        </w:rPr>
      </w:pPr>
      <w:r>
        <w:rPr/>
        <w:pict>
          <v:line style="position:absolute;mso-position-horizontal-relative:page;mso-position-vertical-relative:paragraph;z-index:16032768" from="51.167pt,5.101555pt" to="46.167pt,5.101555pt" stroked="true" strokeweight=".5pt" strokecolor="#000000">
            <v:stroke dashstyle="solid"/>
            <w10:wrap type="none"/>
          </v:line>
        </w:pict>
      </w:r>
      <w:r>
        <w:rPr/>
        <w:pict>
          <v:line style="position:absolute;mso-position-horizontal-relative:page;mso-position-vertical-relative:paragraph;z-index:16035328" from="221.167007pt,5.101555pt" to="216.167007pt,5.101555pt" stroked="true" strokeweight=".5pt" strokecolor="#000000">
            <v:stroke dashstyle="solid"/>
            <w10:wrap type="none"/>
          </v:line>
        </w:pict>
      </w:r>
      <w:r>
        <w:rPr>
          <w:sz w:val="12"/>
        </w:rPr>
        <w:t>1.0</w:t>
      </w:r>
    </w:p>
    <w:p>
      <w:pPr>
        <w:pStyle w:val="BodyText"/>
        <w:rPr>
          <w:sz w:val="12"/>
        </w:rPr>
      </w:pPr>
    </w:p>
    <w:p>
      <w:pPr>
        <w:pStyle w:val="BodyText"/>
        <w:rPr>
          <w:sz w:val="12"/>
        </w:rPr>
      </w:pPr>
    </w:p>
    <w:p>
      <w:pPr>
        <w:pStyle w:val="BodyText"/>
        <w:rPr>
          <w:sz w:val="12"/>
        </w:rPr>
      </w:pPr>
    </w:p>
    <w:p>
      <w:pPr>
        <w:pStyle w:val="BodyText"/>
        <w:rPr>
          <w:sz w:val="12"/>
        </w:rPr>
      </w:pPr>
    </w:p>
    <w:p>
      <w:pPr>
        <w:spacing w:before="70"/>
        <w:ind w:left="3873" w:right="0" w:firstLine="0"/>
        <w:jc w:val="left"/>
        <w:rPr>
          <w:sz w:val="12"/>
        </w:rPr>
      </w:pPr>
      <w:r>
        <w:rPr/>
        <w:pict>
          <v:line style="position:absolute;mso-position-horizontal-relative:page;mso-position-vertical-relative:paragraph;z-index:16032256" from="51.167pt,8.601570pt" to="46.167pt,8.601570pt" stroked="true" strokeweight=".5pt" strokecolor="#000000">
            <v:stroke dashstyle="solid"/>
            <w10:wrap type="none"/>
          </v:line>
        </w:pict>
      </w:r>
      <w:r>
        <w:rPr/>
        <w:pict>
          <v:line style="position:absolute;mso-position-horizontal-relative:page;mso-position-vertical-relative:paragraph;z-index:16034816" from="221.167007pt,8.601570pt" to="216.167007pt,8.601570pt" stroked="true" strokeweight=".5pt" strokecolor="#000000">
            <v:stroke dashstyle="solid"/>
            <w10:wrap type="none"/>
          </v:line>
        </w:pict>
      </w:r>
      <w:r>
        <w:rPr>
          <w:sz w:val="12"/>
        </w:rPr>
        <w:t>0.9</w:t>
      </w:r>
    </w:p>
    <w:p>
      <w:pPr>
        <w:pStyle w:val="BodyText"/>
        <w:rPr>
          <w:sz w:val="12"/>
        </w:rPr>
      </w:pPr>
    </w:p>
    <w:p>
      <w:pPr>
        <w:pStyle w:val="BodyText"/>
        <w:rPr>
          <w:sz w:val="12"/>
        </w:rPr>
      </w:pPr>
    </w:p>
    <w:p>
      <w:pPr>
        <w:pStyle w:val="BodyText"/>
        <w:rPr>
          <w:sz w:val="12"/>
        </w:rPr>
      </w:pPr>
    </w:p>
    <w:p>
      <w:pPr>
        <w:pStyle w:val="BodyText"/>
        <w:rPr>
          <w:sz w:val="12"/>
        </w:rPr>
      </w:pPr>
    </w:p>
    <w:p>
      <w:pPr>
        <w:spacing w:before="70"/>
        <w:ind w:left="3873" w:right="0" w:firstLine="0"/>
        <w:jc w:val="left"/>
        <w:rPr>
          <w:sz w:val="12"/>
        </w:rPr>
      </w:pPr>
      <w:r>
        <w:rPr/>
        <w:pict>
          <v:group style="position:absolute;margin-left:46.167pt;margin-top:7.35157pt;width:176.3pt;height:8.5pt;mso-position-horizontal-relative:page;mso-position-vertical-relative:paragraph;z-index:16031744" coordorigin="923,147" coordsize="3526,170">
            <v:shape style="position:absolute;left:923;top:152;width:3500;height:160" coordorigin="923,152" coordsize="3500,160" path="m1023,152l923,152m1163,312l4183,312m1163,312l1163,252m1303,312l1303,252m1423,312l1423,252m1550,312l1550,252m1677,312l1677,252m1803,312l1803,252m1923,312l1923,252m2043,312l2043,252m2170,312l2170,252m2297,312l2297,252m2423,312l2423,252m2543,312l2543,252m2683,312l2683,252m2810,312l2810,252m2937,312l2937,252m3063,312l3063,252m3183,312l3183,252m3303,312l3303,252m3430,312l3430,252m3557,312l3557,252m3683,312l3683,252m3803,312l3803,252m3923,312l3923,252m4053,312l4053,252m4183,312l4183,252m1303,312l1303,212m1923,312l1923,212m2543,312l2543,212m3183,312l3183,212m3803,312l3803,212m1198,312l923,312m4423,312l4176,312e" filled="false" stroked="true" strokeweight=".5pt" strokecolor="#000000">
              <v:path arrowok="t"/>
              <v:stroke dashstyle="solid"/>
            </v:shape>
            <v:shape style="position:absolute;left:1005;top:152;width:40;height:160" coordorigin="1006,152" coordsize="40,160" path="m1026,152l1026,194,1006,210,1046,224,1006,244,1046,261,1022,271,1022,312e" filled="false" stroked="true" strokeweight=".5pt" strokecolor="#000000">
              <v:path arrowok="t"/>
              <v:stroke dashstyle="solid"/>
            </v:shape>
            <v:line style="position:absolute" from="4423,152" to="4323,152" stroked="true" strokeweight=".5pt" strokecolor="#000000">
              <v:stroke dashstyle="solid"/>
            </v:line>
            <v:shape style="position:absolute;left:4404;top:152;width:40;height:160" coordorigin="4404,152" coordsize="40,160" path="m4424,152l4424,195,4404,211,4444,225,4404,245,4444,261,4421,271,4420,312e" filled="false" stroked="true" strokeweight=".5pt" strokecolor="#000000">
              <v:path arrowok="t"/>
              <v:stroke dashstyle="solid"/>
            </v:shape>
            <w10:wrap type="none"/>
          </v:group>
        </w:pict>
      </w:r>
      <w:r>
        <w:rPr>
          <w:sz w:val="12"/>
        </w:rPr>
        <w:t>0.8</w:t>
      </w:r>
    </w:p>
    <w:p>
      <w:pPr>
        <w:spacing w:line="122" w:lineRule="exact" w:before="22"/>
        <w:ind w:left="3873" w:right="0" w:firstLine="0"/>
        <w:jc w:val="left"/>
        <w:rPr>
          <w:sz w:val="12"/>
        </w:rPr>
      </w:pPr>
      <w:r>
        <w:rPr>
          <w:sz w:val="12"/>
        </w:rPr>
        <w:t>0.0</w:t>
      </w:r>
    </w:p>
    <w:p>
      <w:pPr>
        <w:tabs>
          <w:tab w:pos="1253" w:val="left" w:leader="none"/>
          <w:tab w:pos="1873" w:val="left" w:leader="none"/>
          <w:tab w:pos="2513" w:val="left" w:leader="none"/>
          <w:tab w:pos="3133" w:val="left" w:leader="none"/>
        </w:tabs>
        <w:spacing w:line="122" w:lineRule="exact" w:before="0"/>
        <w:ind w:left="353" w:right="0" w:firstLine="0"/>
        <w:jc w:val="left"/>
        <w:rPr>
          <w:sz w:val="12"/>
        </w:rPr>
      </w:pPr>
      <w:r>
        <w:rPr>
          <w:sz w:val="12"/>
        </w:rPr>
        <w:t>1974</w:t>
      </w:r>
      <w:r>
        <w:rPr>
          <w:spacing w:val="9"/>
          <w:sz w:val="12"/>
        </w:rPr>
        <w:t> </w:t>
      </w:r>
      <w:r>
        <w:rPr>
          <w:sz w:val="12"/>
        </w:rPr>
        <w:t>75</w:t>
        <w:tab/>
        <w:t>80</w:t>
        <w:tab/>
        <w:t>85</w:t>
        <w:tab/>
        <w:t>90</w:t>
        <w:tab/>
        <w:t>95</w:t>
      </w:r>
    </w:p>
    <w:p>
      <w:pPr>
        <w:pStyle w:val="BodyText"/>
        <w:rPr>
          <w:sz w:val="12"/>
        </w:rPr>
      </w:pPr>
    </w:p>
    <w:p>
      <w:pPr>
        <w:spacing w:before="85"/>
        <w:ind w:left="220" w:right="0" w:firstLine="0"/>
        <w:jc w:val="left"/>
        <w:rPr>
          <w:sz w:val="12"/>
        </w:rPr>
      </w:pPr>
      <w:r>
        <w:rPr>
          <w:color w:val="231F20"/>
          <w:sz w:val="12"/>
        </w:rPr>
        <w:t>Sources: ONS and Bank for International Settlements.</w:t>
      </w:r>
    </w:p>
    <w:p>
      <w:pPr>
        <w:pStyle w:val="BodyText"/>
        <w:spacing w:before="1"/>
        <w:rPr>
          <w:sz w:val="10"/>
        </w:rPr>
      </w:pPr>
    </w:p>
    <w:p>
      <w:pPr>
        <w:pStyle w:val="ListParagraph"/>
        <w:numPr>
          <w:ilvl w:val="0"/>
          <w:numId w:val="33"/>
        </w:numPr>
        <w:tabs>
          <w:tab w:pos="460" w:val="left" w:leader="none"/>
        </w:tabs>
        <w:spacing w:line="208" w:lineRule="auto" w:before="0" w:after="0"/>
        <w:ind w:left="460" w:right="38" w:hanging="240"/>
        <w:jc w:val="left"/>
        <w:rPr>
          <w:sz w:val="12"/>
        </w:rPr>
      </w:pPr>
      <w:r>
        <w:rPr>
          <w:color w:val="231F20"/>
          <w:sz w:val="12"/>
        </w:rPr>
        <w:t>The major six overseas economies (M6) are the G7 excluding the United </w:t>
      </w:r>
      <w:r>
        <w:rPr>
          <w:color w:val="231F20"/>
          <w:spacing w:val="-3"/>
          <w:sz w:val="12"/>
        </w:rPr>
        <w:t>Kingdom. </w:t>
      </w:r>
      <w:r>
        <w:rPr>
          <w:color w:val="231F20"/>
          <w:sz w:val="12"/>
        </w:rPr>
        <w:t>UK import prices of goods and services are divided by M6 export prices of goods, and services are denominated in sterling and UK trade-weighted.</w:t>
      </w:r>
    </w:p>
    <w:p>
      <w:pPr>
        <w:pStyle w:val="Heading4"/>
        <w:spacing w:before="8"/>
        <w:ind w:left="194"/>
      </w:pPr>
      <w:r>
        <w:rPr/>
        <w:br w:type="column"/>
      </w:r>
      <w:r>
        <w:rPr>
          <w:color w:val="231F20"/>
        </w:rPr>
        <w:t>Non-oil imported goods prices rose by 0.8% in</w:t>
      </w:r>
    </w:p>
    <w:p>
      <w:pPr>
        <w:spacing w:line="242" w:lineRule="auto" w:before="4"/>
        <w:ind w:left="194" w:right="89" w:firstLine="0"/>
        <w:jc w:val="left"/>
        <w:rPr>
          <w:sz w:val="24"/>
        </w:rPr>
      </w:pPr>
      <w:r>
        <w:rPr>
          <w:color w:val="231F20"/>
          <w:sz w:val="24"/>
        </w:rPr>
        <w:t>May 1998, after falling by 0.3% in April. The non-oil import price index in May was 2.7% below its level a year earlier, and 8.3% below its level in August 1996, when sterling began to appreciate. The fall in import prices has continued to be far less marked than sterling’s rise, as Chart 4.1 shows.</w:t>
      </w:r>
    </w:p>
    <w:p>
      <w:pPr>
        <w:pStyle w:val="BodyText"/>
        <w:rPr>
          <w:sz w:val="25"/>
        </w:rPr>
      </w:pPr>
    </w:p>
    <w:p>
      <w:pPr>
        <w:spacing w:line="242" w:lineRule="auto" w:before="0"/>
        <w:ind w:left="194" w:right="162" w:firstLine="0"/>
        <w:jc w:val="left"/>
        <w:rPr>
          <w:sz w:val="24"/>
        </w:rPr>
      </w:pPr>
      <w:r>
        <w:rPr>
          <w:color w:val="231F20"/>
          <w:sz w:val="24"/>
        </w:rPr>
        <w:t>Because around one quarter of goods and services are imported, the speed and extent of pass-through from a currency appreciation to import prices will affect the RPIX inflation profile. But the impact of exchange rate movements on prices is complex, and depends on a number of factors, including market structure, pricing behaviour in the industries concerned, and whether </w:t>
      </w:r>
      <w:r>
        <w:rPr>
          <w:color w:val="231F20"/>
          <w:spacing w:val="-5"/>
          <w:sz w:val="24"/>
        </w:rPr>
        <w:t>firms </w:t>
      </w:r>
      <w:r>
        <w:rPr>
          <w:color w:val="231F20"/>
          <w:sz w:val="24"/>
        </w:rPr>
        <w:t>view exchange rate movements as temporary or permanent. Foreign exporters to the United Kingdom may </w:t>
      </w:r>
      <w:r>
        <w:rPr>
          <w:color w:val="231F20"/>
          <w:spacing w:val="-3"/>
          <w:sz w:val="24"/>
        </w:rPr>
        <w:t>have </w:t>
      </w:r>
      <w:r>
        <w:rPr>
          <w:color w:val="231F20"/>
          <w:sz w:val="24"/>
        </w:rPr>
        <w:t>been using sterling’s appreciation as an opportunity to widen their margins, possibly because they viewed some of the appreciation since August 1996 as temporary. Chart 4.2 shows the ratio of UK import prices to overseas export prices since 1974. The ratio has risen sharply since 1996, as UK import prices </w:t>
      </w:r>
      <w:r>
        <w:rPr>
          <w:color w:val="231F20"/>
          <w:spacing w:val="-3"/>
          <w:sz w:val="24"/>
        </w:rPr>
        <w:t>have </w:t>
      </w:r>
      <w:r>
        <w:rPr>
          <w:color w:val="231F20"/>
          <w:sz w:val="24"/>
        </w:rPr>
        <w:t>fallen by much less than the fall in overseas export prices measured in sterling terms. UK import prices typically move in line with overseas export prices, and divergences do not generally persist.</w:t>
      </w:r>
      <w:r>
        <w:rPr>
          <w:color w:val="231F20"/>
          <w:position w:val="5"/>
          <w:sz w:val="16"/>
        </w:rPr>
        <w:t>(1) </w:t>
      </w:r>
      <w:r>
        <w:rPr>
          <w:color w:val="231F20"/>
          <w:sz w:val="24"/>
        </w:rPr>
        <w:t>So the ratio</w:t>
      </w:r>
      <w:r>
        <w:rPr>
          <w:color w:val="231F20"/>
          <w:spacing w:val="-10"/>
          <w:sz w:val="24"/>
        </w:rPr>
        <w:t> </w:t>
      </w:r>
      <w:r>
        <w:rPr>
          <w:color w:val="231F20"/>
          <w:sz w:val="24"/>
        </w:rPr>
        <w:t>is</w:t>
      </w:r>
    </w:p>
    <w:p>
      <w:pPr>
        <w:spacing w:after="0" w:line="242" w:lineRule="auto"/>
        <w:jc w:val="left"/>
        <w:rPr>
          <w:sz w:val="24"/>
        </w:rPr>
        <w:sectPr>
          <w:type w:val="continuous"/>
          <w:pgSz w:w="11900" w:h="16840"/>
          <w:pgMar w:top="1220" w:bottom="280" w:left="620" w:right="640"/>
          <w:cols w:num="2" w:equalWidth="0">
            <w:col w:w="4509" w:space="316"/>
            <w:col w:w="5815"/>
          </w:cols>
        </w:sectPr>
      </w:pPr>
    </w:p>
    <w:p>
      <w:pPr>
        <w:pStyle w:val="BodyText"/>
        <w:spacing w:before="11"/>
        <w:rPr>
          <w:sz w:val="25"/>
        </w:rPr>
      </w:pPr>
    </w:p>
    <w:p>
      <w:pPr>
        <w:pStyle w:val="BodyText"/>
        <w:spacing w:line="20" w:lineRule="exact"/>
        <w:ind w:left="4998"/>
        <w:rPr>
          <w:sz w:val="2"/>
        </w:rPr>
      </w:pPr>
      <w:r>
        <w:rPr>
          <w:sz w:val="2"/>
        </w:rPr>
        <w:pict>
          <v:group style="width:273pt;height:.15pt;mso-position-horizontal-relative:char;mso-position-vertical-relative:line" coordorigin="0,0" coordsize="5460,3">
            <v:line style="position:absolute" from="0,1" to="5460,1" stroked="true" strokeweight=".125pt" strokecolor="#231f20">
              <v:stroke dashstyle="solid"/>
            </v:line>
          </v:group>
        </w:pict>
      </w:r>
      <w:r>
        <w:rPr>
          <w:sz w:val="2"/>
        </w:rPr>
      </w:r>
    </w:p>
    <w:p>
      <w:pPr>
        <w:pStyle w:val="ListParagraph"/>
        <w:numPr>
          <w:ilvl w:val="1"/>
          <w:numId w:val="33"/>
        </w:numPr>
        <w:tabs>
          <w:tab w:pos="5235" w:val="left" w:leader="none"/>
        </w:tabs>
        <w:spacing w:line="208" w:lineRule="auto" w:before="4" w:after="0"/>
        <w:ind w:left="5234" w:right="787" w:hanging="240"/>
        <w:jc w:val="left"/>
        <w:rPr>
          <w:sz w:val="16"/>
        </w:rPr>
      </w:pPr>
      <w:r>
        <w:rPr>
          <w:color w:val="231F20"/>
          <w:sz w:val="16"/>
        </w:rPr>
        <w:t>A similar rise in the ratio occurred in the early 1980s, when the oil </w:t>
      </w:r>
      <w:r>
        <w:rPr>
          <w:color w:val="231F20"/>
          <w:spacing w:val="-4"/>
          <w:sz w:val="16"/>
        </w:rPr>
        <w:t>price </w:t>
      </w:r>
      <w:r>
        <w:rPr>
          <w:color w:val="231F20"/>
          <w:sz w:val="16"/>
        </w:rPr>
        <w:t>was high. During that period, UK import prices rose sharply relative to export prices in the other G7 countries, reflecting the fact that the other G7 countries were not oil exporters.</w:t>
      </w:r>
    </w:p>
    <w:p>
      <w:pPr>
        <w:spacing w:after="0" w:line="208" w:lineRule="auto"/>
        <w:jc w:val="left"/>
        <w:rPr>
          <w:sz w:val="16"/>
        </w:rPr>
        <w:sectPr>
          <w:type w:val="continuous"/>
          <w:pgSz w:w="11900" w:h="16840"/>
          <w:pgMar w:top="1220" w:bottom="280" w:left="620" w:right="640"/>
        </w:sectPr>
      </w:pPr>
    </w:p>
    <w:p>
      <w:pPr>
        <w:pStyle w:val="BodyText"/>
        <w:rPr>
          <w:sz w:val="20"/>
        </w:rPr>
      </w:pPr>
    </w:p>
    <w:p>
      <w:pPr>
        <w:pStyle w:val="Heading4"/>
        <w:spacing w:line="242" w:lineRule="auto" w:before="227"/>
        <w:ind w:left="4980"/>
      </w:pPr>
      <w:bookmarkStart w:name="Raw material and commodity prices" w:id="73"/>
      <w:bookmarkEnd w:id="73"/>
      <w:r>
        <w:rPr/>
      </w:r>
      <w:bookmarkStart w:name="Costs and prices in the service sector" w:id="74"/>
      <w:bookmarkEnd w:id="74"/>
      <w:r>
        <w:rPr/>
      </w:r>
      <w:bookmarkStart w:name="_bookmark31" w:id="75"/>
      <w:bookmarkEnd w:id="75"/>
      <w:r>
        <w:rPr/>
      </w:r>
      <w:r>
        <w:rPr>
          <w:color w:val="231F20"/>
        </w:rPr>
        <w:t>likely to fall as the lagged effects of the appreciation feed through.</w:t>
      </w:r>
    </w:p>
    <w:p>
      <w:pPr>
        <w:pStyle w:val="BodyText"/>
        <w:spacing w:before="6"/>
        <w:rPr>
          <w:sz w:val="24"/>
        </w:rPr>
      </w:pPr>
    </w:p>
    <w:p>
      <w:pPr>
        <w:spacing w:line="242" w:lineRule="auto" w:before="1"/>
        <w:ind w:left="4980" w:right="148" w:firstLine="0"/>
        <w:jc w:val="left"/>
        <w:rPr>
          <w:sz w:val="24"/>
        </w:rPr>
      </w:pPr>
      <w:r>
        <w:rPr>
          <w:color w:val="231F20"/>
          <w:sz w:val="24"/>
        </w:rPr>
        <w:t>Foreign exporters’ margins, which had risen following the appreciation, are assumed to decline gradually during the forecast period. The MPC’s central projection for inflation assumes that the effects of the exchange rate appreciation will continue to pass through to UK import prices.</w:t>
      </w:r>
    </w:p>
    <w:p>
      <w:pPr>
        <w:pStyle w:val="BodyText"/>
        <w:spacing w:before="3"/>
        <w:rPr>
          <w:sz w:val="19"/>
        </w:rPr>
      </w:pPr>
    </w:p>
    <w:p>
      <w:pPr>
        <w:pStyle w:val="ListParagraph"/>
        <w:numPr>
          <w:ilvl w:val="1"/>
          <w:numId w:val="31"/>
        </w:numPr>
        <w:tabs>
          <w:tab w:pos="5921" w:val="left" w:leader="none"/>
          <w:tab w:pos="5922" w:val="left" w:leader="none"/>
          <w:tab w:pos="10504" w:val="left" w:leader="none"/>
        </w:tabs>
        <w:spacing w:line="240" w:lineRule="auto" w:before="88" w:after="0"/>
        <w:ind w:left="5921" w:right="0" w:hanging="942"/>
        <w:jc w:val="left"/>
        <w:rPr>
          <w:b/>
          <w:sz w:val="28"/>
        </w:rPr>
      </w:pPr>
      <w:r>
        <w:rPr>
          <w:b/>
          <w:color w:val="009483"/>
          <w:sz w:val="28"/>
          <w:u w:val="thick" w:color="0093C1"/>
        </w:rPr>
        <w:t>Raw material and commodity prices</w:t>
        <w:tab/>
      </w:r>
    </w:p>
    <w:p>
      <w:pPr>
        <w:pStyle w:val="BodyText"/>
        <w:spacing w:before="2"/>
        <w:rPr>
          <w:b/>
          <w:sz w:val="16"/>
        </w:rPr>
      </w:pPr>
    </w:p>
    <w:p>
      <w:pPr>
        <w:spacing w:after="0"/>
        <w:rPr>
          <w:sz w:val="16"/>
        </w:rPr>
        <w:sectPr>
          <w:headerReference w:type="default" r:id="rId69"/>
          <w:headerReference w:type="even" r:id="rId70"/>
          <w:pgSz w:w="11900" w:h="16840"/>
          <w:pgMar w:header="586" w:footer="617" w:top="780" w:bottom="800" w:left="620" w:right="640"/>
        </w:sect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spacing w:before="5"/>
        <w:rPr>
          <w:b/>
          <w:sz w:val="32"/>
        </w:rPr>
      </w:pPr>
    </w:p>
    <w:p>
      <w:pPr>
        <w:pStyle w:val="Heading8"/>
        <w:spacing w:before="0"/>
        <w:ind w:left="190"/>
      </w:pPr>
      <w:r>
        <w:rPr>
          <w:color w:val="0093C1"/>
        </w:rPr>
        <w:t>Chart 4.3</w:t>
      </w:r>
    </w:p>
    <w:p>
      <w:pPr>
        <w:spacing w:before="10"/>
        <w:ind w:left="190" w:right="0" w:firstLine="0"/>
        <w:jc w:val="left"/>
        <w:rPr>
          <w:b/>
          <w:i/>
          <w:sz w:val="20"/>
        </w:rPr>
      </w:pPr>
      <w:r>
        <w:rPr>
          <w:b/>
          <w:color w:val="0093C1"/>
          <w:sz w:val="20"/>
        </w:rPr>
        <w:t>Oil futures prices since the May 1998 </w:t>
      </w:r>
      <w:r>
        <w:rPr>
          <w:b/>
          <w:i/>
          <w:color w:val="0093C1"/>
          <w:sz w:val="20"/>
        </w:rPr>
        <w:t>Report</w:t>
      </w:r>
    </w:p>
    <w:p>
      <w:pPr>
        <w:spacing w:line="124" w:lineRule="exact" w:before="55"/>
        <w:ind w:left="3130" w:right="0" w:firstLine="0"/>
        <w:jc w:val="left"/>
        <w:rPr>
          <w:sz w:val="12"/>
        </w:rPr>
      </w:pPr>
      <w:r>
        <w:rPr>
          <w:color w:val="231F20"/>
          <w:sz w:val="12"/>
        </w:rPr>
        <w:t>£ per barrel</w:t>
      </w:r>
    </w:p>
    <w:p>
      <w:pPr>
        <w:spacing w:line="124" w:lineRule="exact" w:before="0"/>
        <w:ind w:left="3780" w:right="0" w:firstLine="0"/>
        <w:jc w:val="left"/>
        <w:rPr>
          <w:sz w:val="12"/>
        </w:rPr>
      </w:pPr>
      <w:r>
        <w:rPr/>
        <w:pict>
          <v:group style="position:absolute;margin-left:44.167pt;margin-top:2.401855pt;width:173.35pt;height:151.25pt;mso-position-horizontal-relative:page;mso-position-vertical-relative:paragraph;z-index:16038912" coordorigin="883,48" coordsize="3467,3025">
            <v:line style="position:absolute" from="990,2928" to="890,2928" stroked="true" strokeweight=".5pt" strokecolor="#000000">
              <v:stroke dashstyle="solid"/>
            </v:line>
            <v:shape style="position:absolute;left:1130;top:348;width:3020;height:2060" coordorigin="1130,348" coordsize="3020,2060" path="m1130,948l1190,868,1230,648,1270,508,1330,348,1370,648,1410,588,1470,608,1550,808,1610,1308,1650,1128,1690,1068,1750,1028,1790,928,1830,988,1890,848,1930,988,1990,1048,2030,1108,2070,828,2130,708,2170,948,2210,1488,2270,1548,2310,1888,2350,2208,2410,2408,2450,2108,2490,1908,2550,2188,2590,2148,2630,1868,2690,1368,2730,1588,2770,1928,2830,1828,2870,1868,2910,1738,2970,1668,3010,1548,3070,1508,3110,1928,3150,2028,3210,1748,3250,1768,3290,1908,3350,2068,3390,1828,3430,1868,3490,1988,3530,1988,3570,2348,3630,1968,3670,1948,3710,2068,3770,2068,3810,1848,3850,1788,3910,1828,3950,1808,4010,1768,4050,2068,4090,2028,4150,2128e" filled="false" stroked="true" strokeweight="1pt" strokecolor="#0066a5">
              <v:path arrowok="t"/>
              <v:stroke dashstyle="solid"/>
            </v:shape>
            <v:shape style="position:absolute;left:1130;top:228;width:3020;height:1600" coordorigin="1130,228" coordsize="3020,1600" path="m1130,448l1190,428,1270,428,1330,408,1370,568,1410,328,1470,308,1510,408,1550,448,1610,828,1650,728,1690,668,1750,668,1790,628,1830,648,1890,508,1930,548,1990,548,2030,628,2070,428,2130,228,2170,408,2210,828,2270,868,2310,1208,2350,1228,2410,1648,2450,1348,2490,1188,2550,1468,2590,1428,2630,1288,2690,848,2730,1048,2770,1208,2830,1208,2870,1228,2910,1148,2970,1068,3010,1048,3070,1028,3110,1308,3150,1508,3210,1368,3250,1368,3290,1528,3350,1668,3390,1428,3430,1368,3490,1548,3530,1468,3570,1828,3630,1508,3670,1488,3710,1628,3770,1688,3810,1468,3850,1408,4010,1408,4050,1608,4090,1628,4150,1708e" filled="false" stroked="true" strokeweight="1pt" strokecolor="#ed1b2d">
              <v:path arrowok="t"/>
              <v:stroke dashstyle="solid"/>
            </v:shape>
            <v:shape style="position:absolute;left:883;top:348;width:3434;height:2720" coordorigin="883,348" coordsize="3434,2720" path="m4310,2348l4210,2348m4310,2068l4210,2068m4310,1768l4210,1768m4310,1488l4210,1488m4310,1208l4210,1208m4310,908l4210,908m4310,628l4210,628m4310,348l4210,348m4317,3068l883,3068m1230,3068l1230,3028m1470,3068l1470,3028m1690,3068l1690,3028m1890,3068l1890,3028m2110,3068l2110,3028m2350,3068l2350,3028m2590,3068l2590,3028m2830,3068l2830,3028m3050,3068l3050,3028m3290,3068l3290,3028m3530,3068l3530,3028m3770,3068l3770,3028m4010,3068l4010,3028m2730,3068l2730,3068e" filled="false" stroked="true" strokeweight=".5pt" strokecolor="#000000">
              <v:path arrowok="t"/>
              <v:stroke dashstyle="solid"/>
            </v:shape>
            <v:line style="position:absolute" from="2730,3068" to="2730,48" stroked="true" strokeweight=".5pt" strokecolor="#000000">
              <v:stroke dashstyle="dash"/>
            </v:line>
            <v:shape style="position:absolute;left:2405;top:2345;width:298;height:298" type="#_x0000_t75" stroked="false">
              <v:imagedata r:id="rId71" o:title=""/>
            </v:shape>
            <v:line style="position:absolute" from="4310,2928" to="4210,2928" stroked="true" strokeweight=".5pt" strokecolor="#000000">
              <v:stroke dashstyle="solid"/>
            </v:line>
            <v:shape style="position:absolute;left:4305;top:2933;width:40;height:127" coordorigin="4305,2934" coordsize="40,127" path="m4325,2934l4321,3060,4322,3037,4345,3027,4305,3010,4345,2990,4305,2977,4325,2960,4325,2934xe" filled="true" fillcolor="#000000" stroked="false">
              <v:path arrowok="t"/>
              <v:fill type="solid"/>
            </v:shape>
            <v:shape style="position:absolute;left:4305;top:2933;width:40;height:127" coordorigin="4305,2934" coordsize="40,127" path="m4325,2934l4325,2960,4305,2977,4345,2990,4305,3010,4345,3027,4322,3037,4321,3060e" filled="false" stroked="true" strokeweight=".5pt" strokecolor="#000000">
              <v:path arrowok="t"/>
              <v:stroke dashstyle="solid"/>
            </v:shape>
            <v:shape style="position:absolute;left:971;top:2941;width:40;height:127" coordorigin="972,2941" coordsize="40,127" path="m992,2941l988,3068,988,3044,1012,3034,972,3018,1012,2998,972,2984,992,2968,992,2941xe" filled="true" fillcolor="#000000" stroked="false">
              <v:path arrowok="t"/>
              <v:fill type="solid"/>
            </v:shape>
            <v:shape style="position:absolute;left:971;top:2941;width:40;height:127" coordorigin="972,2941" coordsize="40,127" path="m992,2941l992,2968,972,2984,1012,2998,972,3018,1012,3034,988,3044,988,3068e" filled="false" stroked="true" strokeweight=".5pt" strokecolor="#000000">
              <v:path arrowok="t"/>
              <v:stroke dashstyle="solid"/>
            </v:shape>
            <v:shape style="position:absolute;left:1520;top:77;width:963;height:133" type="#_x0000_t202" filled="false" stroked="false">
              <v:textbox inset="0,0,0,0">
                <w:txbxContent>
                  <w:p>
                    <w:pPr>
                      <w:spacing w:line="133" w:lineRule="exact" w:before="0"/>
                      <w:ind w:left="0" w:right="0" w:firstLine="0"/>
                      <w:jc w:val="left"/>
                      <w:rPr>
                        <w:sz w:val="12"/>
                      </w:rPr>
                    </w:pPr>
                    <w:r>
                      <w:rPr>
                        <w:sz w:val="12"/>
                      </w:rPr>
                      <w:t>Three-month future</w:t>
                    </w:r>
                  </w:p>
                </w:txbxContent>
              </v:textbox>
              <w10:wrap type="none"/>
            </v:shape>
            <v:shape style="position:absolute;left:1233;top:1304;width:884;height:133" type="#_x0000_t202" filled="false" stroked="false">
              <v:textbox inset="0,0,0,0">
                <w:txbxContent>
                  <w:p>
                    <w:pPr>
                      <w:spacing w:line="133" w:lineRule="exact" w:before="0"/>
                      <w:ind w:left="0" w:right="0" w:firstLine="0"/>
                      <w:jc w:val="left"/>
                      <w:rPr>
                        <w:sz w:val="12"/>
                      </w:rPr>
                    </w:pPr>
                    <w:r>
                      <w:rPr>
                        <w:sz w:val="12"/>
                      </w:rPr>
                      <w:t>One-month future</w:t>
                    </w:r>
                  </w:p>
                </w:txbxContent>
              </v:textbox>
              <w10:wrap type="none"/>
            </v:shape>
            <v:shape style="position:absolute;left:1180;top:2611;width:1443;height:133" type="#_x0000_t202" filled="false" stroked="false">
              <v:textbox inset="0,0,0,0">
                <w:txbxContent>
                  <w:p>
                    <w:pPr>
                      <w:spacing w:line="133" w:lineRule="exact" w:before="0"/>
                      <w:ind w:left="0" w:right="0" w:firstLine="0"/>
                      <w:jc w:val="left"/>
                      <w:rPr>
                        <w:sz w:val="12"/>
                      </w:rPr>
                    </w:pPr>
                    <w:r>
                      <w:rPr>
                        <w:sz w:val="12"/>
                      </w:rPr>
                      <w:t>Date of OPEC announcement</w:t>
                    </w:r>
                  </w:p>
                </w:txbxContent>
              </v:textbox>
              <w10:wrap type="none"/>
            </v:shape>
            <w10:wrap type="none"/>
          </v:group>
        </w:pict>
      </w:r>
      <w:r>
        <w:rPr/>
        <w:pict>
          <v:line style="position:absolute;mso-position-horizontal-relative:page;mso-position-vertical-relative:paragraph;z-index:16044032" from="49.5pt,2.401855pt" to="44.5pt,2.401855pt" stroked="true" strokeweight=".5pt" strokecolor="#000000">
            <v:stroke dashstyle="solid"/>
            <w10:wrap type="none"/>
          </v:line>
        </w:pict>
      </w:r>
      <w:r>
        <w:rPr/>
        <w:pict>
          <v:line style="position:absolute;mso-position-horizontal-relative:page;mso-position-vertical-relative:paragraph;z-index:16045056" from="215.5pt,2.401855pt" to="210.5pt,2.401855pt" stroked="true" strokeweight=".5pt" strokecolor="#000000">
            <v:stroke dashstyle="solid"/>
            <w10:wrap type="none"/>
          </v:line>
        </w:pict>
      </w:r>
      <w:r>
        <w:rPr>
          <w:sz w:val="12"/>
        </w:rPr>
        <w:t>9.50</w:t>
      </w:r>
    </w:p>
    <w:p>
      <w:pPr>
        <w:pStyle w:val="BodyText"/>
        <w:spacing w:before="4"/>
        <w:rPr>
          <w:sz w:val="12"/>
        </w:rPr>
      </w:pPr>
    </w:p>
    <w:p>
      <w:pPr>
        <w:spacing w:before="0"/>
        <w:ind w:left="3780" w:right="0" w:firstLine="0"/>
        <w:jc w:val="left"/>
        <w:rPr>
          <w:sz w:val="12"/>
        </w:rPr>
      </w:pPr>
      <w:r>
        <w:rPr/>
        <w:pict>
          <v:line style="position:absolute;mso-position-horizontal-relative:page;mso-position-vertical-relative:paragraph;z-index:16043520" from="49.5pt,4.101563pt" to="44.5pt,4.101563pt" stroked="true" strokeweight=".5pt" strokecolor="#000000">
            <v:stroke dashstyle="solid"/>
            <w10:wrap type="none"/>
          </v:line>
        </w:pict>
      </w:r>
      <w:r>
        <w:rPr>
          <w:sz w:val="12"/>
        </w:rPr>
        <w:t>9.25</w:t>
      </w:r>
    </w:p>
    <w:p>
      <w:pPr>
        <w:pStyle w:val="BodyText"/>
        <w:spacing w:before="1"/>
        <w:rPr>
          <w:sz w:val="14"/>
        </w:rPr>
      </w:pPr>
    </w:p>
    <w:p>
      <w:pPr>
        <w:spacing w:before="0"/>
        <w:ind w:left="3780" w:right="0" w:firstLine="0"/>
        <w:jc w:val="left"/>
        <w:rPr>
          <w:sz w:val="12"/>
        </w:rPr>
      </w:pPr>
      <w:r>
        <w:rPr/>
        <w:pict>
          <v:line style="position:absolute;mso-position-horizontal-relative:page;mso-position-vertical-relative:paragraph;z-index:16043008" from="49.5pt,3.101563pt" to="44.5pt,3.101563pt" stroked="true" strokeweight=".5pt" strokecolor="#000000">
            <v:stroke dashstyle="solid"/>
            <w10:wrap type="none"/>
          </v:line>
        </w:pict>
      </w:r>
      <w:r>
        <w:rPr>
          <w:sz w:val="12"/>
        </w:rPr>
        <w:t>9.00</w:t>
      </w:r>
    </w:p>
    <w:p>
      <w:pPr>
        <w:pStyle w:val="BodyText"/>
        <w:spacing w:before="4"/>
        <w:rPr>
          <w:sz w:val="12"/>
        </w:rPr>
      </w:pPr>
    </w:p>
    <w:p>
      <w:pPr>
        <w:spacing w:before="0"/>
        <w:ind w:left="3780" w:right="0" w:firstLine="0"/>
        <w:jc w:val="left"/>
        <w:rPr>
          <w:sz w:val="12"/>
        </w:rPr>
      </w:pPr>
      <w:r>
        <w:rPr/>
        <w:pict>
          <v:line style="position:absolute;mso-position-horizontal-relative:page;mso-position-vertical-relative:paragraph;z-index:16042496" from="49.5pt,3.101563pt" to="44.5pt,3.101563pt" stroked="true" strokeweight=".5pt" strokecolor="#000000">
            <v:stroke dashstyle="solid"/>
            <w10:wrap type="none"/>
          </v:line>
        </w:pict>
      </w:r>
      <w:r>
        <w:rPr>
          <w:sz w:val="12"/>
        </w:rPr>
        <w:t>8.75</w:t>
      </w:r>
    </w:p>
    <w:p>
      <w:pPr>
        <w:pStyle w:val="BodyText"/>
        <w:spacing w:before="4"/>
        <w:rPr>
          <w:sz w:val="12"/>
        </w:rPr>
      </w:pPr>
    </w:p>
    <w:p>
      <w:pPr>
        <w:spacing w:before="0"/>
        <w:ind w:left="3780" w:right="0" w:firstLine="0"/>
        <w:jc w:val="left"/>
        <w:rPr>
          <w:sz w:val="12"/>
        </w:rPr>
      </w:pPr>
      <w:r>
        <w:rPr/>
        <w:pict>
          <v:line style="position:absolute;mso-position-horizontal-relative:page;mso-position-vertical-relative:paragraph;z-index:16041984" from="49.5pt,4.101563pt" to="44.5pt,4.101563pt" stroked="true" strokeweight=".5pt" strokecolor="#000000">
            <v:stroke dashstyle="solid"/>
            <w10:wrap type="none"/>
          </v:line>
        </w:pict>
      </w:r>
      <w:r>
        <w:rPr>
          <w:sz w:val="12"/>
        </w:rPr>
        <w:t>8.50</w:t>
      </w:r>
    </w:p>
    <w:p>
      <w:pPr>
        <w:pStyle w:val="BodyText"/>
        <w:spacing w:before="1"/>
        <w:rPr>
          <w:sz w:val="14"/>
        </w:rPr>
      </w:pPr>
    </w:p>
    <w:p>
      <w:pPr>
        <w:spacing w:before="0"/>
        <w:ind w:left="3780" w:right="0" w:firstLine="0"/>
        <w:jc w:val="left"/>
        <w:rPr>
          <w:sz w:val="12"/>
        </w:rPr>
      </w:pPr>
      <w:r>
        <w:rPr/>
        <w:pict>
          <v:line style="position:absolute;mso-position-horizontal-relative:page;mso-position-vertical-relative:paragraph;z-index:16041472" from="49.5pt,3.101563pt" to="44.5pt,3.101563pt" stroked="true" strokeweight=".5pt" strokecolor="#000000">
            <v:stroke dashstyle="solid"/>
            <w10:wrap type="none"/>
          </v:line>
        </w:pict>
      </w:r>
      <w:r>
        <w:rPr>
          <w:sz w:val="12"/>
        </w:rPr>
        <w:t>8.25</w:t>
      </w:r>
    </w:p>
    <w:p>
      <w:pPr>
        <w:pStyle w:val="BodyText"/>
        <w:spacing w:before="4"/>
        <w:rPr>
          <w:sz w:val="12"/>
        </w:rPr>
      </w:pPr>
    </w:p>
    <w:p>
      <w:pPr>
        <w:spacing w:before="0"/>
        <w:ind w:left="3780" w:right="0" w:firstLine="0"/>
        <w:jc w:val="left"/>
        <w:rPr>
          <w:sz w:val="12"/>
        </w:rPr>
      </w:pPr>
      <w:r>
        <w:rPr/>
        <w:pict>
          <v:line style="position:absolute;mso-position-horizontal-relative:page;mso-position-vertical-relative:paragraph;z-index:16040960" from="49.5pt,3.101563pt" to="44.5pt,3.101563pt" stroked="true" strokeweight=".5pt" strokecolor="#000000">
            <v:stroke dashstyle="solid"/>
            <w10:wrap type="none"/>
          </v:line>
        </w:pict>
      </w:r>
      <w:r>
        <w:rPr>
          <w:sz w:val="12"/>
        </w:rPr>
        <w:t>8.00</w:t>
      </w:r>
    </w:p>
    <w:p>
      <w:pPr>
        <w:pStyle w:val="BodyText"/>
        <w:spacing w:before="4"/>
        <w:rPr>
          <w:sz w:val="12"/>
        </w:rPr>
      </w:pPr>
    </w:p>
    <w:p>
      <w:pPr>
        <w:spacing w:before="0"/>
        <w:ind w:left="3780" w:right="0" w:firstLine="0"/>
        <w:jc w:val="left"/>
        <w:rPr>
          <w:sz w:val="12"/>
        </w:rPr>
      </w:pPr>
      <w:r>
        <w:rPr/>
        <w:pict>
          <v:line style="position:absolute;mso-position-horizontal-relative:page;mso-position-vertical-relative:paragraph;z-index:16040448" from="49.5pt,4.101563pt" to="44.5pt,4.101563pt" stroked="true" strokeweight=".5pt" strokecolor="#000000">
            <v:stroke dashstyle="solid"/>
            <w10:wrap type="none"/>
          </v:line>
        </w:pict>
      </w:r>
      <w:r>
        <w:rPr>
          <w:sz w:val="12"/>
        </w:rPr>
        <w:t>7.75</w:t>
      </w:r>
    </w:p>
    <w:p>
      <w:pPr>
        <w:pStyle w:val="BodyText"/>
        <w:spacing w:before="1"/>
        <w:rPr>
          <w:sz w:val="14"/>
        </w:rPr>
      </w:pPr>
    </w:p>
    <w:p>
      <w:pPr>
        <w:spacing w:before="0"/>
        <w:ind w:left="3780" w:right="0" w:firstLine="0"/>
        <w:jc w:val="left"/>
        <w:rPr>
          <w:sz w:val="12"/>
        </w:rPr>
      </w:pPr>
      <w:r>
        <w:rPr/>
        <w:pict>
          <v:line style="position:absolute;mso-position-horizontal-relative:page;mso-position-vertical-relative:paragraph;z-index:16039936" from="49.5pt,3.101563pt" to="44.5pt,3.101563pt" stroked="true" strokeweight=".5pt" strokecolor="#000000">
            <v:stroke dashstyle="solid"/>
            <w10:wrap type="none"/>
          </v:line>
        </w:pict>
      </w:r>
      <w:r>
        <w:rPr>
          <w:sz w:val="12"/>
        </w:rPr>
        <w:t>7.50</w:t>
      </w:r>
    </w:p>
    <w:p>
      <w:pPr>
        <w:pStyle w:val="BodyText"/>
        <w:spacing w:before="4"/>
        <w:rPr>
          <w:sz w:val="12"/>
        </w:rPr>
      </w:pPr>
    </w:p>
    <w:p>
      <w:pPr>
        <w:spacing w:before="0"/>
        <w:ind w:left="3780" w:right="0" w:firstLine="0"/>
        <w:jc w:val="left"/>
        <w:rPr>
          <w:sz w:val="12"/>
        </w:rPr>
      </w:pPr>
      <w:r>
        <w:rPr/>
        <w:pict>
          <v:line style="position:absolute;mso-position-horizontal-relative:page;mso-position-vertical-relative:paragraph;z-index:16039424" from="49.5pt,3.101563pt" to="44.5pt,3.101563pt" stroked="true" strokeweight=".5pt" strokecolor="#000000">
            <v:stroke dashstyle="solid"/>
            <w10:wrap type="none"/>
          </v:line>
        </w:pict>
      </w:r>
      <w:r>
        <w:rPr/>
        <w:pict>
          <v:line style="position:absolute;mso-position-horizontal-relative:page;mso-position-vertical-relative:paragraph;z-index:16044544" from="215.5pt,3.101563pt" to="210.5pt,3.101563pt" stroked="true" strokeweight=".5pt" strokecolor="#000000">
            <v:stroke dashstyle="solid"/>
            <w10:wrap type="none"/>
          </v:line>
        </w:pict>
      </w:r>
      <w:r>
        <w:rPr>
          <w:sz w:val="12"/>
        </w:rPr>
        <w:t>7.25</w:t>
      </w:r>
    </w:p>
    <w:p>
      <w:pPr>
        <w:pStyle w:val="BodyText"/>
        <w:spacing w:before="4"/>
        <w:rPr>
          <w:sz w:val="12"/>
        </w:rPr>
      </w:pPr>
    </w:p>
    <w:p>
      <w:pPr>
        <w:spacing w:before="0"/>
        <w:ind w:left="3780" w:right="0" w:firstLine="0"/>
        <w:jc w:val="left"/>
        <w:rPr>
          <w:sz w:val="12"/>
        </w:rPr>
      </w:pPr>
      <w:r>
        <w:rPr>
          <w:sz w:val="12"/>
        </w:rPr>
        <w:t>7.00</w:t>
      </w:r>
    </w:p>
    <w:p>
      <w:pPr>
        <w:spacing w:line="129" w:lineRule="exact" w:before="2"/>
        <w:ind w:left="3780" w:right="0" w:firstLine="0"/>
        <w:jc w:val="left"/>
        <w:rPr>
          <w:sz w:val="12"/>
        </w:rPr>
      </w:pPr>
      <w:r>
        <w:rPr>
          <w:sz w:val="12"/>
        </w:rPr>
        <w:t>0.00</w:t>
      </w:r>
    </w:p>
    <w:p>
      <w:pPr>
        <w:spacing w:line="129" w:lineRule="exact" w:before="0"/>
        <w:ind w:left="540" w:right="0" w:firstLine="0"/>
        <w:jc w:val="left"/>
        <w:rPr>
          <w:sz w:val="12"/>
        </w:rPr>
      </w:pPr>
      <w:r>
        <w:rPr>
          <w:sz w:val="12"/>
        </w:rPr>
        <w:t>8 15 22 29 5 12 19 26 3 10 17 24 31</w:t>
      </w:r>
    </w:p>
    <w:p>
      <w:pPr>
        <w:tabs>
          <w:tab w:pos="1599" w:val="left" w:leader="none"/>
          <w:tab w:pos="2539" w:val="left" w:leader="none"/>
        </w:tabs>
        <w:spacing w:line="266" w:lineRule="auto" w:before="22"/>
        <w:ind w:left="190" w:right="1126" w:firstLine="530"/>
        <w:jc w:val="left"/>
        <w:rPr>
          <w:sz w:val="12"/>
        </w:rPr>
      </w:pPr>
      <w:r>
        <w:rPr>
          <w:sz w:val="12"/>
        </w:rPr>
        <w:t>May</w:t>
        <w:tab/>
        <w:t>June</w:t>
        <w:tab/>
        <w:t>July </w:t>
      </w:r>
      <w:r>
        <w:rPr>
          <w:color w:val="231F20"/>
          <w:sz w:val="12"/>
        </w:rPr>
        <w:t>Note: Daily data. Final observations on 5 August </w:t>
      </w:r>
      <w:r>
        <w:rPr>
          <w:color w:val="231F20"/>
          <w:spacing w:val="-4"/>
          <w:sz w:val="12"/>
        </w:rPr>
        <w:t>1998.</w:t>
      </w:r>
    </w:p>
    <w:p>
      <w:pPr>
        <w:spacing w:before="88"/>
        <w:ind w:left="190" w:right="0" w:firstLine="0"/>
        <w:jc w:val="left"/>
        <w:rPr>
          <w:sz w:val="12"/>
        </w:rPr>
      </w:pPr>
      <w:r>
        <w:rPr>
          <w:color w:val="231F20"/>
          <w:sz w:val="12"/>
        </w:rPr>
        <w:t>Source: International Petroleum Exchange.</w:t>
      </w:r>
    </w:p>
    <w:p>
      <w:pPr>
        <w:pStyle w:val="Heading4"/>
        <w:spacing w:line="242" w:lineRule="auto" w:before="90"/>
        <w:ind w:left="190" w:right="142"/>
      </w:pPr>
      <w:r>
        <w:rPr/>
        <w:br w:type="column"/>
      </w:r>
      <w:r>
        <w:rPr>
          <w:color w:val="231F20"/>
        </w:rPr>
        <w:t>The sterling price of Brent crude oil has fallen by more than 40% in the past 18 months. The one-month future price at the end of July was £8.00 a barrel, compared with £14.33 a barrel at the start of 1997. The fall </w:t>
      </w:r>
      <w:r>
        <w:rPr>
          <w:color w:val="231F20"/>
          <w:spacing w:val="-3"/>
        </w:rPr>
        <w:t>appears </w:t>
      </w:r>
      <w:r>
        <w:rPr>
          <w:color w:val="231F20"/>
        </w:rPr>
        <w:t>to has been influenced by several factors, including recent developments in Asia, and an unusually warm winter in the northern hemisphere. Since the May </w:t>
      </w:r>
      <w:r>
        <w:rPr>
          <w:i/>
          <w:color w:val="231F20"/>
        </w:rPr>
        <w:t>Report</w:t>
      </w:r>
      <w:r>
        <w:rPr>
          <w:color w:val="231F20"/>
        </w:rPr>
        <w:t>, O</w:t>
      </w:r>
      <w:r>
        <w:rPr>
          <w:color w:val="231F20"/>
          <w:sz w:val="20"/>
        </w:rPr>
        <w:t>PEC </w:t>
      </w:r>
      <w:r>
        <w:rPr>
          <w:color w:val="231F20"/>
        </w:rPr>
        <w:t>has agreed to cut oil output by some 1.36 million barrels per day from 1 </w:t>
      </w:r>
      <w:r>
        <w:rPr>
          <w:color w:val="231F20"/>
          <w:spacing w:val="-4"/>
        </w:rPr>
        <w:t>July. </w:t>
      </w:r>
      <w:r>
        <w:rPr>
          <w:color w:val="231F20"/>
        </w:rPr>
        <w:t>This is in addition to an agreement to cut daily output from April by 1.25 million barrels. The size of the O</w:t>
      </w:r>
      <w:r>
        <w:rPr>
          <w:color w:val="231F20"/>
          <w:sz w:val="20"/>
        </w:rPr>
        <w:t>PEC </w:t>
      </w:r>
      <w:r>
        <w:rPr>
          <w:color w:val="231F20"/>
        </w:rPr>
        <w:t>cuts can be gauged by comparing them with levels of O</w:t>
      </w:r>
      <w:r>
        <w:rPr>
          <w:color w:val="231F20"/>
          <w:sz w:val="20"/>
        </w:rPr>
        <w:t>ECD </w:t>
      </w:r>
      <w:r>
        <w:rPr>
          <w:color w:val="231F20"/>
        </w:rPr>
        <w:t>crude oil stocks, which rose from 889 million barrels in November 1997 to 947 million barrels in May 1998. The O</w:t>
      </w:r>
      <w:r>
        <w:rPr>
          <w:color w:val="231F20"/>
          <w:sz w:val="20"/>
        </w:rPr>
        <w:t>PEC </w:t>
      </w:r>
      <w:r>
        <w:rPr>
          <w:color w:val="231F20"/>
        </w:rPr>
        <w:t>cuts, if achieved and maintained, are likely to reduce these inventories and limit significant further falls in oil prices. The price of Brent crude has continued to fall since the O</w:t>
      </w:r>
      <w:r>
        <w:rPr>
          <w:color w:val="231F20"/>
          <w:sz w:val="20"/>
        </w:rPr>
        <w:t>PEC </w:t>
      </w:r>
      <w:r>
        <w:rPr>
          <w:color w:val="231F20"/>
        </w:rPr>
        <w:t>announcement on 24 June of a second round of output cuts (see Chart 4.3). Indices of commodity prices excluding oil </w:t>
      </w:r>
      <w:r>
        <w:rPr>
          <w:color w:val="231F20"/>
          <w:spacing w:val="-3"/>
        </w:rPr>
        <w:t>have </w:t>
      </w:r>
      <w:r>
        <w:rPr>
          <w:color w:val="231F20"/>
        </w:rPr>
        <w:t>also been falling.  The </w:t>
      </w:r>
      <w:r>
        <w:rPr>
          <w:color w:val="231F20"/>
          <w:spacing w:val="-3"/>
        </w:rPr>
        <w:t>Bank’s </w:t>
      </w:r>
      <w:r>
        <w:rPr>
          <w:color w:val="231F20"/>
        </w:rPr>
        <w:t>estimate of non-oil commodity prices, which weights commodities according to UK demand, is 16.4% lower than its peak in March 1996. The strength of sterling has contributed to falling non-oil commodity prices, but it also reflects lower commodity prices in the rest of the world. For example, the </w:t>
      </w:r>
      <w:r>
        <w:rPr>
          <w:i/>
          <w:color w:val="231F20"/>
        </w:rPr>
        <w:t>Economist </w:t>
      </w:r>
      <w:r>
        <w:rPr>
          <w:color w:val="231F20"/>
        </w:rPr>
        <w:t>non-oil commodity price index in dollars has fallen by almost 20% since March 1996.</w:t>
      </w:r>
      <w:r>
        <w:rPr>
          <w:color w:val="231F20"/>
          <w:position w:val="5"/>
          <w:sz w:val="16"/>
        </w:rPr>
        <w:t>(1) </w:t>
      </w:r>
      <w:r>
        <w:rPr>
          <w:color w:val="231F20"/>
        </w:rPr>
        <w:t>The </w:t>
      </w:r>
      <w:r>
        <w:rPr>
          <w:color w:val="231F20"/>
          <w:spacing w:val="-3"/>
        </w:rPr>
        <w:t>MPC’s </w:t>
      </w:r>
      <w:r>
        <w:rPr>
          <w:color w:val="231F20"/>
        </w:rPr>
        <w:t>central projection assumes that world commodity prices will continue to fall over the forecast period.</w:t>
      </w:r>
    </w:p>
    <w:p>
      <w:pPr>
        <w:spacing w:after="0" w:line="242" w:lineRule="auto"/>
        <w:sectPr>
          <w:type w:val="continuous"/>
          <w:pgSz w:w="11900" w:h="16840"/>
          <w:pgMar w:top="1220" w:bottom="280" w:left="620" w:right="640"/>
          <w:cols w:num="2" w:equalWidth="0">
            <w:col w:w="4031" w:space="759"/>
            <w:col w:w="5850"/>
          </w:cols>
        </w:sectPr>
      </w:pPr>
    </w:p>
    <w:p>
      <w:pPr>
        <w:pStyle w:val="BodyText"/>
        <w:spacing w:before="8"/>
        <w:rPr>
          <w:sz w:val="23"/>
        </w:rPr>
      </w:pPr>
    </w:p>
    <w:p>
      <w:pPr>
        <w:pStyle w:val="ListParagraph"/>
        <w:numPr>
          <w:ilvl w:val="1"/>
          <w:numId w:val="31"/>
        </w:numPr>
        <w:tabs>
          <w:tab w:pos="5877" w:val="left" w:leader="none"/>
          <w:tab w:pos="5878" w:val="left" w:leader="none"/>
          <w:tab w:pos="10504" w:val="left" w:leader="none"/>
        </w:tabs>
        <w:spacing w:line="240" w:lineRule="auto" w:before="88" w:after="0"/>
        <w:ind w:left="5877" w:right="0" w:hanging="898"/>
        <w:jc w:val="left"/>
        <w:rPr>
          <w:b/>
          <w:sz w:val="28"/>
        </w:rPr>
      </w:pPr>
      <w:r>
        <w:rPr>
          <w:b/>
          <w:color w:val="009483"/>
          <w:sz w:val="28"/>
          <w:u w:val="thick" w:color="0093C1"/>
        </w:rPr>
        <w:t>Costs and prices in the service</w:t>
      </w:r>
      <w:r>
        <w:rPr>
          <w:b/>
          <w:color w:val="009483"/>
          <w:spacing w:val="-3"/>
          <w:sz w:val="28"/>
          <w:u w:val="thick" w:color="0093C1"/>
        </w:rPr>
        <w:t> </w:t>
      </w:r>
      <w:r>
        <w:rPr>
          <w:b/>
          <w:color w:val="009483"/>
          <w:sz w:val="28"/>
          <w:u w:val="thick" w:color="0093C1"/>
        </w:rPr>
        <w:t>sector</w:t>
        <w:tab/>
      </w:r>
    </w:p>
    <w:p>
      <w:pPr>
        <w:pStyle w:val="BodyText"/>
        <w:spacing w:before="11"/>
        <w:rPr>
          <w:b/>
          <w:sz w:val="23"/>
        </w:rPr>
      </w:pPr>
    </w:p>
    <w:p>
      <w:pPr>
        <w:spacing w:line="242" w:lineRule="auto" w:before="0"/>
        <w:ind w:left="4979" w:right="615" w:firstLine="0"/>
        <w:jc w:val="left"/>
        <w:rPr>
          <w:sz w:val="24"/>
        </w:rPr>
      </w:pPr>
      <w:r>
        <w:rPr>
          <w:color w:val="231F20"/>
          <w:sz w:val="24"/>
        </w:rPr>
        <w:t>Recent evidence from the Chartered Institute of Purchasing and Supply (C</w:t>
      </w:r>
      <w:r>
        <w:rPr>
          <w:color w:val="231F20"/>
          <w:sz w:val="20"/>
        </w:rPr>
        <w:t>IPS</w:t>
      </w:r>
      <w:r>
        <w:rPr>
          <w:color w:val="231F20"/>
          <w:sz w:val="24"/>
        </w:rPr>
        <w:t>) suggests that average input price inflation, including labour costs, remains</w:t>
      </w:r>
    </w:p>
    <w:p>
      <w:pPr>
        <w:pStyle w:val="BodyText"/>
        <w:spacing w:before="3"/>
        <w:rPr>
          <w:sz w:val="17"/>
        </w:rPr>
      </w:pPr>
      <w:r>
        <w:rPr/>
        <w:pict>
          <v:shape style="position:absolute;margin-left:280pt;margin-top:12.003897pt;width:274pt;height:.1pt;mso-position-horizontal-relative:page;mso-position-vertical-relative:paragraph;z-index:-15420416;mso-wrap-distance-left:0;mso-wrap-distance-right:0" coordorigin="5600,240" coordsize="5480,0" path="m5600,240l11080,240e" filled="false" stroked="true" strokeweight=".125pt" strokecolor="#231f20">
            <v:path arrowok="t"/>
            <v:stroke dashstyle="solid"/>
            <w10:wrap type="topAndBottom"/>
          </v:shape>
        </w:pict>
      </w:r>
    </w:p>
    <w:p>
      <w:pPr>
        <w:spacing w:line="208" w:lineRule="auto" w:before="1"/>
        <w:ind w:left="5230" w:right="702" w:hanging="240"/>
        <w:jc w:val="left"/>
        <w:rPr>
          <w:sz w:val="16"/>
        </w:rPr>
      </w:pPr>
      <w:r>
        <w:rPr>
          <w:color w:val="231F20"/>
          <w:sz w:val="16"/>
        </w:rPr>
        <w:t>(1) The weights in the </w:t>
      </w:r>
      <w:r>
        <w:rPr>
          <w:i/>
          <w:color w:val="231F20"/>
          <w:sz w:val="16"/>
        </w:rPr>
        <w:t>Economist </w:t>
      </w:r>
      <w:r>
        <w:rPr>
          <w:color w:val="231F20"/>
          <w:sz w:val="16"/>
        </w:rPr>
        <w:t>index are not based on UK demand, and its coverage is more restricted than the Bank index. So changes in the two indices are not directly comparable.</w:t>
      </w:r>
    </w:p>
    <w:p>
      <w:pPr>
        <w:spacing w:after="0" w:line="208" w:lineRule="auto"/>
        <w:jc w:val="left"/>
        <w:rPr>
          <w:sz w:val="16"/>
        </w:rPr>
        <w:sectPr>
          <w:type w:val="continuous"/>
          <w:pgSz w:w="11900" w:h="16840"/>
          <w:pgMar w:top="1220" w:bottom="280" w:left="620" w:right="640"/>
        </w:sectPr>
      </w:pPr>
    </w:p>
    <w:p>
      <w:pPr>
        <w:pStyle w:val="BodyText"/>
        <w:rPr>
          <w:sz w:val="20"/>
        </w:rPr>
      </w:pPr>
    </w:p>
    <w:p>
      <w:pPr>
        <w:spacing w:after="0"/>
        <w:rPr>
          <w:sz w:val="20"/>
        </w:rPr>
        <w:sectPr>
          <w:footerReference w:type="even" r:id="rId72"/>
          <w:footerReference w:type="default" r:id="rId73"/>
          <w:pgSz w:w="11900" w:h="16840"/>
          <w:pgMar w:footer="597" w:header="586" w:top="760" w:bottom="780" w:left="620" w:right="640"/>
          <w:pgNumType w:start="36"/>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
        <w:rPr>
          <w:sz w:val="20"/>
        </w:rPr>
      </w:pPr>
    </w:p>
    <w:p>
      <w:pPr>
        <w:pStyle w:val="Heading8"/>
        <w:spacing w:before="0"/>
        <w:ind w:left="224"/>
      </w:pPr>
      <w:bookmarkStart w:name="Costs and prices in manufacturing" w:id="76"/>
      <w:bookmarkEnd w:id="76"/>
      <w:r>
        <w:rPr>
          <w:b w:val="0"/>
        </w:rPr>
      </w:r>
      <w:bookmarkStart w:name="_bookmark32" w:id="77"/>
      <w:bookmarkEnd w:id="77"/>
      <w:r>
        <w:rPr>
          <w:b w:val="0"/>
        </w:rPr>
      </w:r>
      <w:r>
        <w:rPr>
          <w:color w:val="0093C1"/>
        </w:rPr>
        <w:t>Chart 4.4</w:t>
      </w:r>
    </w:p>
    <w:p>
      <w:pPr>
        <w:spacing w:before="10"/>
        <w:ind w:left="224" w:right="0" w:firstLine="0"/>
        <w:jc w:val="left"/>
        <w:rPr>
          <w:b/>
          <w:sz w:val="20"/>
        </w:rPr>
      </w:pPr>
      <w:r>
        <w:rPr>
          <w:b/>
          <w:color w:val="0093C1"/>
          <w:sz w:val="20"/>
        </w:rPr>
        <w:t>Producer price inflation</w:t>
      </w:r>
    </w:p>
    <w:p>
      <w:pPr>
        <w:spacing w:line="122" w:lineRule="exact" w:before="128"/>
        <w:ind w:left="1983" w:right="0" w:firstLine="0"/>
        <w:jc w:val="left"/>
        <w:rPr>
          <w:sz w:val="12"/>
        </w:rPr>
      </w:pPr>
      <w:r>
        <w:rPr>
          <w:sz w:val="12"/>
        </w:rPr>
        <w:t>Percentage changes on a year earlier</w:t>
      </w:r>
    </w:p>
    <w:p>
      <w:pPr>
        <w:spacing w:line="122" w:lineRule="exact" w:before="0"/>
        <w:ind w:left="3764" w:right="0" w:firstLine="0"/>
        <w:jc w:val="left"/>
        <w:rPr>
          <w:sz w:val="12"/>
        </w:rPr>
      </w:pPr>
      <w:r>
        <w:rPr/>
        <w:pict>
          <v:line style="position:absolute;mso-position-horizontal-relative:page;mso-position-vertical-relative:paragraph;z-index:16054272" from="50.387001pt,2.985359pt" to="45.387001pt,2.985359pt" stroked="true" strokeweight=".5pt" strokecolor="#000000">
            <v:stroke dashstyle="solid"/>
            <w10:wrap type="none"/>
          </v:line>
        </w:pict>
      </w:r>
      <w:r>
        <w:rPr/>
        <w:pict>
          <v:line style="position:absolute;mso-position-horizontal-relative:page;mso-position-vertical-relative:paragraph;z-index:16061440" from="217.386993pt,2.985359pt" to="212.386993pt,2.985359pt" stroked="true" strokeweight=".5pt" strokecolor="#000000">
            <v:stroke dashstyle="solid"/>
            <w10:wrap type="none"/>
          </v:line>
        </w:pict>
      </w:r>
      <w:r>
        <w:rPr>
          <w:sz w:val="12"/>
        </w:rPr>
        <w:t>14</w:t>
      </w:r>
    </w:p>
    <w:p>
      <w:pPr>
        <w:spacing w:before="82"/>
        <w:ind w:left="0" w:right="125" w:firstLine="0"/>
        <w:jc w:val="right"/>
        <w:rPr>
          <w:sz w:val="12"/>
        </w:rPr>
      </w:pPr>
      <w:r>
        <w:rPr/>
        <w:pict>
          <v:group style="position:absolute;margin-left:55.887001pt;margin-top:6.368563pt;width:151pt;height:140.75pt;mso-position-horizontal-relative:page;mso-position-vertical-relative:paragraph;z-index:16047104" coordorigin="1118,127" coordsize="3020,2815">
            <v:line style="position:absolute" from="1128,1557" to="4128,1557" stroked="true" strokeweight=".5pt" strokecolor="#000000">
              <v:stroke dashstyle="solid"/>
            </v:line>
            <v:shape style="position:absolute;left:1127;top:137;width:3000;height:2640" coordorigin="1128,137" coordsize="3000,2640" path="m1128,1917l1148,1917,1188,1977,1228,1797,1268,1717,1288,1597,1328,1597,1368,1637,1388,1897,1468,1777,1488,1797,1528,1777,1568,1617,1588,1737,1628,1757,1668,1757,1708,1837,1728,1797,1768,1757,1808,1637,1828,1357,1868,1077,1908,1057,1928,857,1968,837,2008,657,2028,837,2068,857,2108,757,2128,837,2168,797,2208,1097,2248,1417,2268,1657,2308,1697,2348,1917,2368,1877,2408,1877,2448,1677,2488,1437,2508,1277,2548,1157,2588,1077,2608,877,2648,757,2688,537,2708,477,2748,137,2788,237,2808,237,2848,157,2888,297,2908,357,2948,437,2988,497,3028,497,3048,657,3088,857,3128,877,3148,1137,3188,1237,3248,1297,3288,1517,3328,1817,3428,1917,3448,1817,3488,2137,3528,2217,3568,2237,3588,2317,3628,2437,3668,2777,3688,2597,3728,2537,3768,2557,3788,2497,3828,2557,3868,2637,3888,2537,3928,2617,3968,2737,4008,2697,4028,2717,4068,2577,4108,2577,4128,2557e" filled="false" stroked="true" strokeweight="1pt" strokecolor="#ed1b2d">
              <v:path arrowok="t"/>
              <v:stroke dashstyle="solid"/>
            </v:shape>
            <v:shape style="position:absolute;left:1127;top:917;width:3000;height:680" coordorigin="1128,917" coordsize="3000,680" path="m1128,917l1148,937,1188,957,1228,997,1268,1017,1328,1017,1368,1077,1388,1157,1428,1217,1468,1197,1488,1197,1528,1257,1568,1217,1588,1237,1628,1237,1668,1257,1708,1237,1728,1257,1768,1277,1808,1277,1868,1217,1908,1197,1928,1157,1968,1137,2008,1097,2028,1097,2068,1077,2108,1077,2128,1057,2208,1057,2248,1097,2268,1157,2308,1197,2348,1217,2368,1277,2408,1317,2448,1337,2488,1297,2548,1297,2588,1277,2608,1277,2648,1257,2708,1197,2748,1097,2848,997,2888,997,2908,1017,2948,997,2988,1017,3028,1017,3048,1037,3088,1057,3128,1057,3148,1117,3188,1137,3228,1177,3248,1217,3288,1237,3328,1277,3348,1337,3388,1357,3428,1357,3448,1337,3488,1357,3568,1437,3588,1497,3668,1537,3688,1517,3728,1497,3788,1497,3868,1537,3928,1537,3968,1557,4008,1537,4028,1557,4108,1597,4128,1597e" filled="false" stroked="true" strokeweight="1pt" strokecolor="#0066a5">
              <v:path arrowok="t"/>
              <v:stroke dashstyle="solid"/>
            </v:shape>
            <v:shape style="position:absolute;left:1127;top:2837;width:3000;height:100" coordorigin="1128,2837" coordsize="3000,100" path="m1128,2937l4128,2937m1128,2937l1128,2897m1228,2937l1228,2897m1328,2937l1328,2897m1428,2937l1428,2897m1528,2937l1528,2897m1628,2937l1628,2897m1728,2937l1728,2897m1828,2937l1828,2897m1928,2937l1928,2897m2028,2937l2028,2897m2138,2937l2138,2897m2248,2937l2248,2897m2348,2937l2348,2897m2448,2937l2448,2897m2548,2937l2548,2897m2648,2937l2648,2897m2748,2937l2748,2897m2848,2937l2848,2897m2948,2937l2948,2897m3048,2937l3048,2897m3148,2937l3148,2897m3248,2937l3248,2897m3348,2937l3348,2897m3448,2937l3448,2897m3548,2937l3548,2897m3648,2937l3648,2897m3758,2937l3758,2897m3868,2937l3868,2897m3968,2937l3968,2897m4068,2937l4068,2897m1128,2937l1128,2837m1528,2937l1528,2837m1928,2937l1928,2837m2348,2937l2348,2837m2748,2937l2748,2837m3148,2937l3148,2837m3548,2937l3548,2837m3968,2937l3968,2837e" filled="false" stroked="true" strokeweight=".5pt" strokecolor="#000000">
              <v:path arrowok="t"/>
              <v:stroke dashstyle="solid"/>
            </v:shape>
            <v:shape style="position:absolute;left:3697;top:840;width:2;height:574" coordorigin="3698,841" coordsize="0,574" path="m3698,841l3698,1414e" filled="true" fillcolor="#000000" stroked="false">
              <v:path arrowok="t"/>
              <v:fill type="solid"/>
            </v:shape>
            <v:line style="position:absolute" from="3698,841" to="3698,1414" stroked="true" strokeweight=".5pt" strokecolor="#000000">
              <v:stroke dashstyle="solid"/>
            </v:line>
            <v:shape style="position:absolute;left:3672;top:1397;width:51;height:85" coordorigin="3672,1397" coordsize="51,85" path="m3723,1397l3672,1397,3679,1413,3683,1425,3698,1482,3699,1473,3701,1462,3704,1451,3708,1438,3712,1426,3723,1397xe" filled="true" fillcolor="#000000" stroked="false">
              <v:path arrowok="t"/>
              <v:fill type="solid"/>
            </v:shape>
            <v:shape style="position:absolute;left:3672;top:1397;width:51;height:85" coordorigin="3672,1397" coordsize="51,85" path="m3708,1438l3712,1426,3715,1416,3719,1407,3723,1397,3672,1397,3694,1462,3698,1482,3699,1473,3701,1462,3704,1451,3708,1438xe" filled="false" stroked="true" strokeweight=".5pt" strokecolor="#000000">
              <v:path arrowok="t"/>
              <v:stroke dashstyle="solid"/>
            </v:shape>
            <v:shape style="position:absolute;left:2111;top:173;width:590;height:133" type="#_x0000_t202" filled="false" stroked="false">
              <v:textbox inset="0,0,0,0">
                <w:txbxContent>
                  <w:p>
                    <w:pPr>
                      <w:spacing w:line="133" w:lineRule="exact" w:before="0"/>
                      <w:ind w:left="0" w:right="0" w:firstLine="0"/>
                      <w:jc w:val="left"/>
                      <w:rPr>
                        <w:sz w:val="12"/>
                      </w:rPr>
                    </w:pPr>
                    <w:r>
                      <w:rPr>
                        <w:sz w:val="12"/>
                      </w:rPr>
                      <w:t>Input prices</w:t>
                    </w:r>
                  </w:p>
                </w:txbxContent>
              </v:textbox>
              <w10:wrap type="none"/>
            </v:shape>
            <v:shape style="position:absolute;left:3257;top:693;width:834;height:133" type="#_x0000_t202" filled="false" stroked="false">
              <v:textbox inset="0,0,0,0">
                <w:txbxContent>
                  <w:p>
                    <w:pPr>
                      <w:spacing w:line="133" w:lineRule="exact" w:before="0"/>
                      <w:ind w:left="0" w:right="0" w:firstLine="0"/>
                      <w:jc w:val="left"/>
                      <w:rPr>
                        <w:sz w:val="12"/>
                      </w:rPr>
                    </w:pPr>
                    <w:r>
                      <w:rPr>
                        <w:sz w:val="12"/>
                      </w:rPr>
                      <w:t>Output prices (a)</w:t>
                    </w:r>
                  </w:p>
                </w:txbxContent>
              </v:textbox>
              <w10:wrap type="none"/>
            </v:shape>
            <w10:wrap type="none"/>
          </v:group>
        </w:pict>
      </w:r>
      <w:r>
        <w:rPr/>
        <w:pict>
          <v:line style="position:absolute;mso-position-horizontal-relative:page;mso-position-vertical-relative:paragraph;z-index:16053760" from="50.387001pt,7.868563pt" to="45.387001pt,7.868563pt" stroked="true" strokeweight=".5pt" strokecolor="#000000">
            <v:stroke dashstyle="solid"/>
            <w10:wrap type="none"/>
          </v:line>
        </w:pict>
      </w:r>
      <w:r>
        <w:rPr/>
        <w:pict>
          <v:line style="position:absolute;mso-position-horizontal-relative:page;mso-position-vertical-relative:paragraph;z-index:16060928" from="217.386993pt,7.868563pt" to="212.386993pt,7.868563pt" stroked="true" strokeweight=".5pt" strokecolor="#000000">
            <v:stroke dashstyle="solid"/>
            <w10:wrap type="none"/>
          </v:line>
        </w:pict>
      </w:r>
      <w:r>
        <w:rPr>
          <w:sz w:val="12"/>
        </w:rPr>
        <w:t>12</w:t>
      </w:r>
    </w:p>
    <w:p>
      <w:pPr>
        <w:spacing w:before="102"/>
        <w:ind w:left="0" w:right="125" w:firstLine="0"/>
        <w:jc w:val="right"/>
        <w:rPr>
          <w:sz w:val="12"/>
        </w:rPr>
      </w:pPr>
      <w:r>
        <w:rPr/>
        <w:pict>
          <v:line style="position:absolute;mso-position-horizontal-relative:page;mso-position-vertical-relative:paragraph;z-index:16053248" from="50.387001pt,8.868563pt" to="45.387001pt,8.868563pt" stroked="true" strokeweight=".5pt" strokecolor="#000000">
            <v:stroke dashstyle="solid"/>
            <w10:wrap type="none"/>
          </v:line>
        </w:pict>
      </w:r>
      <w:r>
        <w:rPr/>
        <w:pict>
          <v:line style="position:absolute;mso-position-horizontal-relative:page;mso-position-vertical-relative:paragraph;z-index:16060416" from="217.386993pt,8.868563pt" to="212.386993pt,8.868563pt" stroked="true" strokeweight=".5pt" strokecolor="#000000">
            <v:stroke dashstyle="solid"/>
            <w10:wrap type="none"/>
          </v:line>
        </w:pict>
      </w:r>
      <w:r>
        <w:rPr>
          <w:sz w:val="12"/>
        </w:rPr>
        <w:t>10</w:t>
      </w:r>
    </w:p>
    <w:p>
      <w:pPr>
        <w:spacing w:before="82"/>
        <w:ind w:left="0" w:right="125" w:firstLine="0"/>
        <w:jc w:val="right"/>
        <w:rPr>
          <w:sz w:val="12"/>
        </w:rPr>
      </w:pPr>
      <w:r>
        <w:rPr/>
        <w:pict>
          <v:line style="position:absolute;mso-position-horizontal-relative:page;mso-position-vertical-relative:paragraph;z-index:16052736" from="50.387001pt,7.868563pt" to="45.387001pt,7.868563pt" stroked="true" strokeweight=".5pt" strokecolor="#000000">
            <v:stroke dashstyle="solid"/>
            <w10:wrap type="none"/>
          </v:line>
        </w:pict>
      </w:r>
      <w:r>
        <w:rPr/>
        <w:pict>
          <v:line style="position:absolute;mso-position-horizontal-relative:page;mso-position-vertical-relative:paragraph;z-index:16059904" from="217.386993pt,7.868563pt" to="212.386993pt,7.868563pt" stroked="true" strokeweight=".5pt" strokecolor="#000000">
            <v:stroke dashstyle="solid"/>
            <w10:wrap type="none"/>
          </v:line>
        </w:pict>
      </w:r>
      <w:r>
        <w:rPr>
          <w:sz w:val="12"/>
        </w:rPr>
        <w:t>8</w:t>
      </w:r>
    </w:p>
    <w:p>
      <w:pPr>
        <w:spacing w:before="102"/>
        <w:ind w:left="0" w:right="125" w:firstLine="0"/>
        <w:jc w:val="right"/>
        <w:rPr>
          <w:sz w:val="12"/>
        </w:rPr>
      </w:pPr>
      <w:r>
        <w:rPr/>
        <w:pict>
          <v:line style="position:absolute;mso-position-horizontal-relative:page;mso-position-vertical-relative:paragraph;z-index:16052224" from="50.387001pt,8.868563pt" to="45.387001pt,8.868563pt" stroked="true" strokeweight=".5pt" strokecolor="#000000">
            <v:stroke dashstyle="solid"/>
            <w10:wrap type="none"/>
          </v:line>
        </w:pict>
      </w:r>
      <w:r>
        <w:rPr/>
        <w:pict>
          <v:line style="position:absolute;mso-position-horizontal-relative:page;mso-position-vertical-relative:paragraph;z-index:16059392" from="217.386993pt,8.868563pt" to="212.386993pt,8.868563pt" stroked="true" strokeweight=".5pt" strokecolor="#000000">
            <v:stroke dashstyle="solid"/>
            <w10:wrap type="none"/>
          </v:line>
        </w:pict>
      </w:r>
      <w:r>
        <w:rPr>
          <w:sz w:val="12"/>
        </w:rPr>
        <w:t>6</w:t>
      </w:r>
    </w:p>
    <w:p>
      <w:pPr>
        <w:spacing w:before="102"/>
        <w:ind w:left="0" w:right="125" w:firstLine="0"/>
        <w:jc w:val="right"/>
        <w:rPr>
          <w:sz w:val="12"/>
        </w:rPr>
      </w:pPr>
      <w:r>
        <w:rPr/>
        <w:pict>
          <v:line style="position:absolute;mso-position-horizontal-relative:page;mso-position-vertical-relative:paragraph;z-index:16051712" from="50.387001pt,8.868563pt" to="45.387001pt,8.868563pt" stroked="true" strokeweight=".5pt" strokecolor="#000000">
            <v:stroke dashstyle="solid"/>
            <w10:wrap type="none"/>
          </v:line>
        </w:pict>
      </w:r>
      <w:r>
        <w:rPr/>
        <w:pict>
          <v:line style="position:absolute;mso-position-horizontal-relative:page;mso-position-vertical-relative:paragraph;z-index:16058880" from="217.386993pt,8.868563pt" to="212.386993pt,8.868563pt" stroked="true" strokeweight=".5pt" strokecolor="#000000">
            <v:stroke dashstyle="solid"/>
            <w10:wrap type="none"/>
          </v:line>
        </w:pict>
      </w:r>
      <w:r>
        <w:rPr>
          <w:sz w:val="12"/>
        </w:rPr>
        <w:t>4</w:t>
      </w:r>
    </w:p>
    <w:p>
      <w:pPr>
        <w:spacing w:line="107" w:lineRule="exact" w:before="82"/>
        <w:ind w:left="3824" w:right="0" w:firstLine="0"/>
        <w:jc w:val="left"/>
        <w:rPr>
          <w:sz w:val="12"/>
        </w:rPr>
      </w:pPr>
      <w:r>
        <w:rPr/>
        <w:pict>
          <v:line style="position:absolute;mso-position-horizontal-relative:page;mso-position-vertical-relative:paragraph;z-index:16051200" from="50.387001pt,7.868563pt" to="45.387001pt,7.868563pt" stroked="true" strokeweight=".5pt" strokecolor="#000000">
            <v:stroke dashstyle="solid"/>
            <w10:wrap type="none"/>
          </v:line>
        </w:pict>
      </w:r>
      <w:r>
        <w:rPr/>
        <w:pict>
          <v:line style="position:absolute;mso-position-horizontal-relative:page;mso-position-vertical-relative:paragraph;z-index:16058368" from="217.386993pt,7.868563pt" to="212.386993pt,7.868563pt" stroked="true" strokeweight=".5pt" strokecolor="#000000">
            <v:stroke dashstyle="solid"/>
            <w10:wrap type="none"/>
          </v:line>
        </w:pict>
      </w:r>
      <w:r>
        <w:rPr>
          <w:sz w:val="12"/>
        </w:rPr>
        <w:t>2</w:t>
      </w:r>
    </w:p>
    <w:p>
      <w:pPr>
        <w:spacing w:line="143" w:lineRule="exact" w:before="0"/>
        <w:ind w:left="3700" w:right="0" w:firstLine="0"/>
        <w:jc w:val="left"/>
        <w:rPr>
          <w:sz w:val="16"/>
        </w:rPr>
      </w:pPr>
      <w:r>
        <w:rPr>
          <w:sz w:val="16"/>
        </w:rPr>
        <w:t>+</w:t>
      </w:r>
    </w:p>
    <w:p>
      <w:pPr>
        <w:spacing w:line="163" w:lineRule="auto" w:before="3"/>
        <w:ind w:left="3711" w:right="0" w:firstLine="0"/>
        <w:jc w:val="left"/>
        <w:rPr>
          <w:sz w:val="12"/>
        </w:rPr>
      </w:pPr>
      <w:r>
        <w:rPr/>
        <w:pict>
          <v:line style="position:absolute;mso-position-horizontal-relative:page;mso-position-vertical-relative:paragraph;z-index:16050688" from="50.387001pt,3.288563pt" to="45.387001pt,3.288563pt" stroked="true" strokeweight=".5pt" strokecolor="#000000">
            <v:stroke dashstyle="solid"/>
            <w10:wrap type="none"/>
          </v:line>
        </w:pict>
      </w:r>
      <w:r>
        <w:rPr/>
        <w:pict>
          <v:line style="position:absolute;mso-position-horizontal-relative:page;mso-position-vertical-relative:paragraph;z-index:16057856" from="217.386993pt,3.288563pt" to="212.386993pt,3.288563pt" stroked="true" strokeweight=".5pt" strokecolor="#000000">
            <v:stroke dashstyle="solid"/>
            <w10:wrap type="none"/>
          </v:line>
        </w:pict>
      </w:r>
      <w:r>
        <w:rPr>
          <w:color w:val="231F20"/>
          <w:position w:val="-10"/>
          <w:sz w:val="16"/>
        </w:rPr>
        <w:t>–</w:t>
      </w:r>
      <w:r>
        <w:rPr>
          <w:color w:val="231F20"/>
          <w:spacing w:val="-7"/>
          <w:position w:val="-10"/>
          <w:sz w:val="16"/>
        </w:rPr>
        <w:t> </w:t>
      </w:r>
      <w:r>
        <w:rPr>
          <w:sz w:val="12"/>
        </w:rPr>
        <w:t>0</w:t>
      </w:r>
    </w:p>
    <w:p>
      <w:pPr>
        <w:spacing w:before="9"/>
        <w:ind w:left="0" w:right="125" w:firstLine="0"/>
        <w:jc w:val="right"/>
        <w:rPr>
          <w:sz w:val="12"/>
        </w:rPr>
      </w:pPr>
      <w:r>
        <w:rPr/>
        <w:pict>
          <v:line style="position:absolute;mso-position-horizontal-relative:page;mso-position-vertical-relative:paragraph;z-index:16047616" from="50.387001pt,4.218563pt" to="45.387001pt,4.218563pt" stroked="true" strokeweight=".5pt" strokecolor="#000000">
            <v:stroke dashstyle="solid"/>
            <w10:wrap type="none"/>
          </v:line>
        </w:pict>
      </w:r>
      <w:r>
        <w:rPr/>
        <w:pict>
          <v:line style="position:absolute;mso-position-horizontal-relative:page;mso-position-vertical-relative:paragraph;z-index:16054784" from="217.386993pt,4.218563pt" to="212.386993pt,4.218563pt" stroked="true" strokeweight=".5pt" strokecolor="#000000">
            <v:stroke dashstyle="solid"/>
            <w10:wrap type="none"/>
          </v:line>
        </w:pict>
      </w:r>
      <w:r>
        <w:rPr>
          <w:sz w:val="12"/>
        </w:rPr>
        <w:t>2</w:t>
      </w:r>
    </w:p>
    <w:p>
      <w:pPr>
        <w:spacing w:before="102"/>
        <w:ind w:left="0" w:right="125" w:firstLine="0"/>
        <w:jc w:val="right"/>
        <w:rPr>
          <w:sz w:val="12"/>
        </w:rPr>
      </w:pPr>
      <w:r>
        <w:rPr/>
        <w:pict>
          <v:line style="position:absolute;mso-position-horizontal-relative:page;mso-position-vertical-relative:paragraph;z-index:16048128" from="50.387001pt,8.868563pt" to="45.387001pt,8.868563pt" stroked="true" strokeweight=".5pt" strokecolor="#000000">
            <v:stroke dashstyle="solid"/>
            <w10:wrap type="none"/>
          </v:line>
        </w:pict>
      </w:r>
      <w:r>
        <w:rPr/>
        <w:pict>
          <v:line style="position:absolute;mso-position-horizontal-relative:page;mso-position-vertical-relative:paragraph;z-index:16055296" from="217.386993pt,8.868563pt" to="212.386993pt,8.868563pt" stroked="true" strokeweight=".5pt" strokecolor="#000000">
            <v:stroke dashstyle="solid"/>
            <w10:wrap type="none"/>
          </v:line>
        </w:pict>
      </w:r>
      <w:r>
        <w:rPr>
          <w:sz w:val="12"/>
        </w:rPr>
        <w:t>4</w:t>
      </w:r>
    </w:p>
    <w:p>
      <w:pPr>
        <w:spacing w:before="82"/>
        <w:ind w:left="0" w:right="125" w:firstLine="0"/>
        <w:jc w:val="right"/>
        <w:rPr>
          <w:sz w:val="12"/>
        </w:rPr>
      </w:pPr>
      <w:r>
        <w:rPr/>
        <w:pict>
          <v:line style="position:absolute;mso-position-horizontal-relative:page;mso-position-vertical-relative:paragraph;z-index:16048640" from="50.387001pt,7.868563pt" to="45.387001pt,7.868563pt" stroked="true" strokeweight=".5pt" strokecolor="#000000">
            <v:stroke dashstyle="solid"/>
            <w10:wrap type="none"/>
          </v:line>
        </w:pict>
      </w:r>
      <w:r>
        <w:rPr/>
        <w:pict>
          <v:line style="position:absolute;mso-position-horizontal-relative:page;mso-position-vertical-relative:paragraph;z-index:16055808" from="217.386993pt,7.868563pt" to="212.386993pt,7.868563pt" stroked="true" strokeweight=".5pt" strokecolor="#000000">
            <v:stroke dashstyle="solid"/>
            <w10:wrap type="none"/>
          </v:line>
        </w:pict>
      </w:r>
      <w:r>
        <w:rPr>
          <w:sz w:val="12"/>
        </w:rPr>
        <w:t>6</w:t>
      </w:r>
    </w:p>
    <w:p>
      <w:pPr>
        <w:spacing w:before="102"/>
        <w:ind w:left="0" w:right="125" w:firstLine="0"/>
        <w:jc w:val="right"/>
        <w:rPr>
          <w:sz w:val="12"/>
        </w:rPr>
      </w:pPr>
      <w:r>
        <w:rPr/>
        <w:pict>
          <v:line style="position:absolute;mso-position-horizontal-relative:page;mso-position-vertical-relative:paragraph;z-index:16049152" from="50.387001pt,8.868563pt" to="45.387001pt,8.868563pt" stroked="true" strokeweight=".5pt" strokecolor="#000000">
            <v:stroke dashstyle="solid"/>
            <w10:wrap type="none"/>
          </v:line>
        </w:pict>
      </w:r>
      <w:r>
        <w:rPr/>
        <w:pict>
          <v:line style="position:absolute;mso-position-horizontal-relative:page;mso-position-vertical-relative:paragraph;z-index:16056320" from="217.386993pt,8.868563pt" to="212.386993pt,8.868563pt" stroked="true" strokeweight=".5pt" strokecolor="#000000">
            <v:stroke dashstyle="solid"/>
            <w10:wrap type="none"/>
          </v:line>
        </w:pict>
      </w:r>
      <w:r>
        <w:rPr>
          <w:sz w:val="12"/>
        </w:rPr>
        <w:t>8</w:t>
      </w:r>
    </w:p>
    <w:p>
      <w:pPr>
        <w:spacing w:before="83"/>
        <w:ind w:left="0" w:right="125" w:firstLine="0"/>
        <w:jc w:val="right"/>
        <w:rPr>
          <w:sz w:val="12"/>
        </w:rPr>
      </w:pPr>
      <w:r>
        <w:rPr/>
        <w:pict>
          <v:line style="position:absolute;mso-position-horizontal-relative:page;mso-position-vertical-relative:paragraph;z-index:16049664" from="50.387001pt,7.918562pt" to="45.387001pt,7.918562pt" stroked="true" strokeweight=".5pt" strokecolor="#000000">
            <v:stroke dashstyle="solid"/>
            <w10:wrap type="none"/>
          </v:line>
        </w:pict>
      </w:r>
      <w:r>
        <w:rPr/>
        <w:pict>
          <v:line style="position:absolute;mso-position-horizontal-relative:page;mso-position-vertical-relative:paragraph;z-index:16056832" from="217.386993pt,7.918562pt" to="212.386993pt,7.918562pt" stroked="true" strokeweight=".5pt" strokecolor="#000000">
            <v:stroke dashstyle="solid"/>
            <w10:wrap type="none"/>
          </v:line>
        </w:pict>
      </w:r>
      <w:r>
        <w:rPr>
          <w:sz w:val="12"/>
        </w:rPr>
        <w:t>10</w:t>
      </w:r>
    </w:p>
    <w:p>
      <w:pPr>
        <w:spacing w:line="116" w:lineRule="exact" w:before="102"/>
        <w:ind w:left="3764" w:right="0" w:firstLine="0"/>
        <w:jc w:val="left"/>
        <w:rPr>
          <w:sz w:val="12"/>
        </w:rPr>
      </w:pPr>
      <w:r>
        <w:rPr/>
        <w:pict>
          <v:line style="position:absolute;mso-position-horizontal-relative:page;mso-position-vertical-relative:paragraph;z-index:16050176" from="50.387001pt,8.868563pt" to="45.387001pt,8.868563pt" stroked="true" strokeweight=".5pt" strokecolor="#000000">
            <v:stroke dashstyle="solid"/>
            <w10:wrap type="none"/>
          </v:line>
        </w:pict>
      </w:r>
      <w:r>
        <w:rPr/>
        <w:pict>
          <v:line style="position:absolute;mso-position-horizontal-relative:page;mso-position-vertical-relative:paragraph;z-index:16057344" from="217.386993pt,8.868563pt" to="212.386993pt,8.868563pt" stroked="true" strokeweight=".5pt" strokecolor="#000000">
            <v:stroke dashstyle="solid"/>
            <w10:wrap type="none"/>
          </v:line>
        </w:pict>
      </w:r>
      <w:r>
        <w:rPr>
          <w:sz w:val="12"/>
        </w:rPr>
        <w:t>12</w:t>
      </w:r>
    </w:p>
    <w:p>
      <w:pPr>
        <w:tabs>
          <w:tab w:pos="1037" w:val="left" w:leader="none"/>
          <w:tab w:pos="1457" w:val="left" w:leader="none"/>
          <w:tab w:pos="1857" w:val="left" w:leader="none"/>
          <w:tab w:pos="2257" w:val="left" w:leader="none"/>
          <w:tab w:pos="2677" w:val="left" w:leader="none"/>
          <w:tab w:pos="3077" w:val="left" w:leader="none"/>
        </w:tabs>
        <w:spacing w:line="116" w:lineRule="exact" w:before="0"/>
        <w:ind w:left="557" w:right="0" w:firstLine="0"/>
        <w:jc w:val="left"/>
        <w:rPr>
          <w:sz w:val="12"/>
        </w:rPr>
      </w:pPr>
      <w:r>
        <w:rPr>
          <w:sz w:val="12"/>
        </w:rPr>
        <w:t>1991</w:t>
        <w:tab/>
        <w:t>92</w:t>
        <w:tab/>
        <w:t>93</w:t>
        <w:tab/>
        <w:t>94</w:t>
        <w:tab/>
        <w:t>95</w:t>
        <w:tab/>
        <w:t>96</w:t>
        <w:tab/>
        <w:t>97</w:t>
      </w:r>
      <w:r>
        <w:rPr>
          <w:spacing w:val="9"/>
          <w:sz w:val="12"/>
        </w:rPr>
        <w:t> </w:t>
      </w:r>
      <w:r>
        <w:rPr>
          <w:sz w:val="12"/>
        </w:rPr>
        <w:t>98</w:t>
      </w:r>
    </w:p>
    <w:p>
      <w:pPr>
        <w:pStyle w:val="BodyText"/>
        <w:spacing w:before="11"/>
        <w:rPr>
          <w:sz w:val="14"/>
        </w:rPr>
      </w:pPr>
    </w:p>
    <w:p>
      <w:pPr>
        <w:spacing w:before="0"/>
        <w:ind w:left="214" w:right="0" w:firstLine="0"/>
        <w:jc w:val="left"/>
        <w:rPr>
          <w:sz w:val="12"/>
        </w:rPr>
      </w:pPr>
      <w:r>
        <w:rPr>
          <w:color w:val="231F20"/>
          <w:sz w:val="12"/>
        </w:rPr>
        <w:t>(a) Output prices excluding excise duties (PPIY).</w:t>
      </w:r>
    </w:p>
    <w:p>
      <w:pPr>
        <w:pStyle w:val="BodyText"/>
        <w:rPr>
          <w:sz w:val="12"/>
        </w:rPr>
      </w:pPr>
    </w:p>
    <w:p>
      <w:pPr>
        <w:pStyle w:val="BodyText"/>
        <w:spacing w:before="9"/>
        <w:rPr>
          <w:sz w:val="11"/>
        </w:rPr>
      </w:pPr>
    </w:p>
    <w:p>
      <w:pPr>
        <w:pStyle w:val="Heading8"/>
        <w:spacing w:before="0"/>
        <w:ind w:left="195"/>
      </w:pPr>
      <w:r>
        <w:rPr>
          <w:color w:val="0093C1"/>
        </w:rPr>
        <w:t>Table 4.A</w:t>
      </w:r>
    </w:p>
    <w:p>
      <w:pPr>
        <w:spacing w:line="249" w:lineRule="auto" w:before="10"/>
        <w:ind w:left="195" w:right="20" w:firstLine="0"/>
        <w:jc w:val="left"/>
        <w:rPr>
          <w:b/>
          <w:sz w:val="20"/>
        </w:rPr>
      </w:pPr>
      <w:r>
        <w:rPr>
          <w:b/>
          <w:color w:val="0093C1"/>
          <w:sz w:val="20"/>
        </w:rPr>
        <w:t>Rates of change of manufacturers’ costs and prices</w:t>
      </w:r>
    </w:p>
    <w:p>
      <w:pPr>
        <w:spacing w:before="98"/>
        <w:ind w:left="195" w:right="0" w:firstLine="0"/>
        <w:jc w:val="left"/>
        <w:rPr>
          <w:sz w:val="14"/>
        </w:rPr>
      </w:pPr>
      <w:r>
        <w:rPr/>
        <w:pict>
          <v:shape style="position:absolute;margin-left:38.25pt;margin-top:19.197357pt;width:199pt;height:91.8pt;mso-position-horizontal-relative:page;mso-position-vertical-relative:paragraph;z-index:16061952"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25"/>
                    <w:gridCol w:w="564"/>
                    <w:gridCol w:w="386"/>
                    <w:gridCol w:w="430"/>
                    <w:gridCol w:w="370"/>
                    <w:gridCol w:w="135"/>
                    <w:gridCol w:w="349"/>
                    <w:gridCol w:w="321"/>
                  </w:tblGrid>
                  <w:tr>
                    <w:trPr>
                      <w:trHeight w:val="152" w:hRule="atLeast"/>
                    </w:trPr>
                    <w:tc>
                      <w:tcPr>
                        <w:tcW w:w="1425" w:type="dxa"/>
                        <w:vMerge w:val="restart"/>
                      </w:tcPr>
                      <w:p>
                        <w:pPr>
                          <w:pStyle w:val="TableParagraph"/>
                          <w:rPr>
                            <w:sz w:val="20"/>
                          </w:rPr>
                        </w:pPr>
                      </w:p>
                    </w:tc>
                    <w:tc>
                      <w:tcPr>
                        <w:tcW w:w="564" w:type="dxa"/>
                      </w:tcPr>
                      <w:p>
                        <w:pPr>
                          <w:pStyle w:val="TableParagraph"/>
                          <w:spacing w:line="133" w:lineRule="exact"/>
                          <w:ind w:right="213"/>
                          <w:jc w:val="right"/>
                          <w:rPr>
                            <w:sz w:val="14"/>
                          </w:rPr>
                        </w:pPr>
                        <w:r>
                          <w:rPr>
                            <w:color w:val="231F20"/>
                            <w:sz w:val="14"/>
                            <w:u w:val="single" w:color="231F20"/>
                          </w:rPr>
                          <w:t>1996 </w:t>
                        </w:r>
                      </w:p>
                    </w:tc>
                    <w:tc>
                      <w:tcPr>
                        <w:tcW w:w="386" w:type="dxa"/>
                        <w:tcBorders>
                          <w:bottom w:val="single" w:sz="2" w:space="0" w:color="231F20"/>
                        </w:tcBorders>
                      </w:tcPr>
                      <w:p>
                        <w:pPr>
                          <w:pStyle w:val="TableParagraph"/>
                          <w:spacing w:line="112" w:lineRule="exact"/>
                          <w:ind w:right="84"/>
                          <w:jc w:val="right"/>
                          <w:rPr>
                            <w:sz w:val="14"/>
                          </w:rPr>
                        </w:pPr>
                        <w:r>
                          <w:rPr>
                            <w:color w:val="231F20"/>
                            <w:sz w:val="14"/>
                          </w:rPr>
                          <w:t>1997</w:t>
                        </w:r>
                      </w:p>
                    </w:tc>
                    <w:tc>
                      <w:tcPr>
                        <w:tcW w:w="430" w:type="dxa"/>
                        <w:tcBorders>
                          <w:bottom w:val="single" w:sz="2" w:space="0" w:color="231F20"/>
                        </w:tcBorders>
                      </w:tcPr>
                      <w:p>
                        <w:pPr>
                          <w:pStyle w:val="TableParagraph"/>
                          <w:rPr>
                            <w:sz w:val="8"/>
                          </w:rPr>
                        </w:pPr>
                      </w:p>
                    </w:tc>
                    <w:tc>
                      <w:tcPr>
                        <w:tcW w:w="370" w:type="dxa"/>
                        <w:tcBorders>
                          <w:bottom w:val="single" w:sz="2" w:space="0" w:color="231F20"/>
                        </w:tcBorders>
                      </w:tcPr>
                      <w:p>
                        <w:pPr>
                          <w:pStyle w:val="TableParagraph"/>
                          <w:rPr>
                            <w:sz w:val="8"/>
                          </w:rPr>
                        </w:pPr>
                      </w:p>
                    </w:tc>
                    <w:tc>
                      <w:tcPr>
                        <w:tcW w:w="135" w:type="dxa"/>
                      </w:tcPr>
                      <w:p>
                        <w:pPr>
                          <w:pStyle w:val="TableParagraph"/>
                          <w:rPr>
                            <w:sz w:val="8"/>
                          </w:rPr>
                        </w:pPr>
                      </w:p>
                    </w:tc>
                    <w:tc>
                      <w:tcPr>
                        <w:tcW w:w="349" w:type="dxa"/>
                        <w:tcBorders>
                          <w:bottom w:val="single" w:sz="2" w:space="0" w:color="231F20"/>
                        </w:tcBorders>
                      </w:tcPr>
                      <w:p>
                        <w:pPr>
                          <w:pStyle w:val="TableParagraph"/>
                          <w:spacing w:line="112" w:lineRule="exact"/>
                          <w:rPr>
                            <w:sz w:val="14"/>
                          </w:rPr>
                        </w:pPr>
                        <w:r>
                          <w:rPr>
                            <w:color w:val="231F20"/>
                            <w:sz w:val="14"/>
                          </w:rPr>
                          <w:t>1998</w:t>
                        </w:r>
                      </w:p>
                    </w:tc>
                    <w:tc>
                      <w:tcPr>
                        <w:tcW w:w="321" w:type="dxa"/>
                        <w:tcBorders>
                          <w:bottom w:val="single" w:sz="2" w:space="0" w:color="231F20"/>
                        </w:tcBorders>
                      </w:tcPr>
                      <w:p>
                        <w:pPr>
                          <w:pStyle w:val="TableParagraph"/>
                          <w:rPr>
                            <w:sz w:val="8"/>
                          </w:rPr>
                        </w:pPr>
                      </w:p>
                    </w:tc>
                  </w:tr>
                  <w:tr>
                    <w:trPr>
                      <w:trHeight w:val="199" w:hRule="atLeast"/>
                    </w:trPr>
                    <w:tc>
                      <w:tcPr>
                        <w:tcW w:w="1425" w:type="dxa"/>
                        <w:vMerge/>
                        <w:tcBorders>
                          <w:top w:val="nil"/>
                        </w:tcBorders>
                      </w:tcPr>
                      <w:p>
                        <w:pPr>
                          <w:rPr>
                            <w:sz w:val="2"/>
                            <w:szCs w:val="2"/>
                          </w:rPr>
                        </w:pPr>
                      </w:p>
                    </w:tc>
                    <w:tc>
                      <w:tcPr>
                        <w:tcW w:w="564" w:type="dxa"/>
                      </w:tcPr>
                      <w:p>
                        <w:pPr>
                          <w:pStyle w:val="TableParagraph"/>
                          <w:spacing w:line="138" w:lineRule="exact"/>
                          <w:ind w:right="212"/>
                          <w:jc w:val="right"/>
                          <w:rPr>
                            <w:sz w:val="14"/>
                          </w:rPr>
                        </w:pPr>
                        <w:r>
                          <w:rPr>
                            <w:color w:val="231F20"/>
                            <w:sz w:val="14"/>
                            <w:u w:val="single" w:color="231F20"/>
                          </w:rPr>
                          <w:t>Year </w:t>
                        </w:r>
                      </w:p>
                    </w:tc>
                    <w:tc>
                      <w:tcPr>
                        <w:tcW w:w="386" w:type="dxa"/>
                        <w:tcBorders>
                          <w:top w:val="single" w:sz="2" w:space="0" w:color="231F20"/>
                        </w:tcBorders>
                      </w:tcPr>
                      <w:p>
                        <w:pPr>
                          <w:pStyle w:val="TableParagraph"/>
                          <w:spacing w:line="158" w:lineRule="exact"/>
                          <w:ind w:right="48"/>
                          <w:jc w:val="right"/>
                          <w:rPr>
                            <w:sz w:val="14"/>
                          </w:rPr>
                        </w:pPr>
                        <w:r>
                          <w:rPr>
                            <w:color w:val="231F20"/>
                            <w:sz w:val="14"/>
                            <w:u w:val="single" w:color="231F20"/>
                          </w:rPr>
                          <w:t>Year </w:t>
                        </w:r>
                      </w:p>
                    </w:tc>
                    <w:tc>
                      <w:tcPr>
                        <w:tcW w:w="430" w:type="dxa"/>
                        <w:tcBorders>
                          <w:top w:val="single" w:sz="2" w:space="0" w:color="231F20"/>
                        </w:tcBorders>
                      </w:tcPr>
                      <w:p>
                        <w:pPr>
                          <w:pStyle w:val="TableParagraph"/>
                          <w:spacing w:line="158" w:lineRule="exact"/>
                          <w:ind w:left="77" w:right="105"/>
                          <w:jc w:val="center"/>
                          <w:rPr>
                            <w:sz w:val="14"/>
                          </w:rPr>
                        </w:pPr>
                        <w:r>
                          <w:rPr>
                            <w:color w:val="231F20"/>
                            <w:sz w:val="14"/>
                          </w:rPr>
                          <w:t>Q3</w:t>
                        </w:r>
                      </w:p>
                    </w:tc>
                    <w:tc>
                      <w:tcPr>
                        <w:tcW w:w="370" w:type="dxa"/>
                        <w:tcBorders>
                          <w:top w:val="single" w:sz="2" w:space="0" w:color="231F20"/>
                        </w:tcBorders>
                      </w:tcPr>
                      <w:p>
                        <w:pPr>
                          <w:pStyle w:val="TableParagraph"/>
                          <w:spacing w:line="158" w:lineRule="exact"/>
                          <w:ind w:left="34" w:right="5"/>
                          <w:jc w:val="center"/>
                          <w:rPr>
                            <w:sz w:val="14"/>
                          </w:rPr>
                        </w:pPr>
                        <w:r>
                          <w:rPr>
                            <w:color w:val="231F20"/>
                            <w:sz w:val="14"/>
                          </w:rPr>
                          <w:t>Q4</w:t>
                        </w:r>
                      </w:p>
                    </w:tc>
                    <w:tc>
                      <w:tcPr>
                        <w:tcW w:w="135" w:type="dxa"/>
                      </w:tcPr>
                      <w:p>
                        <w:pPr>
                          <w:pStyle w:val="TableParagraph"/>
                          <w:rPr>
                            <w:sz w:val="12"/>
                          </w:rPr>
                        </w:pPr>
                      </w:p>
                    </w:tc>
                    <w:tc>
                      <w:tcPr>
                        <w:tcW w:w="349" w:type="dxa"/>
                        <w:tcBorders>
                          <w:top w:val="single" w:sz="2" w:space="0" w:color="231F20"/>
                        </w:tcBorders>
                      </w:tcPr>
                      <w:p>
                        <w:pPr>
                          <w:pStyle w:val="TableParagraph"/>
                          <w:spacing w:line="158" w:lineRule="exact"/>
                          <w:ind w:left="-1"/>
                          <w:rPr>
                            <w:sz w:val="14"/>
                          </w:rPr>
                        </w:pPr>
                        <w:r>
                          <w:rPr>
                            <w:color w:val="231F20"/>
                            <w:sz w:val="14"/>
                            <w:u w:val="single" w:color="231F20"/>
                          </w:rPr>
                          <w:t>Q1 </w:t>
                        </w:r>
                      </w:p>
                    </w:tc>
                    <w:tc>
                      <w:tcPr>
                        <w:tcW w:w="321" w:type="dxa"/>
                        <w:tcBorders>
                          <w:top w:val="single" w:sz="2" w:space="0" w:color="231F20"/>
                        </w:tcBorders>
                      </w:tcPr>
                      <w:p>
                        <w:pPr>
                          <w:pStyle w:val="TableParagraph"/>
                          <w:spacing w:line="158" w:lineRule="exact"/>
                          <w:ind w:right="58"/>
                          <w:jc w:val="right"/>
                          <w:rPr>
                            <w:sz w:val="14"/>
                          </w:rPr>
                        </w:pPr>
                        <w:r>
                          <w:rPr>
                            <w:color w:val="231F20"/>
                            <w:spacing w:val="-81"/>
                            <w:sz w:val="14"/>
                          </w:rPr>
                          <w:t>Q</w:t>
                        </w:r>
                        <w:r>
                          <w:rPr>
                            <w:color w:val="231F20"/>
                            <w:spacing w:val="43"/>
                            <w:sz w:val="14"/>
                            <w:u w:val="single" w:color="231F20"/>
                          </w:rPr>
                          <w:t> </w:t>
                        </w:r>
                        <w:r>
                          <w:rPr>
                            <w:color w:val="231F20"/>
                            <w:sz w:val="14"/>
                          </w:rPr>
                          <w:t>2</w:t>
                        </w:r>
                      </w:p>
                    </w:tc>
                  </w:tr>
                  <w:tr>
                    <w:trPr>
                      <w:trHeight w:val="350" w:hRule="atLeast"/>
                    </w:trPr>
                    <w:tc>
                      <w:tcPr>
                        <w:tcW w:w="1425" w:type="dxa"/>
                      </w:tcPr>
                      <w:p>
                        <w:pPr>
                          <w:pStyle w:val="TableParagraph"/>
                          <w:spacing w:line="150" w:lineRule="exact" w:before="56"/>
                          <w:ind w:left="50"/>
                          <w:rPr>
                            <w:b/>
                            <w:sz w:val="14"/>
                          </w:rPr>
                        </w:pPr>
                        <w:r>
                          <w:rPr>
                            <w:b/>
                            <w:color w:val="231F20"/>
                            <w:sz w:val="14"/>
                          </w:rPr>
                          <w:t>Unit costs</w:t>
                        </w:r>
                      </w:p>
                      <w:p>
                        <w:pPr>
                          <w:pStyle w:val="TableParagraph"/>
                          <w:spacing w:line="123" w:lineRule="exact"/>
                          <w:ind w:left="50"/>
                          <w:rPr>
                            <w:sz w:val="14"/>
                          </w:rPr>
                        </w:pPr>
                        <w:r>
                          <w:rPr>
                            <w:color w:val="231F20"/>
                            <w:sz w:val="14"/>
                          </w:rPr>
                          <w:t>Unit labour cost</w:t>
                        </w:r>
                      </w:p>
                    </w:tc>
                    <w:tc>
                      <w:tcPr>
                        <w:tcW w:w="564" w:type="dxa"/>
                      </w:tcPr>
                      <w:p>
                        <w:pPr>
                          <w:pStyle w:val="TableParagraph"/>
                          <w:spacing w:before="1"/>
                          <w:rPr>
                            <w:sz w:val="17"/>
                          </w:rPr>
                        </w:pPr>
                      </w:p>
                      <w:p>
                        <w:pPr>
                          <w:pStyle w:val="TableParagraph"/>
                          <w:spacing w:line="133" w:lineRule="exact"/>
                          <w:ind w:right="216"/>
                          <w:jc w:val="right"/>
                          <w:rPr>
                            <w:sz w:val="14"/>
                          </w:rPr>
                        </w:pPr>
                        <w:r>
                          <w:rPr>
                            <w:color w:val="231F20"/>
                            <w:sz w:val="14"/>
                          </w:rPr>
                          <w:t>5.7</w:t>
                        </w:r>
                      </w:p>
                    </w:tc>
                    <w:tc>
                      <w:tcPr>
                        <w:tcW w:w="386" w:type="dxa"/>
                      </w:tcPr>
                      <w:p>
                        <w:pPr>
                          <w:pStyle w:val="TableParagraph"/>
                          <w:spacing w:before="1"/>
                          <w:rPr>
                            <w:sz w:val="17"/>
                          </w:rPr>
                        </w:pPr>
                      </w:p>
                      <w:p>
                        <w:pPr>
                          <w:pStyle w:val="TableParagraph"/>
                          <w:spacing w:line="133" w:lineRule="exact"/>
                          <w:ind w:left="46"/>
                          <w:rPr>
                            <w:sz w:val="14"/>
                          </w:rPr>
                        </w:pPr>
                        <w:r>
                          <w:rPr>
                            <w:color w:val="231F20"/>
                            <w:sz w:val="14"/>
                          </w:rPr>
                          <w:t>2.9</w:t>
                        </w:r>
                      </w:p>
                    </w:tc>
                    <w:tc>
                      <w:tcPr>
                        <w:tcW w:w="430" w:type="dxa"/>
                      </w:tcPr>
                      <w:p>
                        <w:pPr>
                          <w:pStyle w:val="TableParagraph"/>
                          <w:spacing w:before="1"/>
                          <w:rPr>
                            <w:sz w:val="17"/>
                          </w:rPr>
                        </w:pPr>
                      </w:p>
                      <w:p>
                        <w:pPr>
                          <w:pStyle w:val="TableParagraph"/>
                          <w:spacing w:line="133" w:lineRule="exact"/>
                          <w:ind w:left="95" w:right="90"/>
                          <w:jc w:val="center"/>
                          <w:rPr>
                            <w:sz w:val="14"/>
                          </w:rPr>
                        </w:pPr>
                        <w:r>
                          <w:rPr>
                            <w:color w:val="231F20"/>
                            <w:sz w:val="14"/>
                          </w:rPr>
                          <w:t>0.4</w:t>
                        </w:r>
                      </w:p>
                    </w:tc>
                    <w:tc>
                      <w:tcPr>
                        <w:tcW w:w="370" w:type="dxa"/>
                      </w:tcPr>
                      <w:p>
                        <w:pPr>
                          <w:pStyle w:val="TableParagraph"/>
                          <w:spacing w:before="1"/>
                          <w:rPr>
                            <w:sz w:val="17"/>
                          </w:rPr>
                        </w:pPr>
                      </w:p>
                      <w:p>
                        <w:pPr>
                          <w:pStyle w:val="TableParagraph"/>
                          <w:spacing w:line="133" w:lineRule="exact"/>
                          <w:ind w:left="149" w:right="4"/>
                          <w:jc w:val="center"/>
                          <w:rPr>
                            <w:sz w:val="14"/>
                          </w:rPr>
                        </w:pPr>
                        <w:r>
                          <w:rPr>
                            <w:color w:val="231F20"/>
                            <w:sz w:val="14"/>
                          </w:rPr>
                          <w:t>2.0</w:t>
                        </w:r>
                      </w:p>
                    </w:tc>
                    <w:tc>
                      <w:tcPr>
                        <w:tcW w:w="135" w:type="dxa"/>
                      </w:tcPr>
                      <w:p>
                        <w:pPr>
                          <w:pStyle w:val="TableParagraph"/>
                          <w:rPr>
                            <w:sz w:val="20"/>
                          </w:rPr>
                        </w:pPr>
                      </w:p>
                    </w:tc>
                    <w:tc>
                      <w:tcPr>
                        <w:tcW w:w="349" w:type="dxa"/>
                      </w:tcPr>
                      <w:p>
                        <w:pPr>
                          <w:pStyle w:val="TableParagraph"/>
                          <w:spacing w:before="1"/>
                          <w:rPr>
                            <w:sz w:val="17"/>
                          </w:rPr>
                        </w:pPr>
                      </w:p>
                      <w:p>
                        <w:pPr>
                          <w:pStyle w:val="TableParagraph"/>
                          <w:spacing w:line="133" w:lineRule="exact"/>
                          <w:ind w:left="55"/>
                          <w:rPr>
                            <w:sz w:val="14"/>
                          </w:rPr>
                        </w:pPr>
                        <w:r>
                          <w:rPr>
                            <w:color w:val="231F20"/>
                            <w:sz w:val="14"/>
                          </w:rPr>
                          <w:t>2.5</w:t>
                        </w:r>
                      </w:p>
                    </w:tc>
                    <w:tc>
                      <w:tcPr>
                        <w:tcW w:w="321" w:type="dxa"/>
                      </w:tcPr>
                      <w:p>
                        <w:pPr>
                          <w:pStyle w:val="TableParagraph"/>
                          <w:spacing w:before="1"/>
                          <w:rPr>
                            <w:sz w:val="17"/>
                          </w:rPr>
                        </w:pPr>
                      </w:p>
                      <w:p>
                        <w:pPr>
                          <w:pStyle w:val="TableParagraph"/>
                          <w:spacing w:line="133" w:lineRule="exact"/>
                          <w:ind w:right="27"/>
                          <w:jc w:val="right"/>
                          <w:rPr>
                            <w:sz w:val="14"/>
                          </w:rPr>
                        </w:pPr>
                        <w:r>
                          <w:rPr>
                            <w:color w:val="231F20"/>
                            <w:sz w:val="14"/>
                          </w:rPr>
                          <w:t>0.9</w:t>
                        </w:r>
                      </w:p>
                    </w:tc>
                  </w:tr>
                  <w:tr>
                    <w:trPr>
                      <w:trHeight w:val="280" w:hRule="atLeast"/>
                    </w:trPr>
                    <w:tc>
                      <w:tcPr>
                        <w:tcW w:w="1989" w:type="dxa"/>
                        <w:gridSpan w:val="2"/>
                      </w:tcPr>
                      <w:p>
                        <w:pPr>
                          <w:pStyle w:val="TableParagraph"/>
                          <w:spacing w:line="140" w:lineRule="exact" w:before="5"/>
                          <w:ind w:left="120" w:right="476" w:hanging="70"/>
                          <w:rPr>
                            <w:sz w:val="14"/>
                          </w:rPr>
                        </w:pPr>
                        <w:r>
                          <w:rPr>
                            <w:color w:val="231F20"/>
                            <w:sz w:val="14"/>
                          </w:rPr>
                          <w:t>Materials and fuels (including semi-finished</w:t>
                        </w:r>
                      </w:p>
                    </w:tc>
                    <w:tc>
                      <w:tcPr>
                        <w:tcW w:w="386" w:type="dxa"/>
                      </w:tcPr>
                      <w:p>
                        <w:pPr>
                          <w:pStyle w:val="TableParagraph"/>
                          <w:rPr>
                            <w:sz w:val="20"/>
                          </w:rPr>
                        </w:pPr>
                      </w:p>
                    </w:tc>
                    <w:tc>
                      <w:tcPr>
                        <w:tcW w:w="430" w:type="dxa"/>
                      </w:tcPr>
                      <w:p>
                        <w:pPr>
                          <w:pStyle w:val="TableParagraph"/>
                          <w:rPr>
                            <w:sz w:val="20"/>
                          </w:rPr>
                        </w:pPr>
                      </w:p>
                    </w:tc>
                    <w:tc>
                      <w:tcPr>
                        <w:tcW w:w="370" w:type="dxa"/>
                      </w:tcPr>
                      <w:p>
                        <w:pPr>
                          <w:pStyle w:val="TableParagraph"/>
                          <w:rPr>
                            <w:sz w:val="20"/>
                          </w:rPr>
                        </w:pPr>
                      </w:p>
                    </w:tc>
                    <w:tc>
                      <w:tcPr>
                        <w:tcW w:w="135" w:type="dxa"/>
                      </w:tcPr>
                      <w:p>
                        <w:pPr>
                          <w:pStyle w:val="TableParagraph"/>
                          <w:rPr>
                            <w:sz w:val="20"/>
                          </w:rPr>
                        </w:pPr>
                      </w:p>
                    </w:tc>
                    <w:tc>
                      <w:tcPr>
                        <w:tcW w:w="349" w:type="dxa"/>
                      </w:tcPr>
                      <w:p>
                        <w:pPr>
                          <w:pStyle w:val="TableParagraph"/>
                          <w:rPr>
                            <w:sz w:val="20"/>
                          </w:rPr>
                        </w:pPr>
                      </w:p>
                    </w:tc>
                    <w:tc>
                      <w:tcPr>
                        <w:tcW w:w="321" w:type="dxa"/>
                      </w:tcPr>
                      <w:p>
                        <w:pPr>
                          <w:pStyle w:val="TableParagraph"/>
                          <w:rPr>
                            <w:sz w:val="20"/>
                          </w:rPr>
                        </w:pPr>
                      </w:p>
                    </w:tc>
                  </w:tr>
                  <w:tr>
                    <w:trPr>
                      <w:trHeight w:val="415" w:hRule="atLeast"/>
                    </w:trPr>
                    <w:tc>
                      <w:tcPr>
                        <w:tcW w:w="1425" w:type="dxa"/>
                      </w:tcPr>
                      <w:p>
                        <w:pPr>
                          <w:pStyle w:val="TableParagraph"/>
                          <w:spacing w:line="140" w:lineRule="exact"/>
                          <w:ind w:left="50" w:right="6" w:firstLine="70"/>
                          <w:rPr>
                            <w:sz w:val="14"/>
                          </w:rPr>
                        </w:pPr>
                        <w:r>
                          <w:rPr>
                            <w:color w:val="231F20"/>
                            <w:sz w:val="14"/>
                          </w:rPr>
                          <w:t>manufactured imports) Imports of finished manufactures</w:t>
                        </w:r>
                      </w:p>
                    </w:tc>
                    <w:tc>
                      <w:tcPr>
                        <w:tcW w:w="564" w:type="dxa"/>
                      </w:tcPr>
                      <w:p>
                        <w:pPr>
                          <w:pStyle w:val="TableParagraph"/>
                          <w:spacing w:line="143" w:lineRule="exact"/>
                          <w:ind w:left="123"/>
                          <w:rPr>
                            <w:sz w:val="14"/>
                          </w:rPr>
                        </w:pPr>
                        <w:r>
                          <w:rPr>
                            <w:color w:val="231F20"/>
                            <w:sz w:val="14"/>
                          </w:rPr>
                          <w:t>-1.1</w:t>
                        </w:r>
                      </w:p>
                      <w:p>
                        <w:pPr>
                          <w:pStyle w:val="TableParagraph"/>
                          <w:spacing w:line="133" w:lineRule="exact" w:before="119"/>
                          <w:ind w:left="170"/>
                          <w:rPr>
                            <w:sz w:val="14"/>
                          </w:rPr>
                        </w:pPr>
                        <w:r>
                          <w:rPr>
                            <w:color w:val="231F20"/>
                            <w:sz w:val="14"/>
                          </w:rPr>
                          <w:t>0.8</w:t>
                        </w:r>
                      </w:p>
                    </w:tc>
                    <w:tc>
                      <w:tcPr>
                        <w:tcW w:w="386" w:type="dxa"/>
                      </w:tcPr>
                      <w:p>
                        <w:pPr>
                          <w:pStyle w:val="TableParagraph"/>
                          <w:spacing w:line="143" w:lineRule="exact"/>
                          <w:ind w:left="-1"/>
                          <w:rPr>
                            <w:sz w:val="14"/>
                          </w:rPr>
                        </w:pPr>
                        <w:r>
                          <w:rPr>
                            <w:color w:val="231F20"/>
                            <w:sz w:val="14"/>
                          </w:rPr>
                          <w:t>-8.4</w:t>
                        </w:r>
                      </w:p>
                      <w:p>
                        <w:pPr>
                          <w:pStyle w:val="TableParagraph"/>
                          <w:spacing w:line="133" w:lineRule="exact" w:before="119"/>
                          <w:ind w:left="-1"/>
                          <w:rPr>
                            <w:sz w:val="14"/>
                          </w:rPr>
                        </w:pPr>
                        <w:r>
                          <w:rPr>
                            <w:color w:val="231F20"/>
                            <w:sz w:val="14"/>
                          </w:rPr>
                          <w:t>-5.6</w:t>
                        </w:r>
                      </w:p>
                    </w:tc>
                    <w:tc>
                      <w:tcPr>
                        <w:tcW w:w="430" w:type="dxa"/>
                      </w:tcPr>
                      <w:p>
                        <w:pPr>
                          <w:pStyle w:val="TableParagraph"/>
                          <w:spacing w:line="143" w:lineRule="exact"/>
                          <w:ind w:left="83"/>
                          <w:rPr>
                            <w:sz w:val="14"/>
                          </w:rPr>
                        </w:pPr>
                        <w:r>
                          <w:rPr>
                            <w:color w:val="231F20"/>
                            <w:sz w:val="14"/>
                          </w:rPr>
                          <w:t>-0.7</w:t>
                        </w:r>
                      </w:p>
                      <w:p>
                        <w:pPr>
                          <w:pStyle w:val="TableParagraph"/>
                          <w:spacing w:line="133" w:lineRule="exact" w:before="119"/>
                          <w:ind w:left="83"/>
                          <w:rPr>
                            <w:sz w:val="14"/>
                          </w:rPr>
                        </w:pPr>
                        <w:r>
                          <w:rPr>
                            <w:color w:val="231F20"/>
                            <w:sz w:val="14"/>
                          </w:rPr>
                          <w:t>-1.1</w:t>
                        </w:r>
                      </w:p>
                    </w:tc>
                    <w:tc>
                      <w:tcPr>
                        <w:tcW w:w="370" w:type="dxa"/>
                      </w:tcPr>
                      <w:p>
                        <w:pPr>
                          <w:pStyle w:val="TableParagraph"/>
                          <w:spacing w:line="143" w:lineRule="exact"/>
                          <w:ind w:left="123"/>
                          <w:rPr>
                            <w:sz w:val="14"/>
                          </w:rPr>
                        </w:pPr>
                        <w:r>
                          <w:rPr>
                            <w:color w:val="231F20"/>
                            <w:sz w:val="14"/>
                          </w:rPr>
                          <w:t>-2.7</w:t>
                        </w:r>
                      </w:p>
                      <w:p>
                        <w:pPr>
                          <w:pStyle w:val="TableParagraph"/>
                          <w:spacing w:line="133" w:lineRule="exact" w:before="119"/>
                          <w:ind w:left="170"/>
                          <w:rPr>
                            <w:sz w:val="14"/>
                          </w:rPr>
                        </w:pPr>
                        <w:r>
                          <w:rPr>
                            <w:color w:val="231F20"/>
                            <w:sz w:val="14"/>
                          </w:rPr>
                          <w:t>0.2</w:t>
                        </w:r>
                      </w:p>
                    </w:tc>
                    <w:tc>
                      <w:tcPr>
                        <w:tcW w:w="135" w:type="dxa"/>
                      </w:tcPr>
                      <w:p>
                        <w:pPr>
                          <w:pStyle w:val="TableParagraph"/>
                          <w:rPr>
                            <w:sz w:val="20"/>
                          </w:rPr>
                        </w:pPr>
                      </w:p>
                    </w:tc>
                    <w:tc>
                      <w:tcPr>
                        <w:tcW w:w="349" w:type="dxa"/>
                      </w:tcPr>
                      <w:p>
                        <w:pPr>
                          <w:pStyle w:val="TableParagraph"/>
                          <w:spacing w:line="143" w:lineRule="exact"/>
                          <w:ind w:left="8"/>
                          <w:rPr>
                            <w:sz w:val="14"/>
                          </w:rPr>
                        </w:pPr>
                        <w:r>
                          <w:rPr>
                            <w:color w:val="231F20"/>
                            <w:sz w:val="14"/>
                          </w:rPr>
                          <w:t>-3.9</w:t>
                        </w:r>
                      </w:p>
                      <w:p>
                        <w:pPr>
                          <w:pStyle w:val="TableParagraph"/>
                          <w:spacing w:line="133" w:lineRule="exact" w:before="119"/>
                          <w:ind w:left="8"/>
                          <w:rPr>
                            <w:sz w:val="14"/>
                          </w:rPr>
                        </w:pPr>
                        <w:r>
                          <w:rPr>
                            <w:color w:val="231F20"/>
                            <w:sz w:val="14"/>
                          </w:rPr>
                          <w:t>-0.2</w:t>
                        </w:r>
                      </w:p>
                    </w:tc>
                    <w:tc>
                      <w:tcPr>
                        <w:tcW w:w="321" w:type="dxa"/>
                      </w:tcPr>
                      <w:p>
                        <w:pPr>
                          <w:pStyle w:val="TableParagraph"/>
                          <w:spacing w:line="143" w:lineRule="exact"/>
                          <w:ind w:left="69"/>
                          <w:rPr>
                            <w:sz w:val="14"/>
                          </w:rPr>
                        </w:pPr>
                        <w:r>
                          <w:rPr>
                            <w:color w:val="231F20"/>
                            <w:sz w:val="14"/>
                          </w:rPr>
                          <w:t>-1.8</w:t>
                        </w:r>
                      </w:p>
                      <w:p>
                        <w:pPr>
                          <w:pStyle w:val="TableParagraph"/>
                          <w:spacing w:line="133" w:lineRule="exact" w:before="119"/>
                          <w:ind w:left="69"/>
                          <w:rPr>
                            <w:sz w:val="14"/>
                          </w:rPr>
                        </w:pPr>
                        <w:r>
                          <w:rPr>
                            <w:color w:val="231F20"/>
                            <w:sz w:val="14"/>
                          </w:rPr>
                          <w:t>-0.5</w:t>
                        </w:r>
                      </w:p>
                    </w:tc>
                  </w:tr>
                  <w:tr>
                    <w:trPr>
                      <w:trHeight w:val="135" w:hRule="atLeast"/>
                    </w:trPr>
                    <w:tc>
                      <w:tcPr>
                        <w:tcW w:w="1425" w:type="dxa"/>
                      </w:tcPr>
                      <w:p>
                        <w:pPr>
                          <w:pStyle w:val="TableParagraph"/>
                          <w:spacing w:line="115" w:lineRule="exact"/>
                          <w:ind w:left="50"/>
                          <w:rPr>
                            <w:sz w:val="14"/>
                          </w:rPr>
                        </w:pPr>
                        <w:r>
                          <w:rPr>
                            <w:color w:val="231F20"/>
                            <w:sz w:val="14"/>
                          </w:rPr>
                          <w:t>Services</w:t>
                        </w:r>
                      </w:p>
                    </w:tc>
                    <w:tc>
                      <w:tcPr>
                        <w:tcW w:w="564" w:type="dxa"/>
                      </w:tcPr>
                      <w:p>
                        <w:pPr>
                          <w:pStyle w:val="TableParagraph"/>
                          <w:spacing w:line="115" w:lineRule="exact"/>
                          <w:ind w:right="216"/>
                          <w:jc w:val="right"/>
                          <w:rPr>
                            <w:sz w:val="14"/>
                          </w:rPr>
                        </w:pPr>
                        <w:r>
                          <w:rPr>
                            <w:color w:val="231F20"/>
                            <w:sz w:val="14"/>
                          </w:rPr>
                          <w:t>0.3</w:t>
                        </w:r>
                      </w:p>
                    </w:tc>
                    <w:tc>
                      <w:tcPr>
                        <w:tcW w:w="386" w:type="dxa"/>
                      </w:tcPr>
                      <w:p>
                        <w:pPr>
                          <w:pStyle w:val="TableParagraph"/>
                          <w:spacing w:line="115" w:lineRule="exact"/>
                          <w:ind w:left="46"/>
                          <w:rPr>
                            <w:sz w:val="14"/>
                          </w:rPr>
                        </w:pPr>
                        <w:r>
                          <w:rPr>
                            <w:color w:val="231F20"/>
                            <w:sz w:val="14"/>
                          </w:rPr>
                          <w:t>2.6</w:t>
                        </w:r>
                      </w:p>
                    </w:tc>
                    <w:tc>
                      <w:tcPr>
                        <w:tcW w:w="430" w:type="dxa"/>
                      </w:tcPr>
                      <w:p>
                        <w:pPr>
                          <w:pStyle w:val="TableParagraph"/>
                          <w:spacing w:line="115" w:lineRule="exact"/>
                          <w:ind w:left="95" w:right="90"/>
                          <w:jc w:val="center"/>
                          <w:rPr>
                            <w:sz w:val="14"/>
                          </w:rPr>
                        </w:pPr>
                        <w:r>
                          <w:rPr>
                            <w:color w:val="231F20"/>
                            <w:sz w:val="14"/>
                          </w:rPr>
                          <w:t>0.3</w:t>
                        </w:r>
                      </w:p>
                    </w:tc>
                    <w:tc>
                      <w:tcPr>
                        <w:tcW w:w="370" w:type="dxa"/>
                      </w:tcPr>
                      <w:p>
                        <w:pPr>
                          <w:pStyle w:val="TableParagraph"/>
                          <w:spacing w:line="115" w:lineRule="exact"/>
                          <w:ind w:left="149" w:right="4"/>
                          <w:jc w:val="center"/>
                          <w:rPr>
                            <w:sz w:val="14"/>
                          </w:rPr>
                        </w:pPr>
                        <w:r>
                          <w:rPr>
                            <w:color w:val="231F20"/>
                            <w:sz w:val="14"/>
                          </w:rPr>
                          <w:t>0.5</w:t>
                        </w:r>
                      </w:p>
                    </w:tc>
                    <w:tc>
                      <w:tcPr>
                        <w:tcW w:w="135" w:type="dxa"/>
                      </w:tcPr>
                      <w:p>
                        <w:pPr>
                          <w:pStyle w:val="TableParagraph"/>
                          <w:rPr>
                            <w:sz w:val="8"/>
                          </w:rPr>
                        </w:pPr>
                      </w:p>
                    </w:tc>
                    <w:tc>
                      <w:tcPr>
                        <w:tcW w:w="349" w:type="dxa"/>
                      </w:tcPr>
                      <w:p>
                        <w:pPr>
                          <w:pStyle w:val="TableParagraph"/>
                          <w:spacing w:line="115" w:lineRule="exact"/>
                          <w:ind w:left="55"/>
                          <w:rPr>
                            <w:sz w:val="14"/>
                          </w:rPr>
                        </w:pPr>
                        <w:r>
                          <w:rPr>
                            <w:color w:val="231F20"/>
                            <w:sz w:val="14"/>
                          </w:rPr>
                          <w:t>0.5</w:t>
                        </w:r>
                      </w:p>
                    </w:tc>
                    <w:tc>
                      <w:tcPr>
                        <w:tcW w:w="321" w:type="dxa"/>
                      </w:tcPr>
                      <w:p>
                        <w:pPr>
                          <w:pStyle w:val="TableParagraph"/>
                          <w:spacing w:line="115" w:lineRule="exact"/>
                          <w:ind w:right="27"/>
                          <w:jc w:val="right"/>
                          <w:rPr>
                            <w:sz w:val="14"/>
                          </w:rPr>
                        </w:pPr>
                        <w:r>
                          <w:rPr>
                            <w:color w:val="231F20"/>
                            <w:sz w:val="14"/>
                          </w:rPr>
                          <w:t>0.3</w:t>
                        </w:r>
                      </w:p>
                    </w:tc>
                  </w:tr>
                  <w:tr>
                    <w:trPr>
                      <w:trHeight w:val="140" w:hRule="atLeast"/>
                    </w:trPr>
                    <w:tc>
                      <w:tcPr>
                        <w:tcW w:w="1425" w:type="dxa"/>
                      </w:tcPr>
                      <w:p>
                        <w:pPr>
                          <w:pStyle w:val="TableParagraph"/>
                          <w:spacing w:line="120" w:lineRule="exact"/>
                          <w:ind w:left="50"/>
                          <w:rPr>
                            <w:b/>
                            <w:sz w:val="14"/>
                          </w:rPr>
                        </w:pPr>
                        <w:r>
                          <w:rPr>
                            <w:b/>
                            <w:color w:val="231F20"/>
                            <w:sz w:val="14"/>
                          </w:rPr>
                          <w:t>Weighted costs</w:t>
                        </w:r>
                      </w:p>
                    </w:tc>
                    <w:tc>
                      <w:tcPr>
                        <w:tcW w:w="564" w:type="dxa"/>
                      </w:tcPr>
                      <w:p>
                        <w:pPr>
                          <w:pStyle w:val="TableParagraph"/>
                          <w:spacing w:line="120" w:lineRule="exact"/>
                          <w:ind w:right="216"/>
                          <w:jc w:val="right"/>
                          <w:rPr>
                            <w:b/>
                            <w:sz w:val="14"/>
                          </w:rPr>
                        </w:pPr>
                        <w:r>
                          <w:rPr>
                            <w:b/>
                            <w:color w:val="231F20"/>
                            <w:sz w:val="14"/>
                          </w:rPr>
                          <w:t>2.4</w:t>
                        </w:r>
                      </w:p>
                    </w:tc>
                    <w:tc>
                      <w:tcPr>
                        <w:tcW w:w="386" w:type="dxa"/>
                      </w:tcPr>
                      <w:p>
                        <w:pPr>
                          <w:pStyle w:val="TableParagraph"/>
                          <w:spacing w:line="120" w:lineRule="exact"/>
                          <w:ind w:left="-1"/>
                          <w:rPr>
                            <w:b/>
                            <w:sz w:val="14"/>
                          </w:rPr>
                        </w:pPr>
                        <w:r>
                          <w:rPr>
                            <w:b/>
                            <w:color w:val="231F20"/>
                            <w:sz w:val="14"/>
                          </w:rPr>
                          <w:t>-1.0</w:t>
                        </w:r>
                      </w:p>
                    </w:tc>
                    <w:tc>
                      <w:tcPr>
                        <w:tcW w:w="430" w:type="dxa"/>
                      </w:tcPr>
                      <w:p>
                        <w:pPr>
                          <w:pStyle w:val="TableParagraph"/>
                          <w:spacing w:line="120" w:lineRule="exact"/>
                          <w:ind w:left="95" w:right="90"/>
                          <w:jc w:val="center"/>
                          <w:rPr>
                            <w:b/>
                            <w:sz w:val="14"/>
                          </w:rPr>
                        </w:pPr>
                        <w:r>
                          <w:rPr>
                            <w:b/>
                            <w:color w:val="231F20"/>
                            <w:sz w:val="14"/>
                          </w:rPr>
                          <w:t>0.0</w:t>
                        </w:r>
                      </w:p>
                    </w:tc>
                    <w:tc>
                      <w:tcPr>
                        <w:tcW w:w="370" w:type="dxa"/>
                      </w:tcPr>
                      <w:p>
                        <w:pPr>
                          <w:pStyle w:val="TableParagraph"/>
                          <w:spacing w:line="120" w:lineRule="exact"/>
                          <w:ind w:left="149" w:right="4"/>
                          <w:jc w:val="center"/>
                          <w:rPr>
                            <w:b/>
                            <w:sz w:val="14"/>
                          </w:rPr>
                        </w:pPr>
                        <w:r>
                          <w:rPr>
                            <w:b/>
                            <w:color w:val="231F20"/>
                            <w:sz w:val="14"/>
                          </w:rPr>
                          <w:t>0.4</w:t>
                        </w:r>
                      </w:p>
                    </w:tc>
                    <w:tc>
                      <w:tcPr>
                        <w:tcW w:w="135" w:type="dxa"/>
                      </w:tcPr>
                      <w:p>
                        <w:pPr>
                          <w:pStyle w:val="TableParagraph"/>
                          <w:rPr>
                            <w:sz w:val="8"/>
                          </w:rPr>
                        </w:pPr>
                      </w:p>
                    </w:tc>
                    <w:tc>
                      <w:tcPr>
                        <w:tcW w:w="349" w:type="dxa"/>
                      </w:tcPr>
                      <w:p>
                        <w:pPr>
                          <w:pStyle w:val="TableParagraph"/>
                          <w:spacing w:line="120" w:lineRule="exact"/>
                          <w:ind w:left="55"/>
                          <w:rPr>
                            <w:b/>
                            <w:sz w:val="14"/>
                          </w:rPr>
                        </w:pPr>
                        <w:r>
                          <w:rPr>
                            <w:b/>
                            <w:color w:val="231F20"/>
                            <w:sz w:val="14"/>
                          </w:rPr>
                          <w:t>0.4</w:t>
                        </w:r>
                      </w:p>
                    </w:tc>
                    <w:tc>
                      <w:tcPr>
                        <w:tcW w:w="321" w:type="dxa"/>
                      </w:tcPr>
                      <w:p>
                        <w:pPr>
                          <w:pStyle w:val="TableParagraph"/>
                          <w:spacing w:line="120" w:lineRule="exact"/>
                          <w:ind w:right="27"/>
                          <w:jc w:val="right"/>
                          <w:rPr>
                            <w:b/>
                            <w:sz w:val="14"/>
                          </w:rPr>
                        </w:pPr>
                        <w:r>
                          <w:rPr>
                            <w:b/>
                            <w:color w:val="231F20"/>
                            <w:sz w:val="14"/>
                          </w:rPr>
                          <w:t>0.0</w:t>
                        </w:r>
                      </w:p>
                    </w:tc>
                  </w:tr>
                  <w:tr>
                    <w:trPr>
                      <w:trHeight w:val="147" w:hRule="atLeast"/>
                    </w:trPr>
                    <w:tc>
                      <w:tcPr>
                        <w:tcW w:w="1425" w:type="dxa"/>
                      </w:tcPr>
                      <w:p>
                        <w:pPr>
                          <w:pStyle w:val="TableParagraph"/>
                          <w:spacing w:line="128" w:lineRule="exact"/>
                          <w:ind w:left="50"/>
                          <w:rPr>
                            <w:sz w:val="12"/>
                          </w:rPr>
                        </w:pPr>
                        <w:r>
                          <w:rPr>
                            <w:b/>
                            <w:color w:val="231F20"/>
                            <w:sz w:val="14"/>
                          </w:rPr>
                          <w:t>Output prices </w:t>
                        </w:r>
                        <w:r>
                          <w:rPr>
                            <w:color w:val="231F20"/>
                            <w:sz w:val="12"/>
                          </w:rPr>
                          <w:t>(a)</w:t>
                        </w:r>
                      </w:p>
                    </w:tc>
                    <w:tc>
                      <w:tcPr>
                        <w:tcW w:w="564" w:type="dxa"/>
                      </w:tcPr>
                      <w:p>
                        <w:pPr>
                          <w:pStyle w:val="TableParagraph"/>
                          <w:spacing w:line="128" w:lineRule="exact"/>
                          <w:ind w:right="218"/>
                          <w:jc w:val="right"/>
                          <w:rPr>
                            <w:b/>
                            <w:sz w:val="14"/>
                          </w:rPr>
                        </w:pPr>
                        <w:r>
                          <w:rPr>
                            <w:b/>
                            <w:color w:val="231F20"/>
                            <w:sz w:val="14"/>
                          </w:rPr>
                          <w:t>2.3</w:t>
                        </w:r>
                      </w:p>
                    </w:tc>
                    <w:tc>
                      <w:tcPr>
                        <w:tcW w:w="386" w:type="dxa"/>
                      </w:tcPr>
                      <w:p>
                        <w:pPr>
                          <w:pStyle w:val="TableParagraph"/>
                          <w:spacing w:line="128" w:lineRule="exact"/>
                          <w:ind w:left="46"/>
                          <w:rPr>
                            <w:b/>
                            <w:sz w:val="14"/>
                          </w:rPr>
                        </w:pPr>
                        <w:r>
                          <w:rPr>
                            <w:b/>
                            <w:color w:val="231F20"/>
                            <w:sz w:val="14"/>
                          </w:rPr>
                          <w:t>0.4</w:t>
                        </w:r>
                      </w:p>
                    </w:tc>
                    <w:tc>
                      <w:tcPr>
                        <w:tcW w:w="430" w:type="dxa"/>
                      </w:tcPr>
                      <w:p>
                        <w:pPr>
                          <w:pStyle w:val="TableParagraph"/>
                          <w:spacing w:line="128" w:lineRule="exact"/>
                          <w:ind w:left="95" w:right="90"/>
                          <w:jc w:val="center"/>
                          <w:rPr>
                            <w:b/>
                            <w:sz w:val="14"/>
                          </w:rPr>
                        </w:pPr>
                        <w:r>
                          <w:rPr>
                            <w:b/>
                            <w:color w:val="231F20"/>
                            <w:sz w:val="14"/>
                          </w:rPr>
                          <w:t>0.2</w:t>
                        </w:r>
                      </w:p>
                    </w:tc>
                    <w:tc>
                      <w:tcPr>
                        <w:tcW w:w="370" w:type="dxa"/>
                      </w:tcPr>
                      <w:p>
                        <w:pPr>
                          <w:pStyle w:val="TableParagraph"/>
                          <w:spacing w:line="128" w:lineRule="exact"/>
                          <w:ind w:left="149" w:right="5"/>
                          <w:jc w:val="center"/>
                          <w:rPr>
                            <w:b/>
                            <w:sz w:val="14"/>
                          </w:rPr>
                        </w:pPr>
                        <w:r>
                          <w:rPr>
                            <w:b/>
                            <w:color w:val="231F20"/>
                            <w:sz w:val="14"/>
                          </w:rPr>
                          <w:t>0.2</w:t>
                        </w:r>
                      </w:p>
                    </w:tc>
                    <w:tc>
                      <w:tcPr>
                        <w:tcW w:w="135" w:type="dxa"/>
                      </w:tcPr>
                      <w:p>
                        <w:pPr>
                          <w:pStyle w:val="TableParagraph"/>
                          <w:rPr>
                            <w:sz w:val="8"/>
                          </w:rPr>
                        </w:pPr>
                      </w:p>
                    </w:tc>
                    <w:tc>
                      <w:tcPr>
                        <w:tcW w:w="349" w:type="dxa"/>
                      </w:tcPr>
                      <w:p>
                        <w:pPr>
                          <w:pStyle w:val="TableParagraph"/>
                          <w:spacing w:line="128" w:lineRule="exact"/>
                          <w:ind w:left="8"/>
                          <w:rPr>
                            <w:b/>
                            <w:sz w:val="14"/>
                          </w:rPr>
                        </w:pPr>
                        <w:r>
                          <w:rPr>
                            <w:b/>
                            <w:color w:val="231F20"/>
                            <w:sz w:val="14"/>
                          </w:rPr>
                          <w:t>-0.4</w:t>
                        </w:r>
                      </w:p>
                    </w:tc>
                    <w:tc>
                      <w:tcPr>
                        <w:tcW w:w="321" w:type="dxa"/>
                      </w:tcPr>
                      <w:p>
                        <w:pPr>
                          <w:pStyle w:val="TableParagraph"/>
                          <w:spacing w:line="128" w:lineRule="exact"/>
                          <w:ind w:right="27"/>
                          <w:jc w:val="right"/>
                          <w:rPr>
                            <w:b/>
                            <w:sz w:val="14"/>
                          </w:rPr>
                        </w:pPr>
                        <w:r>
                          <w:rPr>
                            <w:b/>
                            <w:color w:val="231F20"/>
                            <w:sz w:val="14"/>
                          </w:rPr>
                          <w:t>-0.3</w:t>
                        </w:r>
                      </w:p>
                    </w:tc>
                  </w:tr>
                </w:tbl>
                <w:p>
                  <w:pPr>
                    <w:pStyle w:val="BodyText"/>
                  </w:pPr>
                </w:p>
              </w:txbxContent>
            </v:textbox>
            <w10:wrap type="none"/>
          </v:shape>
        </w:pict>
      </w:r>
      <w:r>
        <w:rPr>
          <w:color w:val="231F20"/>
          <w:sz w:val="14"/>
        </w:rPr>
        <w:t>Percentage changes on previous period</w:t>
      </w:r>
    </w:p>
    <w:p>
      <w:pPr>
        <w:pStyle w:val="BodyText"/>
        <w:spacing w:before="5"/>
        <w:rPr>
          <w:sz w:val="22"/>
        </w:rPr>
      </w:pPr>
    </w:p>
    <w:p>
      <w:pPr>
        <w:tabs>
          <w:tab w:pos="2949" w:val="left" w:leader="none"/>
          <w:tab w:pos="3374" w:val="left" w:leader="none"/>
        </w:tabs>
        <w:spacing w:before="1"/>
        <w:ind w:left="2650" w:right="0" w:firstLine="0"/>
        <w:jc w:val="left"/>
        <w:rPr>
          <w:sz w:val="14"/>
        </w:rPr>
      </w:pPr>
      <w:r>
        <w:rPr>
          <w:color w:val="231F20"/>
          <w:sz w:val="14"/>
          <w:u w:val="single" w:color="231F20"/>
        </w:rPr>
        <w:t> </w:t>
        <w:tab/>
      </w:r>
      <w:r>
        <w:rPr>
          <w:color w:val="231F20"/>
          <w:sz w:val="14"/>
        </w:rPr>
        <w:t>   </w:t>
      </w:r>
      <w:r>
        <w:rPr>
          <w:color w:val="231F20"/>
          <w:spacing w:val="-15"/>
          <w:sz w:val="14"/>
        </w:rPr>
        <w:t> </w:t>
      </w:r>
      <w:r>
        <w:rPr>
          <w:color w:val="231F20"/>
          <w:sz w:val="14"/>
          <w:u w:val="single" w:color="231F20"/>
        </w:rPr>
        <w:t> </w:t>
        <w:tab/>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4"/>
        <w:rPr>
          <w:sz w:val="14"/>
        </w:rPr>
      </w:pPr>
    </w:p>
    <w:p>
      <w:pPr>
        <w:spacing w:before="0"/>
        <w:ind w:left="195" w:right="0" w:firstLine="0"/>
        <w:jc w:val="left"/>
        <w:rPr>
          <w:sz w:val="12"/>
        </w:rPr>
      </w:pPr>
      <w:r>
        <w:rPr>
          <w:color w:val="231F20"/>
          <w:sz w:val="12"/>
        </w:rPr>
        <w:t>Sources: ONS and Bank of England.</w:t>
      </w:r>
    </w:p>
    <w:p>
      <w:pPr>
        <w:spacing w:before="102"/>
        <w:ind w:left="195" w:right="0" w:firstLine="0"/>
        <w:jc w:val="left"/>
        <w:rPr>
          <w:sz w:val="12"/>
        </w:rPr>
      </w:pPr>
      <w:r>
        <w:rPr>
          <w:color w:val="231F20"/>
          <w:sz w:val="12"/>
        </w:rPr>
        <w:t>(a) Domestic sales.</w:t>
      </w:r>
    </w:p>
    <w:p>
      <w:pPr>
        <w:pStyle w:val="BodyText"/>
        <w:spacing w:before="5"/>
        <w:rPr>
          <w:sz w:val="21"/>
        </w:rPr>
      </w:pPr>
      <w:r>
        <w:rPr/>
        <w:br w:type="column"/>
      </w:r>
      <w:r>
        <w:rPr>
          <w:sz w:val="21"/>
        </w:rPr>
      </w:r>
    </w:p>
    <w:p>
      <w:pPr>
        <w:pStyle w:val="Heading4"/>
        <w:spacing w:before="1"/>
        <w:ind w:left="195"/>
      </w:pPr>
      <w:r>
        <w:rPr>
          <w:color w:val="231F20"/>
        </w:rPr>
        <w:t>strong. The C</w:t>
      </w:r>
      <w:r>
        <w:rPr>
          <w:color w:val="231F20"/>
          <w:sz w:val="20"/>
        </w:rPr>
        <w:t>IPS </w:t>
      </w:r>
      <w:r>
        <w:rPr>
          <w:color w:val="231F20"/>
        </w:rPr>
        <w:t>indicator of input price inflation was</w:t>
      </w:r>
    </w:p>
    <w:p>
      <w:pPr>
        <w:spacing w:line="242" w:lineRule="auto" w:before="4"/>
        <w:ind w:left="195" w:right="176" w:firstLine="0"/>
        <w:jc w:val="left"/>
        <w:rPr>
          <w:sz w:val="24"/>
        </w:rPr>
      </w:pPr>
      <w:r>
        <w:rPr>
          <w:color w:val="231F20"/>
          <w:sz w:val="24"/>
        </w:rPr>
        <w:t>58.6 in </w:t>
      </w:r>
      <w:r>
        <w:rPr>
          <w:color w:val="231F20"/>
          <w:spacing w:val="-4"/>
          <w:sz w:val="24"/>
        </w:rPr>
        <w:t>July, </w:t>
      </w:r>
      <w:r>
        <w:rPr>
          <w:color w:val="231F20"/>
          <w:sz w:val="24"/>
        </w:rPr>
        <w:t>compared with 58.9 in April and an average reading of 57.8 since the survey began in July 1996 (readings higher than 50 denote positive growth on the month).  This strength partly reflects firms’ difficulties in hiring workers. The British Chambers of Commerce (BCC) July survey noted that the balance of firms reporting recruitment difficulties rose in 1998 Q2 (see </w:t>
      </w:r>
      <w:hyperlink w:history="true" w:anchor="_bookmark23">
        <w:r>
          <w:rPr>
            <w:color w:val="231F20"/>
            <w:sz w:val="24"/>
          </w:rPr>
          <w:t>Section 3).</w:t>
        </w:r>
      </w:hyperlink>
      <w:r>
        <w:rPr>
          <w:color w:val="231F20"/>
          <w:sz w:val="24"/>
        </w:rPr>
        <w:t> The BCC survey also noted that the balance of firms operating at full capacity remains above the average since 1992, suggesting that demand pressures are continuing to build and that input price inflation is likely to remain robust. The C</w:t>
      </w:r>
      <w:r>
        <w:rPr>
          <w:color w:val="231F20"/>
          <w:sz w:val="20"/>
        </w:rPr>
        <w:t>IPS </w:t>
      </w:r>
      <w:r>
        <w:rPr>
          <w:color w:val="231F20"/>
          <w:sz w:val="24"/>
        </w:rPr>
        <w:t>service sector output price indicator was 52.0 in </w:t>
      </w:r>
      <w:r>
        <w:rPr>
          <w:color w:val="231F20"/>
          <w:spacing w:val="-4"/>
          <w:sz w:val="24"/>
        </w:rPr>
        <w:t>July, </w:t>
      </w:r>
      <w:r>
        <w:rPr>
          <w:color w:val="231F20"/>
          <w:sz w:val="24"/>
        </w:rPr>
        <w:t>after falling towards its neutral level of 50 during May and June. This suggests, in line with evidence from the </w:t>
      </w:r>
      <w:r>
        <w:rPr>
          <w:color w:val="231F20"/>
          <w:spacing w:val="-3"/>
          <w:sz w:val="24"/>
        </w:rPr>
        <w:t>Bank’s </w:t>
      </w:r>
      <w:r>
        <w:rPr>
          <w:color w:val="231F20"/>
          <w:sz w:val="24"/>
        </w:rPr>
        <w:t>regional</w:t>
      </w:r>
      <w:r>
        <w:rPr>
          <w:color w:val="231F20"/>
          <w:spacing w:val="-19"/>
          <w:sz w:val="24"/>
        </w:rPr>
        <w:t> </w:t>
      </w:r>
      <w:r>
        <w:rPr>
          <w:color w:val="231F20"/>
          <w:sz w:val="24"/>
        </w:rPr>
        <w:t>Agencies, that firms may be finding it difficult to pass on increased input costs to consumers.</w:t>
      </w:r>
    </w:p>
    <w:p>
      <w:pPr>
        <w:pStyle w:val="BodyText"/>
        <w:spacing w:before="11"/>
        <w:rPr>
          <w:sz w:val="22"/>
        </w:rPr>
      </w:pPr>
    </w:p>
    <w:p>
      <w:pPr>
        <w:pStyle w:val="ListParagraph"/>
        <w:numPr>
          <w:ilvl w:val="1"/>
          <w:numId w:val="34"/>
        </w:numPr>
        <w:tabs>
          <w:tab w:pos="1353" w:val="left" w:leader="none"/>
          <w:tab w:pos="1354" w:val="left" w:leader="none"/>
        </w:tabs>
        <w:spacing w:line="240" w:lineRule="auto" w:before="0" w:after="0"/>
        <w:ind w:left="1353" w:right="0" w:hanging="1159"/>
        <w:jc w:val="left"/>
        <w:rPr>
          <w:b/>
          <w:sz w:val="28"/>
        </w:rPr>
      </w:pPr>
      <w:r>
        <w:rPr>
          <w:b/>
          <w:color w:val="009483"/>
          <w:sz w:val="28"/>
          <w:u w:val="thick" w:color="0093C1"/>
        </w:rPr>
        <w:t>Costs and prices in manufacturing</w:t>
      </w:r>
      <w:r>
        <w:rPr>
          <w:b/>
          <w:color w:val="009483"/>
          <w:spacing w:val="-11"/>
          <w:sz w:val="28"/>
          <w:u w:val="thick" w:color="0093C1"/>
        </w:rPr>
        <w:t> </w:t>
      </w:r>
    </w:p>
    <w:p>
      <w:pPr>
        <w:pStyle w:val="BodyText"/>
        <w:spacing w:before="10"/>
        <w:rPr>
          <w:b/>
          <w:sz w:val="23"/>
        </w:rPr>
      </w:pPr>
    </w:p>
    <w:p>
      <w:pPr>
        <w:spacing w:line="242" w:lineRule="auto" w:before="1"/>
        <w:ind w:left="195" w:right="184" w:firstLine="0"/>
        <w:jc w:val="left"/>
        <w:rPr>
          <w:sz w:val="24"/>
        </w:rPr>
      </w:pPr>
      <w:r>
        <w:rPr>
          <w:color w:val="231F20"/>
          <w:sz w:val="24"/>
        </w:rPr>
        <w:t>Input prices in the manufacturing sector fell by 0.7% in June 1998, after rising by 0.3% in May. Annual input price deflation, now 8.7%, has moderated slightly since 1998 Q1 (see Chart 4.4). Input prices have fallen by 16.5% since June 1996, largely because of sterling’s appreciation and falling commodity prices.</w:t>
      </w:r>
    </w:p>
    <w:p>
      <w:pPr>
        <w:spacing w:line="242" w:lineRule="auto" w:before="7"/>
        <w:ind w:left="195" w:right="184" w:firstLine="0"/>
        <w:jc w:val="left"/>
        <w:rPr>
          <w:sz w:val="24"/>
        </w:rPr>
      </w:pPr>
      <w:r>
        <w:rPr>
          <w:color w:val="231F20"/>
          <w:sz w:val="24"/>
        </w:rPr>
        <w:t>Manufacturing output prices excluding excise duties (PPIY) rose by 0.1% in June, yielding an annual rate of growth of -0.4% for a second consecutive month. The three-month annualised growth rate of PPIY has been negative since the start of the year, and evidence from the Bank’s regional Agencies suggests that output prices are likely to fall further in 1998 Q3.</w:t>
      </w:r>
    </w:p>
    <w:p>
      <w:pPr>
        <w:pStyle w:val="BodyText"/>
        <w:spacing w:before="1"/>
        <w:rPr>
          <w:sz w:val="25"/>
        </w:rPr>
      </w:pPr>
    </w:p>
    <w:p>
      <w:pPr>
        <w:spacing w:line="242" w:lineRule="auto" w:before="1"/>
        <w:ind w:left="195" w:right="221" w:firstLine="0"/>
        <w:jc w:val="left"/>
        <w:rPr>
          <w:sz w:val="24"/>
        </w:rPr>
      </w:pPr>
      <w:r>
        <w:rPr>
          <w:color w:val="231F20"/>
          <w:sz w:val="24"/>
        </w:rPr>
        <w:t>Though manufacturers’ input prices have fallen considerably, their weighted costs remain high. This is largely because unit labour costs have been rising (see </w:t>
      </w:r>
      <w:hyperlink w:history="true" w:anchor="_bookmark23">
        <w:r>
          <w:rPr>
            <w:color w:val="231F20"/>
            <w:sz w:val="24"/>
          </w:rPr>
          <w:t>Section 3</w:t>
        </w:r>
      </w:hyperlink>
      <w:r>
        <w:rPr>
          <w:color w:val="231F20"/>
          <w:sz w:val="24"/>
        </w:rPr>
        <w:t> and Table 4.A). So manufacturers’ profit margins on domestic sales have been falling. Though profit margins on export sales rose in 1998 Q2, they were below their levels a year earlier, as a result of the exchange rate appreciation. Movements in profit margins are an important component of changes in prices, and have implications for inflation. An article in the </w:t>
      </w:r>
      <w:r>
        <w:rPr>
          <w:i/>
          <w:color w:val="231F20"/>
          <w:sz w:val="24"/>
        </w:rPr>
        <w:t>Quarterly Bulletin </w:t>
      </w:r>
      <w:r>
        <w:rPr>
          <w:color w:val="231F20"/>
          <w:sz w:val="24"/>
        </w:rPr>
        <w:t>discusses the behaviour of</w:t>
      </w:r>
    </w:p>
    <w:p>
      <w:pPr>
        <w:spacing w:line="242" w:lineRule="auto" w:before="14"/>
        <w:ind w:left="195" w:right="0" w:firstLine="0"/>
        <w:jc w:val="left"/>
        <w:rPr>
          <w:sz w:val="24"/>
        </w:rPr>
      </w:pPr>
      <w:r>
        <w:rPr>
          <w:color w:val="231F20"/>
          <w:sz w:val="24"/>
        </w:rPr>
        <w:t>price-cost mark-ups and profit margins in UK manufacturing and services.</w:t>
      </w:r>
      <w:r>
        <w:rPr>
          <w:color w:val="231F20"/>
          <w:position w:val="5"/>
          <w:sz w:val="16"/>
        </w:rPr>
        <w:t>(1) </w:t>
      </w:r>
      <w:r>
        <w:rPr>
          <w:color w:val="231F20"/>
          <w:sz w:val="24"/>
        </w:rPr>
        <w:t>It suggests that mark-ups and margins are pro-cyclical in both sectors, so that</w:t>
      </w:r>
    </w:p>
    <w:p>
      <w:pPr>
        <w:spacing w:after="0" w:line="242" w:lineRule="auto"/>
        <w:jc w:val="left"/>
        <w:rPr>
          <w:sz w:val="24"/>
        </w:rPr>
        <w:sectPr>
          <w:type w:val="continuous"/>
          <w:pgSz w:w="11900" w:h="16840"/>
          <w:pgMar w:top="1220" w:bottom="280" w:left="620" w:right="640"/>
          <w:cols w:num="2" w:equalWidth="0">
            <w:col w:w="4013" w:space="792"/>
            <w:col w:w="5835"/>
          </w:cols>
        </w:sectPr>
      </w:pPr>
    </w:p>
    <w:p>
      <w:pPr>
        <w:pStyle w:val="BodyText"/>
        <w:spacing w:before="4" w:after="1"/>
        <w:rPr>
          <w:sz w:val="22"/>
        </w:rPr>
      </w:pPr>
    </w:p>
    <w:p>
      <w:pPr>
        <w:pStyle w:val="BodyText"/>
        <w:spacing w:line="20" w:lineRule="exact"/>
        <w:ind w:left="4998"/>
        <w:rPr>
          <w:sz w:val="2"/>
        </w:rPr>
      </w:pPr>
      <w:r>
        <w:rPr>
          <w:sz w:val="2"/>
        </w:rPr>
        <w:pict>
          <v:group style="width:276pt;height:.15pt;mso-position-horizontal-relative:char;mso-position-vertical-relative:line" coordorigin="0,0" coordsize="5520,3">
            <v:line style="position:absolute" from="0,1" to="5520,1" stroked="true" strokeweight=".125pt" strokecolor="#231f20">
              <v:stroke dashstyle="solid"/>
            </v:line>
          </v:group>
        </w:pict>
      </w:r>
      <w:r>
        <w:rPr>
          <w:sz w:val="2"/>
        </w:rPr>
      </w:r>
    </w:p>
    <w:p>
      <w:pPr>
        <w:pStyle w:val="ListParagraph"/>
        <w:numPr>
          <w:ilvl w:val="2"/>
          <w:numId w:val="34"/>
        </w:numPr>
        <w:tabs>
          <w:tab w:pos="5235" w:val="left" w:leader="none"/>
        </w:tabs>
        <w:spacing w:line="156" w:lineRule="exact" w:before="0" w:after="0"/>
        <w:ind w:left="5234" w:right="0" w:hanging="241"/>
        <w:jc w:val="left"/>
        <w:rPr>
          <w:sz w:val="16"/>
        </w:rPr>
      </w:pPr>
      <w:r>
        <w:rPr>
          <w:color w:val="231F20"/>
          <w:sz w:val="16"/>
        </w:rPr>
        <w:t>Small, I,(1998), ‘The cyclicality of mark-ups and profit margins’,</w:t>
      </w:r>
    </w:p>
    <w:p>
      <w:pPr>
        <w:spacing w:line="172" w:lineRule="exact" w:before="0"/>
        <w:ind w:left="5234" w:right="0" w:firstLine="0"/>
        <w:jc w:val="left"/>
        <w:rPr>
          <w:sz w:val="16"/>
        </w:rPr>
      </w:pPr>
      <w:r>
        <w:rPr>
          <w:i/>
          <w:color w:val="231F20"/>
          <w:sz w:val="16"/>
        </w:rPr>
        <w:t>Quarterly Bulletin</w:t>
      </w:r>
      <w:r>
        <w:rPr>
          <w:color w:val="231F20"/>
          <w:sz w:val="16"/>
        </w:rPr>
        <w:t>, August, pages 267–73.</w:t>
      </w:r>
    </w:p>
    <w:p>
      <w:pPr>
        <w:spacing w:after="0" w:line="172" w:lineRule="exact"/>
        <w:jc w:val="left"/>
        <w:rPr>
          <w:sz w:val="16"/>
        </w:rPr>
        <w:sectPr>
          <w:type w:val="continuous"/>
          <w:pgSz w:w="11900" w:h="16840"/>
          <w:pgMar w:top="1220" w:bottom="280" w:left="620" w:right="640"/>
        </w:sectPr>
      </w:pPr>
    </w:p>
    <w:p>
      <w:pPr>
        <w:pStyle w:val="BodyText"/>
        <w:rPr>
          <w:sz w:val="20"/>
        </w:rPr>
      </w:pPr>
    </w:p>
    <w:p>
      <w:pPr>
        <w:pStyle w:val="BodyText"/>
        <w:spacing w:before="5"/>
        <w:rPr>
          <w:sz w:val="21"/>
        </w:rPr>
      </w:pPr>
    </w:p>
    <w:p>
      <w:pPr>
        <w:pStyle w:val="Heading4"/>
        <w:spacing w:line="242" w:lineRule="auto" w:before="1"/>
        <w:ind w:left="4980"/>
      </w:pPr>
      <w:bookmarkStart w:name="Retail prices" w:id="78"/>
      <w:bookmarkEnd w:id="78"/>
      <w:r>
        <w:rPr/>
      </w:r>
      <w:bookmarkStart w:name="_bookmark33" w:id="79"/>
      <w:bookmarkEnd w:id="79"/>
      <w:r>
        <w:rPr/>
      </w:r>
      <w:r>
        <w:rPr>
          <w:color w:val="231F20"/>
        </w:rPr>
        <w:t>price pressures move in line with the business cycle, increasing during recoveries and decreasing during slowdowns.</w:t>
      </w:r>
    </w:p>
    <w:p>
      <w:pPr>
        <w:pStyle w:val="BodyText"/>
        <w:spacing w:before="4"/>
        <w:rPr>
          <w:sz w:val="21"/>
        </w:rPr>
      </w:pPr>
    </w:p>
    <w:p>
      <w:pPr>
        <w:pStyle w:val="ListParagraph"/>
        <w:numPr>
          <w:ilvl w:val="1"/>
          <w:numId w:val="34"/>
        </w:numPr>
        <w:tabs>
          <w:tab w:pos="8759" w:val="left" w:leader="none"/>
          <w:tab w:pos="8760" w:val="left" w:leader="none"/>
          <w:tab w:pos="10479" w:val="left" w:leader="none"/>
        </w:tabs>
        <w:spacing w:line="240" w:lineRule="auto" w:before="1" w:after="0"/>
        <w:ind w:left="8759" w:right="0" w:hanging="3780"/>
        <w:jc w:val="left"/>
        <w:rPr>
          <w:b/>
          <w:sz w:val="28"/>
        </w:rPr>
      </w:pPr>
      <w:r>
        <w:rPr>
          <w:b/>
          <w:color w:val="009483"/>
          <w:sz w:val="28"/>
          <w:u w:val="thick" w:color="0093C1"/>
        </w:rPr>
        <w:t>Retail prices</w:t>
        <w:tab/>
      </w:r>
    </w:p>
    <w:p>
      <w:pPr>
        <w:pStyle w:val="BodyText"/>
        <w:spacing w:before="1"/>
        <w:rPr>
          <w:b/>
          <w:sz w:val="16"/>
        </w:rPr>
      </w:pPr>
    </w:p>
    <w:p>
      <w:pPr>
        <w:spacing w:after="0"/>
        <w:rPr>
          <w:sz w:val="16"/>
        </w:rPr>
        <w:sectPr>
          <w:pgSz w:w="11900" w:h="16840"/>
          <w:pgMar w:header="586" w:footer="617" w:top="780" w:bottom="800" w:left="620" w:right="640"/>
        </w:sectPr>
      </w:pPr>
    </w:p>
    <w:p>
      <w:pPr>
        <w:pStyle w:val="Heading8"/>
        <w:spacing w:before="149"/>
        <w:ind w:left="180"/>
      </w:pPr>
      <w:r>
        <w:rPr>
          <w:color w:val="0093C1"/>
        </w:rPr>
        <w:t>Chart 4.5</w:t>
      </w:r>
    </w:p>
    <w:p>
      <w:pPr>
        <w:spacing w:before="10"/>
        <w:ind w:left="180" w:right="0" w:firstLine="0"/>
        <w:jc w:val="left"/>
        <w:rPr>
          <w:sz w:val="12"/>
        </w:rPr>
      </w:pPr>
      <w:r>
        <w:rPr>
          <w:b/>
          <w:color w:val="0093C1"/>
          <w:sz w:val="20"/>
        </w:rPr>
        <w:t>Retail price inflation</w:t>
      </w:r>
      <w:r>
        <w:rPr>
          <w:color w:val="231F20"/>
          <w:position w:val="4"/>
          <w:sz w:val="12"/>
        </w:rPr>
        <w:t>(a)</w:t>
      </w:r>
    </w:p>
    <w:p>
      <w:pPr>
        <w:spacing w:before="145"/>
        <w:ind w:left="1892" w:right="0" w:firstLine="0"/>
        <w:jc w:val="left"/>
        <w:rPr>
          <w:sz w:val="12"/>
        </w:rPr>
      </w:pPr>
      <w:r>
        <w:rPr/>
        <w:pict>
          <v:line style="position:absolute;mso-position-horizontal-relative:page;mso-position-vertical-relative:paragraph;z-index:16067072" from="47.833pt,15.684563pt" to="42.833pt,15.684563pt" stroked="true" strokeweight=".5pt" strokecolor="#000000">
            <v:stroke dashstyle="solid"/>
            <w10:wrap type="none"/>
          </v:line>
        </w:pict>
      </w:r>
      <w:r>
        <w:rPr/>
        <w:pict>
          <v:line style="position:absolute;mso-position-horizontal-relative:page;mso-position-vertical-relative:paragraph;z-index:16074752" from="212.832993pt,15.684563pt" to="207.832993pt,15.684563pt" stroked="true" strokeweight=".5pt" strokecolor="#000000">
            <v:stroke dashstyle="solid"/>
            <w10:wrap type="none"/>
          </v:line>
        </w:pict>
      </w:r>
      <w:r>
        <w:rPr>
          <w:sz w:val="12"/>
        </w:rPr>
        <w:t>Percentage changes on a year earlier </w:t>
      </w:r>
      <w:r>
        <w:rPr>
          <w:spacing w:val="5"/>
          <w:sz w:val="12"/>
        </w:rPr>
        <w:t> </w:t>
      </w:r>
      <w:r>
        <w:rPr>
          <w:position w:val="-6"/>
          <w:sz w:val="12"/>
        </w:rPr>
        <w:t>4.5</w:t>
      </w:r>
    </w:p>
    <w:p>
      <w:pPr>
        <w:pStyle w:val="BodyText"/>
        <w:spacing w:before="3"/>
        <w:rPr>
          <w:sz w:val="17"/>
        </w:rPr>
      </w:pPr>
    </w:p>
    <w:p>
      <w:pPr>
        <w:spacing w:before="0"/>
        <w:ind w:left="0" w:right="366" w:firstLine="0"/>
        <w:jc w:val="right"/>
        <w:rPr>
          <w:sz w:val="12"/>
        </w:rPr>
      </w:pPr>
      <w:r>
        <w:rPr/>
        <w:pict>
          <v:line style="position:absolute;mso-position-horizontal-relative:page;mso-position-vertical-relative:paragraph;z-index:16066560" from="47.833pt,4.101555pt" to="42.833pt,4.101555pt" stroked="true" strokeweight=".5pt" strokecolor="#000000">
            <v:stroke dashstyle="solid"/>
            <w10:wrap type="none"/>
          </v:line>
        </w:pict>
      </w:r>
      <w:r>
        <w:rPr/>
        <w:pict>
          <v:group style="position:absolute;margin-left:52.333pt;margin-top:-3.398445pt;width:151pt;height:101pt;mso-position-horizontal-relative:page;mso-position-vertical-relative:paragraph;z-index:16069120" coordorigin="1047,-68" coordsize="3020,2020">
            <v:shape style="position:absolute;left:1056;top:-58;width:3000;height:1400" coordorigin="1057,-58" coordsize="3000,1400" path="m1057,1122l1157,1222,1217,1042,1277,1062,1337,1002,1397,1182,1457,1162,1497,1302,1617,1022,1677,822,1737,542,1797,462,1837,362,1897,542,1957,442,2017,402,2077,402,2137,362,2197,182,2237,642,2297,682,2357,602,2417,842,2477,982,2537,1002,2577,1142,2637,1322,2697,1342,2757,1282,2817,1342,2877,1342,2917,982,2977,922,3037,1122,3097,902,3157,942,3217,1042,3257,1142,3317,1022,3377,802,3437,522,3497,402,3557,382,3617,282,3657,282,3717,342,3777,542,3837,482,3897,442,3957,62,3997,-58,4057,262e" filled="false" stroked="true" strokeweight="1pt" strokecolor="#0066a5">
              <v:path arrowok="t"/>
              <v:stroke dashstyle="solid"/>
            </v:shape>
            <v:shape style="position:absolute;left:1056;top:562;width:3000;height:880" coordorigin="1057,562" coordsize="3000,880" path="m1057,862l1117,882,1157,1122,1217,1182,1277,1102,1337,1142,1397,1282,1457,1242,1497,1402,1557,1442,1617,1242,1677,1102,1737,922,1797,922,1837,842,1897,942,1957,962,2017,862,2077,902,2137,822,2197,682,2237,822,2297,822,2357,782,2417,882,2477,882,2537,842,2577,862,2637,922,2697,922,2757,862,2817,882,2877,782,2917,562,2977,562,3037,702,3097,702,3217,982,3257,1082,3317,1102,3377,962,3437,782,3497,882,3557,922,3617,902,3657,902,3717,982,3777,1102,3837,1042,3897,1042,3957,782,3997,622,4057,882e" filled="false" stroked="true" strokeweight="1pt" strokecolor="#ed1b2d">
              <v:path arrowok="t"/>
              <v:stroke dashstyle="solid"/>
            </v:shape>
            <v:shape style="position:absolute;left:1056;top:742;width:3000;height:1200" coordorigin="1057,742" coordsize="3000,1200" path="m1057,1142l1117,1242,1157,1502,1217,1662,1277,1662,1337,1602,1397,1802,1457,1802,1497,1902,1557,1942,1617,1802,1677,1562,1737,1522,1797,1562,1837,1482,1897,1382,1957,1302,2017,1262,2077,1242,2137,1102,2197,1022,2237,1162,2297,1162,2357,1122,2477,1082,2537,1042,2577,1042,2637,1182,2697,1202,2817,1162,2877,1062,2917,782,2977,742,3037,962,3097,922,3157,1062,3217,1222,3257,1442,3317,1462,3377,1282,3437,1262,3497,1362,3557,1422,3617,1282,3657,1322,3717,1282,3777,1502,3837,1382,3897,1382,3957,1302,3997,1082,4057,1402e" filled="false" stroked="true" strokeweight="1pt" strokecolor="#95459a">
              <v:path arrowok="t"/>
              <v:stroke dashstyle="solid"/>
            </v:shape>
            <v:shape style="position:absolute;left:1953;top:105;width:207;height:133" type="#_x0000_t202" filled="false" stroked="false">
              <v:textbox inset="0,0,0,0">
                <w:txbxContent>
                  <w:p>
                    <w:pPr>
                      <w:spacing w:line="133" w:lineRule="exact" w:before="0"/>
                      <w:ind w:left="0" w:right="0" w:firstLine="0"/>
                      <w:jc w:val="left"/>
                      <w:rPr>
                        <w:sz w:val="12"/>
                      </w:rPr>
                    </w:pPr>
                    <w:r>
                      <w:rPr>
                        <w:sz w:val="12"/>
                      </w:rPr>
                      <w:t>RPI</w:t>
                    </w:r>
                  </w:p>
                </w:txbxContent>
              </v:textbox>
              <w10:wrap type="none"/>
            </v:shape>
            <v:shape style="position:absolute;left:1806;top:685;width:294;height:133" type="#_x0000_t202" filled="false" stroked="false">
              <v:textbox inset="0,0,0,0">
                <w:txbxContent>
                  <w:p>
                    <w:pPr>
                      <w:spacing w:line="133" w:lineRule="exact" w:before="0"/>
                      <w:ind w:left="0" w:right="0" w:firstLine="0"/>
                      <w:jc w:val="left"/>
                      <w:rPr>
                        <w:sz w:val="12"/>
                      </w:rPr>
                    </w:pPr>
                    <w:r>
                      <w:rPr>
                        <w:sz w:val="12"/>
                      </w:rPr>
                      <w:t>RPIX</w:t>
                    </w:r>
                  </w:p>
                </w:txbxContent>
              </v:textbox>
              <w10:wrap type="none"/>
            </v:shape>
            <v:shape style="position:absolute;left:1880;top:1485;width:294;height:133" type="#_x0000_t202" filled="false" stroked="false">
              <v:textbox inset="0,0,0,0">
                <w:txbxContent>
                  <w:p>
                    <w:pPr>
                      <w:spacing w:line="133" w:lineRule="exact" w:before="0"/>
                      <w:ind w:left="0" w:right="0" w:firstLine="0"/>
                      <w:jc w:val="left"/>
                      <w:rPr>
                        <w:sz w:val="12"/>
                      </w:rPr>
                    </w:pPr>
                    <w:r>
                      <w:rPr>
                        <w:sz w:val="12"/>
                      </w:rPr>
                      <w:t>RPIY</w:t>
                    </w:r>
                  </w:p>
                </w:txbxContent>
              </v:textbox>
              <w10:wrap type="none"/>
            </v:shape>
            <w10:wrap type="none"/>
          </v:group>
        </w:pict>
      </w:r>
      <w:r>
        <w:rPr/>
        <w:pict>
          <v:line style="position:absolute;mso-position-horizontal-relative:page;mso-position-vertical-relative:paragraph;z-index:16074240" from="212.832993pt,4.101555pt" to="207.832993pt,4.101555pt" stroked="true" strokeweight=".5pt" strokecolor="#000000">
            <v:stroke dashstyle="solid"/>
            <w10:wrap type="none"/>
          </v:line>
        </w:pict>
      </w:r>
      <w:r>
        <w:rPr>
          <w:sz w:val="12"/>
        </w:rPr>
        <w:t>4.0</w:t>
      </w:r>
    </w:p>
    <w:p>
      <w:pPr>
        <w:pStyle w:val="BodyText"/>
        <w:spacing w:before="7"/>
        <w:rPr>
          <w:sz w:val="17"/>
        </w:rPr>
      </w:pPr>
    </w:p>
    <w:p>
      <w:pPr>
        <w:spacing w:before="0"/>
        <w:ind w:left="0" w:right="366" w:firstLine="0"/>
        <w:jc w:val="right"/>
        <w:rPr>
          <w:sz w:val="12"/>
        </w:rPr>
      </w:pPr>
      <w:r>
        <w:rPr/>
        <w:pict>
          <v:line style="position:absolute;mso-position-horizontal-relative:page;mso-position-vertical-relative:paragraph;z-index:16066048" from="47.833pt,4.101555pt" to="42.833pt,4.101555pt" stroked="true" strokeweight=".5pt" strokecolor="#000000">
            <v:stroke dashstyle="solid"/>
            <w10:wrap type="none"/>
          </v:line>
        </w:pict>
      </w:r>
      <w:r>
        <w:rPr/>
        <w:pict>
          <v:line style="position:absolute;mso-position-horizontal-relative:page;mso-position-vertical-relative:paragraph;z-index:16073728" from="212.832993pt,4.101555pt" to="207.832993pt,4.101555pt" stroked="true" strokeweight=".5pt" strokecolor="#000000">
            <v:stroke dashstyle="solid"/>
            <w10:wrap type="none"/>
          </v:line>
        </w:pict>
      </w:r>
      <w:r>
        <w:rPr>
          <w:sz w:val="12"/>
        </w:rPr>
        <w:t>3.5</w:t>
      </w:r>
    </w:p>
    <w:p>
      <w:pPr>
        <w:pStyle w:val="BodyText"/>
        <w:spacing w:before="9"/>
        <w:rPr>
          <w:sz w:val="15"/>
        </w:rPr>
      </w:pPr>
    </w:p>
    <w:p>
      <w:pPr>
        <w:spacing w:before="0"/>
        <w:ind w:left="0" w:right="366" w:firstLine="0"/>
        <w:jc w:val="right"/>
        <w:rPr>
          <w:sz w:val="12"/>
        </w:rPr>
      </w:pPr>
      <w:r>
        <w:rPr/>
        <w:pict>
          <v:line style="position:absolute;mso-position-horizontal-relative:page;mso-position-vertical-relative:paragraph;z-index:16065536" from="47.833pt,5.101555pt" to="42.833pt,5.101555pt" stroked="true" strokeweight=".5pt" strokecolor="#000000">
            <v:stroke dashstyle="solid"/>
            <w10:wrap type="none"/>
          </v:line>
        </w:pict>
      </w:r>
      <w:r>
        <w:rPr/>
        <w:pict>
          <v:line style="position:absolute;mso-position-horizontal-relative:page;mso-position-vertical-relative:paragraph;z-index:16073216" from="212.832993pt,5.101555pt" to="207.832993pt,5.101555pt" stroked="true" strokeweight=".5pt" strokecolor="#000000">
            <v:stroke dashstyle="solid"/>
            <w10:wrap type="none"/>
          </v:line>
        </w:pict>
      </w:r>
      <w:r>
        <w:rPr>
          <w:sz w:val="12"/>
        </w:rPr>
        <w:t>3.0</w:t>
      </w:r>
    </w:p>
    <w:p>
      <w:pPr>
        <w:pStyle w:val="BodyText"/>
        <w:spacing w:before="7"/>
        <w:rPr>
          <w:sz w:val="17"/>
        </w:rPr>
      </w:pPr>
    </w:p>
    <w:p>
      <w:pPr>
        <w:spacing w:before="0"/>
        <w:ind w:left="0" w:right="366" w:firstLine="0"/>
        <w:jc w:val="right"/>
        <w:rPr>
          <w:sz w:val="12"/>
        </w:rPr>
      </w:pPr>
      <w:r>
        <w:rPr/>
        <w:pict>
          <v:line style="position:absolute;mso-position-horizontal-relative:page;mso-position-vertical-relative:paragraph;z-index:16065024" from="47.833pt,4.101555pt" to="42.833pt,4.101555pt" stroked="true" strokeweight=".5pt" strokecolor="#000000">
            <v:stroke dashstyle="solid"/>
            <w10:wrap type="none"/>
          </v:line>
        </w:pict>
      </w:r>
      <w:r>
        <w:rPr/>
        <w:pict>
          <v:line style="position:absolute;mso-position-horizontal-relative:page;mso-position-vertical-relative:paragraph;z-index:16072704" from="212.832993pt,4.101555pt" to="207.832993pt,4.101555pt" stroked="true" strokeweight=".5pt" strokecolor="#000000">
            <v:stroke dashstyle="solid"/>
            <w10:wrap type="none"/>
          </v:line>
        </w:pict>
      </w:r>
      <w:r>
        <w:rPr>
          <w:sz w:val="12"/>
        </w:rPr>
        <w:t>2.5</w:t>
      </w:r>
    </w:p>
    <w:p>
      <w:pPr>
        <w:pStyle w:val="BodyText"/>
        <w:spacing w:before="6"/>
        <w:rPr>
          <w:sz w:val="17"/>
        </w:rPr>
      </w:pPr>
    </w:p>
    <w:p>
      <w:pPr>
        <w:spacing w:before="0"/>
        <w:ind w:left="0" w:right="366" w:firstLine="0"/>
        <w:jc w:val="right"/>
        <w:rPr>
          <w:sz w:val="12"/>
        </w:rPr>
      </w:pPr>
      <w:r>
        <w:rPr/>
        <w:pict>
          <v:line style="position:absolute;mso-position-horizontal-relative:page;mso-position-vertical-relative:paragraph;z-index:16064512" from="47.833pt,4.101555pt" to="42.833pt,4.101555pt" stroked="true" strokeweight=".5pt" strokecolor="#000000">
            <v:stroke dashstyle="solid"/>
            <w10:wrap type="none"/>
          </v:line>
        </w:pict>
      </w:r>
      <w:r>
        <w:rPr/>
        <w:pict>
          <v:line style="position:absolute;mso-position-horizontal-relative:page;mso-position-vertical-relative:paragraph;z-index:16072192" from="212.832993pt,4.101555pt" to="207.832993pt,4.101555pt" stroked="true" strokeweight=".5pt" strokecolor="#000000">
            <v:stroke dashstyle="solid"/>
            <w10:wrap type="none"/>
          </v:line>
        </w:pict>
      </w:r>
      <w:r>
        <w:rPr>
          <w:sz w:val="12"/>
        </w:rPr>
        <w:t>2.0</w:t>
      </w:r>
    </w:p>
    <w:p>
      <w:pPr>
        <w:pStyle w:val="BodyText"/>
        <w:spacing w:before="10"/>
        <w:rPr>
          <w:sz w:val="15"/>
        </w:rPr>
      </w:pPr>
    </w:p>
    <w:p>
      <w:pPr>
        <w:spacing w:before="0"/>
        <w:ind w:left="0" w:right="366" w:firstLine="0"/>
        <w:jc w:val="right"/>
        <w:rPr>
          <w:sz w:val="12"/>
        </w:rPr>
      </w:pPr>
      <w:r>
        <w:rPr/>
        <w:pict>
          <v:line style="position:absolute;mso-position-horizontal-relative:page;mso-position-vertical-relative:paragraph;z-index:16064000" from="47.833pt,5.101555pt" to="42.833pt,5.101555pt" stroked="true" strokeweight=".5pt" strokecolor="#000000">
            <v:stroke dashstyle="solid"/>
            <w10:wrap type="none"/>
          </v:line>
        </w:pict>
      </w:r>
      <w:r>
        <w:rPr/>
        <w:pict>
          <v:line style="position:absolute;mso-position-horizontal-relative:page;mso-position-vertical-relative:paragraph;z-index:16071680" from="212.832993pt,5.101555pt" to="207.832993pt,5.101555pt" stroked="true" strokeweight=".5pt" strokecolor="#000000">
            <v:stroke dashstyle="solid"/>
            <w10:wrap type="none"/>
          </v:line>
        </w:pict>
      </w:r>
      <w:r>
        <w:rPr>
          <w:sz w:val="12"/>
        </w:rPr>
        <w:t>1.5</w:t>
      </w:r>
    </w:p>
    <w:p>
      <w:pPr>
        <w:pStyle w:val="BodyText"/>
        <w:spacing w:before="6"/>
        <w:rPr>
          <w:sz w:val="17"/>
        </w:rPr>
      </w:pPr>
    </w:p>
    <w:p>
      <w:pPr>
        <w:spacing w:before="1"/>
        <w:ind w:left="0" w:right="366" w:firstLine="0"/>
        <w:jc w:val="right"/>
        <w:rPr>
          <w:sz w:val="12"/>
        </w:rPr>
      </w:pPr>
      <w:r>
        <w:rPr/>
        <w:pict>
          <v:line style="position:absolute;mso-position-horizontal-relative:page;mso-position-vertical-relative:paragraph;z-index:16063488" from="47.833pt,4.151555pt" to="42.833pt,4.151555pt" stroked="true" strokeweight=".5pt" strokecolor="#000000">
            <v:stroke dashstyle="solid"/>
            <w10:wrap type="none"/>
          </v:line>
        </w:pict>
      </w:r>
      <w:r>
        <w:rPr/>
        <w:pict>
          <v:line style="position:absolute;mso-position-horizontal-relative:page;mso-position-vertical-relative:paragraph;z-index:16071168" from="212.832993pt,4.151555pt" to="207.832993pt,4.151555pt" stroked="true" strokeweight=".5pt" strokecolor="#000000">
            <v:stroke dashstyle="solid"/>
            <w10:wrap type="none"/>
          </v:line>
        </w:pict>
      </w:r>
      <w:r>
        <w:rPr>
          <w:sz w:val="12"/>
        </w:rPr>
        <w:t>1.0</w:t>
      </w:r>
    </w:p>
    <w:p>
      <w:pPr>
        <w:pStyle w:val="BodyText"/>
        <w:spacing w:before="6"/>
        <w:rPr>
          <w:sz w:val="17"/>
        </w:rPr>
      </w:pPr>
    </w:p>
    <w:p>
      <w:pPr>
        <w:spacing w:before="0"/>
        <w:ind w:left="0" w:right="366" w:firstLine="0"/>
        <w:jc w:val="right"/>
        <w:rPr>
          <w:sz w:val="12"/>
        </w:rPr>
      </w:pPr>
      <w:r>
        <w:rPr/>
        <w:pict>
          <v:line style="position:absolute;mso-position-horizontal-relative:page;mso-position-vertical-relative:paragraph;z-index:16062976" from="47.833pt,4.101555pt" to="42.833pt,4.101555pt" stroked="true" strokeweight=".5pt" strokecolor="#000000">
            <v:stroke dashstyle="solid"/>
            <w10:wrap type="none"/>
          </v:line>
        </w:pict>
      </w:r>
      <w:r>
        <w:rPr/>
        <w:pict>
          <v:line style="position:absolute;mso-position-horizontal-relative:page;mso-position-vertical-relative:paragraph;z-index:16070656" from="212.832993pt,4.101555pt" to="207.832993pt,4.101555pt" stroked="true" strokeweight=".5pt" strokecolor="#000000">
            <v:stroke dashstyle="solid"/>
            <w10:wrap type="none"/>
          </v:line>
        </w:pict>
      </w:r>
      <w:r>
        <w:rPr>
          <w:sz w:val="12"/>
        </w:rPr>
        <w:t>0.5</w:t>
      </w:r>
    </w:p>
    <w:p>
      <w:pPr>
        <w:pStyle w:val="BodyText"/>
        <w:spacing w:before="9"/>
        <w:rPr>
          <w:sz w:val="15"/>
        </w:rPr>
      </w:pPr>
    </w:p>
    <w:p>
      <w:pPr>
        <w:spacing w:line="129" w:lineRule="exact" w:before="1"/>
        <w:ind w:left="3706" w:right="0" w:firstLine="0"/>
        <w:jc w:val="left"/>
        <w:rPr>
          <w:sz w:val="12"/>
        </w:rPr>
      </w:pPr>
      <w:r>
        <w:rPr/>
        <w:pict>
          <v:line style="position:absolute;mso-position-horizontal-relative:page;mso-position-vertical-relative:paragraph;z-index:16062464" from="47.833pt,5.151555pt" to="42.833pt,5.151555pt" stroked="true" strokeweight=".5pt" strokecolor="#000000">
            <v:stroke dashstyle="solid"/>
            <w10:wrap type="none"/>
          </v:line>
        </w:pict>
      </w:r>
      <w:r>
        <w:rPr/>
        <w:pict>
          <v:shape style="position:absolute;margin-left:52.833pt;margin-top:.151555pt;width:150pt;height:5pt;mso-position-horizontal-relative:page;mso-position-vertical-relative:paragraph;z-index:16069632" coordorigin="1057,3" coordsize="3000,100" path="m1057,103l4057,103m1057,103l1057,63m1097,103l1097,63m1155,103l1155,63m1213,103l1213,63m1271,103l1271,63m1329,103l1329,63m1387,103l1387,63m1445,103l1445,63m1503,103l1503,63m1561,103l1561,63m1619,103l1619,63m1677,103l1677,63m1737,103l1737,63m1797,103l1797,63m1853,103l1853,63m1909,103l1909,63m1965,103l1965,63m2021,103l2021,63m2077,103l2077,63m2133,103l2133,63m2189,103l2189,63m2245,103l2245,63m2301,103l2301,63m2357,103l2357,63m2417,103l2417,63m2477,103l2477,63m2533,103l2533,63m2589,103l2589,63m2645,103l2645,63m2701,103l2701,63m2757,103l2757,63m2813,103l2813,63m2869,103l2869,63m2925,103l2925,63m2981,103l2981,63m3037,103l3037,63m3097,103l3097,63m3157,103l3157,63m3213,103l3213,63m3269,103l3269,63m3325,103l3325,63m3381,103l3381,63m3437,103l3437,63m3493,103l3493,63m3549,103l3549,63m3605,103l3605,63m3661,103l3661,63m3717,103l3717,63m3777,103l3777,63m3837,103l3837,63m3890,103l3890,63m3943,103l3943,63m3997,103l3997,63m4057,103l4057,63m1057,103l1057,3m1737,103l1737,3m2417,103l2417,3m3097,103l3097,3m3777,103l3777,3e" filled="false" stroked="true" strokeweight=".5pt" strokecolor="#000000">
            <v:path arrowok="t"/>
            <v:stroke dashstyle="solid"/>
            <w10:wrap type="none"/>
          </v:shape>
        </w:pict>
      </w:r>
      <w:r>
        <w:rPr/>
        <w:pict>
          <v:line style="position:absolute;mso-position-horizontal-relative:page;mso-position-vertical-relative:paragraph;z-index:16070144" from="212.832993pt,5.151555pt" to="207.832993pt,5.151555pt" stroked="true" strokeweight=".5pt" strokecolor="#000000">
            <v:stroke dashstyle="solid"/>
            <w10:wrap type="none"/>
          </v:line>
        </w:pict>
      </w:r>
      <w:r>
        <w:rPr>
          <w:sz w:val="12"/>
        </w:rPr>
        <w:t>0.0</w:t>
      </w:r>
    </w:p>
    <w:p>
      <w:pPr>
        <w:tabs>
          <w:tab w:pos="1406" w:val="left" w:leader="none"/>
          <w:tab w:pos="2086" w:val="left" w:leader="none"/>
          <w:tab w:pos="2766" w:val="left" w:leader="none"/>
          <w:tab w:pos="3246" w:val="left" w:leader="none"/>
        </w:tabs>
        <w:spacing w:line="129" w:lineRule="exact" w:before="0"/>
        <w:ind w:left="626" w:right="0" w:firstLine="0"/>
        <w:jc w:val="left"/>
        <w:rPr>
          <w:sz w:val="12"/>
        </w:rPr>
      </w:pPr>
      <w:r>
        <w:rPr>
          <w:sz w:val="12"/>
        </w:rPr>
        <w:t>1994</w:t>
        <w:tab/>
        <w:t>95</w:t>
        <w:tab/>
        <w:t>96</w:t>
        <w:tab/>
        <w:t>97</w:t>
        <w:tab/>
        <w:t>98</w:t>
      </w:r>
    </w:p>
    <w:p>
      <w:pPr>
        <w:pStyle w:val="BodyText"/>
        <w:spacing w:before="10"/>
        <w:rPr>
          <w:sz w:val="9"/>
        </w:rPr>
      </w:pPr>
    </w:p>
    <w:p>
      <w:pPr>
        <w:spacing w:line="208" w:lineRule="auto" w:before="0"/>
        <w:ind w:left="200" w:right="712" w:firstLine="0"/>
        <w:jc w:val="left"/>
        <w:rPr>
          <w:sz w:val="12"/>
        </w:rPr>
      </w:pPr>
      <w:r>
        <w:rPr>
          <w:color w:val="231F20"/>
          <w:sz w:val="12"/>
        </w:rPr>
        <w:t>RPIX = Retail price index excluding mortgage interest payments. RPIY = RPIX excluding VAT, local authority taxes and excise duty.</w:t>
      </w:r>
    </w:p>
    <w:p>
      <w:pPr>
        <w:pStyle w:val="BodyText"/>
        <w:spacing w:before="5"/>
        <w:rPr>
          <w:sz w:val="10"/>
        </w:rPr>
      </w:pPr>
    </w:p>
    <w:p>
      <w:pPr>
        <w:spacing w:line="208" w:lineRule="auto" w:before="0"/>
        <w:ind w:left="440" w:right="38" w:hanging="240"/>
        <w:jc w:val="both"/>
        <w:rPr>
          <w:sz w:val="12"/>
        </w:rPr>
      </w:pPr>
      <w:r>
        <w:rPr>
          <w:color w:val="231F20"/>
          <w:sz w:val="12"/>
        </w:rPr>
        <w:t>(a) Adjusted by the Bank of England for ONS error in under-recording aggregate price indices between February and May 1995. Other charts and tables in this </w:t>
      </w:r>
      <w:r>
        <w:rPr>
          <w:i/>
          <w:color w:val="231F20"/>
          <w:sz w:val="12"/>
        </w:rPr>
        <w:t>Report </w:t>
      </w:r>
      <w:r>
        <w:rPr>
          <w:color w:val="231F20"/>
          <w:sz w:val="12"/>
        </w:rPr>
        <w:t>that include measures of retail price inflation are similarly adjusted.</w:t>
      </w:r>
    </w:p>
    <w:p>
      <w:pPr>
        <w:pStyle w:val="Heading4"/>
        <w:spacing w:line="242" w:lineRule="auto" w:before="90"/>
        <w:ind w:left="180" w:right="187"/>
      </w:pPr>
      <w:r>
        <w:rPr/>
        <w:br w:type="column"/>
      </w:r>
      <w:r>
        <w:rPr>
          <w:color w:val="231F20"/>
        </w:rPr>
        <w:t>Retail prices excluding mortgage interest repayments (RPIX) rose by 2.8% in the twelve months to June, compared with 3.2% in May. The headline RPI inflation rate and RPIY annual inflation, which also excludes excise duties, were 3.7% and 2.0% respectively in June (see Chart 4.5). Annual RPIX inflation has ranged between 2.0% and 3.3% since the start of 1994.</w:t>
      </w:r>
    </w:p>
    <w:p>
      <w:pPr>
        <w:pStyle w:val="BodyText"/>
        <w:spacing w:before="1"/>
        <w:rPr>
          <w:sz w:val="25"/>
        </w:rPr>
      </w:pPr>
    </w:p>
    <w:p>
      <w:pPr>
        <w:spacing w:line="242" w:lineRule="auto" w:before="0"/>
        <w:ind w:left="180" w:right="159" w:firstLine="0"/>
        <w:jc w:val="left"/>
        <w:rPr>
          <w:sz w:val="24"/>
        </w:rPr>
      </w:pPr>
      <w:r>
        <w:rPr>
          <w:color w:val="231F20"/>
          <w:sz w:val="24"/>
        </w:rPr>
        <w:t>Annual RPIX goods price inflation fell by 0.6 percentage points in June, to 2.0%, and remains below the annual rate of service price inflation of 3.1%. Service price inflation has been higher than goods price inflation since the first half of 1997.  This is partly because goods </w:t>
      </w:r>
      <w:r>
        <w:rPr>
          <w:color w:val="231F20"/>
          <w:spacing w:val="-3"/>
          <w:sz w:val="24"/>
        </w:rPr>
        <w:t>have </w:t>
      </w:r>
      <w:r>
        <w:rPr>
          <w:color w:val="231F20"/>
          <w:sz w:val="24"/>
        </w:rPr>
        <w:t>a higher import component than services, so an </w:t>
      </w:r>
      <w:r>
        <w:rPr>
          <w:color w:val="231F20"/>
          <w:spacing w:val="-3"/>
          <w:sz w:val="24"/>
        </w:rPr>
        <w:t>exchange </w:t>
      </w:r>
      <w:r>
        <w:rPr>
          <w:color w:val="231F20"/>
          <w:sz w:val="24"/>
        </w:rPr>
        <w:t>rate appreciation lowers goods price inflation relative to service price inflation. But exchange rate behaviour alone does not explain why service price inflation exceeds goods price inflation—service price inflation has generally been higher for much of this decade. The differential is likely to reflect lower measured productivity growth in the services sector relative to manufacturing, though it is difficult to estimate productivity growth</w:t>
      </w:r>
      <w:r>
        <w:rPr>
          <w:color w:val="231F20"/>
          <w:spacing w:val="-2"/>
          <w:sz w:val="24"/>
        </w:rPr>
        <w:t> </w:t>
      </w:r>
      <w:r>
        <w:rPr>
          <w:color w:val="231F20"/>
          <w:sz w:val="24"/>
        </w:rPr>
        <w:t>precisely.</w:t>
      </w:r>
    </w:p>
    <w:p>
      <w:pPr>
        <w:pStyle w:val="BodyText"/>
        <w:rPr>
          <w:sz w:val="26"/>
        </w:rPr>
      </w:pPr>
    </w:p>
    <w:p>
      <w:pPr>
        <w:spacing w:line="242" w:lineRule="auto" w:before="0"/>
        <w:ind w:left="180" w:right="200" w:firstLine="0"/>
        <w:jc w:val="left"/>
        <w:rPr>
          <w:sz w:val="24"/>
        </w:rPr>
      </w:pPr>
      <w:r>
        <w:rPr>
          <w:color w:val="231F20"/>
          <w:sz w:val="24"/>
        </w:rPr>
        <w:t>Annual RPIX inflation in 1998 Q2, at 3.0%, included a temporary component from the timing of tax increases announced in the Budgets of July 1997 and March 1998. It was slightly higher than expected in the May </w:t>
      </w:r>
      <w:r>
        <w:rPr>
          <w:i/>
          <w:color w:val="231F20"/>
          <w:sz w:val="24"/>
        </w:rPr>
        <w:t>Report </w:t>
      </w:r>
      <w:r>
        <w:rPr>
          <w:color w:val="231F20"/>
          <w:sz w:val="24"/>
        </w:rPr>
        <w:t>central projection. The difference is likely to have reflected the erratic behaviour of seasonal food prices.</w:t>
      </w:r>
    </w:p>
    <w:p>
      <w:pPr>
        <w:spacing w:line="242" w:lineRule="auto" w:before="8"/>
        <w:ind w:left="180" w:right="201" w:firstLine="0"/>
        <w:jc w:val="left"/>
        <w:rPr>
          <w:sz w:val="24"/>
        </w:rPr>
      </w:pPr>
      <w:r>
        <w:rPr>
          <w:color w:val="231F20"/>
          <w:sz w:val="24"/>
        </w:rPr>
        <w:t>RPIX inflation is likely to have fallen in July as the petrol duty increase twelve months previously dropped out of the calculation.</w:t>
      </w:r>
    </w:p>
    <w:p>
      <w:pPr>
        <w:pStyle w:val="BodyText"/>
        <w:spacing w:before="8"/>
        <w:rPr>
          <w:sz w:val="24"/>
        </w:rPr>
      </w:pPr>
    </w:p>
    <w:p>
      <w:pPr>
        <w:spacing w:line="242" w:lineRule="auto" w:before="0"/>
        <w:ind w:left="180" w:right="264" w:firstLine="0"/>
        <w:jc w:val="left"/>
        <w:rPr>
          <w:sz w:val="24"/>
        </w:rPr>
      </w:pPr>
      <w:r>
        <w:rPr>
          <w:color w:val="231F20"/>
          <w:sz w:val="24"/>
        </w:rPr>
        <w:t>Domestic demand conditions play an important role alongside input costs as a determinant of retail prices. Retail goods prices have continued to rise, reflecting strong domestic demand, while retailers’ weighted costs are estimated to have fallen in the year to 1998 Q1. The fall in weighted costs has mainly been due to lower bought-in goods prices, though unit labour costs have continued to rise. The MPC’s central projection for inflation assumes that the pricing behaviour of retailers during the next two years will be influenced by the continued effects of sterling’s appreciation on import</w:t>
      </w:r>
    </w:p>
    <w:p>
      <w:pPr>
        <w:spacing w:after="0" w:line="242" w:lineRule="auto"/>
        <w:jc w:val="left"/>
        <w:rPr>
          <w:sz w:val="24"/>
        </w:rPr>
        <w:sectPr>
          <w:type w:val="continuous"/>
          <w:pgSz w:w="11900" w:h="16840"/>
          <w:pgMar w:top="1220" w:bottom="280" w:left="620" w:right="640"/>
          <w:cols w:num="2" w:equalWidth="0">
            <w:col w:w="4226" w:space="574"/>
            <w:col w:w="5840"/>
          </w:cols>
        </w:sectPr>
      </w:pPr>
    </w:p>
    <w:p>
      <w:pPr>
        <w:pStyle w:val="BodyText"/>
        <w:rPr>
          <w:sz w:val="20"/>
        </w:rPr>
      </w:pPr>
    </w:p>
    <w:p>
      <w:pPr>
        <w:spacing w:line="242" w:lineRule="auto" w:before="207"/>
        <w:ind w:left="4994" w:right="135" w:firstLine="0"/>
        <w:jc w:val="left"/>
        <w:rPr>
          <w:sz w:val="24"/>
        </w:rPr>
      </w:pPr>
      <w:bookmarkStart w:name="Other price indices" w:id="80"/>
      <w:bookmarkEnd w:id="80"/>
      <w:r>
        <w:rPr/>
      </w:r>
      <w:bookmarkStart w:name="Summary" w:id="81"/>
      <w:bookmarkEnd w:id="81"/>
      <w:r>
        <w:rPr/>
      </w:r>
      <w:bookmarkStart w:name="_bookmark34" w:id="82"/>
      <w:bookmarkEnd w:id="82"/>
      <w:r>
        <w:rPr/>
      </w:r>
      <w:r>
        <w:rPr>
          <w:color w:val="231F20"/>
          <w:sz w:val="24"/>
        </w:rPr>
        <w:t>prices, and by domestically generated inflation. The extent of domestic inflationary pressures can be gauged by adjusting retail price inflation for the effects of lower </w:t>
      </w:r>
      <w:hyperlink w:history="true" w:anchor="_bookmark36">
        <w:r>
          <w:rPr>
            <w:color w:val="231F20"/>
            <w:sz w:val="24"/>
          </w:rPr>
          <w:t>import prices and changes in the terms of trade. The box</w:t>
        </w:r>
      </w:hyperlink>
      <w:r>
        <w:rPr>
          <w:color w:val="231F20"/>
          <w:sz w:val="24"/>
        </w:rPr>
        <w:t> on page 39 explores the concept and measures of domestically generated inflation in greater detail. These measures all suggest that, in 1998 Q1, domestically generated inflation was above 2.5% but falling. As the effects of sterling’s appreciation unwind, actual inflation will increasingly reflect domestically generated inflationary pressures.</w:t>
      </w:r>
    </w:p>
    <w:p>
      <w:pPr>
        <w:pStyle w:val="BodyText"/>
        <w:spacing w:before="3"/>
        <w:rPr>
          <w:sz w:val="22"/>
        </w:rPr>
      </w:pPr>
    </w:p>
    <w:p>
      <w:pPr>
        <w:pStyle w:val="ListParagraph"/>
        <w:numPr>
          <w:ilvl w:val="1"/>
          <w:numId w:val="34"/>
        </w:numPr>
        <w:tabs>
          <w:tab w:pos="7988" w:val="left" w:leader="none"/>
          <w:tab w:pos="7989" w:val="left" w:leader="none"/>
        </w:tabs>
        <w:spacing w:line="240" w:lineRule="auto" w:before="1" w:after="0"/>
        <w:ind w:left="7988" w:right="0" w:hanging="2995"/>
        <w:jc w:val="left"/>
        <w:rPr>
          <w:b/>
          <w:sz w:val="28"/>
        </w:rPr>
      </w:pPr>
      <w:r>
        <w:rPr>
          <w:b/>
          <w:color w:val="009483"/>
          <w:sz w:val="28"/>
          <w:u w:val="thick" w:color="0093C1"/>
        </w:rPr>
        <w:t>Other price indices</w:t>
      </w:r>
      <w:r>
        <w:rPr>
          <w:b/>
          <w:color w:val="009483"/>
          <w:spacing w:val="-10"/>
          <w:sz w:val="28"/>
          <w:u w:val="thick" w:color="0093C1"/>
        </w:rPr>
        <w:t> </w:t>
      </w:r>
    </w:p>
    <w:p>
      <w:pPr>
        <w:pStyle w:val="BodyText"/>
        <w:spacing w:before="1"/>
        <w:rPr>
          <w:b/>
          <w:sz w:val="16"/>
        </w:rPr>
      </w:pPr>
    </w:p>
    <w:p>
      <w:pPr>
        <w:spacing w:after="0"/>
        <w:rPr>
          <w:sz w:val="16"/>
        </w:rPr>
        <w:sectPr>
          <w:pgSz w:w="11900" w:h="16840"/>
          <w:pgMar w:header="586" w:footer="597" w:top="780" w:bottom="780" w:left="620" w:right="640"/>
        </w:sect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spacing w:before="7"/>
        <w:rPr>
          <w:b/>
          <w:sz w:val="25"/>
        </w:rPr>
      </w:pPr>
    </w:p>
    <w:p>
      <w:pPr>
        <w:pStyle w:val="Heading8"/>
        <w:spacing w:before="0"/>
        <w:ind w:left="194"/>
      </w:pPr>
      <w:r>
        <w:rPr>
          <w:color w:val="0093C1"/>
        </w:rPr>
        <w:t>Table 4.B</w:t>
      </w:r>
    </w:p>
    <w:p>
      <w:pPr>
        <w:spacing w:before="10"/>
        <w:ind w:left="194" w:right="0" w:firstLine="0"/>
        <w:jc w:val="left"/>
        <w:rPr>
          <w:b/>
          <w:sz w:val="20"/>
        </w:rPr>
      </w:pPr>
      <w:r>
        <w:rPr>
          <w:b/>
          <w:color w:val="0093C1"/>
          <w:sz w:val="20"/>
        </w:rPr>
        <w:t>Other measures of annual inflation</w:t>
      </w:r>
    </w:p>
    <w:p>
      <w:pPr>
        <w:spacing w:before="106"/>
        <w:ind w:left="194" w:right="0" w:firstLine="0"/>
        <w:jc w:val="left"/>
        <w:rPr>
          <w:sz w:val="14"/>
        </w:rPr>
      </w:pPr>
      <w:r>
        <w:rPr>
          <w:color w:val="231F20"/>
          <w:sz w:val="14"/>
        </w:rPr>
        <w:t>Percentage increase in prices on a year earlier</w:t>
      </w:r>
    </w:p>
    <w:p>
      <w:pPr>
        <w:pStyle w:val="BodyText"/>
        <w:spacing w:before="10"/>
        <w:rPr>
          <w:sz w:val="10"/>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0"/>
        <w:gridCol w:w="465"/>
        <w:gridCol w:w="485"/>
        <w:gridCol w:w="443"/>
        <w:gridCol w:w="451"/>
        <w:gridCol w:w="461"/>
        <w:gridCol w:w="409"/>
      </w:tblGrid>
      <w:tr>
        <w:trPr>
          <w:trHeight w:val="295" w:hRule="atLeast"/>
        </w:trPr>
        <w:tc>
          <w:tcPr>
            <w:tcW w:w="1725" w:type="dxa"/>
            <w:gridSpan w:val="2"/>
          </w:tcPr>
          <w:p>
            <w:pPr>
              <w:pStyle w:val="TableParagraph"/>
              <w:spacing w:line="145" w:lineRule="exact"/>
              <w:ind w:right="134"/>
              <w:jc w:val="right"/>
              <w:rPr>
                <w:sz w:val="14"/>
              </w:rPr>
            </w:pPr>
            <w:r>
              <w:rPr>
                <w:color w:val="231F20"/>
                <w:sz w:val="14"/>
                <w:u w:val="single" w:color="231F20"/>
              </w:rPr>
              <w:t>1996</w:t>
            </w:r>
          </w:p>
          <w:p>
            <w:pPr>
              <w:pStyle w:val="TableParagraph"/>
              <w:spacing w:line="130" w:lineRule="exact"/>
              <w:ind w:right="117"/>
              <w:jc w:val="right"/>
              <w:rPr>
                <w:sz w:val="14"/>
              </w:rPr>
            </w:pPr>
            <w:r>
              <w:rPr>
                <w:color w:val="231F20"/>
                <w:sz w:val="14"/>
                <w:u w:val="single" w:color="231F20"/>
              </w:rPr>
              <w:t>Dec. </w:t>
            </w:r>
          </w:p>
        </w:tc>
        <w:tc>
          <w:tcPr>
            <w:tcW w:w="485" w:type="dxa"/>
          </w:tcPr>
          <w:p>
            <w:pPr>
              <w:pStyle w:val="TableParagraph"/>
              <w:spacing w:line="145" w:lineRule="exact"/>
              <w:ind w:left="115"/>
              <w:rPr>
                <w:sz w:val="14"/>
              </w:rPr>
            </w:pPr>
            <w:r>
              <w:rPr>
                <w:color w:val="231F20"/>
                <w:sz w:val="14"/>
                <w:u w:val="single" w:color="231F20"/>
              </w:rPr>
              <w:t>1997</w:t>
            </w:r>
          </w:p>
          <w:p>
            <w:pPr>
              <w:pStyle w:val="TableParagraph"/>
              <w:spacing w:line="130" w:lineRule="exact"/>
              <w:ind w:left="115"/>
              <w:rPr>
                <w:sz w:val="14"/>
              </w:rPr>
            </w:pPr>
            <w:r>
              <w:rPr>
                <w:color w:val="231F20"/>
                <w:sz w:val="14"/>
                <w:u w:val="single" w:color="231F20"/>
              </w:rPr>
              <w:t>Dec.</w:t>
            </w:r>
          </w:p>
        </w:tc>
        <w:tc>
          <w:tcPr>
            <w:tcW w:w="1764" w:type="dxa"/>
            <w:gridSpan w:val="4"/>
          </w:tcPr>
          <w:p>
            <w:pPr>
              <w:pStyle w:val="TableParagraph"/>
              <w:tabs>
                <w:tab w:pos="1690" w:val="left" w:leader="none"/>
              </w:tabs>
              <w:spacing w:line="145" w:lineRule="exact"/>
              <w:ind w:left="90"/>
              <w:rPr>
                <w:sz w:val="14"/>
              </w:rPr>
            </w:pPr>
            <w:r>
              <w:rPr>
                <w:color w:val="231F20"/>
                <w:sz w:val="14"/>
                <w:u w:val="single" w:color="231F20"/>
              </w:rPr>
              <w:t>1998</w:t>
              <w:tab/>
            </w:r>
          </w:p>
          <w:p>
            <w:pPr>
              <w:pStyle w:val="TableParagraph"/>
              <w:spacing w:line="130" w:lineRule="exact"/>
              <w:ind w:left="90"/>
              <w:rPr>
                <w:sz w:val="14"/>
              </w:rPr>
            </w:pPr>
            <w:r>
              <w:rPr>
                <w:color w:val="231F20"/>
                <w:sz w:val="14"/>
                <w:u w:val="single" w:color="231F20"/>
              </w:rPr>
              <w:t>Mar. </w:t>
            </w:r>
            <w:r>
              <w:rPr>
                <w:color w:val="231F20"/>
                <w:sz w:val="14"/>
              </w:rPr>
              <w:t>     </w:t>
            </w:r>
            <w:r>
              <w:rPr>
                <w:color w:val="231F20"/>
                <w:sz w:val="14"/>
                <w:u w:val="single" w:color="231F20"/>
              </w:rPr>
              <w:t>Apri</w:t>
            </w:r>
            <w:r>
              <w:rPr>
                <w:color w:val="231F20"/>
                <w:sz w:val="14"/>
              </w:rPr>
              <w:t>l    </w:t>
            </w:r>
            <w:r>
              <w:rPr>
                <w:color w:val="231F20"/>
                <w:sz w:val="14"/>
                <w:u w:val="single" w:color="231F20"/>
              </w:rPr>
              <w:t>May</w:t>
            </w:r>
            <w:r>
              <w:rPr>
                <w:color w:val="231F20"/>
                <w:sz w:val="14"/>
              </w:rPr>
              <w:t>  </w:t>
            </w:r>
            <w:r>
              <w:rPr>
                <w:color w:val="231F20"/>
                <w:spacing w:val="32"/>
                <w:sz w:val="14"/>
              </w:rPr>
              <w:t> </w:t>
            </w:r>
            <w:r>
              <w:rPr>
                <w:color w:val="231F20"/>
                <w:sz w:val="14"/>
                <w:u w:val="single" w:color="231F20"/>
              </w:rPr>
              <w:t>June</w:t>
            </w:r>
            <w:r>
              <w:rPr>
                <w:color w:val="231F20"/>
                <w:spacing w:val="-17"/>
                <w:sz w:val="14"/>
                <w:u w:val="single" w:color="231F20"/>
              </w:rPr>
              <w:t> </w:t>
            </w:r>
          </w:p>
        </w:tc>
      </w:tr>
      <w:tr>
        <w:trPr>
          <w:trHeight w:val="272" w:hRule="atLeast"/>
        </w:trPr>
        <w:tc>
          <w:tcPr>
            <w:tcW w:w="1260" w:type="dxa"/>
          </w:tcPr>
          <w:p>
            <w:pPr>
              <w:pStyle w:val="TableParagraph"/>
              <w:spacing w:line="133" w:lineRule="exact" w:before="119"/>
              <w:ind w:left="50"/>
              <w:rPr>
                <w:sz w:val="12"/>
              </w:rPr>
            </w:pPr>
            <w:r>
              <w:rPr>
                <w:color w:val="231F20"/>
                <w:sz w:val="14"/>
              </w:rPr>
              <w:t>HICP </w:t>
            </w:r>
            <w:r>
              <w:rPr>
                <w:color w:val="231F20"/>
                <w:sz w:val="12"/>
              </w:rPr>
              <w:t>(a)</w:t>
            </w:r>
          </w:p>
        </w:tc>
        <w:tc>
          <w:tcPr>
            <w:tcW w:w="465" w:type="dxa"/>
          </w:tcPr>
          <w:p>
            <w:pPr>
              <w:pStyle w:val="TableParagraph"/>
              <w:spacing w:line="133" w:lineRule="exact" w:before="119"/>
              <w:ind w:right="112"/>
              <w:jc w:val="right"/>
              <w:rPr>
                <w:sz w:val="14"/>
              </w:rPr>
            </w:pPr>
            <w:r>
              <w:rPr>
                <w:color w:val="231F20"/>
                <w:sz w:val="14"/>
              </w:rPr>
              <w:t>n.a.</w:t>
            </w:r>
          </w:p>
        </w:tc>
        <w:tc>
          <w:tcPr>
            <w:tcW w:w="485" w:type="dxa"/>
          </w:tcPr>
          <w:p>
            <w:pPr>
              <w:pStyle w:val="TableParagraph"/>
              <w:spacing w:line="133" w:lineRule="exact" w:before="119"/>
              <w:ind w:right="128"/>
              <w:jc w:val="right"/>
              <w:rPr>
                <w:sz w:val="14"/>
              </w:rPr>
            </w:pPr>
            <w:r>
              <w:rPr>
                <w:color w:val="231F20"/>
                <w:sz w:val="14"/>
              </w:rPr>
              <w:t>1.8</w:t>
            </w:r>
          </w:p>
        </w:tc>
        <w:tc>
          <w:tcPr>
            <w:tcW w:w="443" w:type="dxa"/>
          </w:tcPr>
          <w:p>
            <w:pPr>
              <w:pStyle w:val="TableParagraph"/>
              <w:spacing w:line="133" w:lineRule="exact" w:before="119"/>
              <w:ind w:left="115" w:right="113"/>
              <w:jc w:val="center"/>
              <w:rPr>
                <w:sz w:val="14"/>
              </w:rPr>
            </w:pPr>
            <w:r>
              <w:rPr>
                <w:color w:val="231F20"/>
                <w:sz w:val="14"/>
              </w:rPr>
              <w:t>1.6</w:t>
            </w:r>
          </w:p>
        </w:tc>
        <w:tc>
          <w:tcPr>
            <w:tcW w:w="451" w:type="dxa"/>
          </w:tcPr>
          <w:p>
            <w:pPr>
              <w:pStyle w:val="TableParagraph"/>
              <w:spacing w:line="133" w:lineRule="exact" w:before="119"/>
              <w:ind w:left="113" w:right="122"/>
              <w:jc w:val="center"/>
              <w:rPr>
                <w:sz w:val="14"/>
              </w:rPr>
            </w:pPr>
            <w:r>
              <w:rPr>
                <w:color w:val="231F20"/>
                <w:sz w:val="14"/>
              </w:rPr>
              <w:t>1.9</w:t>
            </w:r>
          </w:p>
        </w:tc>
        <w:tc>
          <w:tcPr>
            <w:tcW w:w="461" w:type="dxa"/>
          </w:tcPr>
          <w:p>
            <w:pPr>
              <w:pStyle w:val="TableParagraph"/>
              <w:spacing w:line="133" w:lineRule="exact" w:before="119"/>
              <w:ind w:left="99" w:right="100"/>
              <w:jc w:val="center"/>
              <w:rPr>
                <w:sz w:val="14"/>
              </w:rPr>
            </w:pPr>
            <w:r>
              <w:rPr>
                <w:color w:val="231F20"/>
                <w:sz w:val="14"/>
              </w:rPr>
              <w:t>2.0</w:t>
            </w:r>
          </w:p>
        </w:tc>
        <w:tc>
          <w:tcPr>
            <w:tcW w:w="409" w:type="dxa"/>
          </w:tcPr>
          <w:p>
            <w:pPr>
              <w:pStyle w:val="TableParagraph"/>
              <w:spacing w:line="133" w:lineRule="exact" w:before="119"/>
              <w:ind w:right="91"/>
              <w:jc w:val="right"/>
              <w:rPr>
                <w:sz w:val="14"/>
              </w:rPr>
            </w:pPr>
            <w:r>
              <w:rPr>
                <w:color w:val="231F20"/>
                <w:sz w:val="14"/>
              </w:rPr>
              <w:t>1.7</w:t>
            </w:r>
          </w:p>
        </w:tc>
      </w:tr>
      <w:tr>
        <w:trPr>
          <w:trHeight w:val="140" w:hRule="atLeast"/>
        </w:trPr>
        <w:tc>
          <w:tcPr>
            <w:tcW w:w="1260" w:type="dxa"/>
          </w:tcPr>
          <w:p>
            <w:pPr>
              <w:pStyle w:val="TableParagraph"/>
              <w:spacing w:line="120" w:lineRule="exact"/>
              <w:ind w:left="50"/>
              <w:rPr>
                <w:sz w:val="12"/>
              </w:rPr>
            </w:pPr>
            <w:r>
              <w:rPr>
                <w:color w:val="231F20"/>
                <w:sz w:val="14"/>
              </w:rPr>
              <w:t>HARP </w:t>
            </w:r>
            <w:r>
              <w:rPr>
                <w:color w:val="231F20"/>
                <w:sz w:val="12"/>
              </w:rPr>
              <w:t>(b)</w:t>
            </w:r>
          </w:p>
        </w:tc>
        <w:tc>
          <w:tcPr>
            <w:tcW w:w="465" w:type="dxa"/>
          </w:tcPr>
          <w:p>
            <w:pPr>
              <w:pStyle w:val="TableParagraph"/>
              <w:spacing w:line="120" w:lineRule="exact"/>
              <w:ind w:right="114"/>
              <w:jc w:val="right"/>
              <w:rPr>
                <w:sz w:val="14"/>
              </w:rPr>
            </w:pPr>
            <w:r>
              <w:rPr>
                <w:color w:val="231F20"/>
                <w:sz w:val="14"/>
              </w:rPr>
              <w:t>3.8</w:t>
            </w:r>
          </w:p>
        </w:tc>
        <w:tc>
          <w:tcPr>
            <w:tcW w:w="485" w:type="dxa"/>
          </w:tcPr>
          <w:p>
            <w:pPr>
              <w:pStyle w:val="TableParagraph"/>
              <w:spacing w:line="120" w:lineRule="exact"/>
              <w:ind w:right="128"/>
              <w:jc w:val="right"/>
              <w:rPr>
                <w:sz w:val="14"/>
              </w:rPr>
            </w:pPr>
            <w:r>
              <w:rPr>
                <w:color w:val="231F20"/>
                <w:sz w:val="14"/>
              </w:rPr>
              <w:t>2.8</w:t>
            </w:r>
          </w:p>
        </w:tc>
        <w:tc>
          <w:tcPr>
            <w:tcW w:w="443" w:type="dxa"/>
          </w:tcPr>
          <w:p>
            <w:pPr>
              <w:pStyle w:val="TableParagraph"/>
              <w:spacing w:line="120" w:lineRule="exact"/>
              <w:ind w:left="115" w:right="113"/>
              <w:jc w:val="center"/>
              <w:rPr>
                <w:sz w:val="14"/>
              </w:rPr>
            </w:pPr>
            <w:r>
              <w:rPr>
                <w:color w:val="231F20"/>
                <w:sz w:val="14"/>
              </w:rPr>
              <w:t>2.9</w:t>
            </w:r>
          </w:p>
        </w:tc>
        <w:tc>
          <w:tcPr>
            <w:tcW w:w="451" w:type="dxa"/>
          </w:tcPr>
          <w:p>
            <w:pPr>
              <w:pStyle w:val="TableParagraph"/>
              <w:spacing w:line="120" w:lineRule="exact"/>
              <w:ind w:left="113" w:right="122"/>
              <w:jc w:val="center"/>
              <w:rPr>
                <w:sz w:val="14"/>
              </w:rPr>
            </w:pPr>
            <w:r>
              <w:rPr>
                <w:color w:val="231F20"/>
                <w:sz w:val="14"/>
              </w:rPr>
              <w:t>3.3</w:t>
            </w:r>
          </w:p>
        </w:tc>
        <w:tc>
          <w:tcPr>
            <w:tcW w:w="461" w:type="dxa"/>
          </w:tcPr>
          <w:p>
            <w:pPr>
              <w:pStyle w:val="TableParagraph"/>
              <w:spacing w:line="120" w:lineRule="exact"/>
              <w:ind w:left="99" w:right="100"/>
              <w:jc w:val="center"/>
              <w:rPr>
                <w:sz w:val="14"/>
              </w:rPr>
            </w:pPr>
            <w:r>
              <w:rPr>
                <w:color w:val="231F20"/>
                <w:sz w:val="14"/>
              </w:rPr>
              <w:t>3.3</w:t>
            </w:r>
          </w:p>
        </w:tc>
        <w:tc>
          <w:tcPr>
            <w:tcW w:w="409" w:type="dxa"/>
          </w:tcPr>
          <w:p>
            <w:pPr>
              <w:pStyle w:val="TableParagraph"/>
              <w:spacing w:line="120" w:lineRule="exact"/>
              <w:ind w:right="91"/>
              <w:jc w:val="right"/>
              <w:rPr>
                <w:sz w:val="14"/>
              </w:rPr>
            </w:pPr>
            <w:r>
              <w:rPr>
                <w:color w:val="231F20"/>
                <w:sz w:val="14"/>
              </w:rPr>
              <w:t>3.2</w:t>
            </w:r>
          </w:p>
        </w:tc>
      </w:tr>
      <w:tr>
        <w:trPr>
          <w:trHeight w:val="140" w:hRule="atLeast"/>
        </w:trPr>
        <w:tc>
          <w:tcPr>
            <w:tcW w:w="1260" w:type="dxa"/>
          </w:tcPr>
          <w:p>
            <w:pPr>
              <w:pStyle w:val="TableParagraph"/>
              <w:spacing w:line="120" w:lineRule="exact"/>
              <w:ind w:left="50"/>
              <w:rPr>
                <w:sz w:val="12"/>
              </w:rPr>
            </w:pPr>
            <w:r>
              <w:rPr>
                <w:color w:val="231F20"/>
                <w:sz w:val="14"/>
              </w:rPr>
              <w:t>THARP </w:t>
            </w:r>
            <w:r>
              <w:rPr>
                <w:color w:val="231F20"/>
                <w:sz w:val="12"/>
              </w:rPr>
              <w:t>(b)</w:t>
            </w:r>
          </w:p>
        </w:tc>
        <w:tc>
          <w:tcPr>
            <w:tcW w:w="465" w:type="dxa"/>
          </w:tcPr>
          <w:p>
            <w:pPr>
              <w:pStyle w:val="TableParagraph"/>
              <w:spacing w:line="120" w:lineRule="exact"/>
              <w:ind w:right="114"/>
              <w:jc w:val="right"/>
              <w:rPr>
                <w:sz w:val="14"/>
              </w:rPr>
            </w:pPr>
            <w:r>
              <w:rPr>
                <w:color w:val="231F20"/>
                <w:sz w:val="14"/>
              </w:rPr>
              <w:t>3.6</w:t>
            </w:r>
          </w:p>
        </w:tc>
        <w:tc>
          <w:tcPr>
            <w:tcW w:w="485" w:type="dxa"/>
          </w:tcPr>
          <w:p>
            <w:pPr>
              <w:pStyle w:val="TableParagraph"/>
              <w:spacing w:line="120" w:lineRule="exact"/>
              <w:ind w:right="128"/>
              <w:jc w:val="right"/>
              <w:rPr>
                <w:sz w:val="14"/>
              </w:rPr>
            </w:pPr>
            <w:r>
              <w:rPr>
                <w:color w:val="231F20"/>
                <w:sz w:val="14"/>
              </w:rPr>
              <w:t>2.6</w:t>
            </w:r>
          </w:p>
        </w:tc>
        <w:tc>
          <w:tcPr>
            <w:tcW w:w="443" w:type="dxa"/>
          </w:tcPr>
          <w:p>
            <w:pPr>
              <w:pStyle w:val="TableParagraph"/>
              <w:spacing w:line="120" w:lineRule="exact"/>
              <w:ind w:left="115" w:right="113"/>
              <w:jc w:val="center"/>
              <w:rPr>
                <w:sz w:val="14"/>
              </w:rPr>
            </w:pPr>
            <w:r>
              <w:rPr>
                <w:color w:val="231F20"/>
                <w:sz w:val="14"/>
              </w:rPr>
              <w:t>2.5</w:t>
            </w:r>
          </w:p>
        </w:tc>
        <w:tc>
          <w:tcPr>
            <w:tcW w:w="451" w:type="dxa"/>
          </w:tcPr>
          <w:p>
            <w:pPr>
              <w:pStyle w:val="TableParagraph"/>
              <w:spacing w:line="120" w:lineRule="exact"/>
              <w:ind w:left="113" w:right="122"/>
              <w:jc w:val="center"/>
              <w:rPr>
                <w:sz w:val="14"/>
              </w:rPr>
            </w:pPr>
            <w:r>
              <w:rPr>
                <w:color w:val="231F20"/>
                <w:sz w:val="14"/>
              </w:rPr>
              <w:t>2.6</w:t>
            </w:r>
          </w:p>
        </w:tc>
        <w:tc>
          <w:tcPr>
            <w:tcW w:w="461" w:type="dxa"/>
          </w:tcPr>
          <w:p>
            <w:pPr>
              <w:pStyle w:val="TableParagraph"/>
              <w:spacing w:line="120" w:lineRule="exact"/>
              <w:ind w:left="99" w:right="100"/>
              <w:jc w:val="center"/>
              <w:rPr>
                <w:sz w:val="14"/>
              </w:rPr>
            </w:pPr>
            <w:r>
              <w:rPr>
                <w:color w:val="231F20"/>
                <w:sz w:val="14"/>
              </w:rPr>
              <w:t>2.7</w:t>
            </w:r>
          </w:p>
        </w:tc>
        <w:tc>
          <w:tcPr>
            <w:tcW w:w="409" w:type="dxa"/>
          </w:tcPr>
          <w:p>
            <w:pPr>
              <w:pStyle w:val="TableParagraph"/>
              <w:spacing w:line="120" w:lineRule="exact"/>
              <w:ind w:right="91"/>
              <w:jc w:val="right"/>
              <w:rPr>
                <w:sz w:val="14"/>
              </w:rPr>
            </w:pPr>
            <w:r>
              <w:rPr>
                <w:color w:val="231F20"/>
                <w:sz w:val="14"/>
              </w:rPr>
              <w:t>2.5</w:t>
            </w:r>
          </w:p>
        </w:tc>
      </w:tr>
      <w:tr>
        <w:trPr>
          <w:trHeight w:val="140" w:hRule="atLeast"/>
        </w:trPr>
        <w:tc>
          <w:tcPr>
            <w:tcW w:w="1260" w:type="dxa"/>
          </w:tcPr>
          <w:p>
            <w:pPr>
              <w:pStyle w:val="TableParagraph"/>
              <w:spacing w:line="120" w:lineRule="exact"/>
              <w:ind w:left="50"/>
              <w:rPr>
                <w:sz w:val="12"/>
              </w:rPr>
            </w:pPr>
            <w:r>
              <w:rPr>
                <w:color w:val="231F20"/>
                <w:sz w:val="14"/>
              </w:rPr>
              <w:t>Trimmed mean </w:t>
            </w:r>
            <w:r>
              <w:rPr>
                <w:color w:val="231F20"/>
                <w:sz w:val="12"/>
              </w:rPr>
              <w:t>(c)</w:t>
            </w:r>
          </w:p>
        </w:tc>
        <w:tc>
          <w:tcPr>
            <w:tcW w:w="465" w:type="dxa"/>
          </w:tcPr>
          <w:p>
            <w:pPr>
              <w:pStyle w:val="TableParagraph"/>
              <w:spacing w:line="120" w:lineRule="exact"/>
              <w:ind w:right="114"/>
              <w:jc w:val="right"/>
              <w:rPr>
                <w:sz w:val="14"/>
              </w:rPr>
            </w:pPr>
            <w:r>
              <w:rPr>
                <w:color w:val="231F20"/>
                <w:sz w:val="14"/>
              </w:rPr>
              <w:t>2.8</w:t>
            </w:r>
          </w:p>
        </w:tc>
        <w:tc>
          <w:tcPr>
            <w:tcW w:w="485" w:type="dxa"/>
          </w:tcPr>
          <w:p>
            <w:pPr>
              <w:pStyle w:val="TableParagraph"/>
              <w:spacing w:line="120" w:lineRule="exact"/>
              <w:ind w:right="128"/>
              <w:jc w:val="right"/>
              <w:rPr>
                <w:sz w:val="14"/>
              </w:rPr>
            </w:pPr>
            <w:r>
              <w:rPr>
                <w:color w:val="231F20"/>
                <w:sz w:val="14"/>
              </w:rPr>
              <w:t>2.3</w:t>
            </w:r>
          </w:p>
        </w:tc>
        <w:tc>
          <w:tcPr>
            <w:tcW w:w="443" w:type="dxa"/>
          </w:tcPr>
          <w:p>
            <w:pPr>
              <w:pStyle w:val="TableParagraph"/>
              <w:spacing w:line="120" w:lineRule="exact"/>
              <w:ind w:left="115" w:right="113"/>
              <w:jc w:val="center"/>
              <w:rPr>
                <w:sz w:val="14"/>
              </w:rPr>
            </w:pPr>
            <w:r>
              <w:rPr>
                <w:color w:val="231F20"/>
                <w:sz w:val="14"/>
              </w:rPr>
              <w:t>2.3</w:t>
            </w:r>
          </w:p>
        </w:tc>
        <w:tc>
          <w:tcPr>
            <w:tcW w:w="451" w:type="dxa"/>
          </w:tcPr>
          <w:p>
            <w:pPr>
              <w:pStyle w:val="TableParagraph"/>
              <w:spacing w:line="120" w:lineRule="exact"/>
              <w:ind w:left="113" w:right="122"/>
              <w:jc w:val="center"/>
              <w:rPr>
                <w:sz w:val="14"/>
              </w:rPr>
            </w:pPr>
            <w:r>
              <w:rPr>
                <w:color w:val="231F20"/>
                <w:sz w:val="14"/>
              </w:rPr>
              <w:t>2.4</w:t>
            </w:r>
          </w:p>
        </w:tc>
        <w:tc>
          <w:tcPr>
            <w:tcW w:w="461" w:type="dxa"/>
          </w:tcPr>
          <w:p>
            <w:pPr>
              <w:pStyle w:val="TableParagraph"/>
              <w:spacing w:line="120" w:lineRule="exact"/>
              <w:ind w:left="99" w:right="100"/>
              <w:jc w:val="center"/>
              <w:rPr>
                <w:sz w:val="14"/>
              </w:rPr>
            </w:pPr>
            <w:r>
              <w:rPr>
                <w:color w:val="231F20"/>
                <w:sz w:val="14"/>
              </w:rPr>
              <w:t>2.4</w:t>
            </w:r>
          </w:p>
        </w:tc>
        <w:tc>
          <w:tcPr>
            <w:tcW w:w="409" w:type="dxa"/>
          </w:tcPr>
          <w:p>
            <w:pPr>
              <w:pStyle w:val="TableParagraph"/>
              <w:spacing w:line="120" w:lineRule="exact"/>
              <w:ind w:right="91"/>
              <w:jc w:val="right"/>
              <w:rPr>
                <w:sz w:val="14"/>
              </w:rPr>
            </w:pPr>
            <w:r>
              <w:rPr>
                <w:color w:val="231F20"/>
                <w:sz w:val="14"/>
              </w:rPr>
              <w:t>2.2</w:t>
            </w:r>
          </w:p>
        </w:tc>
      </w:tr>
      <w:tr>
        <w:trPr>
          <w:trHeight w:val="147" w:hRule="atLeast"/>
        </w:trPr>
        <w:tc>
          <w:tcPr>
            <w:tcW w:w="1260" w:type="dxa"/>
          </w:tcPr>
          <w:p>
            <w:pPr>
              <w:pStyle w:val="TableParagraph"/>
              <w:spacing w:line="128" w:lineRule="exact"/>
              <w:ind w:left="50"/>
              <w:rPr>
                <w:sz w:val="12"/>
              </w:rPr>
            </w:pPr>
            <w:r>
              <w:rPr>
                <w:color w:val="231F20"/>
                <w:sz w:val="14"/>
              </w:rPr>
              <w:t>Median </w:t>
            </w:r>
            <w:r>
              <w:rPr>
                <w:color w:val="231F20"/>
                <w:sz w:val="12"/>
              </w:rPr>
              <w:t>(c)</w:t>
            </w:r>
          </w:p>
        </w:tc>
        <w:tc>
          <w:tcPr>
            <w:tcW w:w="465" w:type="dxa"/>
          </w:tcPr>
          <w:p>
            <w:pPr>
              <w:pStyle w:val="TableParagraph"/>
              <w:spacing w:line="128" w:lineRule="exact"/>
              <w:ind w:right="114"/>
              <w:jc w:val="right"/>
              <w:rPr>
                <w:sz w:val="14"/>
              </w:rPr>
            </w:pPr>
            <w:r>
              <w:rPr>
                <w:color w:val="231F20"/>
                <w:sz w:val="14"/>
              </w:rPr>
              <w:t>2.3</w:t>
            </w:r>
          </w:p>
        </w:tc>
        <w:tc>
          <w:tcPr>
            <w:tcW w:w="485" w:type="dxa"/>
          </w:tcPr>
          <w:p>
            <w:pPr>
              <w:pStyle w:val="TableParagraph"/>
              <w:spacing w:line="128" w:lineRule="exact"/>
              <w:ind w:right="128"/>
              <w:jc w:val="right"/>
              <w:rPr>
                <w:sz w:val="14"/>
              </w:rPr>
            </w:pPr>
            <w:r>
              <w:rPr>
                <w:color w:val="231F20"/>
                <w:sz w:val="14"/>
              </w:rPr>
              <w:t>2.2</w:t>
            </w:r>
          </w:p>
        </w:tc>
        <w:tc>
          <w:tcPr>
            <w:tcW w:w="443" w:type="dxa"/>
          </w:tcPr>
          <w:p>
            <w:pPr>
              <w:pStyle w:val="TableParagraph"/>
              <w:spacing w:line="128" w:lineRule="exact"/>
              <w:ind w:left="115" w:right="113"/>
              <w:jc w:val="center"/>
              <w:rPr>
                <w:sz w:val="14"/>
              </w:rPr>
            </w:pPr>
            <w:r>
              <w:rPr>
                <w:color w:val="231F20"/>
                <w:sz w:val="14"/>
              </w:rPr>
              <w:t>2.0</w:t>
            </w:r>
          </w:p>
        </w:tc>
        <w:tc>
          <w:tcPr>
            <w:tcW w:w="451" w:type="dxa"/>
          </w:tcPr>
          <w:p>
            <w:pPr>
              <w:pStyle w:val="TableParagraph"/>
              <w:spacing w:line="128" w:lineRule="exact"/>
              <w:ind w:left="113" w:right="122"/>
              <w:jc w:val="center"/>
              <w:rPr>
                <w:sz w:val="14"/>
              </w:rPr>
            </w:pPr>
            <w:r>
              <w:rPr>
                <w:color w:val="231F20"/>
                <w:sz w:val="14"/>
              </w:rPr>
              <w:t>1.9</w:t>
            </w:r>
          </w:p>
        </w:tc>
        <w:tc>
          <w:tcPr>
            <w:tcW w:w="461" w:type="dxa"/>
          </w:tcPr>
          <w:p>
            <w:pPr>
              <w:pStyle w:val="TableParagraph"/>
              <w:spacing w:line="128" w:lineRule="exact"/>
              <w:ind w:left="99" w:right="100"/>
              <w:jc w:val="center"/>
              <w:rPr>
                <w:sz w:val="14"/>
              </w:rPr>
            </w:pPr>
            <w:r>
              <w:rPr>
                <w:color w:val="231F20"/>
                <w:sz w:val="14"/>
              </w:rPr>
              <w:t>2.0</w:t>
            </w:r>
          </w:p>
        </w:tc>
        <w:tc>
          <w:tcPr>
            <w:tcW w:w="409" w:type="dxa"/>
          </w:tcPr>
          <w:p>
            <w:pPr>
              <w:pStyle w:val="TableParagraph"/>
              <w:spacing w:line="128" w:lineRule="exact"/>
              <w:ind w:right="91"/>
              <w:jc w:val="right"/>
              <w:rPr>
                <w:sz w:val="14"/>
              </w:rPr>
            </w:pPr>
            <w:r>
              <w:rPr>
                <w:color w:val="231F20"/>
                <w:sz w:val="14"/>
              </w:rPr>
              <w:t>1.8</w:t>
            </w:r>
          </w:p>
        </w:tc>
      </w:tr>
    </w:tbl>
    <w:p>
      <w:pPr>
        <w:spacing w:before="117"/>
        <w:ind w:left="194" w:right="0" w:firstLine="0"/>
        <w:jc w:val="left"/>
        <w:rPr>
          <w:sz w:val="12"/>
        </w:rPr>
      </w:pPr>
      <w:r>
        <w:rPr>
          <w:color w:val="231F20"/>
          <w:sz w:val="12"/>
        </w:rPr>
        <w:t>Sources: ONS and Bank calculations.</w:t>
      </w:r>
    </w:p>
    <w:p>
      <w:pPr>
        <w:pStyle w:val="BodyText"/>
        <w:spacing w:before="2"/>
        <w:rPr>
          <w:sz w:val="10"/>
        </w:rPr>
      </w:pPr>
    </w:p>
    <w:p>
      <w:pPr>
        <w:pStyle w:val="ListParagraph"/>
        <w:numPr>
          <w:ilvl w:val="0"/>
          <w:numId w:val="35"/>
        </w:numPr>
        <w:tabs>
          <w:tab w:pos="435" w:val="left" w:leader="none"/>
        </w:tabs>
        <w:spacing w:line="208" w:lineRule="auto" w:before="0" w:after="0"/>
        <w:ind w:left="434" w:right="147" w:hanging="240"/>
        <w:jc w:val="left"/>
        <w:rPr>
          <w:sz w:val="12"/>
        </w:rPr>
      </w:pPr>
      <w:r>
        <w:rPr>
          <w:color w:val="231F20"/>
          <w:sz w:val="12"/>
        </w:rPr>
        <w:t>Harmonised index for EU Member States. It differs from the RPI series in that </w:t>
      </w:r>
      <w:r>
        <w:rPr>
          <w:color w:val="231F20"/>
          <w:spacing w:val="-9"/>
          <w:sz w:val="12"/>
        </w:rPr>
        <w:t>it </w:t>
      </w:r>
      <w:r>
        <w:rPr>
          <w:color w:val="231F20"/>
          <w:sz w:val="12"/>
        </w:rPr>
        <w:t>uses a geometric, rather than arithmetic, mean. It excludes owner-occupiers’ housing and council tax, and includes new cars and airfares.</w:t>
      </w:r>
    </w:p>
    <w:p>
      <w:pPr>
        <w:pStyle w:val="ListParagraph"/>
        <w:numPr>
          <w:ilvl w:val="0"/>
          <w:numId w:val="35"/>
        </w:numPr>
        <w:tabs>
          <w:tab w:pos="435" w:val="left" w:leader="none"/>
        </w:tabs>
        <w:spacing w:line="208" w:lineRule="auto" w:before="0" w:after="0"/>
        <w:ind w:left="434" w:right="38" w:hanging="240"/>
        <w:jc w:val="left"/>
        <w:rPr>
          <w:sz w:val="12"/>
        </w:rPr>
      </w:pPr>
      <w:r>
        <w:rPr>
          <w:color w:val="231F20"/>
          <w:sz w:val="12"/>
        </w:rPr>
        <w:t>These measures, which contain a measure of owner-occupied costs,  use the Halifax house price index. HARP and THARP would show higher inflation rates using either the Nationwide house price index or the estimate of house prices </w:t>
      </w:r>
      <w:r>
        <w:rPr>
          <w:color w:val="231F20"/>
          <w:spacing w:val="-4"/>
          <w:sz w:val="12"/>
        </w:rPr>
        <w:t>based </w:t>
      </w:r>
      <w:r>
        <w:rPr>
          <w:color w:val="231F20"/>
          <w:sz w:val="12"/>
        </w:rPr>
        <w:t>on Land Registry data.</w:t>
      </w:r>
    </w:p>
    <w:p>
      <w:pPr>
        <w:pStyle w:val="ListParagraph"/>
        <w:numPr>
          <w:ilvl w:val="0"/>
          <w:numId w:val="35"/>
        </w:numPr>
        <w:tabs>
          <w:tab w:pos="435" w:val="left" w:leader="none"/>
        </w:tabs>
        <w:spacing w:line="208" w:lineRule="auto" w:before="0" w:after="0"/>
        <w:ind w:left="434" w:right="160" w:hanging="240"/>
        <w:jc w:val="left"/>
        <w:rPr>
          <w:sz w:val="12"/>
        </w:rPr>
      </w:pPr>
      <w:r>
        <w:rPr>
          <w:color w:val="231F20"/>
          <w:sz w:val="12"/>
        </w:rPr>
        <w:t>These measures provide a guide to underlying inflation by stripping out the </w:t>
      </w:r>
      <w:r>
        <w:rPr>
          <w:color w:val="231F20"/>
          <w:spacing w:val="-4"/>
          <w:sz w:val="12"/>
        </w:rPr>
        <w:t>most </w:t>
      </w:r>
      <w:r>
        <w:rPr>
          <w:color w:val="231F20"/>
          <w:sz w:val="12"/>
        </w:rPr>
        <w:t>extreme changes in prices at both ends of the distribution.</w:t>
      </w:r>
    </w:p>
    <w:p>
      <w:pPr>
        <w:pStyle w:val="Heading4"/>
        <w:spacing w:line="242" w:lineRule="auto" w:before="90"/>
        <w:ind w:left="194" w:right="233"/>
      </w:pPr>
      <w:r>
        <w:rPr/>
        <w:br w:type="column"/>
      </w:r>
      <w:r>
        <w:rPr>
          <w:color w:val="231F20"/>
        </w:rPr>
        <w:t>The UK Harmonised Index of Consumer Prices (H</w:t>
      </w:r>
      <w:r>
        <w:rPr>
          <w:color w:val="231F20"/>
          <w:sz w:val="20"/>
        </w:rPr>
        <w:t>ICP</w:t>
      </w:r>
      <w:r>
        <w:rPr>
          <w:color w:val="231F20"/>
        </w:rPr>
        <w:t>) rose by 1.7% in the twelve months to June (Table 4.B). The H</w:t>
      </w:r>
      <w:r>
        <w:rPr>
          <w:color w:val="231F20"/>
          <w:sz w:val="20"/>
        </w:rPr>
        <w:t>ICP </w:t>
      </w:r>
      <w:r>
        <w:rPr>
          <w:color w:val="231F20"/>
        </w:rPr>
        <w:t>inflation rate is the most directly comparable measure of inflation across the European Union—the average H</w:t>
      </w:r>
      <w:r>
        <w:rPr>
          <w:color w:val="231F20"/>
          <w:sz w:val="20"/>
        </w:rPr>
        <w:t>ICP </w:t>
      </w:r>
      <w:r>
        <w:rPr>
          <w:color w:val="231F20"/>
        </w:rPr>
        <w:t>inflation rate across the 15 Member States in the twelve months to May was 1.6%.</w:t>
      </w:r>
      <w:r>
        <w:rPr>
          <w:color w:val="231F20"/>
          <w:position w:val="5"/>
          <w:sz w:val="16"/>
        </w:rPr>
        <w:t>(1) </w:t>
      </w:r>
      <w:r>
        <w:rPr>
          <w:color w:val="231F20"/>
        </w:rPr>
        <w:t>Within</w:t>
      </w:r>
    </w:p>
    <w:p>
      <w:pPr>
        <w:spacing w:line="242" w:lineRule="auto" w:before="8"/>
        <w:ind w:left="194" w:right="399" w:firstLine="0"/>
        <w:jc w:val="left"/>
        <w:rPr>
          <w:sz w:val="24"/>
        </w:rPr>
      </w:pPr>
      <w:r>
        <w:rPr>
          <w:color w:val="231F20"/>
          <w:sz w:val="24"/>
        </w:rPr>
        <w:t>the European Union, the H</w:t>
      </w:r>
      <w:r>
        <w:rPr>
          <w:color w:val="231F20"/>
          <w:sz w:val="20"/>
        </w:rPr>
        <w:t>ICP </w:t>
      </w:r>
      <w:r>
        <w:rPr>
          <w:color w:val="231F20"/>
          <w:sz w:val="24"/>
        </w:rPr>
        <w:t>inflation rates in France and Germany were 1.0% and 1.1% respectively.</w:t>
      </w:r>
    </w:p>
    <w:p>
      <w:pPr>
        <w:spacing w:line="242" w:lineRule="auto" w:before="2"/>
        <w:ind w:left="194" w:right="276" w:firstLine="0"/>
        <w:jc w:val="left"/>
        <w:rPr>
          <w:sz w:val="24"/>
        </w:rPr>
      </w:pPr>
      <w:r>
        <w:rPr>
          <w:color w:val="231F20"/>
          <w:sz w:val="24"/>
        </w:rPr>
        <w:t>Broader-based measures of annual UK inflation that include measures of the owner-occupied costs of housing (H</w:t>
      </w:r>
      <w:r>
        <w:rPr>
          <w:color w:val="231F20"/>
          <w:sz w:val="20"/>
        </w:rPr>
        <w:t>ARP </w:t>
      </w:r>
      <w:r>
        <w:rPr>
          <w:color w:val="231F20"/>
          <w:sz w:val="24"/>
        </w:rPr>
        <w:t>and T</w:t>
      </w:r>
      <w:r>
        <w:rPr>
          <w:color w:val="231F20"/>
          <w:sz w:val="20"/>
        </w:rPr>
        <w:t>HARP</w:t>
      </w:r>
      <w:r>
        <w:rPr>
          <w:color w:val="231F20"/>
          <w:sz w:val="24"/>
        </w:rPr>
        <w:t>) were largely unchanged between April and June, but remain above their retail price inflation counterparts (RPIX and RPIY).</w:t>
      </w:r>
    </w:p>
    <w:p>
      <w:pPr>
        <w:pStyle w:val="BodyText"/>
        <w:spacing w:before="10"/>
        <w:rPr>
          <w:sz w:val="24"/>
        </w:rPr>
      </w:pPr>
    </w:p>
    <w:p>
      <w:pPr>
        <w:spacing w:line="242" w:lineRule="auto" w:before="0"/>
        <w:ind w:left="194" w:right="276" w:firstLine="0"/>
        <w:jc w:val="left"/>
        <w:rPr>
          <w:sz w:val="24"/>
        </w:rPr>
      </w:pPr>
      <w:r>
        <w:rPr>
          <w:color w:val="231F20"/>
          <w:sz w:val="24"/>
        </w:rPr>
        <w:t>Conventionally measured inflation rates, for example RPIX, can be volatile in the face of shocks that cause relative prices to change. Trimmed mean measures attempt to tackle this problem by stripping out the effects of the most extreme changes from the overall distribution of price changes. Such measures of underlying inflation have fallen since the end of 1996 (see Table 4.B), and have remained largely unchanged during the first half of the year. This is consistent with the view that some of the rise in RPIX inflation during 1998 Q2 was caused by erratic factors such as seasonal food prices.</w:t>
      </w:r>
    </w:p>
    <w:p>
      <w:pPr>
        <w:pStyle w:val="BodyText"/>
        <w:spacing w:before="5"/>
        <w:rPr>
          <w:sz w:val="22"/>
        </w:rPr>
      </w:pPr>
    </w:p>
    <w:p>
      <w:pPr>
        <w:pStyle w:val="ListParagraph"/>
        <w:numPr>
          <w:ilvl w:val="1"/>
          <w:numId w:val="34"/>
        </w:numPr>
        <w:tabs>
          <w:tab w:pos="4292" w:val="left" w:leader="none"/>
          <w:tab w:pos="4293" w:val="left" w:leader="none"/>
          <w:tab w:pos="5674" w:val="left" w:leader="none"/>
        </w:tabs>
        <w:spacing w:line="240" w:lineRule="auto" w:before="0" w:after="0"/>
        <w:ind w:left="4292" w:right="0" w:hanging="4099"/>
        <w:jc w:val="left"/>
        <w:rPr>
          <w:b/>
          <w:sz w:val="28"/>
        </w:rPr>
      </w:pPr>
      <w:r>
        <w:rPr>
          <w:b/>
          <w:color w:val="009483"/>
          <w:sz w:val="28"/>
          <w:u w:val="thick" w:color="0093C1"/>
        </w:rPr>
        <w:t>Summary</w:t>
        <w:tab/>
      </w:r>
    </w:p>
    <w:p>
      <w:pPr>
        <w:pStyle w:val="BodyText"/>
        <w:spacing w:before="11"/>
        <w:rPr>
          <w:b/>
          <w:sz w:val="23"/>
        </w:rPr>
      </w:pPr>
    </w:p>
    <w:p>
      <w:pPr>
        <w:spacing w:line="242" w:lineRule="auto" w:before="0"/>
        <w:ind w:left="194" w:right="234" w:firstLine="0"/>
        <w:jc w:val="left"/>
        <w:rPr>
          <w:sz w:val="24"/>
        </w:rPr>
      </w:pPr>
      <w:r>
        <w:rPr>
          <w:color w:val="231F20"/>
          <w:sz w:val="24"/>
        </w:rPr>
        <w:t>Import prices are continuing to adjust slowly to the appreciation of sterling. This, together with falling world commodity prices, has been reflected in lower input prices to the manufacturing sector. Evidence from surveys suggests that cost pressures in the service sector</w:t>
      </w:r>
    </w:p>
    <w:p>
      <w:pPr>
        <w:pStyle w:val="BodyText"/>
        <w:spacing w:before="6"/>
        <w:rPr>
          <w:sz w:val="17"/>
        </w:rPr>
      </w:pPr>
      <w:r>
        <w:rPr/>
        <w:pict>
          <v:shape style="position:absolute;margin-left:279.75pt;margin-top:12.153995pt;width:276pt;height:.1pt;mso-position-horizontal-relative:page;mso-position-vertical-relative:paragraph;z-index:-15382016;mso-wrap-distance-left:0;mso-wrap-distance-right:0" coordorigin="5595,243" coordsize="5520,0" path="m5595,243l11115,243e" filled="false" stroked="true" strokeweight=".125pt" strokecolor="#231f20">
            <v:path arrowok="t"/>
            <v:stroke dashstyle="solid"/>
            <w10:wrap type="topAndBottom"/>
          </v:shape>
        </w:pict>
      </w:r>
    </w:p>
    <w:p>
      <w:pPr>
        <w:pStyle w:val="ListParagraph"/>
        <w:numPr>
          <w:ilvl w:val="0"/>
          <w:numId w:val="36"/>
        </w:numPr>
        <w:tabs>
          <w:tab w:pos="435" w:val="left" w:leader="none"/>
        </w:tabs>
        <w:spacing w:line="208" w:lineRule="auto" w:before="11" w:after="0"/>
        <w:ind w:left="434" w:right="1164" w:hanging="240"/>
        <w:jc w:val="both"/>
        <w:rPr>
          <w:sz w:val="16"/>
        </w:rPr>
      </w:pPr>
      <w:r>
        <w:rPr>
          <w:color w:val="231F20"/>
          <w:sz w:val="16"/>
        </w:rPr>
        <w:t>Harmonised measures of inflation are still being developed, so </w:t>
      </w:r>
      <w:r>
        <w:rPr>
          <w:color w:val="231F20"/>
          <w:spacing w:val="-6"/>
          <w:sz w:val="16"/>
        </w:rPr>
        <w:t>the </w:t>
      </w:r>
      <w:r>
        <w:rPr>
          <w:color w:val="231F20"/>
          <w:sz w:val="16"/>
        </w:rPr>
        <w:t>average HICP inflation rate noted above is unlikely to be the final measure of inflation used for international comparisons across the European Union.</w:t>
      </w:r>
    </w:p>
    <w:p>
      <w:pPr>
        <w:spacing w:after="0" w:line="208" w:lineRule="auto"/>
        <w:jc w:val="both"/>
        <w:rPr>
          <w:sz w:val="16"/>
        </w:rPr>
        <w:sectPr>
          <w:type w:val="continuous"/>
          <w:pgSz w:w="11900" w:h="16840"/>
          <w:pgMar w:top="1220" w:bottom="280" w:left="620" w:right="640"/>
          <w:cols w:num="2" w:equalWidth="0">
            <w:col w:w="4477" w:space="323"/>
            <w:col w:w="5840"/>
          </w:cols>
        </w:sectPr>
      </w:pPr>
    </w:p>
    <w:p>
      <w:pPr>
        <w:pStyle w:val="BodyText"/>
        <w:spacing w:before="6"/>
        <w:rPr>
          <w:sz w:val="29"/>
        </w:rPr>
      </w:pPr>
    </w:p>
    <w:p>
      <w:pPr>
        <w:pStyle w:val="Heading2"/>
        <w:spacing w:before="88"/>
        <w:ind w:left="1284" w:right="1264"/>
        <w:jc w:val="center"/>
      </w:pPr>
      <w:bookmarkStart w:name="Domestically generated inflation" w:id="83"/>
      <w:bookmarkEnd w:id="83"/>
      <w:r>
        <w:rPr>
          <w:b w:val="0"/>
        </w:rPr>
      </w:r>
      <w:bookmarkStart w:name="_bookmark35" w:id="84"/>
      <w:bookmarkEnd w:id="84"/>
      <w:r>
        <w:rPr>
          <w:b w:val="0"/>
        </w:rPr>
      </w:r>
      <w:bookmarkStart w:name="_bookmark36" w:id="85"/>
      <w:bookmarkEnd w:id="85"/>
      <w:r>
        <w:rPr>
          <w:b w:val="0"/>
        </w:rPr>
      </w:r>
      <w:r>
        <w:rPr>
          <w:color w:val="009483"/>
        </w:rPr>
        <w:t>Domestically generated inflation</w:t>
      </w:r>
    </w:p>
    <w:p>
      <w:pPr>
        <w:pStyle w:val="BodyText"/>
        <w:spacing w:before="5"/>
        <w:rPr>
          <w:b/>
          <w:sz w:val="24"/>
        </w:rPr>
      </w:pPr>
    </w:p>
    <w:p>
      <w:pPr>
        <w:spacing w:after="0"/>
        <w:rPr>
          <w:sz w:val="24"/>
        </w:rPr>
        <w:sectPr>
          <w:headerReference w:type="default" r:id="rId74"/>
          <w:headerReference w:type="even" r:id="rId75"/>
          <w:footerReference w:type="default" r:id="rId76"/>
          <w:footerReference w:type="even" r:id="rId77"/>
          <w:pgSz w:w="11900" w:h="16840"/>
          <w:pgMar w:header="586" w:footer="617" w:top="780" w:bottom="800" w:left="620" w:right="640"/>
          <w:pgNumType w:start="39"/>
        </w:sectPr>
      </w:pPr>
    </w:p>
    <w:p>
      <w:pPr>
        <w:pStyle w:val="Heading7"/>
        <w:spacing w:line="249" w:lineRule="auto" w:before="94"/>
        <w:ind w:left="440" w:right="137"/>
      </w:pPr>
      <w:r>
        <w:rPr>
          <w:color w:val="231F20"/>
        </w:rPr>
        <w:t>One way to think of inflation is as a weighted average of domestically generated inflation (DGI) and imported inflation. DGI is the inflation rate that would prevail in a closed economy, or in the absence of external shocks, such as large changes in commodity prices or the exchange rate. Actual inflation may be distorted by the effects of an external shock, but DGI will not. So after an external shock, DGI can help to suggest whether demand needs to slow to hit the inflation target.</w:t>
      </w:r>
    </w:p>
    <w:p>
      <w:pPr>
        <w:spacing w:line="249" w:lineRule="auto" w:before="9"/>
        <w:ind w:left="440" w:right="137" w:firstLine="0"/>
        <w:jc w:val="left"/>
        <w:rPr>
          <w:sz w:val="22"/>
        </w:rPr>
      </w:pPr>
      <w:r>
        <w:rPr>
          <w:color w:val="231F20"/>
          <w:sz w:val="22"/>
        </w:rPr>
        <w:t>There is no easy way to measure DGI; this box outlines a number of methods.</w:t>
      </w:r>
    </w:p>
    <w:p>
      <w:pPr>
        <w:pStyle w:val="BodyText"/>
        <w:spacing w:before="3"/>
        <w:rPr>
          <w:sz w:val="26"/>
        </w:rPr>
      </w:pPr>
    </w:p>
    <w:p>
      <w:pPr>
        <w:spacing w:before="0"/>
        <w:ind w:left="440" w:right="0" w:firstLine="0"/>
        <w:jc w:val="both"/>
        <w:rPr>
          <w:sz w:val="22"/>
        </w:rPr>
      </w:pPr>
      <w:r>
        <w:rPr>
          <w:color w:val="231F20"/>
          <w:sz w:val="22"/>
        </w:rPr>
        <w:t>The GDP deflator measures the price of</w:t>
      </w:r>
    </w:p>
    <w:p>
      <w:pPr>
        <w:spacing w:line="249" w:lineRule="auto" w:before="11"/>
        <w:ind w:left="440" w:right="128" w:firstLine="0"/>
        <w:jc w:val="both"/>
        <w:rPr>
          <w:sz w:val="16"/>
        </w:rPr>
      </w:pPr>
      <w:r>
        <w:rPr>
          <w:color w:val="231F20"/>
          <w:sz w:val="22"/>
        </w:rPr>
        <w:t>value-added in the economy. It includes prices in the export sector that will be affected by external shocks. Stripping out export prices from the GDP deflator provides one measure of whole-economy DGI (see the chart).</w:t>
      </w:r>
      <w:r>
        <w:rPr>
          <w:color w:val="231F20"/>
          <w:position w:val="5"/>
          <w:sz w:val="16"/>
        </w:rPr>
        <w:t>(1)</w:t>
      </w:r>
    </w:p>
    <w:p>
      <w:pPr>
        <w:pStyle w:val="BodyText"/>
        <w:spacing w:before="5"/>
        <w:rPr>
          <w:sz w:val="26"/>
        </w:rPr>
      </w:pPr>
    </w:p>
    <w:p>
      <w:pPr>
        <w:spacing w:line="249" w:lineRule="auto" w:before="0"/>
        <w:ind w:left="440" w:right="269" w:firstLine="0"/>
        <w:jc w:val="left"/>
        <w:rPr>
          <w:sz w:val="22"/>
        </w:rPr>
      </w:pPr>
      <w:r>
        <w:rPr>
          <w:color w:val="231F20"/>
          <w:sz w:val="22"/>
        </w:rPr>
        <w:t>The Government’s inflation target is based on RPIX. So a better measure of DGI for </w:t>
      </w:r>
      <w:r>
        <w:rPr>
          <w:color w:val="231F20"/>
          <w:spacing w:val="-3"/>
          <w:sz w:val="22"/>
        </w:rPr>
        <w:t>monetary </w:t>
      </w:r>
      <w:r>
        <w:rPr>
          <w:color w:val="231F20"/>
          <w:sz w:val="22"/>
        </w:rPr>
        <w:t>policy purposes would focus on RPIX inflation excluding external influences. One way to do this is to exclude the contribution of direct and indirect import prices from RPIX inflation. The Input-Output tables provide an estimate of the combined share of direct and indirect imports in consumption. This can be used to split</w:t>
      </w:r>
      <w:r>
        <w:rPr>
          <w:color w:val="231F20"/>
          <w:spacing w:val="46"/>
          <w:sz w:val="22"/>
        </w:rPr>
        <w:t> </w:t>
      </w:r>
      <w:r>
        <w:rPr>
          <w:color w:val="231F20"/>
          <w:sz w:val="22"/>
        </w:rPr>
        <w:t>RPIX</w:t>
      </w:r>
    </w:p>
    <w:p>
      <w:pPr>
        <w:spacing w:line="249" w:lineRule="auto" w:before="9"/>
        <w:ind w:left="439" w:right="0" w:firstLine="0"/>
        <w:jc w:val="left"/>
        <w:rPr>
          <w:sz w:val="22"/>
        </w:rPr>
      </w:pPr>
      <w:r>
        <w:rPr>
          <w:color w:val="231F20"/>
          <w:sz w:val="22"/>
        </w:rPr>
        <w:t>inflation into a contribution from import prices and the remainder, which is a measure of DGI (see the chart).</w:t>
      </w:r>
      <w:r>
        <w:rPr>
          <w:color w:val="231F20"/>
          <w:position w:val="5"/>
          <w:sz w:val="16"/>
        </w:rPr>
        <w:t>(2) </w:t>
      </w:r>
      <w:r>
        <w:rPr>
          <w:color w:val="231F20"/>
          <w:sz w:val="22"/>
        </w:rPr>
        <w:t>This method does not take account of competition between imports and UK goods and services.</w:t>
      </w:r>
    </w:p>
    <w:p>
      <w:pPr>
        <w:pStyle w:val="BodyText"/>
        <w:spacing w:before="5"/>
        <w:rPr>
          <w:sz w:val="26"/>
        </w:rPr>
      </w:pPr>
    </w:p>
    <w:p>
      <w:pPr>
        <w:spacing w:line="249" w:lineRule="auto" w:before="0"/>
        <w:ind w:left="439" w:right="62" w:firstLine="0"/>
        <w:jc w:val="left"/>
        <w:rPr>
          <w:sz w:val="22"/>
        </w:rPr>
      </w:pPr>
      <w:r>
        <w:rPr>
          <w:color w:val="231F20"/>
          <w:sz w:val="22"/>
        </w:rPr>
        <w:t>DGI is broadly an average of the growth of unit labour costs and unit profits.</w:t>
      </w:r>
      <w:r>
        <w:rPr>
          <w:color w:val="231F20"/>
          <w:position w:val="5"/>
          <w:sz w:val="16"/>
        </w:rPr>
        <w:t>(3)   </w:t>
      </w:r>
      <w:r>
        <w:rPr>
          <w:color w:val="231F20"/>
          <w:sz w:val="22"/>
        </w:rPr>
        <w:t>Profits derived  from such a breakdown (using the RPIX-based measure of DGI) </w:t>
      </w:r>
      <w:r>
        <w:rPr>
          <w:color w:val="231F20"/>
          <w:spacing w:val="-3"/>
          <w:sz w:val="22"/>
        </w:rPr>
        <w:t>have </w:t>
      </w:r>
      <w:r>
        <w:rPr>
          <w:color w:val="231F20"/>
          <w:sz w:val="22"/>
        </w:rPr>
        <w:t>risen quickly since sterling’s appreciation in mid 1996. This may partly reflect ‘sticky’ retail prices. Retailers may </w:t>
      </w:r>
      <w:r>
        <w:rPr>
          <w:color w:val="231F20"/>
          <w:spacing w:val="-3"/>
          <w:sz w:val="22"/>
        </w:rPr>
        <w:t>have </w:t>
      </w:r>
      <w:r>
        <w:rPr>
          <w:color w:val="231F20"/>
          <w:sz w:val="22"/>
        </w:rPr>
        <w:t>been reluctant to reflect import price falls fully in their prices, particularly if the import price changes are not expected to persist. So DGI measured by </w:t>
      </w:r>
      <w:r>
        <w:rPr>
          <w:color w:val="231F20"/>
          <w:spacing w:val="-5"/>
          <w:sz w:val="22"/>
        </w:rPr>
        <w:t>RPIX </w:t>
      </w:r>
      <w:r>
        <w:rPr>
          <w:color w:val="231F20"/>
          <w:sz w:val="22"/>
        </w:rPr>
        <w:t>excluding import prices may be</w:t>
      </w:r>
      <w:r>
        <w:rPr>
          <w:color w:val="231F20"/>
          <w:spacing w:val="22"/>
          <w:sz w:val="22"/>
        </w:rPr>
        <w:t> </w:t>
      </w:r>
      <w:r>
        <w:rPr>
          <w:color w:val="231F20"/>
          <w:sz w:val="22"/>
        </w:rPr>
        <w:t>temporarily</w:t>
      </w:r>
    </w:p>
    <w:p>
      <w:pPr>
        <w:spacing w:line="249" w:lineRule="auto" w:before="94"/>
        <w:ind w:left="439" w:right="521" w:firstLine="0"/>
        <w:jc w:val="left"/>
        <w:rPr>
          <w:sz w:val="22"/>
        </w:rPr>
      </w:pPr>
      <w:r>
        <w:rPr/>
        <w:br w:type="column"/>
      </w:r>
      <w:r>
        <w:rPr>
          <w:color w:val="231F20"/>
          <w:sz w:val="22"/>
        </w:rPr>
        <w:t>overstating domestic inflationary pressures. Because of this, it may be better to focus only on unit labour costs.</w:t>
      </w:r>
    </w:p>
    <w:p>
      <w:pPr>
        <w:pStyle w:val="BodyText"/>
        <w:spacing w:before="2"/>
        <w:rPr>
          <w:sz w:val="23"/>
        </w:rPr>
      </w:pPr>
    </w:p>
    <w:p>
      <w:pPr>
        <w:spacing w:line="249" w:lineRule="auto" w:before="0"/>
        <w:ind w:left="439" w:right="417" w:firstLine="0"/>
        <w:jc w:val="left"/>
        <w:rPr>
          <w:sz w:val="22"/>
        </w:rPr>
      </w:pPr>
      <w:r>
        <w:rPr>
          <w:color w:val="231F20"/>
          <w:sz w:val="22"/>
        </w:rPr>
        <w:t>For a given labour share of income, prices will  grow in line with unit labour costs. So unit labour cost growth is another measure of DGI, though labour’s share of income varies over the economic cycle. Labour cost data specific to goods and services within the RPIX basket should be used. Whole-economy earnings growth data may be representative within an integrated labour market. But wage-setting may be influenced by external shocks, because they affect the purchasing power </w:t>
      </w:r>
      <w:r>
        <w:rPr>
          <w:color w:val="231F20"/>
          <w:spacing w:val="-8"/>
          <w:sz w:val="22"/>
        </w:rPr>
        <w:t>of </w:t>
      </w:r>
      <w:r>
        <w:rPr>
          <w:color w:val="231F20"/>
          <w:sz w:val="22"/>
        </w:rPr>
        <w:t>employees, and the ability of employers to pay higher</w:t>
      </w:r>
      <w:r>
        <w:rPr>
          <w:color w:val="231F20"/>
          <w:spacing w:val="1"/>
          <w:sz w:val="22"/>
        </w:rPr>
        <w:t> </w:t>
      </w:r>
      <w:r>
        <w:rPr>
          <w:color w:val="231F20"/>
          <w:sz w:val="22"/>
        </w:rPr>
        <w:t>wages.</w:t>
      </w:r>
    </w:p>
    <w:p>
      <w:pPr>
        <w:pStyle w:val="BodyText"/>
        <w:spacing w:before="11"/>
        <w:rPr>
          <w:sz w:val="23"/>
        </w:rPr>
      </w:pPr>
    </w:p>
    <w:p>
      <w:pPr>
        <w:spacing w:line="249" w:lineRule="auto" w:before="0"/>
        <w:ind w:left="439" w:right="521" w:firstLine="0"/>
        <w:jc w:val="left"/>
        <w:rPr>
          <w:sz w:val="22"/>
        </w:rPr>
      </w:pPr>
      <w:r>
        <w:rPr>
          <w:color w:val="231F20"/>
          <w:sz w:val="22"/>
        </w:rPr>
        <w:t>The measure of DGI based on unit labour costs has another problem. Productivity will be affected by external shocks, and may differ across sectors.</w:t>
      </w:r>
    </w:p>
    <w:p>
      <w:pPr>
        <w:spacing w:line="249" w:lineRule="auto" w:before="3"/>
        <w:ind w:left="439" w:right="521" w:firstLine="0"/>
        <w:jc w:val="left"/>
        <w:rPr>
          <w:sz w:val="22"/>
        </w:rPr>
      </w:pPr>
      <w:r>
        <w:rPr>
          <w:color w:val="231F20"/>
          <w:sz w:val="22"/>
        </w:rPr>
        <w:t>So it may be difficult to obtain unit labour costs relevant only to the domestic sector.  One solution to this is to use unit labour costs based on trend, instead of actual, productivity. This is shown in </w:t>
      </w:r>
      <w:r>
        <w:rPr>
          <w:color w:val="231F20"/>
          <w:spacing w:val="-6"/>
          <w:sz w:val="22"/>
        </w:rPr>
        <w:t>the </w:t>
      </w:r>
      <w:r>
        <w:rPr>
          <w:color w:val="231F20"/>
          <w:sz w:val="22"/>
        </w:rPr>
        <w:t>chart.</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spacing w:line="249" w:lineRule="auto" w:before="140"/>
        <w:ind w:left="439" w:right="521" w:firstLine="0"/>
        <w:jc w:val="left"/>
        <w:rPr>
          <w:sz w:val="22"/>
        </w:rPr>
      </w:pPr>
      <w:r>
        <w:rPr>
          <w:color w:val="231F20"/>
          <w:sz w:val="22"/>
        </w:rPr>
        <w:t>In summary, it is useful to distinguish between domestic and external influences on inflation. </w:t>
      </w:r>
      <w:r>
        <w:rPr>
          <w:color w:val="231F20"/>
          <w:spacing w:val="-6"/>
          <w:sz w:val="22"/>
        </w:rPr>
        <w:t>DGI </w:t>
      </w:r>
      <w:r>
        <w:rPr>
          <w:color w:val="231F20"/>
          <w:sz w:val="22"/>
        </w:rPr>
        <w:t>can be measured in a number of ways, but none is perfect. All of the measures outlined here suggest that, in 1998 Q1, DGI was above 2</w:t>
      </w:r>
      <w:r>
        <w:rPr>
          <w:color w:val="231F20"/>
          <w:position w:val="8"/>
          <w:sz w:val="11"/>
        </w:rPr>
        <w:t>1</w:t>
      </w:r>
      <w:r>
        <w:rPr>
          <w:color w:val="231F20"/>
          <w:sz w:val="22"/>
        </w:rPr>
        <w:t>/</w:t>
      </w:r>
      <w:r>
        <w:rPr>
          <w:color w:val="231F20"/>
          <w:sz w:val="11"/>
        </w:rPr>
        <w:t>2</w:t>
      </w:r>
      <w:r>
        <w:rPr>
          <w:color w:val="231F20"/>
          <w:sz w:val="22"/>
        </w:rPr>
        <w:t>% but</w:t>
      </w:r>
      <w:r>
        <w:rPr>
          <w:color w:val="231F20"/>
          <w:spacing w:val="51"/>
          <w:sz w:val="22"/>
        </w:rPr>
        <w:t> </w:t>
      </w:r>
      <w:r>
        <w:rPr>
          <w:color w:val="231F20"/>
          <w:sz w:val="22"/>
        </w:rPr>
        <w:t>falling.</w:t>
      </w:r>
    </w:p>
    <w:p>
      <w:pPr>
        <w:spacing w:after="0" w:line="249" w:lineRule="auto"/>
        <w:jc w:val="left"/>
        <w:rPr>
          <w:sz w:val="22"/>
        </w:rPr>
        <w:sectPr>
          <w:type w:val="continuous"/>
          <w:pgSz w:w="11900" w:h="16840"/>
          <w:pgMar w:top="1220" w:bottom="280" w:left="620" w:right="640"/>
          <w:cols w:num="2" w:equalWidth="0">
            <w:col w:w="5066" w:space="64"/>
            <w:col w:w="5510"/>
          </w:cols>
        </w:sectPr>
      </w:pPr>
    </w:p>
    <w:p>
      <w:pPr>
        <w:pStyle w:val="BodyText"/>
        <w:spacing w:before="1"/>
        <w:rPr>
          <w:sz w:val="12"/>
        </w:rPr>
      </w:pPr>
      <w:r>
        <w:rPr/>
        <w:pict>
          <v:group style="position:absolute;margin-left:39pt;margin-top:41pt;width:517pt;height:739pt;mso-position-horizontal-relative:page;mso-position-vertical-relative:page;z-index:-20845056" coordorigin="780,820" coordsize="10340,14780">
            <v:shape style="position:absolute;left:800;top:840;width:10300;height:14740" coordorigin="800,840" coordsize="10300,14740" path="m11100,840l5964,840,5936,840,800,840,800,8181,800,8239,800,15580,5936,15580,5964,15580,11100,15580,11100,840xe" filled="true" fillcolor="#c3e0dc" stroked="false">
              <v:path arrowok="t"/>
              <v:fill type="solid"/>
            </v:shape>
            <v:shape style="position:absolute;left:879;top:962;width:10141;height:14496" coordorigin="879,962" coordsize="10141,14496" path="m5950,962l879,8210,5950,15458,11020,8210,5950,962xe" filled="true" fillcolor="#c4e1dd" stroked="false">
              <v:path arrowok="t"/>
              <v:fill type="solid"/>
            </v:shape>
            <v:shape style="position:absolute;left:978;top:1104;width:9943;height:14212" coordorigin="979,1104" coordsize="9943,14212" path="m5950,1104l979,8210,5950,15316,10921,8210,5950,1104xe" filled="true" fillcolor="#c5e1dd" stroked="false">
              <v:path arrowok="t"/>
              <v:fill type="solid"/>
            </v:shape>
            <v:shape style="position:absolute;left:1078;top:1246;width:9744;height:13928" coordorigin="1078,1246" coordsize="9744,13928" path="m5950,1246l1078,8210,5950,15174,10822,8210,5950,1246xe" filled="true" fillcolor="#c6e2de" stroked="false">
              <v:path arrowok="t"/>
              <v:fill type="solid"/>
            </v:shape>
            <v:shape style="position:absolute;left:1177;top:1388;width:9545;height:13643" coordorigin="1178,1389" coordsize="9545,13643" path="m5950,1389l1178,8210,5950,15032,10722,8210,5950,1389xe" filled="true" fillcolor="#c7e2df" stroked="false">
              <v:path arrowok="t"/>
              <v:fill type="solid"/>
            </v:shape>
            <v:shape style="position:absolute;left:1277;top:1530;width:9346;height:13359" coordorigin="1277,1531" coordsize="9346,13359" path="m5950,1531l1277,8210,5950,14889,10623,8210,5950,1531xe" filled="true" fillcolor="#c8e3df" stroked="false">
              <v:path arrowok="t"/>
              <v:fill type="solid"/>
            </v:shape>
            <v:shape style="position:absolute;left:1376;top:1672;width:9147;height:13075" coordorigin="1377,1673" coordsize="9147,13075" path="m5950,1673l1377,8210,5950,14747,10523,8210,5950,1673xe" filled="true" fillcolor="#c9e3e0" stroked="false">
              <v:path arrowok="t"/>
              <v:fill type="solid"/>
            </v:shape>
            <v:shape style="position:absolute;left:1475;top:1814;width:8948;height:12791" coordorigin="1476,1815" coordsize="8948,12791" path="m5950,1815l1476,8210,5950,14605,10424,8210,5950,1815xe" filled="true" fillcolor="#cae4e0" stroked="false">
              <v:path arrowok="t"/>
              <v:fill type="solid"/>
            </v:shape>
            <v:shape style="position:absolute;left:1575;top:1957;width:8750;height:12507" coordorigin="1575,1957" coordsize="8750,12507" path="m5950,1957l1575,8210,5950,14463,10324,8210,5950,1957xe" filled="true" fillcolor="#cbe4e1" stroked="false">
              <v:path arrowok="t"/>
              <v:fill type="solid"/>
            </v:shape>
            <v:shape style="position:absolute;left:1674;top:2099;width:8551;height:12222" coordorigin="1675,2099" coordsize="8551,12222" path="m5950,2099l1675,8210,5950,14321,10225,8210,5950,2099xe" filled="true" fillcolor="#cce5e1" stroked="false">
              <v:path arrowok="t"/>
              <v:fill type="solid"/>
            </v:shape>
            <v:shape style="position:absolute;left:1774;top:2241;width:8352;height:11938" coordorigin="1774,2241" coordsize="8352,11938" path="m5950,2241l1774,8210,5950,14179,10126,8210,5950,2241xe" filled="true" fillcolor="#cde5e2" stroked="false">
              <v:path arrowok="t"/>
              <v:fill type="solid"/>
            </v:shape>
            <v:shape style="position:absolute;left:1873;top:2383;width:8153;height:11654" coordorigin="1874,2383" coordsize="8153,11654" path="m5950,2383l1874,8210,5950,14037,10026,8210,5950,2383xe" filled="true" fillcolor="#cee6e3" stroked="false">
              <v:path arrowok="t"/>
              <v:fill type="solid"/>
            </v:shape>
            <v:shape style="position:absolute;left:1973;top:2525;width:7954;height:11370" coordorigin="1973,2525" coordsize="7954,11370" path="m5950,2525l1973,8210,5950,13895,9927,8210,5950,2525xe" filled="true" fillcolor="#cfe6e3" stroked="false">
              <v:path arrowok="t"/>
              <v:fill type="solid"/>
            </v:shape>
            <v:shape style="position:absolute;left:2072;top:2667;width:7755;height:11085" coordorigin="2072,2668" coordsize="7755,11085" path="m5950,2668l2072,8210,5950,13753,9827,8210,5950,2668xe" filled="true" fillcolor="#d0e7e4" stroked="false">
              <v:path arrowok="t"/>
              <v:fill type="solid"/>
            </v:shape>
            <v:shape style="position:absolute;left:2171;top:2809;width:7557;height:10801" coordorigin="2172,2810" coordsize="7557,10801" path="m5950,2810l2172,8210,5950,13610,9728,8210,5950,2810xe" filled="true" fillcolor="#d1e7e4" stroked="false">
              <v:path arrowok="t"/>
              <v:fill type="solid"/>
            </v:shape>
            <v:shape style="position:absolute;left:2271;top:2951;width:7358;height:10517" coordorigin="2271,2952" coordsize="7358,10517" path="m5950,2952l2271,8210,5950,13468,9629,8210,5950,2952xe" filled="true" fillcolor="#d3e8e5" stroked="false">
              <v:path arrowok="t"/>
              <v:fill type="solid"/>
            </v:shape>
            <v:shape style="position:absolute;left:2370;top:3093;width:7159;height:10233" coordorigin="2371,3094" coordsize="7159,10233" path="m5950,3094l2371,8210,5950,13326,9529,8210,5950,3094xe" filled="true" fillcolor="#d4e8e5" stroked="false">
              <v:path arrowok="t"/>
              <v:fill type="solid"/>
            </v:shape>
            <v:shape style="position:absolute;left:2470;top:3236;width:6960;height:9949" coordorigin="2470,3236" coordsize="6960,9949" path="m5950,3236l2470,8210,5950,13184,9430,8210,5950,3236xe" filled="true" fillcolor="#d5e9e6" stroked="false">
              <v:path arrowok="t"/>
              <v:fill type="solid"/>
            </v:shape>
            <v:shape style="position:absolute;left:2569;top:3378;width:6761;height:9664" coordorigin="2570,3378" coordsize="6761,9664" path="m5950,3378l2570,8210,5950,13042,9330,8210,5950,3378xe" filled="true" fillcolor="#d6eae7" stroked="false">
              <v:path arrowok="t"/>
              <v:fill type="solid"/>
            </v:shape>
            <v:shape style="position:absolute;left:2669;top:3520;width:6562;height:9380" coordorigin="2669,3520" coordsize="6562,9380" path="m5950,3520l2669,8210,5950,12900,9231,8210,5950,3520xe" filled="true" fillcolor="#d7eae7" stroked="false">
              <v:path arrowok="t"/>
              <v:fill type="solid"/>
            </v:shape>
            <v:shape style="position:absolute;left:2768;top:3662;width:6363;height:9096" coordorigin="2768,3662" coordsize="6363,9096" path="m5950,3662l2768,8210,5950,12758,9131,8210,5950,3662xe" filled="true" fillcolor="#d8ebe8" stroked="false">
              <v:path arrowok="t"/>
              <v:fill type="solid"/>
            </v:shape>
            <v:shape style="position:absolute;left:2867;top:3804;width:6165;height:8812" coordorigin="2868,3805" coordsize="6165,8812" path="m5950,3805l2868,8210,5950,12616,9032,8210,5950,3805xe" filled="true" fillcolor="#d9ebe8" stroked="false">
              <v:path arrowok="t"/>
              <v:fill type="solid"/>
            </v:shape>
            <v:shape style="position:absolute;left:2967;top:3946;width:5966;height:8527" coordorigin="2967,3947" coordsize="5966,8527" path="m5950,3947l2967,8210,5950,12473,8933,8210,5950,3947xe" filled="true" fillcolor="#daece9" stroked="false">
              <v:path arrowok="t"/>
              <v:fill type="solid"/>
            </v:shape>
            <v:shape style="position:absolute;left:3066;top:4088;width:5767;height:8243" coordorigin="3067,4089" coordsize="5767,8243" path="m5950,4089l3067,8210,5950,12331,8833,8210,5950,4089xe" filled="true" fillcolor="#dbece9" stroked="false">
              <v:path arrowok="t"/>
              <v:fill type="solid"/>
            </v:shape>
            <v:shape style="position:absolute;left:3166;top:4230;width:5568;height:7959" coordorigin="3166,4231" coordsize="5568,7959" path="m5950,4231l3166,8210,5950,12189,8734,8210,5950,4231xe" filled="true" fillcolor="#dcedea" stroked="false">
              <v:path arrowok="t"/>
              <v:fill type="solid"/>
            </v:shape>
            <v:shape style="position:absolute;left:3265;top:4372;width:5369;height:7675" coordorigin="3266,4373" coordsize="5369,7675" path="m5950,4373l3266,8210,5950,12047,8634,8210,5950,4373xe" filled="true" fillcolor="#ddedeb" stroked="false">
              <v:path arrowok="t"/>
              <v:fill type="solid"/>
            </v:shape>
            <v:shape style="position:absolute;left:3364;top:4515;width:5170;height:7390" coordorigin="3365,4515" coordsize="5170,7390" path="m5950,4515l3365,8210,5950,11905,8535,8210,5950,4515xe" filled="true" fillcolor="#deeeeb" stroked="false">
              <v:path arrowok="t"/>
              <v:fill type="solid"/>
            </v:shape>
            <v:shape style="position:absolute;left:3464;top:4657;width:4972;height:7106" coordorigin="3464,4657" coordsize="4972,7106" path="m5950,4657l3464,8210,5950,11763,8435,8210,5950,4657xe" filled="true" fillcolor="#e0efec" stroked="false">
              <v:path arrowok="t"/>
              <v:fill type="solid"/>
            </v:shape>
            <v:shape style="position:absolute;left:3563;top:4799;width:4773;height:6822" coordorigin="3564,4799" coordsize="4773,6822" path="m5950,4799l3564,8210,5950,11621,8336,8210,5950,4799xe" filled="true" fillcolor="#e1efec" stroked="false">
              <v:path arrowok="t"/>
              <v:fill type="solid"/>
            </v:shape>
            <v:shape style="position:absolute;left:3663;top:4941;width:4574;height:6538" coordorigin="3663,4941" coordsize="4574,6538" path="m5950,4941l3663,8210,5950,11479,8237,8210,5950,4941xe" filled="true" fillcolor="#e2f0ed" stroked="false">
              <v:path arrowok="t"/>
              <v:fill type="solid"/>
            </v:shape>
            <v:shape style="position:absolute;left:3762;top:5083;width:4375;height:6254" coordorigin="3763,5084" coordsize="4375,6254" path="m5950,5084l3763,8210,5950,11337,8137,8210,5950,5084xe" filled="true" fillcolor="#e3f0ee" stroked="false">
              <v:path arrowok="t"/>
              <v:fill type="solid"/>
            </v:shape>
            <v:shape style="position:absolute;left:3862;top:5225;width:4176;height:5969" coordorigin="3862,5226" coordsize="4176,5969" path="m5950,5226l3862,8210,5950,11194,8038,8210,5950,5226xe" filled="true" fillcolor="#e4f1ee" stroked="false">
              <v:path arrowok="t"/>
              <v:fill type="solid"/>
            </v:shape>
            <v:shape style="position:absolute;left:3961;top:5367;width:3977;height:5685" coordorigin="3961,5368" coordsize="3977,5685" path="m5950,5368l3961,8210,5950,11052,7938,8210,5950,5368xe" filled="true" fillcolor="#e5f1ef" stroked="false">
              <v:path arrowok="t"/>
              <v:fill type="solid"/>
            </v:shape>
            <v:shape style="position:absolute;left:4060;top:5509;width:3778;height:5401" coordorigin="4061,5510" coordsize="3778,5401" path="m5950,5510l4061,8210,5950,10910,7839,8210,5950,5510xe" filled="true" fillcolor="#e6f2ef" stroked="false">
              <v:path arrowok="t"/>
              <v:fill type="solid"/>
            </v:shape>
            <v:shape style="position:absolute;left:4160;top:5652;width:3580;height:5117" coordorigin="4160,5652" coordsize="3580,5117" path="m5950,5652l4160,8210,5950,10768,7739,8210,5950,5652xe" filled="true" fillcolor="#e7f3f0" stroked="false">
              <v:path arrowok="t"/>
              <v:fill type="solid"/>
            </v:shape>
            <v:shape style="position:absolute;left:4259;top:5794;width:3381;height:4832" coordorigin="4260,5794" coordsize="3381,4832" path="m5950,5794l4260,8210,5950,10626,7640,8210,5950,5794xe" filled="true" fillcolor="#e9f3f1" stroked="false">
              <v:path arrowok="t"/>
              <v:fill type="solid"/>
            </v:shape>
            <v:shape style="position:absolute;left:4359;top:5936;width:3182;height:4548" coordorigin="4359,5936" coordsize="3182,4548" path="m5950,5936l4359,8210,5950,10484,7541,8210,5950,5936xe" filled="true" fillcolor="#eaf4f2" stroked="false">
              <v:path arrowok="t"/>
              <v:fill type="solid"/>
            </v:shape>
            <v:shape style="position:absolute;left:4458;top:6078;width:2983;height:4264" coordorigin="4459,6078" coordsize="2983,4264" path="m5950,6078l4459,8210,5950,10342,7441,8210,5950,6078xe" filled="true" fillcolor="#ebf4f2" stroked="false">
              <v:path arrowok="t"/>
              <v:fill type="solid"/>
            </v:shape>
            <v:shape style="position:absolute;left:4558;top:6220;width:2784;height:3980" coordorigin="4558,6220" coordsize="2784,3980" path="m5950,6220l4558,8210,5950,10200,7342,8210,5950,6220xe" filled="true" fillcolor="#ecf5f3" stroked="false">
              <v:path arrowok="t"/>
              <v:fill type="solid"/>
            </v:shape>
            <v:shape style="position:absolute;left:4657;top:6362;width:2585;height:3695" coordorigin="4657,6363" coordsize="2585,3695" path="m5950,6363l4657,8210,5950,10058,7242,8210,5950,6363xe" filled="true" fillcolor="#edf6f4" stroked="false">
              <v:path arrowok="t"/>
              <v:fill type="solid"/>
            </v:shape>
            <v:shape style="position:absolute;left:4756;top:6504;width:2387;height:3411" coordorigin="4757,6505" coordsize="2387,3411" path="m5950,6505l4757,8210,5950,9915,7143,8210,5950,6505xe" filled="true" fillcolor="#eff7f5" stroked="false">
              <v:path arrowok="t"/>
              <v:fill type="solid"/>
            </v:shape>
            <v:shape style="position:absolute;left:4856;top:6646;width:2188;height:3127" coordorigin="4856,6647" coordsize="2188,3127" path="m5950,6647l4856,8210,5950,9773,7044,8210,5950,6647xe" filled="true" fillcolor="#f0f7f5" stroked="false">
              <v:path arrowok="t"/>
              <v:fill type="solid"/>
            </v:shape>
            <v:shape style="position:absolute;left:4955;top:6788;width:1989;height:2843" coordorigin="4956,6789" coordsize="1989,2843" path="m5950,6789l4956,8210,5950,9631,6944,8210,5950,6789xe" filled="true" fillcolor="#f1f8f6" stroked="false">
              <v:path arrowok="t"/>
              <v:fill type="solid"/>
            </v:shape>
            <v:shape style="position:absolute;left:5055;top:6931;width:1790;height:2559" coordorigin="5055,6931" coordsize="1790,2559" path="m5950,6931l5055,8210,5950,9489,6845,8210,5950,6931xe" filled="true" fillcolor="#f2f8f7" stroked="false">
              <v:path arrowok="t"/>
              <v:fill type="solid"/>
            </v:shape>
            <v:shape style="position:absolute;left:5154;top:7073;width:1591;height:2274" coordorigin="5155,7073" coordsize="1591,2274" path="m5950,7073l5155,8210,5950,9347,6745,8210,5950,7073xe" filled="true" fillcolor="#f3f9f8" stroked="false">
              <v:path arrowok="t"/>
              <v:fill type="solid"/>
            </v:shape>
            <v:shape style="position:absolute;left:5253;top:7215;width:1392;height:1990" coordorigin="5254,7215" coordsize="1392,1990" path="m5950,7215l5254,8210,5950,9205,6646,8210,5950,7215xe" filled="true" fillcolor="#f5f9f8" stroked="false">
              <v:path arrowok="t"/>
              <v:fill type="solid"/>
            </v:shape>
            <v:shape style="position:absolute;left:5353;top:7357;width:1194;height:1706" coordorigin="5353,7357" coordsize="1194,1706" path="m5950,7357l5353,8210,5950,9063,6546,8210,5950,7357xe" filled="true" fillcolor="#f6faf9" stroked="false">
              <v:path arrowok="t"/>
              <v:fill type="solid"/>
            </v:shape>
            <v:shape style="position:absolute;left:5452;top:7499;width:995;height:1422" coordorigin="5453,7499" coordsize="995,1422" path="m5950,7499l5453,8210,5950,8921,6447,8210,5950,7499xe" filled="true" fillcolor="#f8fbfa" stroked="false">
              <v:path arrowok="t"/>
              <v:fill type="solid"/>
            </v:shape>
            <v:shape style="position:absolute;left:5552;top:7641;width:796;height:1137" coordorigin="5552,7642" coordsize="796,1137" path="m5950,7642l5552,8210,5950,8778,6348,8210,5950,7642xe" filled="true" fillcolor="#f9fcfc" stroked="false">
              <v:path arrowok="t"/>
              <v:fill type="solid"/>
            </v:shape>
            <v:shape style="position:absolute;left:5651;top:7783;width:597;height:853" coordorigin="5652,7784" coordsize="597,853" path="m5950,7784l5652,8210,5950,8636,6248,8210,5950,7784xe" filled="true" fillcolor="#fbfdfd" stroked="false">
              <v:path arrowok="t"/>
              <v:fill type="solid"/>
            </v:shape>
            <v:shape style="position:absolute;left:5751;top:7925;width:398;height:569" coordorigin="5751,7926" coordsize="398,569" path="m5950,7926l5751,8210,5950,8494,6149,8210,5950,7926xe" filled="true" fillcolor="#fdfefe" stroked="false">
              <v:path arrowok="t"/>
              <v:fill type="solid"/>
            </v:shape>
            <v:shape style="position:absolute;left:5850;top:8067;width:199;height:285" coordorigin="5850,8068" coordsize="199,285" path="m5950,8068l5850,8210,5950,8352,6049,8210,5950,8068xe" filled="true" fillcolor="#ffffff" stroked="false">
              <v:path arrowok="t"/>
              <v:fill type="solid"/>
            </v:shape>
            <v:rect style="position:absolute;left:790;top:830;width:10320;height:14760" filled="false" stroked="true" strokeweight="1pt" strokecolor="#009483">
              <v:stroke dashstyle="solid"/>
            </v:rect>
            <v:shape style="position:absolute;left:6186;top:8620;width:4434;height:3640" coordorigin="6187,8620" coordsize="4434,3640" path="m10620,8620l6187,8620,6187,8947,6187,8953,6187,12260,10620,12260,10620,8953,10620,8947,10620,8620xe" filled="true" fillcolor="#ffffff" stroked="false">
              <v:path arrowok="t"/>
              <v:fill type="solid"/>
            </v:shape>
            <v:shape style="position:absolute;left:6287;top:9164;width:3834;height:2865" coordorigin="6287,9164" coordsize="3834,2865" path="m6517,11723l10121,11723m6402,12029l6287,12029m6402,11723l6287,11723m6402,11399l6287,11399m6402,11074l6287,11074m6402,10749l6287,10749m6402,10444l6287,10444m6402,10119l6287,10119m6402,9795l6287,9795m6402,9489l6287,9489m6402,9164l6287,9164e" filled="false" stroked="true" strokeweight=".5pt" strokecolor="#000000">
              <v:path arrowok="t"/>
              <v:stroke dashstyle="solid"/>
            </v:shape>
            <v:shape style="position:absolute;left:6517;top:9469;width:3604;height:2044" coordorigin="6517,9470" coordsize="3604,2044" path="m6517,10348l6671,9470,6805,9470,6958,10387,7112,10749,7265,11246,7418,11150,7572,10960,7725,10597,7859,11303,8013,11475,8166,11361,8319,11513,8473,11208,8626,11227,8779,11074,8914,10692,9067,10807,9220,10635,9374,10348,9527,10539,9680,10253,9834,10348,9968,10635,10121,10654e" filled="false" stroked="true" strokeweight="1pt" strokecolor="#008256">
              <v:path arrowok="t"/>
              <v:stroke dashstyle="solid"/>
            </v:shape>
            <v:shape style="position:absolute;left:6517;top:9565;width:3604;height:1834" coordorigin="6517,9565" coordsize="3604,1834" path="m6517,9584l6671,9565,6805,9833,6958,10539,7112,11055,7265,11399,7418,11246,7572,11017,7725,10692,7859,10979,8013,11189,8166,11112,8319,11150,8473,11150,8626,11093,8779,11189,8914,10921,9067,10749,9220,10482,9374,10157,9527,10081,9680,9947,9834,9890,9968,10100,10121,10234e" filled="false" stroked="true" strokeweight="1pt" strokecolor="#ed1b2d">
              <v:path arrowok="t"/>
              <v:stroke dashstyle="solid"/>
            </v:shape>
            <v:shape style="position:absolute;left:6517;top:9851;width:3604;height:1910" coordorigin="6517,9852" coordsize="3604,1910" path="m6517,9852l6671,9986,6805,10024,6958,10616,7112,10539,7418,11189,7572,11265,7725,11418,7859,11590,8013,11762,8166,11532,8319,11380,8473,11208,8626,11170,8779,11246,8914,11112,9067,11246,9220,11246,9374,11189,9527,11017,9680,10940,9834,10730,9968,10654,10121,10769e" filled="false" stroked="true" strokeweight="1.0pt" strokecolor="#f7941d">
              <v:path arrowok="t"/>
              <v:stroke dashstyle="solid"/>
            </v:shape>
            <v:shape style="position:absolute;left:6517;top:9164;width:3854;height:2865" coordorigin="6517,9164" coordsize="3854,2865" path="m6517,12029l10121,12029m6517,12029l6517,11991m6671,12029l6671,11991m6805,12029l6805,11991m6958,12029l6958,11991m7112,12029l7112,11991m7265,12029l7265,11991m7418,12029l7418,11991m7572,12029l7572,11991m7725,12029l7725,11991m7859,12029l7859,11991m8013,12029l8013,11991m8166,12029l8166,11991m8319,12029l8319,11991m8473,12029l8473,11991m8626,12029l8626,11991m8779,12029l8779,11991m8914,12029l8914,11991m9067,12029l9067,11991m9220,12029l9220,11991m9374,12029l9374,11991m9527,12029l9527,11991m9680,12029l9680,11991m9815,12029l9815,11991m9968,12029l9968,11991m10121,12029l10121,11991m6517,12029l6517,11953m7112,12029l7112,11953m7725,12029l7725,11953m8319,12029l8319,11953m8914,12029l8914,11953m9527,12029l9527,11953m10121,12029l10121,11953m10370,12029l10255,12029m10370,11723l10255,11723m10370,11399l10255,11399m10370,11074l10255,11074m10370,10749l10255,10749m10370,10444l10255,10444m10370,10119l10255,10119m10370,9795l10255,9795m10370,9489l10255,9489m10370,9164l10255,9164e" filled="false" stroked="true" strokeweight=".5pt" strokecolor="#000000">
              <v:path arrowok="t"/>
              <v:stroke dashstyle="solid"/>
            </v:shape>
            <v:shape style="position:absolute;left:1040;top:8612;width:9820;height:5508" coordorigin="1040,8612" coordsize="9820,5508" path="m1040,14120l10860,14120m6187,8612l10612,8612m6187,12260l10612,12260e" filled="false" stroked="true" strokeweight=".125pt" strokecolor="#231f20">
              <v:path arrowok="t"/>
              <v:stroke dashstyle="solid"/>
            </v:shape>
            <v:shape style="position:absolute;left:6206;top:8601;width:4189;height:529" type="#_x0000_t202" filled="false" stroked="false">
              <v:textbox inset="0,0,0,0">
                <w:txbxContent>
                  <w:p>
                    <w:pPr>
                      <w:spacing w:line="221" w:lineRule="exact" w:before="0"/>
                      <w:ind w:left="0" w:right="0" w:firstLine="0"/>
                      <w:jc w:val="left"/>
                      <w:rPr>
                        <w:b/>
                        <w:sz w:val="20"/>
                      </w:rPr>
                    </w:pPr>
                    <w:r>
                      <w:rPr>
                        <w:b/>
                        <w:color w:val="0093C1"/>
                        <w:sz w:val="20"/>
                      </w:rPr>
                      <w:t>Measures of domestically generated inflation</w:t>
                    </w:r>
                  </w:p>
                  <w:p>
                    <w:pPr>
                      <w:spacing w:before="169"/>
                      <w:ind w:left="2419" w:right="0" w:firstLine="0"/>
                      <w:jc w:val="left"/>
                      <w:rPr>
                        <w:sz w:val="12"/>
                      </w:rPr>
                    </w:pPr>
                    <w:r>
                      <w:rPr>
                        <w:sz w:val="12"/>
                      </w:rPr>
                      <w:t>Percentage changes on a year earlier</w:t>
                    </w:r>
                  </w:p>
                </w:txbxContent>
              </v:textbox>
              <w10:wrap type="none"/>
            </v:shape>
            <v:shape style="position:absolute;left:10419;top:9098;width:80;height:133" type="#_x0000_t202" filled="false" stroked="false">
              <v:textbox inset="0,0,0,0">
                <w:txbxContent>
                  <w:p>
                    <w:pPr>
                      <w:spacing w:line="133" w:lineRule="exact" w:before="0"/>
                      <w:ind w:left="0" w:right="0" w:firstLine="0"/>
                      <w:jc w:val="left"/>
                      <w:rPr>
                        <w:sz w:val="12"/>
                      </w:rPr>
                    </w:pPr>
                    <w:r>
                      <w:rPr>
                        <w:sz w:val="12"/>
                      </w:rPr>
                      <w:t>8</w:t>
                    </w:r>
                  </w:p>
                </w:txbxContent>
              </v:textbox>
              <w10:wrap type="none"/>
            </v:shape>
            <v:shape style="position:absolute;left:6801;top:9308;width:1207;height:253" type="#_x0000_t202" filled="false" stroked="false">
              <v:textbox inset="0,0,0,0">
                <w:txbxContent>
                  <w:p>
                    <w:pPr>
                      <w:spacing w:line="124" w:lineRule="exact" w:before="0"/>
                      <w:ind w:left="0" w:right="0" w:firstLine="0"/>
                      <w:jc w:val="left"/>
                      <w:rPr>
                        <w:sz w:val="12"/>
                      </w:rPr>
                    </w:pPr>
                    <w:r>
                      <w:rPr>
                        <w:sz w:val="12"/>
                      </w:rPr>
                      <w:t>GDP deflator</w:t>
                    </w:r>
                  </w:p>
                  <w:p>
                    <w:pPr>
                      <w:spacing w:line="129" w:lineRule="exact" w:before="0"/>
                      <w:ind w:left="60" w:right="0" w:firstLine="0"/>
                      <w:jc w:val="left"/>
                      <w:rPr>
                        <w:sz w:val="12"/>
                      </w:rPr>
                    </w:pPr>
                    <w:r>
                      <w:rPr>
                        <w:sz w:val="12"/>
                      </w:rPr>
                      <w:t>excluding export prices</w:t>
                    </w:r>
                  </w:p>
                </w:txbxContent>
              </v:textbox>
              <w10:wrap type="none"/>
            </v:shape>
            <v:shape style="position:absolute;left:10419;top:9423;width:80;height:133" type="#_x0000_t202" filled="false" stroked="false">
              <v:textbox inset="0,0,0,0">
                <w:txbxContent>
                  <w:p>
                    <w:pPr>
                      <w:spacing w:line="133" w:lineRule="exact" w:before="0"/>
                      <w:ind w:left="0" w:right="0" w:firstLine="0"/>
                      <w:jc w:val="left"/>
                      <w:rPr>
                        <w:sz w:val="12"/>
                      </w:rPr>
                    </w:pPr>
                    <w:r>
                      <w:rPr>
                        <w:sz w:val="12"/>
                      </w:rPr>
                      <w:t>7</w:t>
                    </w:r>
                  </w:p>
                </w:txbxContent>
              </v:textbox>
              <w10:wrap type="none"/>
            </v:shape>
            <v:shape style="position:absolute;left:8980;top:9697;width:797;height:253" type="#_x0000_t202" filled="false" stroked="false">
              <v:textbox inset="0,0,0,0">
                <w:txbxContent>
                  <w:p>
                    <w:pPr>
                      <w:spacing w:line="208" w:lineRule="auto" w:before="9"/>
                      <w:ind w:left="60" w:right="0" w:hanging="60"/>
                      <w:jc w:val="left"/>
                      <w:rPr>
                        <w:sz w:val="12"/>
                      </w:rPr>
                    </w:pPr>
                    <w:r>
                      <w:rPr>
                        <w:sz w:val="12"/>
                      </w:rPr>
                      <w:t>RPIX excluding import prices</w:t>
                    </w:r>
                  </w:p>
                </w:txbxContent>
              </v:textbox>
              <w10:wrap type="none"/>
            </v:shape>
            <v:shape style="position:absolute;left:10419;top:9748;width:80;height:1413" type="#_x0000_t202" filled="false" stroked="false">
              <v:textbox inset="0,0,0,0">
                <w:txbxContent>
                  <w:p>
                    <w:pPr>
                      <w:spacing w:line="133" w:lineRule="exact" w:before="0"/>
                      <w:ind w:left="0" w:right="0" w:firstLine="0"/>
                      <w:jc w:val="left"/>
                      <w:rPr>
                        <w:sz w:val="12"/>
                      </w:rPr>
                    </w:pPr>
                    <w:r>
                      <w:rPr>
                        <w:sz w:val="12"/>
                      </w:rPr>
                      <w:t>6</w:t>
                    </w:r>
                  </w:p>
                  <w:p>
                    <w:pPr>
                      <w:spacing w:line="240" w:lineRule="auto" w:before="6"/>
                      <w:rPr>
                        <w:sz w:val="14"/>
                      </w:rPr>
                    </w:pPr>
                  </w:p>
                  <w:p>
                    <w:pPr>
                      <w:spacing w:before="0"/>
                      <w:ind w:left="0" w:right="0" w:firstLine="0"/>
                      <w:jc w:val="left"/>
                      <w:rPr>
                        <w:sz w:val="12"/>
                      </w:rPr>
                    </w:pPr>
                    <w:r>
                      <w:rPr>
                        <w:sz w:val="12"/>
                      </w:rPr>
                      <w:t>5</w:t>
                    </w:r>
                  </w:p>
                  <w:p>
                    <w:pPr>
                      <w:spacing w:line="240" w:lineRule="auto" w:before="3"/>
                      <w:rPr>
                        <w:sz w:val="16"/>
                      </w:rPr>
                    </w:pPr>
                  </w:p>
                  <w:p>
                    <w:pPr>
                      <w:spacing w:before="0"/>
                      <w:ind w:left="0" w:right="0" w:firstLine="0"/>
                      <w:jc w:val="left"/>
                      <w:rPr>
                        <w:sz w:val="12"/>
                      </w:rPr>
                    </w:pPr>
                    <w:r>
                      <w:rPr>
                        <w:sz w:val="12"/>
                      </w:rPr>
                      <w:t>4</w:t>
                    </w:r>
                  </w:p>
                  <w:p>
                    <w:pPr>
                      <w:spacing w:line="240" w:lineRule="auto" w:before="2"/>
                      <w:rPr>
                        <w:sz w:val="16"/>
                      </w:rPr>
                    </w:pPr>
                  </w:p>
                  <w:p>
                    <w:pPr>
                      <w:spacing w:before="1"/>
                      <w:ind w:left="0" w:right="0" w:firstLine="0"/>
                      <w:jc w:val="left"/>
                      <w:rPr>
                        <w:sz w:val="12"/>
                      </w:rPr>
                    </w:pPr>
                    <w:r>
                      <w:rPr>
                        <w:sz w:val="12"/>
                      </w:rPr>
                      <w:t>3</w:t>
                    </w:r>
                  </w:p>
                  <w:p>
                    <w:pPr>
                      <w:spacing w:line="240" w:lineRule="auto" w:before="2"/>
                      <w:rPr>
                        <w:sz w:val="16"/>
                      </w:rPr>
                    </w:pPr>
                  </w:p>
                  <w:p>
                    <w:pPr>
                      <w:spacing w:before="0"/>
                      <w:ind w:left="0" w:right="0" w:firstLine="0"/>
                      <w:jc w:val="left"/>
                      <w:rPr>
                        <w:sz w:val="12"/>
                      </w:rPr>
                    </w:pPr>
                    <w:r>
                      <w:rPr>
                        <w:sz w:val="12"/>
                      </w:rPr>
                      <w:t>2</w:t>
                    </w:r>
                  </w:p>
                </w:txbxContent>
              </v:textbox>
              <w10:wrap type="none"/>
            </v:shape>
            <v:shape style="position:absolute;left:9076;top:11263;width:927;height:373" type="#_x0000_t202" filled="false" stroked="false">
              <v:textbox inset="0,0,0,0">
                <w:txbxContent>
                  <w:p>
                    <w:pPr>
                      <w:spacing w:line="208" w:lineRule="auto" w:before="9"/>
                      <w:ind w:left="60" w:right="0" w:hanging="60"/>
                      <w:jc w:val="left"/>
                      <w:rPr>
                        <w:sz w:val="12"/>
                      </w:rPr>
                    </w:pPr>
                    <w:r>
                      <w:rPr>
                        <w:sz w:val="12"/>
                      </w:rPr>
                      <w:t>Unit labour costs adjusted for trend productivity</w:t>
                    </w:r>
                  </w:p>
                </w:txbxContent>
              </v:textbox>
              <w10:wrap type="none"/>
            </v:shape>
            <v:shape style="position:absolute;left:6699;top:12065;width:260;height:133" type="#_x0000_t202" filled="false" stroked="false">
              <v:textbox inset="0,0,0,0">
                <w:txbxContent>
                  <w:p>
                    <w:pPr>
                      <w:spacing w:line="133" w:lineRule="exact" w:before="0"/>
                      <w:ind w:left="0" w:right="0" w:firstLine="0"/>
                      <w:jc w:val="left"/>
                      <w:rPr>
                        <w:sz w:val="12"/>
                      </w:rPr>
                    </w:pPr>
                    <w:r>
                      <w:rPr>
                        <w:sz w:val="12"/>
                      </w:rPr>
                      <w:t>1992</w:t>
                    </w:r>
                  </w:p>
                </w:txbxContent>
              </v:textbox>
              <w10:wrap type="none"/>
            </v:shape>
            <v:shape style="position:absolute;left:7351;top:12065;width:140;height:133" type="#_x0000_t202" filled="false" stroked="false">
              <v:textbox inset="0,0,0,0">
                <w:txbxContent>
                  <w:p>
                    <w:pPr>
                      <w:spacing w:line="133" w:lineRule="exact" w:before="0"/>
                      <w:ind w:left="0" w:right="0" w:firstLine="0"/>
                      <w:jc w:val="left"/>
                      <w:rPr>
                        <w:sz w:val="12"/>
                      </w:rPr>
                    </w:pPr>
                    <w:r>
                      <w:rPr>
                        <w:sz w:val="12"/>
                      </w:rPr>
                      <w:t>93</w:t>
                    </w:r>
                  </w:p>
                </w:txbxContent>
              </v:textbox>
              <w10:wrap type="none"/>
            </v:shape>
            <v:shape style="position:absolute;left:7945;top:12065;width:140;height:133" type="#_x0000_t202" filled="false" stroked="false">
              <v:textbox inset="0,0,0,0">
                <w:txbxContent>
                  <w:p>
                    <w:pPr>
                      <w:spacing w:line="133" w:lineRule="exact" w:before="0"/>
                      <w:ind w:left="0" w:right="0" w:firstLine="0"/>
                      <w:jc w:val="left"/>
                      <w:rPr>
                        <w:sz w:val="12"/>
                      </w:rPr>
                    </w:pPr>
                    <w:r>
                      <w:rPr>
                        <w:sz w:val="12"/>
                      </w:rPr>
                      <w:t>94</w:t>
                    </w:r>
                  </w:p>
                </w:txbxContent>
              </v:textbox>
              <w10:wrap type="none"/>
            </v:shape>
            <v:shape style="position:absolute;left:8558;top:12065;width:140;height:133" type="#_x0000_t202" filled="false" stroked="false">
              <v:textbox inset="0,0,0,0">
                <w:txbxContent>
                  <w:p>
                    <w:pPr>
                      <w:spacing w:line="133" w:lineRule="exact" w:before="0"/>
                      <w:ind w:left="0" w:right="0" w:firstLine="0"/>
                      <w:jc w:val="left"/>
                      <w:rPr>
                        <w:sz w:val="12"/>
                      </w:rPr>
                    </w:pPr>
                    <w:r>
                      <w:rPr>
                        <w:sz w:val="12"/>
                      </w:rPr>
                      <w:t>95</w:t>
                    </w:r>
                  </w:p>
                </w:txbxContent>
              </v:textbox>
              <w10:wrap type="none"/>
            </v:shape>
            <v:shape style="position:absolute;left:9153;top:12065;width:140;height:133" type="#_x0000_t202" filled="false" stroked="false">
              <v:textbox inset="0,0,0,0">
                <w:txbxContent>
                  <w:p>
                    <w:pPr>
                      <w:spacing w:line="133" w:lineRule="exact" w:before="0"/>
                      <w:ind w:left="0" w:right="0" w:firstLine="0"/>
                      <w:jc w:val="left"/>
                      <w:rPr>
                        <w:sz w:val="12"/>
                      </w:rPr>
                    </w:pPr>
                    <w:r>
                      <w:rPr>
                        <w:sz w:val="12"/>
                      </w:rPr>
                      <w:t>96</w:t>
                    </w:r>
                  </w:p>
                </w:txbxContent>
              </v:textbox>
              <w10:wrap type="none"/>
            </v:shape>
            <v:shape style="position:absolute;left:9766;top:12065;width:447;height:133" type="#_x0000_t202" filled="false" stroked="false">
              <v:textbox inset="0,0,0,0">
                <w:txbxContent>
                  <w:p>
                    <w:pPr>
                      <w:spacing w:line="133" w:lineRule="exact" w:before="0"/>
                      <w:ind w:left="0" w:right="0" w:firstLine="0"/>
                      <w:jc w:val="left"/>
                      <w:rPr>
                        <w:sz w:val="12"/>
                      </w:rPr>
                    </w:pPr>
                    <w:r>
                      <w:rPr>
                        <w:sz w:val="12"/>
                      </w:rPr>
                      <w:t>97 98</w:t>
                    </w:r>
                  </w:p>
                </w:txbxContent>
              </v:textbox>
              <w10:wrap type="none"/>
            </v:shape>
            <v:shape style="position:absolute;left:10345;top:11333;width:154;height:783" type="#_x0000_t202" filled="false" stroked="false">
              <v:textbox inset="0,0,0,0">
                <w:txbxContent>
                  <w:p>
                    <w:pPr>
                      <w:spacing w:line="128" w:lineRule="exact" w:before="0"/>
                      <w:ind w:left="74" w:right="0" w:firstLine="0"/>
                      <w:jc w:val="left"/>
                      <w:rPr>
                        <w:sz w:val="12"/>
                      </w:rPr>
                    </w:pPr>
                    <w:r>
                      <w:rPr>
                        <w:sz w:val="12"/>
                      </w:rPr>
                      <w:t>1</w:t>
                    </w:r>
                  </w:p>
                  <w:p>
                    <w:pPr>
                      <w:spacing w:line="179" w:lineRule="exact" w:before="0"/>
                      <w:ind w:left="0" w:right="0" w:firstLine="0"/>
                      <w:jc w:val="left"/>
                      <w:rPr>
                        <w:sz w:val="16"/>
                      </w:rPr>
                    </w:pPr>
                    <w:r>
                      <w:rPr>
                        <w:sz w:val="16"/>
                      </w:rPr>
                      <w:t>+</w:t>
                    </w:r>
                  </w:p>
                  <w:p>
                    <w:pPr>
                      <w:spacing w:line="130" w:lineRule="exact" w:before="12"/>
                      <w:ind w:left="74" w:right="0" w:firstLine="0"/>
                      <w:jc w:val="left"/>
                      <w:rPr>
                        <w:sz w:val="12"/>
                      </w:rPr>
                    </w:pPr>
                    <w:r>
                      <w:rPr>
                        <w:sz w:val="12"/>
                      </w:rPr>
                      <w:t>0</w:t>
                    </w:r>
                  </w:p>
                  <w:p>
                    <w:pPr>
                      <w:spacing w:line="176" w:lineRule="exact" w:before="0"/>
                      <w:ind w:left="4" w:right="0" w:firstLine="0"/>
                      <w:jc w:val="left"/>
                      <w:rPr>
                        <w:sz w:val="16"/>
                      </w:rPr>
                    </w:pPr>
                    <w:r>
                      <w:rPr>
                        <w:color w:val="231F20"/>
                        <w:sz w:val="16"/>
                      </w:rPr>
                      <w:t>–</w:t>
                    </w:r>
                  </w:p>
                  <w:p>
                    <w:pPr>
                      <w:spacing w:before="19"/>
                      <w:ind w:left="72" w:right="0" w:firstLine="0"/>
                      <w:jc w:val="left"/>
                      <w:rPr>
                        <w:sz w:val="12"/>
                      </w:rPr>
                    </w:pPr>
                    <w:r>
                      <w:rPr>
                        <w:sz w:val="12"/>
                      </w:rPr>
                      <w:t>1</w:t>
                    </w:r>
                  </w:p>
                </w:txbxContent>
              </v:textbox>
              <w10:wrap type="none"/>
            </v:shape>
            <w10:wrap type="none"/>
          </v:group>
        </w:pict>
      </w:r>
    </w:p>
    <w:p>
      <w:pPr>
        <w:pStyle w:val="ListParagraph"/>
        <w:numPr>
          <w:ilvl w:val="1"/>
          <w:numId w:val="36"/>
        </w:numPr>
        <w:tabs>
          <w:tab w:pos="686" w:val="left" w:leader="none"/>
        </w:tabs>
        <w:spacing w:line="208" w:lineRule="auto" w:before="113" w:after="0"/>
        <w:ind w:left="685" w:right="1066" w:hanging="240"/>
        <w:jc w:val="left"/>
        <w:rPr>
          <w:sz w:val="16"/>
        </w:rPr>
      </w:pPr>
      <w:r>
        <w:rPr>
          <w:color w:val="231F20"/>
          <w:sz w:val="16"/>
        </w:rPr>
        <w:t>Gross export prices include a contribution from imported components. Because the GDP deflator already removes import prices, stripping out total export prices from the GDP deflator would in effect take out the contribution from import prices twice. So to obtain DGI, export prices excluding the contribution from import prices should be removed from the GDP deflator.</w:t>
      </w:r>
    </w:p>
    <w:p>
      <w:pPr>
        <w:pStyle w:val="ListParagraph"/>
        <w:numPr>
          <w:ilvl w:val="1"/>
          <w:numId w:val="36"/>
        </w:numPr>
        <w:tabs>
          <w:tab w:pos="686" w:val="left" w:leader="none"/>
        </w:tabs>
        <w:spacing w:line="208" w:lineRule="auto" w:before="0" w:after="0"/>
        <w:ind w:left="685" w:right="906" w:hanging="240"/>
        <w:jc w:val="left"/>
        <w:rPr>
          <w:sz w:val="16"/>
        </w:rPr>
      </w:pPr>
      <w:r>
        <w:rPr>
          <w:color w:val="231F20"/>
          <w:sz w:val="16"/>
        </w:rPr>
        <w:t>In 1990, direct and indirect imports accounted for just over 20% of consumption. To estimate a time series of DGI requires an assumption </w:t>
      </w:r>
      <w:r>
        <w:rPr>
          <w:color w:val="231F20"/>
          <w:spacing w:val="-9"/>
          <w:sz w:val="16"/>
        </w:rPr>
        <w:t>of </w:t>
      </w:r>
      <w:r>
        <w:rPr>
          <w:color w:val="231F20"/>
          <w:sz w:val="16"/>
        </w:rPr>
        <w:t>how this share varies over time. Total import content in consumption is assumed to vary with final imports as a share of</w:t>
      </w:r>
      <w:r>
        <w:rPr>
          <w:color w:val="231F20"/>
          <w:spacing w:val="-1"/>
          <w:sz w:val="16"/>
        </w:rPr>
        <w:t> </w:t>
      </w:r>
      <w:r>
        <w:rPr>
          <w:color w:val="231F20"/>
          <w:sz w:val="16"/>
        </w:rPr>
        <w:t>consumption.</w:t>
      </w:r>
    </w:p>
    <w:p>
      <w:pPr>
        <w:pStyle w:val="ListParagraph"/>
        <w:numPr>
          <w:ilvl w:val="1"/>
          <w:numId w:val="36"/>
        </w:numPr>
        <w:tabs>
          <w:tab w:pos="686" w:val="left" w:leader="none"/>
        </w:tabs>
        <w:spacing w:line="208" w:lineRule="auto" w:before="0" w:after="0"/>
        <w:ind w:left="685" w:right="959" w:hanging="240"/>
        <w:jc w:val="left"/>
        <w:rPr>
          <w:sz w:val="16"/>
        </w:rPr>
      </w:pPr>
      <w:r>
        <w:rPr>
          <w:color w:val="231F20"/>
          <w:sz w:val="16"/>
        </w:rPr>
        <w:t>The Input-Output tables show that labour costs accounted for 36% of the primary content of consumption in 1990, which implies that </w:t>
      </w:r>
      <w:r>
        <w:rPr>
          <w:color w:val="231F20"/>
          <w:spacing w:val="-3"/>
          <w:sz w:val="16"/>
        </w:rPr>
        <w:t>labour </w:t>
      </w:r>
      <w:r>
        <w:rPr>
          <w:color w:val="231F20"/>
          <w:sz w:val="16"/>
        </w:rPr>
        <w:t>costs were 45% of DGI. The share is assumed to vary over time in line with movements in labour’s share of GDP. The other 55% of DGI includes profits and taxes, but, for simplicity, taxes are ignored in this discussion.</w:t>
      </w:r>
    </w:p>
    <w:p>
      <w:pPr>
        <w:spacing w:after="0" w:line="208" w:lineRule="auto"/>
        <w:jc w:val="left"/>
        <w:rPr>
          <w:sz w:val="16"/>
        </w:rPr>
        <w:sectPr>
          <w:type w:val="continuous"/>
          <w:pgSz w:w="11900" w:h="16840"/>
          <w:pgMar w:top="1220" w:bottom="280" w:left="620" w:right="640"/>
        </w:sectPr>
      </w:pPr>
    </w:p>
    <w:p>
      <w:pPr>
        <w:pStyle w:val="BodyText"/>
        <w:rPr>
          <w:sz w:val="20"/>
        </w:rPr>
      </w:pPr>
    </w:p>
    <w:p>
      <w:pPr>
        <w:spacing w:line="242" w:lineRule="auto" w:before="227"/>
        <w:ind w:left="4994" w:right="135" w:firstLine="0"/>
        <w:jc w:val="left"/>
        <w:rPr>
          <w:sz w:val="24"/>
        </w:rPr>
      </w:pPr>
      <w:r>
        <w:rPr>
          <w:color w:val="231F20"/>
          <w:sz w:val="24"/>
        </w:rPr>
        <w:t>remain strong. Retail price inflation in 1998 Q2 was higher than in 1998 Q1, mostly because of the timing of new taxes. This was anticipated in the May </w:t>
      </w:r>
      <w:r>
        <w:rPr>
          <w:i/>
          <w:color w:val="231F20"/>
          <w:sz w:val="24"/>
        </w:rPr>
        <w:t>Report</w:t>
      </w:r>
      <w:r>
        <w:rPr>
          <w:color w:val="231F20"/>
          <w:sz w:val="24"/>
        </w:rPr>
        <w:t>, but the final outturn marginally exceeded the May central projection, probably because of erratic seasonal food prices. Rising earnings have increased unit labour costs and have contributed towards a domestically generated inflation rate that is currently well above 2.5%. RPIX inflation is likely to have fallen in July as the petrol duty increase twelve months previously dropped out of the calculation.</w:t>
      </w:r>
    </w:p>
    <w:p>
      <w:pPr>
        <w:spacing w:after="0" w:line="242" w:lineRule="auto"/>
        <w:jc w:val="left"/>
        <w:rPr>
          <w:sz w:val="24"/>
        </w:rPr>
        <w:sectPr>
          <w:pgSz w:w="11900" w:h="16840"/>
          <w:pgMar w:header="586" w:footer="597" w:top="780" w:bottom="780" w:left="620" w:right="640"/>
        </w:sectPr>
      </w:pPr>
    </w:p>
    <w:p>
      <w:pPr>
        <w:pStyle w:val="BodyText"/>
        <w:spacing w:line="20" w:lineRule="exact"/>
        <w:ind w:left="158"/>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rPr>
          <w:sz w:val="20"/>
        </w:rPr>
      </w:pPr>
    </w:p>
    <w:p>
      <w:pPr>
        <w:pStyle w:val="BodyText"/>
        <w:spacing w:before="9"/>
      </w:pPr>
      <w:r>
        <w:rPr/>
        <w:pict>
          <v:shape style="position:absolute;margin-left:40.169998pt;margin-top:12.000977pt;width:517pt;height:47.5pt;mso-position-horizontal-relative:page;mso-position-vertical-relative:paragraph;z-index:-15373312;mso-wrap-distance-left:0;mso-wrap-distance-right:0" type="#_x0000_t202" filled="true" fillcolor="#b5dad6" stroked="false">
            <v:textbox inset="0,0,0,0">
              <w:txbxContent>
                <w:p>
                  <w:pPr>
                    <w:tabs>
                      <w:tab w:pos="10099" w:val="right" w:leader="none"/>
                    </w:tabs>
                    <w:spacing w:before="51"/>
                    <w:ind w:left="260" w:right="0" w:firstLine="0"/>
                    <w:jc w:val="left"/>
                    <w:rPr>
                      <w:b/>
                      <w:sz w:val="72"/>
                    </w:rPr>
                  </w:pPr>
                  <w:bookmarkStart w:name="Monetary policy since the May Report" w:id="86"/>
                  <w:bookmarkEnd w:id="86"/>
                  <w:r>
                    <w:rPr/>
                  </w:r>
                  <w:bookmarkStart w:name="_bookmark37" w:id="87"/>
                  <w:bookmarkEnd w:id="87"/>
                  <w:r>
                    <w:rPr/>
                  </w:r>
                  <w:r>
                    <w:rPr>
                      <w:b/>
                      <w:color w:val="009483"/>
                      <w:sz w:val="48"/>
                    </w:rPr>
                    <w:t>Monetary policy since the May</w:t>
                  </w:r>
                  <w:r>
                    <w:rPr>
                      <w:b/>
                      <w:color w:val="009483"/>
                      <w:spacing w:val="-1"/>
                      <w:sz w:val="48"/>
                    </w:rPr>
                    <w:t> </w:t>
                  </w:r>
                  <w:r>
                    <w:rPr>
                      <w:b/>
                      <w:i/>
                      <w:color w:val="009483"/>
                      <w:sz w:val="48"/>
                    </w:rPr>
                    <w:t>Report</w:t>
                    <w:tab/>
                  </w:r>
                  <w:r>
                    <w:rPr>
                      <w:b/>
                      <w:color w:val="009483"/>
                      <w:sz w:val="72"/>
                    </w:rPr>
                    <w:t>5</w:t>
                  </w:r>
                </w:p>
              </w:txbxContent>
            </v:textbox>
            <v:fill type="solid"/>
            <w10:wrap type="topAndBottom"/>
          </v:shape>
        </w:pict>
      </w:r>
    </w:p>
    <w:p>
      <w:pPr>
        <w:pStyle w:val="BodyText"/>
        <w:rPr>
          <w:sz w:val="20"/>
        </w:rPr>
      </w:pPr>
    </w:p>
    <w:p>
      <w:pPr>
        <w:pStyle w:val="BodyText"/>
        <w:rPr>
          <w:sz w:val="20"/>
        </w:rPr>
      </w:pPr>
    </w:p>
    <w:p>
      <w:pPr>
        <w:spacing w:line="242" w:lineRule="auto" w:before="208"/>
        <w:ind w:left="5000" w:right="0" w:firstLine="0"/>
        <w:jc w:val="left"/>
        <w:rPr>
          <w:sz w:val="24"/>
        </w:rPr>
      </w:pPr>
      <w:r>
        <w:rPr>
          <w:color w:val="231F20"/>
          <w:sz w:val="24"/>
        </w:rPr>
        <w:t>This section summarises the economic news and the monetary policy decisions taken by the MPC since the May </w:t>
      </w:r>
      <w:r>
        <w:rPr>
          <w:i/>
          <w:color w:val="231F20"/>
          <w:sz w:val="24"/>
        </w:rPr>
        <w:t>Report</w:t>
      </w:r>
      <w:hyperlink w:history="true" w:anchor="_bookmark45">
        <w:r>
          <w:rPr>
            <w:color w:val="231F20"/>
            <w:sz w:val="24"/>
          </w:rPr>
          <w:t>. The minutes of the May,</w:t>
        </w:r>
      </w:hyperlink>
      <w:r>
        <w:rPr>
          <w:color w:val="231F20"/>
          <w:sz w:val="24"/>
        </w:rPr>
        <w:t> </w:t>
      </w:r>
      <w:hyperlink w:history="true" w:anchor="_bookmark47">
        <w:r>
          <w:rPr>
            <w:color w:val="231F20"/>
            <w:sz w:val="24"/>
          </w:rPr>
          <w:t>June</w:t>
        </w:r>
      </w:hyperlink>
      <w:r>
        <w:rPr>
          <w:color w:val="231F20"/>
          <w:sz w:val="24"/>
        </w:rPr>
        <w:t> and </w:t>
      </w:r>
      <w:hyperlink w:history="true" w:anchor="_bookmark50">
        <w:r>
          <w:rPr>
            <w:color w:val="231F20"/>
            <w:sz w:val="24"/>
          </w:rPr>
          <w:t>July</w:t>
        </w:r>
      </w:hyperlink>
      <w:r>
        <w:rPr>
          <w:color w:val="231F20"/>
          <w:sz w:val="24"/>
        </w:rPr>
        <w:t> meetings are attached as an </w:t>
      </w:r>
      <w:hyperlink w:history="true" w:anchor="_bookmark43">
        <w:r>
          <w:rPr>
            <w:color w:val="231F20"/>
            <w:sz w:val="24"/>
          </w:rPr>
          <w:t>Annex</w:t>
        </w:r>
      </w:hyperlink>
      <w:r>
        <w:rPr>
          <w:color w:val="231F20"/>
          <w:sz w:val="24"/>
        </w:rPr>
        <w:t> to this </w:t>
      </w:r>
      <w:r>
        <w:rPr>
          <w:i/>
          <w:color w:val="231F20"/>
          <w:sz w:val="24"/>
        </w:rPr>
        <w:t>Report</w:t>
      </w:r>
      <w:r>
        <w:rPr>
          <w:color w:val="231F20"/>
          <w:sz w:val="24"/>
        </w:rPr>
        <w:t>. The Bank of England’s official dealing rate—the repo rate— was raised in June from 7.25% to 7.5%.</w:t>
      </w:r>
    </w:p>
    <w:p>
      <w:pPr>
        <w:pStyle w:val="BodyText"/>
        <w:spacing w:before="6"/>
        <w:rPr>
          <w:sz w:val="21"/>
        </w:rPr>
      </w:pPr>
    </w:p>
    <w:p>
      <w:pPr>
        <w:spacing w:line="242" w:lineRule="auto" w:before="1"/>
        <w:ind w:left="5000" w:right="178" w:firstLine="0"/>
        <w:jc w:val="left"/>
        <w:rPr>
          <w:sz w:val="24"/>
        </w:rPr>
      </w:pPr>
      <w:r>
        <w:rPr>
          <w:color w:val="231F20"/>
          <w:sz w:val="24"/>
        </w:rPr>
        <w:t>At the time of the May </w:t>
      </w:r>
      <w:r>
        <w:rPr>
          <w:i/>
          <w:color w:val="231F20"/>
          <w:sz w:val="24"/>
        </w:rPr>
        <w:t>Report</w:t>
      </w:r>
      <w:r>
        <w:rPr>
          <w:color w:val="231F20"/>
          <w:sz w:val="24"/>
        </w:rPr>
        <w:t>, the central projection for RPIX inflation was slightly below the target, looking two years ahead, but rising towards the end of the forecast horizon. The balance of risks to inflation was thought to be on the upside. The sterling effective rate had fallen by around 2% a few days before the May meeting of the Committee. </w:t>
      </w:r>
      <w:r>
        <w:rPr>
          <w:color w:val="231F20"/>
          <w:spacing w:val="-5"/>
          <w:sz w:val="24"/>
        </w:rPr>
        <w:t>Taken </w:t>
      </w:r>
      <w:r>
        <w:rPr>
          <w:color w:val="231F20"/>
          <w:sz w:val="24"/>
        </w:rPr>
        <w:t>in isolation and applied mechanically, the step down in the exchange</w:t>
      </w:r>
      <w:r>
        <w:rPr>
          <w:color w:val="231F20"/>
          <w:spacing w:val="-22"/>
          <w:sz w:val="24"/>
        </w:rPr>
        <w:t> </w:t>
      </w:r>
      <w:r>
        <w:rPr>
          <w:color w:val="231F20"/>
          <w:spacing w:val="-5"/>
          <w:sz w:val="24"/>
        </w:rPr>
        <w:t>rate </w:t>
      </w:r>
      <w:r>
        <w:rPr>
          <w:color w:val="231F20"/>
          <w:sz w:val="24"/>
        </w:rPr>
        <w:t>would </w:t>
      </w:r>
      <w:r>
        <w:rPr>
          <w:color w:val="231F20"/>
          <w:spacing w:val="-3"/>
          <w:sz w:val="24"/>
        </w:rPr>
        <w:t>have </w:t>
      </w:r>
      <w:r>
        <w:rPr>
          <w:color w:val="231F20"/>
          <w:sz w:val="24"/>
        </w:rPr>
        <w:t>been enough to raise the central projection slightly. The outlook for monetary policy remained finely balanced, and the Committee voted to leave rates unchanged.</w:t>
      </w:r>
    </w:p>
    <w:p>
      <w:pPr>
        <w:pStyle w:val="BodyText"/>
        <w:spacing w:before="2"/>
        <w:rPr>
          <w:sz w:val="22"/>
        </w:rPr>
      </w:pPr>
    </w:p>
    <w:p>
      <w:pPr>
        <w:spacing w:line="242" w:lineRule="auto" w:before="0"/>
        <w:ind w:left="5000" w:right="135" w:firstLine="0"/>
        <w:jc w:val="left"/>
        <w:rPr>
          <w:sz w:val="24"/>
        </w:rPr>
      </w:pPr>
      <w:hyperlink w:history="true" w:anchor="_bookmark47">
        <w:r>
          <w:rPr>
            <w:color w:val="231F20"/>
            <w:sz w:val="24"/>
          </w:rPr>
          <w:t>At its meeting on 3–4 June,</w:t>
        </w:r>
      </w:hyperlink>
      <w:r>
        <w:rPr>
          <w:color w:val="231F20"/>
          <w:sz w:val="24"/>
        </w:rPr>
        <w:t> the Committee began by focusing on recent developments in the world economy. The outlook was for lower Japanese growth than expected at the time of the May </w:t>
      </w:r>
      <w:r>
        <w:rPr>
          <w:i/>
          <w:color w:val="231F20"/>
          <w:sz w:val="24"/>
        </w:rPr>
        <w:t>Report</w:t>
      </w:r>
      <w:r>
        <w:rPr>
          <w:color w:val="231F20"/>
          <w:sz w:val="24"/>
        </w:rPr>
        <w:t>. But there was continuing evidence of a recovery in the major continental European economies, while recent data for GDP growth in the United States had been revised upwards. Though a number of countries were facing financial and other economic difficulties, those countries were not directly very important for UK exports. The Committee concluded that the outlook for world growth as a whole might be marginally lower than a month earlier and that the downside risks to external demand had increased.</w:t>
      </w:r>
    </w:p>
    <w:p>
      <w:pPr>
        <w:pStyle w:val="BodyText"/>
        <w:spacing w:before="5"/>
        <w:rPr>
          <w:sz w:val="22"/>
        </w:rPr>
      </w:pPr>
    </w:p>
    <w:p>
      <w:pPr>
        <w:spacing w:line="242" w:lineRule="auto" w:before="0"/>
        <w:ind w:left="5000" w:right="0" w:firstLine="0"/>
        <w:jc w:val="left"/>
        <w:rPr>
          <w:sz w:val="24"/>
        </w:rPr>
      </w:pPr>
      <w:r>
        <w:rPr>
          <w:color w:val="231F20"/>
          <w:sz w:val="24"/>
        </w:rPr>
        <w:t>On domestic demand, the retail sales data for the three months to April had shown a significant slowdown to the lowest three-month growth rate (0.2%) since</w:t>
      </w:r>
    </w:p>
    <w:p>
      <w:pPr>
        <w:spacing w:line="242" w:lineRule="auto" w:before="4"/>
        <w:ind w:left="5000" w:right="218" w:firstLine="0"/>
        <w:jc w:val="left"/>
        <w:rPr>
          <w:sz w:val="24"/>
        </w:rPr>
      </w:pPr>
      <w:r>
        <w:rPr>
          <w:color w:val="231F20"/>
          <w:sz w:val="24"/>
        </w:rPr>
        <w:t>November 1995. But it was possible that the April figure had been depressed by unusually wet weather </w:t>
      </w:r>
      <w:r>
        <w:rPr>
          <w:color w:val="231F20"/>
          <w:spacing w:val="-6"/>
          <w:sz w:val="24"/>
        </w:rPr>
        <w:t>and </w:t>
      </w:r>
      <w:r>
        <w:rPr>
          <w:color w:val="231F20"/>
          <w:sz w:val="24"/>
        </w:rPr>
        <w:t>the March figure might </w:t>
      </w:r>
      <w:r>
        <w:rPr>
          <w:color w:val="231F20"/>
          <w:spacing w:val="-3"/>
          <w:sz w:val="24"/>
        </w:rPr>
        <w:t>have </w:t>
      </w:r>
      <w:r>
        <w:rPr>
          <w:color w:val="231F20"/>
          <w:sz w:val="24"/>
        </w:rPr>
        <w:t>been affected by the timing of Easter. In contrast, survey data had shown increasing consumer confidence. The provisional investment data for Q1 had been weaker than assumed in the May </w:t>
      </w:r>
      <w:r>
        <w:rPr>
          <w:i/>
          <w:color w:val="231F20"/>
          <w:sz w:val="24"/>
        </w:rPr>
        <w:t>Inflation Report </w:t>
      </w:r>
      <w:r>
        <w:rPr>
          <w:color w:val="231F20"/>
          <w:sz w:val="24"/>
        </w:rPr>
        <w:t>central projection, but this appeared to be accounted for by weaker-than-expected public</w:t>
      </w:r>
      <w:r>
        <w:rPr>
          <w:color w:val="231F20"/>
          <w:spacing w:val="-11"/>
          <w:sz w:val="24"/>
        </w:rPr>
        <w:t> </w:t>
      </w:r>
      <w:r>
        <w:rPr>
          <w:color w:val="231F20"/>
          <w:sz w:val="24"/>
        </w:rPr>
        <w:t>sector</w:t>
      </w:r>
    </w:p>
    <w:p>
      <w:pPr>
        <w:spacing w:after="0" w:line="242" w:lineRule="auto"/>
        <w:jc w:val="left"/>
        <w:rPr>
          <w:sz w:val="24"/>
        </w:rPr>
        <w:sectPr>
          <w:headerReference w:type="default" r:id="rId78"/>
          <w:footerReference w:type="default" r:id="rId79"/>
          <w:footerReference w:type="even" r:id="rId80"/>
          <w:pgSz w:w="11900" w:h="16840"/>
          <w:pgMar w:header="0" w:footer="597" w:top="760" w:bottom="780" w:left="620" w:right="640"/>
          <w:pgNumType w:start="41"/>
        </w:sectPr>
      </w:pPr>
    </w:p>
    <w:p>
      <w:pPr>
        <w:pStyle w:val="BodyText"/>
        <w:rPr>
          <w:sz w:val="20"/>
        </w:rPr>
      </w:pPr>
    </w:p>
    <w:p>
      <w:pPr>
        <w:spacing w:line="242" w:lineRule="auto" w:before="217"/>
        <w:ind w:left="4980" w:right="447" w:firstLine="0"/>
        <w:jc w:val="left"/>
        <w:rPr>
          <w:sz w:val="24"/>
        </w:rPr>
      </w:pPr>
      <w:r>
        <w:rPr>
          <w:color w:val="231F20"/>
          <w:sz w:val="24"/>
        </w:rPr>
        <w:t>investment. GDP growth for Q1 had been revised up slightly to 0.5%, in line with the May </w:t>
      </w:r>
      <w:r>
        <w:rPr>
          <w:i/>
          <w:color w:val="231F20"/>
          <w:sz w:val="24"/>
        </w:rPr>
        <w:t>Inflation Report </w:t>
      </w:r>
      <w:r>
        <w:rPr>
          <w:color w:val="231F20"/>
          <w:sz w:val="24"/>
        </w:rPr>
        <w:t>projection.</w:t>
      </w:r>
    </w:p>
    <w:p>
      <w:pPr>
        <w:pStyle w:val="BodyText"/>
        <w:spacing w:before="10"/>
        <w:rPr>
          <w:sz w:val="16"/>
        </w:rPr>
      </w:pPr>
    </w:p>
    <w:p>
      <w:pPr>
        <w:spacing w:after="0"/>
        <w:rPr>
          <w:sz w:val="16"/>
        </w:rPr>
        <w:sectPr>
          <w:headerReference w:type="even" r:id="rId81"/>
          <w:pgSz w:w="11900" w:h="16840"/>
          <w:pgMar w:header="566" w:footer="597" w:top="760" w:bottom="780" w:left="620" w:right="64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19"/>
        </w:rPr>
      </w:pPr>
    </w:p>
    <w:p>
      <w:pPr>
        <w:pStyle w:val="Heading8"/>
        <w:spacing w:before="0"/>
        <w:ind w:left="176"/>
      </w:pPr>
      <w:r>
        <w:rPr>
          <w:color w:val="0093C1"/>
        </w:rPr>
        <w:t>Table 5.A</w:t>
      </w:r>
    </w:p>
    <w:p>
      <w:pPr>
        <w:spacing w:before="10"/>
        <w:ind w:left="176" w:right="0" w:firstLine="0"/>
        <w:jc w:val="left"/>
        <w:rPr>
          <w:sz w:val="12"/>
        </w:rPr>
      </w:pPr>
      <w:r>
        <w:rPr>
          <w:b/>
          <w:color w:val="0093C1"/>
          <w:sz w:val="20"/>
        </w:rPr>
        <w:t>Headline average earnings growth</w:t>
      </w:r>
      <w:r>
        <w:rPr>
          <w:color w:val="231F20"/>
          <w:position w:val="4"/>
          <w:sz w:val="12"/>
        </w:rPr>
        <w:t>(a)</w:t>
      </w:r>
    </w:p>
    <w:p>
      <w:pPr>
        <w:spacing w:before="106"/>
        <w:ind w:left="176" w:right="0" w:firstLine="0"/>
        <w:jc w:val="left"/>
        <w:rPr>
          <w:sz w:val="14"/>
        </w:rPr>
      </w:pPr>
      <w:r>
        <w:rPr>
          <w:color w:val="231F20"/>
          <w:sz w:val="14"/>
        </w:rPr>
        <w:t>Release date</w:t>
      </w:r>
    </w:p>
    <w:p>
      <w:pPr>
        <w:pStyle w:val="BodyText"/>
        <w:spacing w:before="10"/>
        <w:rPr>
          <w:sz w:val="3"/>
        </w:rPr>
      </w:pPr>
    </w:p>
    <w:tbl>
      <w:tblPr>
        <w:tblW w:w="0" w:type="auto"/>
        <w:jc w:val="left"/>
        <w:tblInd w:w="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0"/>
        <w:gridCol w:w="430"/>
        <w:gridCol w:w="451"/>
        <w:gridCol w:w="492"/>
        <w:gridCol w:w="540"/>
        <w:gridCol w:w="420"/>
      </w:tblGrid>
      <w:tr>
        <w:trPr>
          <w:trHeight w:val="155" w:hRule="atLeast"/>
        </w:trPr>
        <w:tc>
          <w:tcPr>
            <w:tcW w:w="1390" w:type="dxa"/>
            <w:gridSpan w:val="2"/>
          </w:tcPr>
          <w:p>
            <w:pPr>
              <w:pStyle w:val="TableParagraph"/>
              <w:spacing w:line="135" w:lineRule="exact"/>
              <w:ind w:right="98"/>
              <w:jc w:val="right"/>
              <w:rPr>
                <w:sz w:val="14"/>
              </w:rPr>
            </w:pPr>
            <w:r>
              <w:rPr>
                <w:color w:val="231F20"/>
                <w:sz w:val="14"/>
                <w:u w:val="single" w:color="231F20"/>
              </w:rPr>
              <w:t>1997</w:t>
            </w:r>
          </w:p>
        </w:tc>
        <w:tc>
          <w:tcPr>
            <w:tcW w:w="1903" w:type="dxa"/>
            <w:gridSpan w:val="4"/>
          </w:tcPr>
          <w:p>
            <w:pPr>
              <w:pStyle w:val="TableParagraph"/>
              <w:tabs>
                <w:tab w:pos="1853" w:val="left" w:leader="none"/>
              </w:tabs>
              <w:spacing w:line="135" w:lineRule="exact"/>
              <w:ind w:left="100"/>
              <w:rPr>
                <w:sz w:val="14"/>
              </w:rPr>
            </w:pPr>
            <w:r>
              <w:rPr>
                <w:color w:val="231F20"/>
                <w:sz w:val="14"/>
                <w:u w:val="single" w:color="231F20"/>
              </w:rPr>
              <w:t>1998</w:t>
              <w:tab/>
            </w:r>
          </w:p>
        </w:tc>
      </w:tr>
      <w:tr>
        <w:trPr>
          <w:trHeight w:val="262" w:hRule="atLeast"/>
        </w:trPr>
        <w:tc>
          <w:tcPr>
            <w:tcW w:w="960" w:type="dxa"/>
          </w:tcPr>
          <w:p>
            <w:pPr>
              <w:pStyle w:val="TableParagraph"/>
              <w:rPr>
                <w:sz w:val="18"/>
              </w:rPr>
            </w:pPr>
          </w:p>
        </w:tc>
        <w:tc>
          <w:tcPr>
            <w:tcW w:w="430" w:type="dxa"/>
          </w:tcPr>
          <w:p>
            <w:pPr>
              <w:pStyle w:val="TableParagraph"/>
              <w:spacing w:before="39"/>
              <w:ind w:left="49"/>
              <w:rPr>
                <w:sz w:val="14"/>
              </w:rPr>
            </w:pPr>
            <w:r>
              <w:rPr>
                <w:color w:val="231F20"/>
                <w:sz w:val="14"/>
                <w:u w:val="single" w:color="231F20"/>
              </w:rPr>
              <w:t>Jan.</w:t>
            </w:r>
          </w:p>
        </w:tc>
        <w:tc>
          <w:tcPr>
            <w:tcW w:w="451" w:type="dxa"/>
          </w:tcPr>
          <w:p>
            <w:pPr>
              <w:pStyle w:val="TableParagraph"/>
              <w:spacing w:before="39"/>
              <w:ind w:left="100"/>
              <w:rPr>
                <w:sz w:val="14"/>
              </w:rPr>
            </w:pPr>
            <w:r>
              <w:rPr>
                <w:color w:val="231F20"/>
                <w:sz w:val="14"/>
                <w:u w:val="single" w:color="231F20"/>
              </w:rPr>
              <w:t>Jan.</w:t>
            </w:r>
          </w:p>
        </w:tc>
        <w:tc>
          <w:tcPr>
            <w:tcW w:w="492" w:type="dxa"/>
          </w:tcPr>
          <w:p>
            <w:pPr>
              <w:pStyle w:val="TableParagraph"/>
              <w:spacing w:before="39"/>
              <w:ind w:left="129"/>
              <w:rPr>
                <w:sz w:val="14"/>
              </w:rPr>
            </w:pPr>
            <w:r>
              <w:rPr>
                <w:color w:val="231F20"/>
                <w:sz w:val="14"/>
                <w:u w:val="single" w:color="231F20"/>
              </w:rPr>
              <w:t>Feb</w:t>
            </w:r>
            <w:r>
              <w:rPr>
                <w:color w:val="231F20"/>
                <w:sz w:val="14"/>
              </w:rPr>
              <w:t>.</w:t>
            </w:r>
          </w:p>
        </w:tc>
        <w:tc>
          <w:tcPr>
            <w:tcW w:w="540" w:type="dxa"/>
          </w:tcPr>
          <w:p>
            <w:pPr>
              <w:pStyle w:val="TableParagraph"/>
              <w:spacing w:before="39"/>
              <w:ind w:left="117"/>
              <w:rPr>
                <w:sz w:val="14"/>
              </w:rPr>
            </w:pPr>
            <w:r>
              <w:rPr>
                <w:color w:val="231F20"/>
                <w:sz w:val="14"/>
                <w:u w:val="single" w:color="231F20"/>
              </w:rPr>
              <w:t>March</w:t>
            </w:r>
          </w:p>
        </w:tc>
        <w:tc>
          <w:tcPr>
            <w:tcW w:w="420" w:type="dxa"/>
          </w:tcPr>
          <w:p>
            <w:pPr>
              <w:pStyle w:val="TableParagraph"/>
              <w:spacing w:before="39"/>
              <w:ind w:left="38" w:right="46"/>
              <w:jc w:val="center"/>
              <w:rPr>
                <w:sz w:val="14"/>
              </w:rPr>
            </w:pPr>
            <w:r>
              <w:rPr>
                <w:color w:val="231F20"/>
                <w:sz w:val="14"/>
                <w:u w:val="single" w:color="231F20"/>
              </w:rPr>
              <w:t>April</w:t>
            </w:r>
          </w:p>
        </w:tc>
      </w:tr>
      <w:tr>
        <w:trPr>
          <w:trHeight w:val="210" w:hRule="atLeast"/>
        </w:trPr>
        <w:tc>
          <w:tcPr>
            <w:tcW w:w="960" w:type="dxa"/>
          </w:tcPr>
          <w:p>
            <w:pPr>
              <w:pStyle w:val="TableParagraph"/>
              <w:spacing w:line="133" w:lineRule="exact" w:before="56"/>
              <w:ind w:left="50"/>
              <w:rPr>
                <w:sz w:val="14"/>
              </w:rPr>
            </w:pPr>
            <w:r>
              <w:rPr>
                <w:color w:val="231F20"/>
                <w:sz w:val="14"/>
              </w:rPr>
              <w:t>22 April</w:t>
            </w:r>
          </w:p>
        </w:tc>
        <w:tc>
          <w:tcPr>
            <w:tcW w:w="430" w:type="dxa"/>
          </w:tcPr>
          <w:p>
            <w:pPr>
              <w:pStyle w:val="TableParagraph"/>
              <w:spacing w:line="133" w:lineRule="exact" w:before="56"/>
              <w:ind w:left="50"/>
              <w:rPr>
                <w:sz w:val="14"/>
              </w:rPr>
            </w:pPr>
            <w:r>
              <w:rPr>
                <w:color w:val="231F20"/>
                <w:sz w:val="14"/>
              </w:rPr>
              <w:t>4.6</w:t>
            </w:r>
          </w:p>
        </w:tc>
        <w:tc>
          <w:tcPr>
            <w:tcW w:w="451" w:type="dxa"/>
          </w:tcPr>
          <w:p>
            <w:pPr>
              <w:pStyle w:val="TableParagraph"/>
              <w:spacing w:line="133" w:lineRule="exact" w:before="56"/>
              <w:ind w:left="100"/>
              <w:rPr>
                <w:sz w:val="14"/>
              </w:rPr>
            </w:pPr>
            <w:r>
              <w:rPr>
                <w:color w:val="231F20"/>
                <w:sz w:val="14"/>
              </w:rPr>
              <w:t>4.5</w:t>
            </w:r>
          </w:p>
        </w:tc>
        <w:tc>
          <w:tcPr>
            <w:tcW w:w="492" w:type="dxa"/>
          </w:tcPr>
          <w:p>
            <w:pPr>
              <w:pStyle w:val="TableParagraph"/>
              <w:rPr>
                <w:sz w:val="14"/>
              </w:rPr>
            </w:pPr>
          </w:p>
        </w:tc>
        <w:tc>
          <w:tcPr>
            <w:tcW w:w="540" w:type="dxa"/>
          </w:tcPr>
          <w:p>
            <w:pPr>
              <w:pStyle w:val="TableParagraph"/>
              <w:rPr>
                <w:sz w:val="14"/>
              </w:rPr>
            </w:pPr>
          </w:p>
        </w:tc>
        <w:tc>
          <w:tcPr>
            <w:tcW w:w="420" w:type="dxa"/>
          </w:tcPr>
          <w:p>
            <w:pPr>
              <w:pStyle w:val="TableParagraph"/>
              <w:rPr>
                <w:sz w:val="14"/>
              </w:rPr>
            </w:pPr>
          </w:p>
        </w:tc>
      </w:tr>
      <w:tr>
        <w:trPr>
          <w:trHeight w:val="140" w:hRule="atLeast"/>
        </w:trPr>
        <w:tc>
          <w:tcPr>
            <w:tcW w:w="960" w:type="dxa"/>
          </w:tcPr>
          <w:p>
            <w:pPr>
              <w:pStyle w:val="TableParagraph"/>
              <w:spacing w:line="120" w:lineRule="exact"/>
              <w:ind w:left="50"/>
              <w:rPr>
                <w:sz w:val="14"/>
              </w:rPr>
            </w:pPr>
            <w:r>
              <w:rPr>
                <w:color w:val="231F20"/>
                <w:sz w:val="14"/>
              </w:rPr>
              <w:t>13 May</w:t>
            </w:r>
          </w:p>
        </w:tc>
        <w:tc>
          <w:tcPr>
            <w:tcW w:w="430" w:type="dxa"/>
          </w:tcPr>
          <w:p>
            <w:pPr>
              <w:pStyle w:val="TableParagraph"/>
              <w:spacing w:line="120" w:lineRule="exact"/>
              <w:ind w:left="49"/>
              <w:rPr>
                <w:sz w:val="14"/>
              </w:rPr>
            </w:pPr>
            <w:r>
              <w:rPr>
                <w:color w:val="231F20"/>
                <w:sz w:val="14"/>
              </w:rPr>
              <w:t>4.6</w:t>
            </w:r>
          </w:p>
        </w:tc>
        <w:tc>
          <w:tcPr>
            <w:tcW w:w="451" w:type="dxa"/>
          </w:tcPr>
          <w:p>
            <w:pPr>
              <w:pStyle w:val="TableParagraph"/>
              <w:spacing w:line="120" w:lineRule="exact"/>
              <w:ind w:left="100"/>
              <w:rPr>
                <w:sz w:val="14"/>
              </w:rPr>
            </w:pPr>
            <w:r>
              <w:rPr>
                <w:color w:val="231F20"/>
                <w:sz w:val="14"/>
              </w:rPr>
              <w:t>4.6</w:t>
            </w:r>
          </w:p>
        </w:tc>
        <w:tc>
          <w:tcPr>
            <w:tcW w:w="492" w:type="dxa"/>
          </w:tcPr>
          <w:p>
            <w:pPr>
              <w:pStyle w:val="TableParagraph"/>
              <w:spacing w:line="120" w:lineRule="exact"/>
              <w:ind w:left="129"/>
              <w:rPr>
                <w:sz w:val="14"/>
              </w:rPr>
            </w:pPr>
            <w:r>
              <w:rPr>
                <w:color w:val="231F20"/>
                <w:sz w:val="14"/>
              </w:rPr>
              <w:t>4.9</w:t>
            </w:r>
          </w:p>
        </w:tc>
        <w:tc>
          <w:tcPr>
            <w:tcW w:w="540" w:type="dxa"/>
          </w:tcPr>
          <w:p>
            <w:pPr>
              <w:pStyle w:val="TableParagraph"/>
              <w:rPr>
                <w:sz w:val="8"/>
              </w:rPr>
            </w:pPr>
          </w:p>
        </w:tc>
        <w:tc>
          <w:tcPr>
            <w:tcW w:w="420" w:type="dxa"/>
          </w:tcPr>
          <w:p>
            <w:pPr>
              <w:pStyle w:val="TableParagraph"/>
              <w:rPr>
                <w:sz w:val="8"/>
              </w:rPr>
            </w:pPr>
          </w:p>
        </w:tc>
      </w:tr>
      <w:tr>
        <w:trPr>
          <w:trHeight w:val="140" w:hRule="atLeast"/>
        </w:trPr>
        <w:tc>
          <w:tcPr>
            <w:tcW w:w="960" w:type="dxa"/>
          </w:tcPr>
          <w:p>
            <w:pPr>
              <w:pStyle w:val="TableParagraph"/>
              <w:spacing w:line="120" w:lineRule="exact"/>
              <w:ind w:left="50"/>
              <w:rPr>
                <w:sz w:val="14"/>
              </w:rPr>
            </w:pPr>
            <w:r>
              <w:rPr>
                <w:color w:val="231F20"/>
                <w:sz w:val="14"/>
              </w:rPr>
              <w:t>17 June</w:t>
            </w:r>
          </w:p>
        </w:tc>
        <w:tc>
          <w:tcPr>
            <w:tcW w:w="430" w:type="dxa"/>
          </w:tcPr>
          <w:p>
            <w:pPr>
              <w:pStyle w:val="TableParagraph"/>
              <w:spacing w:line="120" w:lineRule="exact"/>
              <w:ind w:left="49"/>
              <w:rPr>
                <w:sz w:val="14"/>
              </w:rPr>
            </w:pPr>
            <w:r>
              <w:rPr>
                <w:color w:val="231F20"/>
                <w:sz w:val="14"/>
              </w:rPr>
              <w:t>4.6</w:t>
            </w:r>
          </w:p>
        </w:tc>
        <w:tc>
          <w:tcPr>
            <w:tcW w:w="451" w:type="dxa"/>
          </w:tcPr>
          <w:p>
            <w:pPr>
              <w:pStyle w:val="TableParagraph"/>
              <w:spacing w:line="120" w:lineRule="exact"/>
              <w:ind w:left="100"/>
              <w:rPr>
                <w:sz w:val="14"/>
              </w:rPr>
            </w:pPr>
            <w:r>
              <w:rPr>
                <w:color w:val="231F20"/>
                <w:sz w:val="14"/>
              </w:rPr>
              <w:t>4.6</w:t>
            </w:r>
          </w:p>
        </w:tc>
        <w:tc>
          <w:tcPr>
            <w:tcW w:w="492" w:type="dxa"/>
          </w:tcPr>
          <w:p>
            <w:pPr>
              <w:pStyle w:val="TableParagraph"/>
              <w:spacing w:line="120" w:lineRule="exact"/>
              <w:ind w:left="129"/>
              <w:rPr>
                <w:sz w:val="14"/>
              </w:rPr>
            </w:pPr>
            <w:r>
              <w:rPr>
                <w:color w:val="231F20"/>
                <w:sz w:val="14"/>
              </w:rPr>
              <w:t>4.9</w:t>
            </w:r>
          </w:p>
        </w:tc>
        <w:tc>
          <w:tcPr>
            <w:tcW w:w="540" w:type="dxa"/>
          </w:tcPr>
          <w:p>
            <w:pPr>
              <w:pStyle w:val="TableParagraph"/>
              <w:spacing w:line="120" w:lineRule="exact"/>
              <w:ind w:left="117"/>
              <w:rPr>
                <w:sz w:val="14"/>
              </w:rPr>
            </w:pPr>
            <w:r>
              <w:rPr>
                <w:color w:val="231F20"/>
                <w:sz w:val="14"/>
              </w:rPr>
              <w:t>5.2</w:t>
            </w:r>
          </w:p>
        </w:tc>
        <w:tc>
          <w:tcPr>
            <w:tcW w:w="420" w:type="dxa"/>
          </w:tcPr>
          <w:p>
            <w:pPr>
              <w:pStyle w:val="TableParagraph"/>
              <w:rPr>
                <w:sz w:val="8"/>
              </w:rPr>
            </w:pPr>
          </w:p>
        </w:tc>
      </w:tr>
      <w:tr>
        <w:trPr>
          <w:trHeight w:val="147" w:hRule="atLeast"/>
        </w:trPr>
        <w:tc>
          <w:tcPr>
            <w:tcW w:w="960" w:type="dxa"/>
          </w:tcPr>
          <w:p>
            <w:pPr>
              <w:pStyle w:val="TableParagraph"/>
              <w:spacing w:line="128" w:lineRule="exact"/>
              <w:ind w:left="50"/>
              <w:rPr>
                <w:sz w:val="14"/>
              </w:rPr>
            </w:pPr>
            <w:r>
              <w:rPr>
                <w:color w:val="231F20"/>
                <w:sz w:val="14"/>
              </w:rPr>
              <w:t>15 July</w:t>
            </w:r>
          </w:p>
        </w:tc>
        <w:tc>
          <w:tcPr>
            <w:tcW w:w="430" w:type="dxa"/>
          </w:tcPr>
          <w:p>
            <w:pPr>
              <w:pStyle w:val="TableParagraph"/>
              <w:spacing w:line="128" w:lineRule="exact"/>
              <w:ind w:left="49"/>
              <w:rPr>
                <w:sz w:val="14"/>
              </w:rPr>
            </w:pPr>
            <w:r>
              <w:rPr>
                <w:color w:val="231F20"/>
                <w:sz w:val="14"/>
              </w:rPr>
              <w:t>4.6</w:t>
            </w:r>
          </w:p>
        </w:tc>
        <w:tc>
          <w:tcPr>
            <w:tcW w:w="451" w:type="dxa"/>
          </w:tcPr>
          <w:p>
            <w:pPr>
              <w:pStyle w:val="TableParagraph"/>
              <w:spacing w:line="128" w:lineRule="exact"/>
              <w:ind w:left="100"/>
              <w:rPr>
                <w:sz w:val="14"/>
              </w:rPr>
            </w:pPr>
            <w:r>
              <w:rPr>
                <w:color w:val="231F20"/>
                <w:sz w:val="14"/>
              </w:rPr>
              <w:t>4.6</w:t>
            </w:r>
          </w:p>
        </w:tc>
        <w:tc>
          <w:tcPr>
            <w:tcW w:w="492" w:type="dxa"/>
          </w:tcPr>
          <w:p>
            <w:pPr>
              <w:pStyle w:val="TableParagraph"/>
              <w:spacing w:line="128" w:lineRule="exact"/>
              <w:ind w:left="129"/>
              <w:rPr>
                <w:sz w:val="14"/>
              </w:rPr>
            </w:pPr>
            <w:r>
              <w:rPr>
                <w:color w:val="231F20"/>
                <w:sz w:val="14"/>
              </w:rPr>
              <w:t>5.0</w:t>
            </w:r>
          </w:p>
        </w:tc>
        <w:tc>
          <w:tcPr>
            <w:tcW w:w="540" w:type="dxa"/>
          </w:tcPr>
          <w:p>
            <w:pPr>
              <w:pStyle w:val="TableParagraph"/>
              <w:spacing w:line="128" w:lineRule="exact"/>
              <w:ind w:left="117"/>
              <w:rPr>
                <w:sz w:val="14"/>
              </w:rPr>
            </w:pPr>
            <w:r>
              <w:rPr>
                <w:color w:val="231F20"/>
                <w:sz w:val="14"/>
              </w:rPr>
              <w:t>5.3</w:t>
            </w:r>
          </w:p>
        </w:tc>
        <w:tc>
          <w:tcPr>
            <w:tcW w:w="420" w:type="dxa"/>
          </w:tcPr>
          <w:p>
            <w:pPr>
              <w:pStyle w:val="TableParagraph"/>
              <w:spacing w:line="128" w:lineRule="exact"/>
              <w:ind w:left="38" w:right="166"/>
              <w:jc w:val="center"/>
              <w:rPr>
                <w:sz w:val="14"/>
              </w:rPr>
            </w:pPr>
            <w:r>
              <w:rPr>
                <w:color w:val="231F20"/>
                <w:sz w:val="14"/>
              </w:rPr>
              <w:t>5.4</w:t>
            </w:r>
          </w:p>
        </w:tc>
      </w:tr>
    </w:tbl>
    <w:p>
      <w:pPr>
        <w:spacing w:before="138"/>
        <w:ind w:left="176" w:right="0" w:firstLine="0"/>
        <w:jc w:val="left"/>
        <w:rPr>
          <w:sz w:val="12"/>
        </w:rPr>
      </w:pPr>
      <w:r>
        <w:rPr>
          <w:color w:val="231F20"/>
          <w:sz w:val="12"/>
        </w:rPr>
        <w:t>(a) Percentage increase on a year earlier.</w:t>
      </w:r>
    </w:p>
    <w:p>
      <w:pPr>
        <w:pStyle w:val="Heading4"/>
        <w:spacing w:line="242" w:lineRule="auto" w:before="90"/>
        <w:ind w:left="176" w:right="210"/>
      </w:pPr>
      <w:r>
        <w:rPr/>
        <w:br w:type="column"/>
      </w:r>
      <w:r>
        <w:rPr>
          <w:color w:val="231F20"/>
        </w:rPr>
        <w:t>The Committee noted that, having fallen to single figures from growth rates of 11%–12% in the summer </w:t>
      </w:r>
      <w:r>
        <w:rPr>
          <w:color w:val="231F20"/>
          <w:spacing w:val="-9"/>
        </w:rPr>
        <w:t>of </w:t>
      </w:r>
      <w:r>
        <w:rPr>
          <w:color w:val="231F20"/>
        </w:rPr>
        <w:t>1997, aggregate broad money growth had again risen above 10% in the twelve months to April. Other financial indicators were slightly weaker overall than envisaged at the time of the May </w:t>
      </w:r>
      <w:r>
        <w:rPr>
          <w:i/>
          <w:color w:val="231F20"/>
        </w:rPr>
        <w:t>Inflation Report</w:t>
      </w:r>
      <w:r>
        <w:rPr>
          <w:color w:val="231F20"/>
        </w:rPr>
        <w:t>, but neither </w:t>
      </w:r>
      <w:r>
        <w:rPr>
          <w:color w:val="231F20"/>
          <w:spacing w:val="-4"/>
        </w:rPr>
        <w:t>they, </w:t>
      </w:r>
      <w:r>
        <w:rPr>
          <w:color w:val="231F20"/>
        </w:rPr>
        <w:t>nor the latest developments in the monetary data, were alone sufficient to alter the outlook for inflation</w:t>
      </w:r>
      <w:r>
        <w:rPr>
          <w:color w:val="231F20"/>
          <w:spacing w:val="-1"/>
        </w:rPr>
        <w:t> </w:t>
      </w:r>
      <w:r>
        <w:rPr>
          <w:color w:val="231F20"/>
        </w:rPr>
        <w:t>appreciably.</w:t>
      </w:r>
    </w:p>
    <w:p>
      <w:pPr>
        <w:pStyle w:val="BodyText"/>
        <w:spacing w:before="10"/>
        <w:rPr>
          <w:sz w:val="21"/>
        </w:rPr>
      </w:pPr>
    </w:p>
    <w:p>
      <w:pPr>
        <w:spacing w:line="242" w:lineRule="auto" w:before="0"/>
        <w:ind w:left="176" w:right="255" w:firstLine="0"/>
        <w:jc w:val="left"/>
        <w:rPr>
          <w:sz w:val="24"/>
        </w:rPr>
      </w:pPr>
      <w:hyperlink w:history="true" w:anchor="_bookmark45">
        <w:r>
          <w:rPr>
            <w:color w:val="231F20"/>
            <w:sz w:val="24"/>
          </w:rPr>
          <w:t>At the time of the May meeting,</w:t>
        </w:r>
      </w:hyperlink>
      <w:r>
        <w:rPr>
          <w:color w:val="231F20"/>
          <w:sz w:val="24"/>
        </w:rPr>
        <w:t> the Committee had taken some comfort from the flat trend in earnings growth (see Table 5.A). The main news in the labour market data, released the week after the Committee’s </w:t>
      </w:r>
      <w:hyperlink w:history="true" w:anchor="_bookmark45">
        <w:r>
          <w:rPr>
            <w:color w:val="231F20"/>
            <w:sz w:val="24"/>
          </w:rPr>
          <w:t>May meeting,</w:t>
        </w:r>
      </w:hyperlink>
      <w:r>
        <w:rPr>
          <w:color w:val="231F20"/>
          <w:sz w:val="24"/>
        </w:rPr>
        <w:t> had been a revision to January’s 1998 headline figure and a significant rise to 4.9% in February. The Committee considered this news in relation to underlying trends in the labour market over the previous two years. Private sector earnings growth had been drifting up over that period to reach a headline rate of 5.6% that was disturbing in relation to the inflation target. Notwithstanding the problems of measuring and interpreting bonus payments, the earnings data suggested that it was more likely than not that unemployment was below the rate compatible with stable inflation.</w:t>
      </w:r>
    </w:p>
    <w:p>
      <w:pPr>
        <w:pStyle w:val="BodyText"/>
        <w:spacing w:before="7"/>
        <w:rPr>
          <w:sz w:val="22"/>
        </w:rPr>
      </w:pPr>
    </w:p>
    <w:p>
      <w:pPr>
        <w:spacing w:line="242" w:lineRule="auto" w:before="0"/>
        <w:ind w:left="176" w:right="222" w:firstLine="0"/>
        <w:jc w:val="left"/>
        <w:rPr>
          <w:sz w:val="24"/>
        </w:rPr>
      </w:pPr>
      <w:r>
        <w:rPr>
          <w:color w:val="231F20"/>
          <w:sz w:val="24"/>
        </w:rPr>
        <w:t>The Committee discussed its immediate policy decision. Inflation was temporarily being restrained by the earlier appreciation of the exchange rate, falls in world commodity prices and the weakening of the Asian economies. But domestic demand had been growing significantly faster than trend and would need to slow down in order to keep inflation on target once the restraining effects of external factors wore off. The earnings data suggested that domestic inflationary pressures were stronger than previously thought and hence that the need for demand to slow down was more pressing. The Committee voted to raise the Bank’s repo rate by 25 basis points to 7.5%.</w:t>
      </w:r>
    </w:p>
    <w:p>
      <w:pPr>
        <w:pStyle w:val="BodyText"/>
        <w:spacing w:before="4"/>
        <w:rPr>
          <w:sz w:val="22"/>
        </w:rPr>
      </w:pPr>
    </w:p>
    <w:p>
      <w:pPr>
        <w:spacing w:line="242" w:lineRule="auto" w:before="0"/>
        <w:ind w:left="176" w:right="338" w:firstLine="0"/>
        <w:jc w:val="left"/>
        <w:rPr>
          <w:sz w:val="24"/>
        </w:rPr>
      </w:pPr>
      <w:hyperlink w:history="true" w:anchor="_bookmark50">
        <w:r>
          <w:rPr>
            <w:color w:val="231F20"/>
            <w:sz w:val="24"/>
          </w:rPr>
          <w:t>At its meeting on 8–9 </w:t>
        </w:r>
        <w:r>
          <w:rPr>
            <w:color w:val="231F20"/>
            <w:spacing w:val="-4"/>
            <w:sz w:val="24"/>
          </w:rPr>
          <w:t>July,</w:t>
        </w:r>
      </w:hyperlink>
      <w:r>
        <w:rPr>
          <w:color w:val="231F20"/>
          <w:spacing w:val="-4"/>
          <w:sz w:val="24"/>
        </w:rPr>
        <w:t> </w:t>
      </w:r>
      <w:r>
        <w:rPr>
          <w:color w:val="231F20"/>
          <w:sz w:val="24"/>
        </w:rPr>
        <w:t>the Committee agreed that prospects for the Japanese economy had further deteriorated in the past month.  Despite the strong 1998 Q1 GDP data in the United States, the</w:t>
      </w:r>
      <w:r>
        <w:rPr>
          <w:color w:val="231F20"/>
          <w:spacing w:val="-17"/>
          <w:sz w:val="24"/>
        </w:rPr>
        <w:t> </w:t>
      </w:r>
      <w:r>
        <w:rPr>
          <w:color w:val="231F20"/>
          <w:sz w:val="24"/>
        </w:rPr>
        <w:t>Committee</w:t>
      </w:r>
    </w:p>
    <w:p>
      <w:pPr>
        <w:spacing w:line="242" w:lineRule="auto" w:before="5"/>
        <w:ind w:left="176" w:right="260" w:firstLine="0"/>
        <w:jc w:val="left"/>
        <w:rPr>
          <w:sz w:val="24"/>
        </w:rPr>
      </w:pPr>
      <w:r>
        <w:rPr>
          <w:color w:val="231F20"/>
          <w:sz w:val="24"/>
        </w:rPr>
        <w:t>thought that a further rise in the US trade deficit </w:t>
      </w:r>
      <w:r>
        <w:rPr>
          <w:color w:val="231F20"/>
          <w:spacing w:val="-3"/>
          <w:sz w:val="24"/>
        </w:rPr>
        <w:t>seemed likely, </w:t>
      </w:r>
      <w:r>
        <w:rPr>
          <w:color w:val="231F20"/>
          <w:sz w:val="24"/>
        </w:rPr>
        <w:t>which would restrain output growth. The recovery in continental Europe was continuing</w:t>
      </w:r>
      <w:r>
        <w:rPr>
          <w:color w:val="231F20"/>
          <w:spacing w:val="-9"/>
          <w:sz w:val="24"/>
        </w:rPr>
        <w:t> </w:t>
      </w:r>
      <w:r>
        <w:rPr>
          <w:color w:val="231F20"/>
          <w:sz w:val="24"/>
        </w:rPr>
        <w:t>broadly</w:t>
      </w:r>
    </w:p>
    <w:p>
      <w:pPr>
        <w:spacing w:after="0" w:line="242" w:lineRule="auto"/>
        <w:jc w:val="left"/>
        <w:rPr>
          <w:sz w:val="24"/>
        </w:rPr>
        <w:sectPr>
          <w:type w:val="continuous"/>
          <w:pgSz w:w="11900" w:h="16840"/>
          <w:pgMar w:top="1220" w:bottom="280" w:left="620" w:right="640"/>
          <w:cols w:num="2" w:equalWidth="0">
            <w:col w:w="3277" w:space="1526"/>
            <w:col w:w="5837"/>
          </w:cols>
        </w:sectPr>
      </w:pPr>
    </w:p>
    <w:p>
      <w:pPr>
        <w:spacing w:before="82"/>
        <w:ind w:left="0" w:right="157" w:firstLine="0"/>
        <w:jc w:val="right"/>
        <w:rPr>
          <w:sz w:val="16"/>
        </w:rPr>
      </w:pPr>
      <w:r>
        <w:rPr>
          <w:i/>
          <w:color w:val="231F20"/>
          <w:sz w:val="16"/>
        </w:rPr>
        <w:t>Monetary policy since the May </w:t>
      </w:r>
      <w:r>
        <w:rPr>
          <w:color w:val="231F20"/>
          <w:sz w:val="16"/>
        </w:rPr>
        <w:t>Report</w:t>
      </w:r>
    </w:p>
    <w:p>
      <w:pPr>
        <w:pStyle w:val="BodyText"/>
        <w:spacing w:line="20" w:lineRule="exact"/>
        <w:ind w:left="158"/>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rPr>
          <w:sz w:val="20"/>
        </w:rPr>
      </w:pPr>
    </w:p>
    <w:p>
      <w:pPr>
        <w:pStyle w:val="Heading4"/>
        <w:spacing w:line="242" w:lineRule="auto" w:before="205"/>
        <w:ind w:left="4994" w:right="189"/>
      </w:pPr>
      <w:r>
        <w:rPr>
          <w:color w:val="231F20"/>
        </w:rPr>
        <w:t>as expected, but recent data in Germany had been weaker than in France. There had been clear evidence </w:t>
      </w:r>
      <w:r>
        <w:rPr>
          <w:color w:val="231F20"/>
          <w:spacing w:val="-8"/>
        </w:rPr>
        <w:t>of </w:t>
      </w:r>
      <w:r>
        <w:rPr>
          <w:color w:val="231F20"/>
        </w:rPr>
        <w:t>falling output in a number of Asian</w:t>
      </w:r>
      <w:r>
        <w:rPr>
          <w:color w:val="231F20"/>
          <w:spacing w:val="-1"/>
        </w:rPr>
        <w:t> </w:t>
      </w:r>
      <w:r>
        <w:rPr>
          <w:color w:val="231F20"/>
        </w:rPr>
        <w:t>economies.</w:t>
      </w:r>
    </w:p>
    <w:p>
      <w:pPr>
        <w:pStyle w:val="BodyText"/>
        <w:spacing w:before="8"/>
        <w:rPr>
          <w:sz w:val="24"/>
        </w:rPr>
      </w:pPr>
    </w:p>
    <w:p>
      <w:pPr>
        <w:spacing w:line="242" w:lineRule="auto" w:before="0"/>
        <w:ind w:left="4994" w:right="221" w:firstLine="0"/>
        <w:jc w:val="left"/>
        <w:rPr>
          <w:sz w:val="24"/>
        </w:rPr>
      </w:pPr>
      <w:r>
        <w:rPr>
          <w:color w:val="231F20"/>
          <w:sz w:val="24"/>
        </w:rPr>
        <w:t>The Committee discussed the Chancellor’s Economic and Fiscal Strategy Report (E</w:t>
      </w:r>
      <w:r>
        <w:rPr>
          <w:color w:val="231F20"/>
          <w:sz w:val="20"/>
        </w:rPr>
        <w:t>FSR</w:t>
      </w:r>
      <w:r>
        <w:rPr>
          <w:color w:val="231F20"/>
          <w:sz w:val="24"/>
        </w:rPr>
        <w:t>). The impact of the latest plans would be incorporated into the Committee’s August </w:t>
      </w:r>
      <w:r>
        <w:rPr>
          <w:i/>
          <w:color w:val="231F20"/>
          <w:sz w:val="24"/>
        </w:rPr>
        <w:t>Inflation Report </w:t>
      </w:r>
      <w:r>
        <w:rPr>
          <w:color w:val="231F20"/>
          <w:sz w:val="24"/>
        </w:rPr>
        <w:t>projections.</w:t>
      </w:r>
    </w:p>
    <w:p>
      <w:pPr>
        <w:pStyle w:val="BodyText"/>
        <w:spacing w:before="3"/>
        <w:rPr>
          <w:sz w:val="21"/>
        </w:rPr>
      </w:pPr>
    </w:p>
    <w:p>
      <w:pPr>
        <w:spacing w:line="242" w:lineRule="auto" w:before="1"/>
        <w:ind w:left="4994" w:right="135" w:firstLine="0"/>
        <w:jc w:val="left"/>
        <w:rPr>
          <w:sz w:val="24"/>
        </w:rPr>
      </w:pPr>
      <w:r>
        <w:rPr>
          <w:color w:val="231F20"/>
          <w:sz w:val="24"/>
        </w:rPr>
        <w:t>There had been a small upward revision to the United Kingdom’s 1998 Q1 domestic demand growth, offset by a small downward revision to net trade. The latest estimate suggested that investment growth in Q1 had been slightly stronger than assumed in the May forecast, but possibly for erratic reasons. Notwithstanding the revisions to the expenditure components of GDP, the overall pace of output growth had been broadly as expected at the time of the May </w:t>
      </w:r>
      <w:r>
        <w:rPr>
          <w:i/>
          <w:color w:val="231F20"/>
          <w:sz w:val="24"/>
        </w:rPr>
        <w:t>Inflation Report</w:t>
      </w:r>
      <w:r>
        <w:rPr>
          <w:color w:val="231F20"/>
          <w:sz w:val="24"/>
        </w:rPr>
        <w:t>.</w:t>
      </w:r>
    </w:p>
    <w:p>
      <w:pPr>
        <w:pStyle w:val="BodyText"/>
        <w:spacing w:before="9"/>
        <w:rPr>
          <w:sz w:val="21"/>
        </w:rPr>
      </w:pPr>
    </w:p>
    <w:p>
      <w:pPr>
        <w:spacing w:line="242" w:lineRule="auto" w:before="1"/>
        <w:ind w:left="4994" w:right="169" w:firstLine="0"/>
        <w:jc w:val="left"/>
        <w:rPr>
          <w:sz w:val="24"/>
        </w:rPr>
      </w:pPr>
      <w:r>
        <w:rPr>
          <w:color w:val="231F20"/>
          <w:sz w:val="24"/>
        </w:rPr>
        <w:t>Retail price inflation in May had turned out significantly higher than expected. One possible explanation was that strong earnings growth was feeding through to inflation, but this did not seem to explain all of the rise. A second explanation was that there was less pass-through from the exchange rate appreciation than had been expected. A third explanation was that the rise was due to erratic factors, which had no obvious implications for the medium-term inflation projection. So the significance </w:t>
      </w:r>
      <w:r>
        <w:rPr>
          <w:color w:val="231F20"/>
          <w:spacing w:val="-9"/>
          <w:sz w:val="24"/>
        </w:rPr>
        <w:t>of </w:t>
      </w:r>
      <w:r>
        <w:rPr>
          <w:color w:val="231F20"/>
          <w:sz w:val="24"/>
        </w:rPr>
        <w:t>the higher-than-expected May retail prices figures for future inflation was not </w:t>
      </w:r>
      <w:r>
        <w:rPr>
          <w:color w:val="231F20"/>
          <w:spacing w:val="-3"/>
          <w:sz w:val="24"/>
        </w:rPr>
        <w:t>clear.</w:t>
      </w:r>
    </w:p>
    <w:p>
      <w:pPr>
        <w:pStyle w:val="BodyText"/>
        <w:rPr>
          <w:sz w:val="22"/>
        </w:rPr>
      </w:pPr>
    </w:p>
    <w:p>
      <w:pPr>
        <w:spacing w:line="242" w:lineRule="auto" w:before="1"/>
        <w:ind w:left="4994" w:right="289" w:firstLine="0"/>
        <w:jc w:val="left"/>
        <w:rPr>
          <w:sz w:val="24"/>
        </w:rPr>
      </w:pPr>
      <w:r>
        <w:rPr>
          <w:color w:val="231F20"/>
          <w:sz w:val="24"/>
        </w:rPr>
        <w:t>The Government had announced the details of the National Minimum </w:t>
      </w:r>
      <w:r>
        <w:rPr>
          <w:color w:val="231F20"/>
          <w:spacing w:val="-4"/>
          <w:sz w:val="24"/>
        </w:rPr>
        <w:t>Wage, </w:t>
      </w:r>
      <w:r>
        <w:rPr>
          <w:color w:val="231F20"/>
          <w:sz w:val="24"/>
        </w:rPr>
        <w:t>and members and staff of </w:t>
      </w:r>
      <w:r>
        <w:rPr>
          <w:color w:val="231F20"/>
          <w:spacing w:val="-6"/>
          <w:sz w:val="24"/>
        </w:rPr>
        <w:t>the </w:t>
      </w:r>
      <w:r>
        <w:rPr>
          <w:color w:val="231F20"/>
          <w:sz w:val="24"/>
        </w:rPr>
        <w:t>Low Pay Commission (LPC) had briefed the MPC on their report. The Committee agreed that it was important to assess the impact of the minimum wage together with an analysis of the other Government measures affecting the labour market.</w:t>
      </w:r>
    </w:p>
    <w:p>
      <w:pPr>
        <w:pStyle w:val="BodyText"/>
        <w:spacing w:before="1"/>
        <w:rPr>
          <w:sz w:val="25"/>
        </w:rPr>
      </w:pPr>
    </w:p>
    <w:p>
      <w:pPr>
        <w:spacing w:before="0"/>
        <w:ind w:left="4994" w:right="0" w:firstLine="0"/>
        <w:jc w:val="left"/>
        <w:rPr>
          <w:sz w:val="24"/>
        </w:rPr>
      </w:pPr>
      <w:r>
        <w:rPr>
          <w:color w:val="231F20"/>
          <w:sz w:val="24"/>
        </w:rPr>
        <w:t>Money growth had slowed in June, and the</w:t>
      </w:r>
    </w:p>
    <w:p>
      <w:pPr>
        <w:spacing w:line="242" w:lineRule="auto" w:before="4"/>
        <w:ind w:left="4994" w:right="154" w:firstLine="0"/>
        <w:jc w:val="left"/>
        <w:rPr>
          <w:sz w:val="24"/>
        </w:rPr>
      </w:pPr>
      <w:r>
        <w:rPr>
          <w:color w:val="231F20"/>
          <w:sz w:val="24"/>
        </w:rPr>
        <w:t>twelve-month rate of growth of M4 was now back below 10%. The sterling effective exchange rate had risen slightly since the June meeting, and in large part this could be accounted for by changes in market expectations of UK relative to overseas interest rates.</w:t>
      </w:r>
    </w:p>
    <w:p>
      <w:pPr>
        <w:pStyle w:val="BodyText"/>
        <w:spacing w:before="10"/>
        <w:rPr>
          <w:sz w:val="24"/>
        </w:rPr>
      </w:pPr>
    </w:p>
    <w:p>
      <w:pPr>
        <w:spacing w:line="242" w:lineRule="auto" w:before="0"/>
        <w:ind w:left="4994" w:right="134" w:firstLine="0"/>
        <w:jc w:val="left"/>
        <w:rPr>
          <w:sz w:val="24"/>
        </w:rPr>
      </w:pPr>
      <w:r>
        <w:rPr>
          <w:color w:val="231F20"/>
          <w:sz w:val="24"/>
        </w:rPr>
        <w:t>Despite the upward revision to GDP in 1998 Q1, the Committee was more confident that domestic demand was slowing. The slowdown appeared to be spreading to the service sector, although much of the evidence for this was so far dependent on surveys. The Committee voted to leave the Bank’s repo rate unchanged.</w:t>
      </w:r>
    </w:p>
    <w:p>
      <w:pPr>
        <w:spacing w:after="0" w:line="242" w:lineRule="auto"/>
        <w:jc w:val="left"/>
        <w:rPr>
          <w:sz w:val="24"/>
        </w:rPr>
        <w:sectPr>
          <w:headerReference w:type="default" r:id="rId82"/>
          <w:pgSz w:w="11900" w:h="16840"/>
          <w:pgMar w:header="0" w:footer="597" w:top="500" w:bottom="780" w:left="620" w:right="640"/>
        </w:sectPr>
      </w:pPr>
    </w:p>
    <w:p>
      <w:pPr>
        <w:pStyle w:val="BodyText"/>
        <w:rPr>
          <w:sz w:val="20"/>
        </w:rPr>
      </w:pPr>
    </w:p>
    <w:p>
      <w:pPr>
        <w:spacing w:line="242" w:lineRule="auto" w:before="225"/>
        <w:ind w:left="4977" w:right="221" w:firstLine="0"/>
        <w:jc w:val="left"/>
        <w:rPr>
          <w:sz w:val="24"/>
        </w:rPr>
      </w:pPr>
      <w:hyperlink w:history="true" w:anchor="_bookmark53">
        <w:r>
          <w:rPr>
            <w:color w:val="231F20"/>
            <w:sz w:val="24"/>
          </w:rPr>
          <w:t>At the time of the August MPC meeting,</w:t>
        </w:r>
      </w:hyperlink>
      <w:r>
        <w:rPr>
          <w:color w:val="231F20"/>
          <w:sz w:val="24"/>
        </w:rPr>
        <w:t> the first estimate of GDP growth in 1998 Q2 was for 0.5%, the same as in 1998 Q1. But weather-related factors distorted the figures. Survey data for activity, particularly for the manufacturing sector, were weakening.</w:t>
      </w:r>
    </w:p>
    <w:p>
      <w:pPr>
        <w:pStyle w:val="BodyText"/>
        <w:rPr>
          <w:sz w:val="25"/>
        </w:rPr>
      </w:pPr>
    </w:p>
    <w:p>
      <w:pPr>
        <w:spacing w:line="242" w:lineRule="auto" w:before="0"/>
        <w:ind w:left="4977" w:right="204" w:firstLine="0"/>
        <w:jc w:val="left"/>
        <w:rPr>
          <w:sz w:val="24"/>
        </w:rPr>
      </w:pPr>
      <w:r>
        <w:rPr>
          <w:color w:val="231F20"/>
          <w:sz w:val="24"/>
        </w:rPr>
        <w:t>Headline whole-economy average earnings growth increased to 5.4% in April and was revised upwards for March. LFS unemployment in the three months to May fell by 54,000 compared with the previous three months, about the same fall as in December-February. The rate fell from 6.4% to 6.3%. All measures of retail price inflation fell back sharply from their erratically high rates in May.</w:t>
      </w:r>
    </w:p>
    <w:p>
      <w:pPr>
        <w:pStyle w:val="BodyText"/>
        <w:spacing w:before="2"/>
        <w:rPr>
          <w:sz w:val="25"/>
        </w:rPr>
      </w:pPr>
    </w:p>
    <w:p>
      <w:pPr>
        <w:spacing w:line="242" w:lineRule="auto" w:before="1"/>
        <w:ind w:left="4977" w:right="217" w:firstLine="0"/>
        <w:jc w:val="left"/>
        <w:rPr>
          <w:sz w:val="24"/>
        </w:rPr>
      </w:pPr>
      <w:hyperlink w:history="true" w:anchor="_bookmark53">
        <w:r>
          <w:rPr>
            <w:color w:val="231F20"/>
            <w:sz w:val="24"/>
          </w:rPr>
          <w:t>At its meeting on 5–6 August,</w:t>
        </w:r>
      </w:hyperlink>
      <w:r>
        <w:rPr>
          <w:color w:val="231F20"/>
          <w:sz w:val="24"/>
        </w:rPr>
        <w:t> the Committee decided to leave the repo rate unchanged at 7.5%.</w:t>
      </w:r>
    </w:p>
    <w:p>
      <w:pPr>
        <w:spacing w:after="0" w:line="242" w:lineRule="auto"/>
        <w:jc w:val="left"/>
        <w:rPr>
          <w:sz w:val="24"/>
        </w:rPr>
        <w:sectPr>
          <w:headerReference w:type="even" r:id="rId83"/>
          <w:footerReference w:type="even" r:id="rId84"/>
          <w:footerReference w:type="default" r:id="rId85"/>
          <w:pgSz w:w="11900" w:h="16840"/>
          <w:pgMar w:header="566" w:footer="597" w:top="760" w:bottom="780" w:left="620" w:right="640"/>
          <w:pgNumType w:start="44"/>
        </w:sectPr>
      </w:pPr>
    </w:p>
    <w:p>
      <w:pPr>
        <w:pStyle w:val="BodyText"/>
        <w:spacing w:line="20" w:lineRule="exact"/>
        <w:ind w:left="158"/>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rPr>
          <w:sz w:val="20"/>
        </w:rPr>
      </w:pPr>
    </w:p>
    <w:p>
      <w:pPr>
        <w:pStyle w:val="BodyText"/>
        <w:spacing w:before="5"/>
        <w:rPr>
          <w:sz w:val="17"/>
        </w:rPr>
      </w:pPr>
      <w:r>
        <w:rPr/>
        <w:pict>
          <v:group style="position:absolute;margin-left:40.169998pt;margin-top:12.000977pt;width:517pt;height:47.5pt;mso-position-horizontal-relative:page;mso-position-vertical-relative:paragraph;z-index:-15370752;mso-wrap-distance-left:0;mso-wrap-distance-right:0" coordorigin="803,240" coordsize="10340,950">
            <v:rect style="position:absolute;left:803;top:240;width:10340;height:950" filled="true" fillcolor="#b5dad6" stroked="false">
              <v:fill type="solid"/>
            </v:rect>
            <v:shape style="position:absolute;left:1063;top:468;width:4559;height:532" type="#_x0000_t202" filled="false" stroked="false">
              <v:textbox inset="0,0,0,0">
                <w:txbxContent>
                  <w:p>
                    <w:pPr>
                      <w:spacing w:line="532" w:lineRule="exact" w:before="0"/>
                      <w:ind w:left="0" w:right="0" w:firstLine="0"/>
                      <w:jc w:val="left"/>
                      <w:rPr>
                        <w:b/>
                        <w:sz w:val="48"/>
                      </w:rPr>
                    </w:pPr>
                    <w:bookmarkStart w:name="Prospects for inflation" w:id="88"/>
                    <w:bookmarkEnd w:id="88"/>
                    <w:r>
                      <w:rPr/>
                    </w:r>
                    <w:bookmarkStart w:name="The inflation projection assumptions" w:id="89"/>
                    <w:bookmarkEnd w:id="89"/>
                    <w:r>
                      <w:rPr/>
                    </w:r>
                    <w:bookmarkStart w:name="_bookmark38" w:id="90"/>
                    <w:bookmarkEnd w:id="90"/>
                    <w:r>
                      <w:rPr/>
                    </w:r>
                    <w:r>
                      <w:rPr>
                        <w:b/>
                        <w:color w:val="009483"/>
                        <w:sz w:val="48"/>
                      </w:rPr>
                      <w:t>Prospects </w:t>
                    </w:r>
                    <w:r>
                      <w:rPr>
                        <w:b/>
                        <w:color w:val="009483"/>
                        <w:spacing w:val="-4"/>
                        <w:sz w:val="48"/>
                      </w:rPr>
                      <w:t>for </w:t>
                    </w:r>
                    <w:r>
                      <w:rPr>
                        <w:b/>
                        <w:color w:val="009483"/>
                        <w:sz w:val="48"/>
                      </w:rPr>
                      <w:t>inflation</w:t>
                    </w:r>
                  </w:p>
                </w:txbxContent>
              </v:textbox>
              <w10:wrap type="none"/>
            </v:shape>
            <v:shape style="position:absolute;left:10543;top:321;width:380;height:798" type="#_x0000_t202" filled="false" stroked="false">
              <v:textbox inset="0,0,0,0">
                <w:txbxContent>
                  <w:p>
                    <w:pPr>
                      <w:spacing w:line="797" w:lineRule="exact" w:before="0"/>
                      <w:ind w:left="0" w:right="0" w:firstLine="0"/>
                      <w:jc w:val="left"/>
                      <w:rPr>
                        <w:b/>
                        <w:sz w:val="72"/>
                      </w:rPr>
                    </w:pPr>
                    <w:r>
                      <w:rPr>
                        <w:b/>
                        <w:color w:val="009483"/>
                        <w:sz w:val="72"/>
                      </w:rPr>
                      <w:t>6</w:t>
                    </w:r>
                  </w:p>
                </w:txbxContent>
              </v:textbox>
              <w10:wrap type="none"/>
            </v:shape>
            <w10:wrap type="topAndBottom"/>
          </v:group>
        </w:pict>
      </w:r>
    </w:p>
    <w:p>
      <w:pPr>
        <w:pStyle w:val="BodyText"/>
        <w:rPr>
          <w:sz w:val="20"/>
        </w:rPr>
      </w:pPr>
    </w:p>
    <w:p>
      <w:pPr>
        <w:pStyle w:val="BodyText"/>
        <w:rPr>
          <w:sz w:val="20"/>
        </w:rPr>
      </w:pPr>
    </w:p>
    <w:p>
      <w:pPr>
        <w:tabs>
          <w:tab w:pos="5891" w:val="left" w:leader="none"/>
        </w:tabs>
        <w:spacing w:before="205"/>
        <w:ind w:left="5000" w:right="0" w:firstLine="0"/>
        <w:jc w:val="left"/>
        <w:rPr>
          <w:b/>
          <w:sz w:val="28"/>
        </w:rPr>
      </w:pPr>
      <w:r>
        <w:rPr>
          <w:b/>
          <w:color w:val="009483"/>
          <w:sz w:val="28"/>
          <w:u w:val="thick" w:color="0093C1"/>
        </w:rPr>
        <w:t>6.1</w:t>
        <w:tab/>
        <w:t>The inflation projection</w:t>
      </w:r>
      <w:r>
        <w:rPr>
          <w:b/>
          <w:color w:val="009483"/>
          <w:spacing w:val="-3"/>
          <w:sz w:val="28"/>
          <w:u w:val="thick" w:color="0093C1"/>
        </w:rPr>
        <w:t> </w:t>
      </w:r>
      <w:r>
        <w:rPr>
          <w:b/>
          <w:color w:val="009483"/>
          <w:sz w:val="28"/>
          <w:u w:val="thick" w:color="0093C1"/>
        </w:rPr>
        <w:t>assumptions</w:t>
      </w:r>
      <w:r>
        <w:rPr>
          <w:b/>
          <w:color w:val="009483"/>
          <w:spacing w:val="-32"/>
          <w:sz w:val="28"/>
          <w:u w:val="thick" w:color="0093C1"/>
        </w:rPr>
        <w:t> </w:t>
      </w:r>
    </w:p>
    <w:p>
      <w:pPr>
        <w:spacing w:line="242" w:lineRule="auto" w:before="264"/>
        <w:ind w:left="4999" w:right="181" w:firstLine="0"/>
        <w:jc w:val="left"/>
        <w:rPr>
          <w:sz w:val="24"/>
        </w:rPr>
      </w:pPr>
      <w:r>
        <w:rPr>
          <w:color w:val="231F20"/>
          <w:sz w:val="24"/>
        </w:rPr>
        <w:t>This </w:t>
      </w:r>
      <w:r>
        <w:rPr>
          <w:i/>
          <w:color w:val="231F20"/>
          <w:sz w:val="24"/>
        </w:rPr>
        <w:t>Report</w:t>
      </w:r>
      <w:r>
        <w:rPr>
          <w:color w:val="231F20"/>
          <w:sz w:val="24"/>
        </w:rPr>
        <w:t>, which the MPC approved on 7 August, contains the Committee’s assessment of developments</w:t>
      </w:r>
      <w:r>
        <w:rPr>
          <w:color w:val="231F20"/>
          <w:spacing w:val="-22"/>
          <w:sz w:val="24"/>
        </w:rPr>
        <w:t> </w:t>
      </w:r>
      <w:r>
        <w:rPr>
          <w:color w:val="231F20"/>
          <w:spacing w:val="-8"/>
          <w:sz w:val="24"/>
        </w:rPr>
        <w:t>in </w:t>
      </w:r>
      <w:r>
        <w:rPr>
          <w:color w:val="231F20"/>
          <w:sz w:val="24"/>
        </w:rPr>
        <w:t>inflation in the economy since </w:t>
      </w:r>
      <w:r>
        <w:rPr>
          <w:color w:val="231F20"/>
          <w:spacing w:val="-4"/>
          <w:sz w:val="24"/>
        </w:rPr>
        <w:t>May, </w:t>
      </w:r>
      <w:r>
        <w:rPr>
          <w:color w:val="231F20"/>
          <w:sz w:val="24"/>
        </w:rPr>
        <w:t>and prospects for the medium term. Charts 6.1 and 6.2 below show projections for RPIX inflation and for GDP growth up </w:t>
      </w:r>
      <w:r>
        <w:rPr>
          <w:color w:val="231F20"/>
          <w:spacing w:val="-7"/>
          <w:sz w:val="24"/>
        </w:rPr>
        <w:t>to </w:t>
      </w:r>
      <w:r>
        <w:rPr>
          <w:color w:val="231F20"/>
          <w:sz w:val="24"/>
        </w:rPr>
        <w:t>two years ahead, and the uncertainties surrounding them. The projections assume that official interest rates will remain unchanged at 7.5% during the next two years, and are conditional on the assumptions described </w:t>
      </w:r>
      <w:r>
        <w:rPr>
          <w:color w:val="231F20"/>
          <w:spacing w:val="-4"/>
          <w:sz w:val="24"/>
        </w:rPr>
        <w:t>below. </w:t>
      </w:r>
      <w:r>
        <w:rPr>
          <w:color w:val="231F20"/>
          <w:sz w:val="24"/>
        </w:rPr>
        <w:t>Not every MPC member will agree with every assumption, but the fan charts represent the </w:t>
      </w:r>
      <w:r>
        <w:rPr>
          <w:color w:val="231F20"/>
          <w:spacing w:val="-3"/>
          <w:sz w:val="24"/>
        </w:rPr>
        <w:t>MPC’s </w:t>
      </w:r>
      <w:r>
        <w:rPr>
          <w:color w:val="231F20"/>
          <w:sz w:val="24"/>
        </w:rPr>
        <w:t>best collective judgment about the outlook for inflation and output.</w:t>
      </w:r>
    </w:p>
    <w:p>
      <w:pPr>
        <w:pStyle w:val="BodyText"/>
        <w:spacing w:before="9"/>
        <w:rPr>
          <w:sz w:val="25"/>
        </w:rPr>
      </w:pPr>
    </w:p>
    <w:p>
      <w:pPr>
        <w:spacing w:line="242" w:lineRule="auto" w:before="0"/>
        <w:ind w:left="4999" w:right="189" w:firstLine="0"/>
        <w:jc w:val="left"/>
        <w:rPr>
          <w:sz w:val="24"/>
        </w:rPr>
      </w:pPr>
      <w:r>
        <w:rPr>
          <w:color w:val="231F20"/>
          <w:sz w:val="24"/>
        </w:rPr>
        <w:t>The prospects for world output have deteriorated somewhat in aggregate since the May </w:t>
      </w:r>
      <w:r>
        <w:rPr>
          <w:i/>
          <w:color w:val="231F20"/>
          <w:sz w:val="24"/>
        </w:rPr>
        <w:t>Inflation Report</w:t>
      </w:r>
      <w:r>
        <w:rPr>
          <w:color w:val="231F20"/>
          <w:sz w:val="24"/>
        </w:rPr>
        <w:t>. The Japanese economy recorded its second consecutive quarterly fall in GDP in 1998 Q1, and the outlook is for lower growth there than at the time of the May </w:t>
      </w:r>
      <w:r>
        <w:rPr>
          <w:i/>
          <w:color w:val="231F20"/>
          <w:sz w:val="24"/>
        </w:rPr>
        <w:t>Report</w:t>
      </w:r>
      <w:r>
        <w:rPr>
          <w:color w:val="231F20"/>
          <w:sz w:val="24"/>
        </w:rPr>
        <w:t>. But the impact of this on the prospects for UK exports has been partly offset by stronger-than-expected US activity. Growth in the prospective euro area in 1998 Q1 was broadly as expected. Aggregate growth of below 2</w:t>
      </w:r>
      <w:r>
        <w:rPr>
          <w:color w:val="231F20"/>
          <w:position w:val="8"/>
          <w:sz w:val="12"/>
        </w:rPr>
        <w:t>1</w:t>
      </w:r>
      <w:r>
        <w:rPr>
          <w:color w:val="231F20"/>
          <w:sz w:val="24"/>
        </w:rPr>
        <w:t>/</w:t>
      </w:r>
      <w:r>
        <w:rPr>
          <w:color w:val="231F20"/>
          <w:sz w:val="12"/>
        </w:rPr>
        <w:t>2</w:t>
      </w:r>
      <w:r>
        <w:rPr>
          <w:color w:val="231F20"/>
          <w:sz w:val="24"/>
        </w:rPr>
        <w:t>% is likely in the major six overseas economies</w:t>
      </w:r>
      <w:r>
        <w:rPr>
          <w:color w:val="231F20"/>
          <w:position w:val="5"/>
          <w:sz w:val="16"/>
        </w:rPr>
        <w:t>(1) </w:t>
      </w:r>
      <w:r>
        <w:rPr>
          <w:color w:val="231F20"/>
          <w:sz w:val="24"/>
        </w:rPr>
        <w:t>in both 1998 and 1999. There is a risk not only that the Japanese economy could be more depressed than predicted, but that growth in the United States might be lower than reflected in the central projection. The MPC has therefore increased the downside risks to UK demand from lower world growth.</w:t>
      </w:r>
    </w:p>
    <w:p>
      <w:pPr>
        <w:pStyle w:val="BodyText"/>
        <w:spacing w:before="1"/>
        <w:rPr>
          <w:sz w:val="26"/>
        </w:rPr>
      </w:pPr>
    </w:p>
    <w:p>
      <w:pPr>
        <w:spacing w:before="0"/>
        <w:ind w:left="4999" w:right="0" w:firstLine="0"/>
        <w:jc w:val="left"/>
        <w:rPr>
          <w:sz w:val="24"/>
        </w:rPr>
      </w:pPr>
      <w:r>
        <w:rPr>
          <w:color w:val="231F20"/>
          <w:sz w:val="24"/>
        </w:rPr>
        <w:t>The sterling effective exchange rate index averaged</w:t>
      </w:r>
    </w:p>
    <w:p>
      <w:pPr>
        <w:spacing w:before="4"/>
        <w:ind w:left="4999" w:right="0" w:firstLine="0"/>
        <w:jc w:val="left"/>
        <w:rPr>
          <w:sz w:val="24"/>
        </w:rPr>
      </w:pPr>
      <w:r>
        <w:rPr>
          <w:color w:val="231F20"/>
          <w:sz w:val="24"/>
        </w:rPr>
        <w:t>104.7 in the 15 working days up to and including</w:t>
      </w:r>
    </w:p>
    <w:p>
      <w:pPr>
        <w:spacing w:line="242" w:lineRule="auto" w:before="4"/>
        <w:ind w:left="4999" w:right="368" w:firstLine="0"/>
        <w:jc w:val="left"/>
        <w:rPr>
          <w:sz w:val="24"/>
        </w:rPr>
      </w:pPr>
      <w:r>
        <w:rPr>
          <w:color w:val="231F20"/>
          <w:sz w:val="24"/>
        </w:rPr>
        <w:t>5 August, and this is the starting-point for the assumed exchange rate profile. It compares with an average of</w:t>
      </w:r>
    </w:p>
    <w:p>
      <w:pPr>
        <w:spacing w:line="242" w:lineRule="auto" w:before="3"/>
        <w:ind w:left="4999" w:right="212" w:firstLine="0"/>
        <w:jc w:val="left"/>
        <w:rPr>
          <w:sz w:val="24"/>
        </w:rPr>
      </w:pPr>
      <w:r>
        <w:rPr>
          <w:color w:val="231F20"/>
          <w:sz w:val="24"/>
        </w:rPr>
        <w:t>106.2 at the time of the May </w:t>
      </w:r>
      <w:r>
        <w:rPr>
          <w:i/>
          <w:color w:val="231F20"/>
          <w:sz w:val="24"/>
        </w:rPr>
        <w:t>Report </w:t>
      </w:r>
      <w:r>
        <w:rPr>
          <w:color w:val="231F20"/>
          <w:sz w:val="24"/>
        </w:rPr>
        <w:t>(and an implied level of around 105.4 for August in the May projections), and a level of 103.9 on 6 August when the MPC met. The differential between the expected path </w:t>
      </w:r>
      <w:r>
        <w:rPr>
          <w:color w:val="231F20"/>
          <w:spacing w:val="-8"/>
          <w:sz w:val="24"/>
        </w:rPr>
        <w:t>of </w:t>
      </w:r>
      <w:r>
        <w:rPr>
          <w:color w:val="231F20"/>
          <w:sz w:val="24"/>
        </w:rPr>
        <w:t>UK and overseas interest rates has widened since the May </w:t>
      </w:r>
      <w:r>
        <w:rPr>
          <w:i/>
          <w:color w:val="231F20"/>
          <w:sz w:val="24"/>
        </w:rPr>
        <w:t>Report</w:t>
      </w:r>
      <w:r>
        <w:rPr>
          <w:color w:val="231F20"/>
          <w:sz w:val="24"/>
        </w:rPr>
        <w:t>; this is consistent with the view that markets expect a steeper depreciation of</w:t>
      </w:r>
      <w:r>
        <w:rPr>
          <w:color w:val="231F20"/>
          <w:spacing w:val="-3"/>
          <w:sz w:val="24"/>
        </w:rPr>
        <w:t> </w:t>
      </w:r>
      <w:r>
        <w:rPr>
          <w:color w:val="231F20"/>
          <w:sz w:val="24"/>
        </w:rPr>
        <w:t>sterling.</w:t>
      </w:r>
    </w:p>
    <w:p>
      <w:pPr>
        <w:pStyle w:val="BodyText"/>
        <w:spacing w:before="4"/>
        <w:rPr>
          <w:sz w:val="9"/>
        </w:rPr>
      </w:pPr>
      <w:r>
        <w:rPr/>
        <w:pict>
          <v:shape style="position:absolute;margin-left:280pt;margin-top:7.434131pt;width:276pt;height:.1pt;mso-position-horizontal-relative:page;mso-position-vertical-relative:paragraph;z-index:-15370240;mso-wrap-distance-left:0;mso-wrap-distance-right:0" coordorigin="5600,149" coordsize="5520,0" path="m5600,149l11120,149e" filled="false" stroked="true" strokeweight=".125pt" strokecolor="#231f20">
            <v:path arrowok="t"/>
            <v:stroke dashstyle="solid"/>
            <w10:wrap type="topAndBottom"/>
          </v:shape>
        </w:pict>
      </w:r>
    </w:p>
    <w:p>
      <w:pPr>
        <w:spacing w:before="0"/>
        <w:ind w:left="5000" w:right="0" w:firstLine="0"/>
        <w:jc w:val="left"/>
        <w:rPr>
          <w:sz w:val="16"/>
        </w:rPr>
      </w:pPr>
      <w:r>
        <w:rPr>
          <w:color w:val="231F20"/>
          <w:sz w:val="16"/>
        </w:rPr>
        <w:t>(1) Canada, France, Germany, Italy, Japan and the United States.</w:t>
      </w:r>
    </w:p>
    <w:p>
      <w:pPr>
        <w:spacing w:after="0"/>
        <w:jc w:val="left"/>
        <w:rPr>
          <w:sz w:val="16"/>
        </w:rPr>
        <w:sectPr>
          <w:headerReference w:type="default" r:id="rId86"/>
          <w:pgSz w:w="11900" w:h="16840"/>
          <w:pgMar w:header="0" w:footer="597" w:top="760" w:bottom="780" w:left="620" w:right="640"/>
        </w:sectPr>
      </w:pPr>
    </w:p>
    <w:p>
      <w:pPr>
        <w:pStyle w:val="BodyText"/>
        <w:rPr>
          <w:sz w:val="20"/>
        </w:rPr>
      </w:pPr>
    </w:p>
    <w:p>
      <w:pPr>
        <w:pStyle w:val="Heading4"/>
        <w:spacing w:line="242" w:lineRule="auto" w:before="207"/>
        <w:ind w:left="4980" w:right="188"/>
      </w:pPr>
      <w:r>
        <w:rPr>
          <w:color w:val="231F20"/>
        </w:rPr>
        <w:t>In judging the most likely path for sterling, conditional on unchanged UK nominal interest rates, the MPC has taken into account both interest rate differentials and </w:t>
      </w:r>
      <w:r>
        <w:rPr>
          <w:color w:val="231F20"/>
          <w:spacing w:val="-5"/>
        </w:rPr>
        <w:t>risk </w:t>
      </w:r>
      <w:r>
        <w:rPr>
          <w:color w:val="231F20"/>
        </w:rPr>
        <w:t>considerations.  In the central projection, the sterling ERI declines to 99.7 by the end of the forecast period.</w:t>
      </w:r>
    </w:p>
    <w:p>
      <w:pPr>
        <w:spacing w:line="242" w:lineRule="auto" w:before="6"/>
        <w:ind w:left="4980" w:right="221" w:firstLine="0"/>
        <w:jc w:val="left"/>
        <w:rPr>
          <w:sz w:val="24"/>
        </w:rPr>
      </w:pPr>
      <w:r>
        <w:rPr>
          <w:color w:val="231F20"/>
          <w:sz w:val="24"/>
        </w:rPr>
        <w:t>This implies bilateral sterling exchange rates, two years hence, of about $1.61 and DM 2.78. In the MPC’s view, a substantial fall in sterling is more likely than a substantial rise. So on average, the sterling ERI is expected to decline somewhat more steeply than in the central projection, and reaches a level of 96.4 in two years’ time.</w:t>
      </w:r>
    </w:p>
    <w:p>
      <w:pPr>
        <w:pStyle w:val="BodyText"/>
        <w:spacing w:before="2"/>
        <w:rPr>
          <w:sz w:val="25"/>
        </w:rPr>
      </w:pPr>
    </w:p>
    <w:p>
      <w:pPr>
        <w:spacing w:line="242" w:lineRule="auto" w:before="0"/>
        <w:ind w:left="4979" w:right="169" w:firstLine="0"/>
        <w:jc w:val="left"/>
        <w:rPr>
          <w:sz w:val="24"/>
        </w:rPr>
      </w:pPr>
      <w:r>
        <w:rPr>
          <w:color w:val="231F20"/>
          <w:sz w:val="24"/>
        </w:rPr>
        <w:t>The MPC’s August projections take account of the Chancellor’s Economic and Fiscal Strategy Report (E</w:t>
      </w:r>
      <w:r>
        <w:rPr>
          <w:color w:val="231F20"/>
          <w:sz w:val="20"/>
        </w:rPr>
        <w:t>FSR</w:t>
      </w:r>
      <w:r>
        <w:rPr>
          <w:color w:val="231F20"/>
          <w:sz w:val="24"/>
        </w:rPr>
        <w:t>) and Comprehensive Spending Review, and the details of the National Minimum Wage. The E</w:t>
      </w:r>
      <w:r>
        <w:rPr>
          <w:color w:val="231F20"/>
          <w:sz w:val="20"/>
        </w:rPr>
        <w:t>FSR </w:t>
      </w:r>
      <w:r>
        <w:rPr>
          <w:color w:val="231F20"/>
          <w:sz w:val="24"/>
        </w:rPr>
        <w:t>confirmed the path of the fiscal deficit reductions outlined in the March Budget, such that the cumulative fall in public sector net borrowing is planned to be around 3</w:t>
      </w:r>
      <w:r>
        <w:rPr>
          <w:color w:val="231F20"/>
          <w:position w:val="8"/>
          <w:sz w:val="12"/>
        </w:rPr>
        <w:t>1</w:t>
      </w:r>
      <w:r>
        <w:rPr>
          <w:color w:val="231F20"/>
          <w:sz w:val="24"/>
        </w:rPr>
        <w:t>/</w:t>
      </w:r>
      <w:r>
        <w:rPr>
          <w:color w:val="231F20"/>
          <w:sz w:val="12"/>
        </w:rPr>
        <w:t>2</w:t>
      </w:r>
      <w:r>
        <w:rPr>
          <w:color w:val="231F20"/>
          <w:sz w:val="24"/>
        </w:rPr>
        <w:t>% of GDP between fiscal years 1996/97 and 1999/2000.</w:t>
      </w:r>
      <w:r>
        <w:rPr>
          <w:color w:val="231F20"/>
          <w:position w:val="5"/>
          <w:sz w:val="16"/>
        </w:rPr>
        <w:t>(1) </w:t>
      </w:r>
      <w:r>
        <w:rPr>
          <w:color w:val="231F20"/>
          <w:sz w:val="24"/>
        </w:rPr>
        <w:t>The MPC assumes that nominal public spending and effective tax rates will be consistent with the Government’s policy documents. The Government’s latest spending plans, though starting from a slightly lower level, imply higher current expenditure from fiscal year 1999/2000 onwards than in the illustrative assumptions contained in the March Budget. The Government also plans additional public investment expenditure. Higher revenue is assumed following the introduction of self-assessment. Taking spending and revenue together, the starting-point in the E</w:t>
      </w:r>
      <w:r>
        <w:rPr>
          <w:color w:val="231F20"/>
          <w:sz w:val="20"/>
        </w:rPr>
        <w:t>FSR </w:t>
      </w:r>
      <w:r>
        <w:rPr>
          <w:color w:val="231F20"/>
          <w:sz w:val="24"/>
        </w:rPr>
        <w:t>was a somewhat lower fiscal deficit in 1997/98 than thought at the time of the March Budget and the May </w:t>
      </w:r>
      <w:r>
        <w:rPr>
          <w:i/>
          <w:color w:val="231F20"/>
          <w:sz w:val="24"/>
        </w:rPr>
        <w:t>Inflation </w:t>
      </w:r>
      <w:r>
        <w:rPr>
          <w:i/>
          <w:color w:val="231F20"/>
          <w:sz w:val="24"/>
        </w:rPr>
        <w:t>Report</w:t>
      </w:r>
      <w:r>
        <w:rPr>
          <w:color w:val="231F20"/>
          <w:sz w:val="24"/>
        </w:rPr>
        <w:t>. The higher Government expenditure does not begin to affect the profile for GDP until financial year 1999/2000, so there is little effect on inflation until towards the end of the forecast period. The central projection also makes some allowance for changes in the composition of current expenditure between the March Budget and the latest plans.</w:t>
      </w:r>
    </w:p>
    <w:p>
      <w:pPr>
        <w:pStyle w:val="BodyText"/>
        <w:spacing w:before="5"/>
        <w:rPr>
          <w:sz w:val="27"/>
        </w:rPr>
      </w:pPr>
    </w:p>
    <w:p>
      <w:pPr>
        <w:spacing w:line="242" w:lineRule="auto" w:before="0"/>
        <w:ind w:left="4980" w:right="168" w:firstLine="0"/>
        <w:jc w:val="left"/>
        <w:rPr>
          <w:sz w:val="24"/>
        </w:rPr>
      </w:pPr>
      <w:r>
        <w:rPr>
          <w:color w:val="231F20"/>
          <w:sz w:val="24"/>
        </w:rPr>
        <w:t>The details of the National Minimum Wage were announced in June, and its possible effects have been incorporated into the MPC’s latest projections. The National Minimum Wage, which takes effect in April next year, is likely to have a small positive effect of about 0.4% on the price level over the forecast period, though its effect on measured inflation is spread out over the forecast period. That reflects both the direct and</w:t>
      </w:r>
    </w:p>
    <w:p>
      <w:pPr>
        <w:pStyle w:val="BodyText"/>
        <w:spacing w:before="4"/>
        <w:rPr>
          <w:sz w:val="14"/>
        </w:rPr>
      </w:pPr>
      <w:r>
        <w:rPr/>
        <w:pict>
          <v:shape style="position:absolute;margin-left:279pt;margin-top:10.315860pt;width:277pt;height:.1pt;mso-position-horizontal-relative:page;mso-position-vertical-relative:paragraph;z-index:-15369728;mso-wrap-distance-left:0;mso-wrap-distance-right:0" coordorigin="5580,206" coordsize="5540,0" path="m5580,206l11120,206e" filled="false" stroked="true" strokeweight=".125pt" strokecolor="#231f20">
            <v:path arrowok="t"/>
            <v:stroke dashstyle="solid"/>
            <w10:wrap type="topAndBottom"/>
          </v:shape>
        </w:pict>
      </w:r>
    </w:p>
    <w:p>
      <w:pPr>
        <w:spacing w:before="1"/>
        <w:ind w:left="4994" w:right="0" w:firstLine="0"/>
        <w:jc w:val="left"/>
        <w:rPr>
          <w:sz w:val="16"/>
        </w:rPr>
      </w:pPr>
      <w:r>
        <w:rPr>
          <w:color w:val="231F20"/>
          <w:sz w:val="16"/>
        </w:rPr>
        <w:t>(1) See Table 4.2 of the 1998 EFSR.</w:t>
      </w:r>
    </w:p>
    <w:p>
      <w:pPr>
        <w:spacing w:after="0"/>
        <w:jc w:val="left"/>
        <w:rPr>
          <w:sz w:val="16"/>
        </w:rPr>
        <w:sectPr>
          <w:headerReference w:type="even" r:id="rId87"/>
          <w:headerReference w:type="default" r:id="rId88"/>
          <w:footerReference w:type="even" r:id="rId89"/>
          <w:footerReference w:type="default" r:id="rId90"/>
          <w:pgSz w:w="11900" w:h="16840"/>
          <w:pgMar w:header="566" w:footer="597" w:top="760" w:bottom="780" w:left="620" w:right="640"/>
          <w:pgNumType w:start="46"/>
        </w:sectPr>
      </w:pPr>
    </w:p>
    <w:p>
      <w:pPr>
        <w:pStyle w:val="BodyText"/>
        <w:rPr>
          <w:sz w:val="20"/>
        </w:rPr>
      </w:pPr>
    </w:p>
    <w:p>
      <w:pPr>
        <w:pStyle w:val="Heading4"/>
        <w:spacing w:line="242" w:lineRule="auto" w:before="207"/>
        <w:ind w:left="4985" w:right="244"/>
      </w:pPr>
      <w:bookmarkStart w:name="The medium-term inflation projection" w:id="91"/>
      <w:bookmarkEnd w:id="91"/>
      <w:r>
        <w:rPr/>
      </w:r>
      <w:bookmarkStart w:name="_bookmark39" w:id="92"/>
      <w:bookmarkEnd w:id="92"/>
      <w:r>
        <w:rPr/>
      </w:r>
      <w:r>
        <w:rPr>
          <w:color w:val="231F20"/>
        </w:rPr>
        <w:t>indirect effects of the policy feeding through to prices </w:t>
      </w:r>
      <w:r>
        <w:rPr>
          <w:color w:val="231F20"/>
          <w:spacing w:val="-9"/>
        </w:rPr>
        <w:t>in </w:t>
      </w:r>
      <w:r>
        <w:rPr>
          <w:color w:val="231F20"/>
        </w:rPr>
        <w:t>the next two years, including effects via inflation expectations. But there is considerable uncertainty about the timing and magnitude of these effects. Since the minimum wage has been pre-announced, the effects on the price level might happen sooner than in the central case—and possibly with a smaller effect on inflation expectations—so that inflation might be lower at the end of two years than in the central</w:t>
      </w:r>
      <w:r>
        <w:rPr>
          <w:color w:val="231F20"/>
          <w:spacing w:val="-2"/>
        </w:rPr>
        <w:t> </w:t>
      </w:r>
      <w:r>
        <w:rPr>
          <w:color w:val="231F20"/>
        </w:rPr>
        <w:t>projection.</w:t>
      </w:r>
    </w:p>
    <w:p>
      <w:pPr>
        <w:spacing w:line="242" w:lineRule="auto" w:before="11"/>
        <w:ind w:left="4985" w:right="0" w:firstLine="0"/>
        <w:jc w:val="left"/>
        <w:rPr>
          <w:sz w:val="24"/>
        </w:rPr>
      </w:pPr>
      <w:r>
        <w:rPr>
          <w:color w:val="231F20"/>
          <w:sz w:val="24"/>
        </w:rPr>
        <w:t>But there is also a risk of more wage differentials restoration than in the central case.</w:t>
      </w:r>
    </w:p>
    <w:p>
      <w:pPr>
        <w:pStyle w:val="BodyText"/>
        <w:spacing w:before="7"/>
        <w:rPr>
          <w:sz w:val="24"/>
        </w:rPr>
      </w:pPr>
    </w:p>
    <w:p>
      <w:pPr>
        <w:spacing w:line="242" w:lineRule="auto" w:before="0"/>
        <w:ind w:left="4985" w:right="215" w:firstLine="0"/>
        <w:jc w:val="left"/>
        <w:rPr>
          <w:sz w:val="24"/>
        </w:rPr>
      </w:pPr>
      <w:r>
        <w:rPr>
          <w:color w:val="231F20"/>
          <w:sz w:val="24"/>
        </w:rPr>
        <w:t>The effects of the minimum wage should be considered alongside the effects of other Government measures affecting the labour market. The MPC expects the introduction of the minimum wage to reduce employment, and to raise the natural rate of unemployment. But the New Deal measures targeted at specific groups, such as the long-term and young unemployed, should improve their employment prospects. The MPC expects the employment effect of these two measures to be relatively small, and </w:t>
      </w:r>
      <w:r>
        <w:rPr>
          <w:color w:val="231F20"/>
          <w:spacing w:val="-3"/>
          <w:sz w:val="24"/>
        </w:rPr>
        <w:t>offsetting. </w:t>
      </w:r>
      <w:r>
        <w:rPr>
          <w:color w:val="231F20"/>
          <w:sz w:val="24"/>
        </w:rPr>
        <w:t>The </w:t>
      </w:r>
      <w:r>
        <w:rPr>
          <w:color w:val="231F20"/>
          <w:spacing w:val="-3"/>
          <w:sz w:val="24"/>
        </w:rPr>
        <w:t>Working </w:t>
      </w:r>
      <w:r>
        <w:rPr>
          <w:color w:val="231F20"/>
          <w:sz w:val="24"/>
        </w:rPr>
        <w:t>Families </w:t>
      </w:r>
      <w:r>
        <w:rPr>
          <w:color w:val="231F20"/>
          <w:spacing w:val="-7"/>
          <w:sz w:val="24"/>
        </w:rPr>
        <w:t>Tax </w:t>
      </w:r>
      <w:r>
        <w:rPr>
          <w:color w:val="231F20"/>
          <w:sz w:val="24"/>
        </w:rPr>
        <w:t>Credit (W</w:t>
      </w:r>
      <w:r>
        <w:rPr>
          <w:color w:val="231F20"/>
          <w:sz w:val="20"/>
        </w:rPr>
        <w:t>FTC</w:t>
      </w:r>
      <w:r>
        <w:rPr>
          <w:color w:val="231F20"/>
          <w:sz w:val="24"/>
        </w:rPr>
        <w:t>) will encourage some existing employees to increase hours worked, and others to enter the labour market. This should raise the participation rate, and so raise employment and output, putting some downward pressure on inflation. But it is unlikely that much of </w:t>
      </w:r>
      <w:r>
        <w:rPr>
          <w:color w:val="231F20"/>
          <w:spacing w:val="-5"/>
          <w:sz w:val="24"/>
        </w:rPr>
        <w:t>this </w:t>
      </w:r>
      <w:r>
        <w:rPr>
          <w:color w:val="231F20"/>
          <w:sz w:val="24"/>
        </w:rPr>
        <w:t>effect will be felt within the two-year forecast period, given that the W</w:t>
      </w:r>
      <w:r>
        <w:rPr>
          <w:color w:val="231F20"/>
          <w:sz w:val="20"/>
        </w:rPr>
        <w:t>FTC </w:t>
      </w:r>
      <w:r>
        <w:rPr>
          <w:color w:val="231F20"/>
          <w:sz w:val="24"/>
        </w:rPr>
        <w:t>is to be introduced in late 1999.</w:t>
      </w:r>
    </w:p>
    <w:p>
      <w:pPr>
        <w:pStyle w:val="BodyText"/>
        <w:spacing w:before="7"/>
        <w:rPr>
          <w:sz w:val="20"/>
        </w:rPr>
      </w:pPr>
    </w:p>
    <w:p>
      <w:pPr>
        <w:pStyle w:val="ListParagraph"/>
        <w:numPr>
          <w:ilvl w:val="1"/>
          <w:numId w:val="37"/>
        </w:numPr>
        <w:tabs>
          <w:tab w:pos="5706" w:val="left" w:leader="none"/>
          <w:tab w:pos="5707" w:val="left" w:leader="none"/>
        </w:tabs>
        <w:spacing w:line="240" w:lineRule="auto" w:before="88" w:after="0"/>
        <w:ind w:left="5706" w:right="0" w:hanging="722"/>
        <w:jc w:val="left"/>
        <w:rPr>
          <w:b/>
          <w:sz w:val="28"/>
        </w:rPr>
      </w:pPr>
      <w:r>
        <w:rPr>
          <w:b/>
          <w:color w:val="009483"/>
          <w:sz w:val="28"/>
          <w:u w:val="thick" w:color="0093C1"/>
        </w:rPr>
        <w:t>The medium-term inflation</w:t>
      </w:r>
      <w:r>
        <w:rPr>
          <w:b/>
          <w:color w:val="009483"/>
          <w:spacing w:val="-3"/>
          <w:sz w:val="28"/>
          <w:u w:val="thick" w:color="0093C1"/>
        </w:rPr>
        <w:t> </w:t>
      </w:r>
      <w:r>
        <w:rPr>
          <w:b/>
          <w:color w:val="009483"/>
          <w:sz w:val="28"/>
          <w:u w:val="thick" w:color="0093C1"/>
        </w:rPr>
        <w:t>projection</w:t>
      </w:r>
      <w:r>
        <w:rPr>
          <w:b/>
          <w:color w:val="009483"/>
          <w:spacing w:val="-12"/>
          <w:sz w:val="28"/>
          <w:u w:val="thick" w:color="0093C1"/>
        </w:rPr>
        <w:t> </w:t>
      </w:r>
    </w:p>
    <w:p>
      <w:pPr>
        <w:spacing w:line="242" w:lineRule="auto" w:before="264"/>
        <w:ind w:left="4985" w:right="174" w:firstLine="0"/>
        <w:jc w:val="left"/>
        <w:rPr>
          <w:sz w:val="16"/>
        </w:rPr>
      </w:pPr>
      <w:r>
        <w:rPr>
          <w:color w:val="231F20"/>
          <w:sz w:val="24"/>
        </w:rPr>
        <w:t>Output growth of 0.5% in the second quarter was a little stronger than envisaged in the central case of the May </w:t>
      </w:r>
      <w:r>
        <w:rPr>
          <w:i/>
          <w:color w:val="231F20"/>
          <w:sz w:val="24"/>
        </w:rPr>
        <w:t>Inflation Report </w:t>
      </w:r>
      <w:r>
        <w:rPr>
          <w:color w:val="231F20"/>
          <w:sz w:val="24"/>
        </w:rPr>
        <w:t>projection, largely because of the volatile energy component. The GDP figures, together with recent survey evidence, suggest that output growth slowed to around trend in the first half of the year, reflecting both a fall in net exports, and also a decline in the growth of final domestic demand.</w:t>
      </w:r>
      <w:r>
        <w:rPr>
          <w:color w:val="231F20"/>
          <w:position w:val="5"/>
          <w:sz w:val="16"/>
        </w:rPr>
        <w:t>(1)</w:t>
      </w:r>
    </w:p>
    <w:p>
      <w:pPr>
        <w:pStyle w:val="BodyText"/>
        <w:spacing w:before="3"/>
        <w:rPr>
          <w:sz w:val="25"/>
        </w:rPr>
      </w:pPr>
    </w:p>
    <w:p>
      <w:pPr>
        <w:spacing w:line="242" w:lineRule="auto" w:before="0"/>
        <w:ind w:left="4985" w:right="221" w:firstLine="0"/>
        <w:jc w:val="left"/>
        <w:rPr>
          <w:sz w:val="24"/>
        </w:rPr>
      </w:pPr>
      <w:r>
        <w:rPr>
          <w:color w:val="231F20"/>
          <w:sz w:val="24"/>
        </w:rPr>
        <w:t>The signs that domestic demand growth is slowing are clearer than at the time of the May </w:t>
      </w:r>
      <w:r>
        <w:rPr>
          <w:i/>
          <w:color w:val="231F20"/>
          <w:sz w:val="24"/>
        </w:rPr>
        <w:t>Report</w:t>
      </w:r>
      <w:r>
        <w:rPr>
          <w:color w:val="231F20"/>
          <w:sz w:val="24"/>
        </w:rPr>
        <w:t>. As to factors that influence demand, the MPC has assumed in the central projection that equity wealth will grow in line with nominal GDP over the forecast period. Despite the fall in equity prices since the May </w:t>
      </w:r>
      <w:r>
        <w:rPr>
          <w:i/>
          <w:color w:val="231F20"/>
          <w:sz w:val="24"/>
        </w:rPr>
        <w:t>Report</w:t>
      </w:r>
      <w:r>
        <w:rPr>
          <w:color w:val="231F20"/>
          <w:sz w:val="24"/>
        </w:rPr>
        <w:t>, past rises in</w:t>
      </w:r>
    </w:p>
    <w:p>
      <w:pPr>
        <w:pStyle w:val="BodyText"/>
        <w:spacing w:before="7"/>
      </w:pPr>
      <w:r>
        <w:rPr/>
        <w:pict>
          <v:shape style="position:absolute;margin-left:279pt;margin-top:12.777139pt;width:278.25pt;height:.1pt;mso-position-horizontal-relative:page;mso-position-vertical-relative:paragraph;z-index:-15369216;mso-wrap-distance-left:0;mso-wrap-distance-right:0" coordorigin="5580,256" coordsize="5565,0" path="m5580,256l11145,256e" filled="false" stroked="true" strokeweight=".125pt" strokecolor="#231f20">
            <v:path arrowok="t"/>
            <v:stroke dashstyle="solid"/>
            <w10:wrap type="topAndBottom"/>
          </v:shape>
        </w:pict>
      </w:r>
    </w:p>
    <w:p>
      <w:pPr>
        <w:spacing w:line="208" w:lineRule="auto" w:before="21"/>
        <w:ind w:left="5220" w:right="961" w:hanging="240"/>
        <w:jc w:val="left"/>
        <w:rPr>
          <w:sz w:val="16"/>
        </w:rPr>
      </w:pPr>
      <w:r>
        <w:rPr>
          <w:color w:val="231F20"/>
          <w:sz w:val="16"/>
        </w:rPr>
        <w:t>(1) The forthcoming changes to the National Accounts (see page 16) will mean that the MPC will face a new set of figures by the time of the November </w:t>
      </w:r>
      <w:r>
        <w:rPr>
          <w:i/>
          <w:color w:val="231F20"/>
          <w:sz w:val="16"/>
        </w:rPr>
        <w:t>Report</w:t>
      </w:r>
      <w:r>
        <w:rPr>
          <w:color w:val="231F20"/>
          <w:sz w:val="16"/>
        </w:rPr>
        <w:t>. But no estimates are currently available, so the projections make no allowance for this.</w:t>
      </w:r>
    </w:p>
    <w:p>
      <w:pPr>
        <w:spacing w:after="0" w:line="208" w:lineRule="auto"/>
        <w:jc w:val="left"/>
        <w:rPr>
          <w:sz w:val="16"/>
        </w:rPr>
        <w:sectPr>
          <w:pgSz w:w="11900" w:h="16840"/>
          <w:pgMar w:header="566" w:footer="597" w:top="760" w:bottom="780" w:left="620" w:right="640"/>
        </w:sectPr>
      </w:pPr>
    </w:p>
    <w:p>
      <w:pPr>
        <w:pStyle w:val="BodyText"/>
        <w:rPr>
          <w:sz w:val="20"/>
        </w:rPr>
      </w:pPr>
    </w:p>
    <w:p>
      <w:pPr>
        <w:pStyle w:val="Heading4"/>
        <w:spacing w:line="242" w:lineRule="auto" w:before="207"/>
        <w:ind w:left="4980" w:right="83"/>
      </w:pPr>
      <w:r>
        <w:rPr>
          <w:color w:val="231F20"/>
        </w:rPr>
        <w:t>equity wealth will still support consumption growth for some time to come, though they will have less effect as the forecast period progresses. And notwithstanding higher unemployment, robust real labour income is likely to moderate the fall in consumption growth.</w:t>
      </w:r>
    </w:p>
    <w:p>
      <w:pPr>
        <w:pStyle w:val="BodyText"/>
        <w:spacing w:before="10"/>
        <w:rPr>
          <w:sz w:val="24"/>
        </w:rPr>
      </w:pPr>
    </w:p>
    <w:p>
      <w:pPr>
        <w:spacing w:line="242" w:lineRule="auto" w:before="0"/>
        <w:ind w:left="4980" w:right="108" w:firstLine="0"/>
        <w:jc w:val="left"/>
        <w:rPr>
          <w:sz w:val="24"/>
        </w:rPr>
      </w:pPr>
      <w:r>
        <w:rPr>
          <w:color w:val="231F20"/>
          <w:sz w:val="24"/>
        </w:rPr>
        <w:t>Revisions to the official investment figures prior to the May </w:t>
      </w:r>
      <w:r>
        <w:rPr>
          <w:i/>
          <w:color w:val="231F20"/>
          <w:sz w:val="24"/>
        </w:rPr>
        <w:t>Report </w:t>
      </w:r>
      <w:r>
        <w:rPr>
          <w:color w:val="231F20"/>
          <w:sz w:val="24"/>
        </w:rPr>
        <w:t>meant that the path for investment through 1996 and 1997 looked stronger, and therefore less puzzling, than previously thought. The MPC has reassessed the likely future profile for private investment in the light of recent news of weaker investment intentions and companies’ cash flow. The MPC’s judgment is that investment will be considerably weaker than projected three months ago, which materially affects the outlook for final demand.</w:t>
      </w:r>
    </w:p>
    <w:p>
      <w:pPr>
        <w:pStyle w:val="BodyText"/>
        <w:spacing w:before="8"/>
        <w:rPr>
          <w:sz w:val="17"/>
        </w:rPr>
      </w:pPr>
    </w:p>
    <w:p>
      <w:pPr>
        <w:spacing w:after="0"/>
        <w:rPr>
          <w:sz w:val="17"/>
        </w:rPr>
        <w:sectPr>
          <w:headerReference w:type="even" r:id="rId91"/>
          <w:headerReference w:type="default" r:id="rId92"/>
          <w:footerReference w:type="even" r:id="rId93"/>
          <w:footerReference w:type="default" r:id="rId94"/>
          <w:pgSz w:w="11900" w:h="16840"/>
          <w:pgMar w:header="566" w:footer="954" w:top="760" w:bottom="1140" w:left="620" w:right="640"/>
          <w:pgNumType w:start="48"/>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29"/>
        </w:rPr>
      </w:pPr>
    </w:p>
    <w:p>
      <w:pPr>
        <w:pStyle w:val="Heading8"/>
        <w:spacing w:before="1"/>
        <w:ind w:left="214"/>
      </w:pPr>
      <w:r>
        <w:rPr>
          <w:color w:val="0093C1"/>
        </w:rPr>
        <w:t>Chart 6.1</w:t>
      </w:r>
    </w:p>
    <w:p>
      <w:pPr>
        <w:spacing w:line="249" w:lineRule="auto" w:before="10"/>
        <w:ind w:left="214" w:right="20" w:firstLine="0"/>
        <w:jc w:val="left"/>
        <w:rPr>
          <w:b/>
          <w:sz w:val="20"/>
        </w:rPr>
      </w:pPr>
      <w:r>
        <w:rPr>
          <w:b/>
          <w:color w:val="0093C1"/>
          <w:sz w:val="20"/>
        </w:rPr>
        <w:t>Current GDP projection based on constant nominal interest rates</w:t>
      </w:r>
    </w:p>
    <w:p>
      <w:pPr>
        <w:spacing w:line="101" w:lineRule="exact" w:before="100"/>
        <w:ind w:left="1340" w:right="0" w:firstLine="0"/>
        <w:jc w:val="left"/>
        <w:rPr>
          <w:sz w:val="12"/>
        </w:rPr>
      </w:pPr>
      <w:r>
        <w:rPr/>
        <w:pict>
          <v:line style="position:absolute;mso-position-horizontal-relative:page;mso-position-vertical-relative:paragraph;z-index:16095232" from="203.720001pt,13.517961pt" to="208.387001pt,13.517961pt" stroked="true" strokeweight=".5pt" strokecolor="#000000">
            <v:stroke dashstyle="solid"/>
            <w10:wrap type="none"/>
          </v:line>
        </w:pict>
      </w:r>
      <w:r>
        <w:rPr>
          <w:sz w:val="12"/>
        </w:rPr>
        <w:t>Percentage increase in output on a year earlier</w:t>
      </w:r>
    </w:p>
    <w:p>
      <w:pPr>
        <w:pStyle w:val="Heading4"/>
        <w:spacing w:line="242" w:lineRule="auto" w:before="90"/>
        <w:ind w:left="214" w:right="159"/>
      </w:pPr>
      <w:r>
        <w:rPr/>
        <w:br w:type="column"/>
      </w:r>
      <w:r>
        <w:rPr>
          <w:color w:val="231F20"/>
        </w:rPr>
        <w:t>Net exports fell sharply in the first quarter. The monthly trade data suggest a further fall in the second quarter, but possibly not quite as marked. The </w:t>
      </w:r>
      <w:r>
        <w:rPr>
          <w:color w:val="231F20"/>
          <w:spacing w:val="-3"/>
        </w:rPr>
        <w:t>MPC’s </w:t>
      </w:r>
      <w:r>
        <w:rPr>
          <w:color w:val="231F20"/>
        </w:rPr>
        <w:t>central projection is for further falls, as effects from Asia and the past appreciation of sterling continue to feed </w:t>
      </w:r>
      <w:r>
        <w:rPr>
          <w:color w:val="231F20"/>
          <w:spacing w:val="-3"/>
        </w:rPr>
        <w:t>through. </w:t>
      </w:r>
      <w:r>
        <w:rPr>
          <w:color w:val="231F20"/>
        </w:rPr>
        <w:t>The prospect is for slightly lower growth in the major six overseas economies than projected in </w:t>
      </w:r>
      <w:r>
        <w:rPr>
          <w:color w:val="231F20"/>
          <w:spacing w:val="-4"/>
        </w:rPr>
        <w:t>May.  </w:t>
      </w:r>
      <w:r>
        <w:rPr>
          <w:color w:val="231F20"/>
        </w:rPr>
        <w:t>But the effect on UK net trade is more than offset by a lower profile for sterling and weaker domestic demand; the current account balance is nevertheless expected to move from a surplus of about </w:t>
      </w:r>
      <w:r>
        <w:rPr>
          <w:color w:val="231F20"/>
          <w:position w:val="8"/>
          <w:sz w:val="12"/>
        </w:rPr>
        <w:t>3</w:t>
      </w:r>
      <w:r>
        <w:rPr>
          <w:color w:val="231F20"/>
        </w:rPr>
        <w:t>/</w:t>
      </w:r>
      <w:r>
        <w:rPr>
          <w:color w:val="231F20"/>
          <w:sz w:val="12"/>
        </w:rPr>
        <w:t>4</w:t>
      </w:r>
      <w:r>
        <w:rPr>
          <w:color w:val="231F20"/>
        </w:rPr>
        <w:t>% of GDP in 1997 to a deficit of about 1</w:t>
      </w:r>
      <w:r>
        <w:rPr>
          <w:color w:val="231F20"/>
          <w:position w:val="8"/>
          <w:sz w:val="12"/>
        </w:rPr>
        <w:t>3</w:t>
      </w:r>
      <w:r>
        <w:rPr>
          <w:color w:val="231F20"/>
        </w:rPr>
        <w:t>/</w:t>
      </w:r>
      <w:r>
        <w:rPr>
          <w:color w:val="231F20"/>
          <w:sz w:val="12"/>
        </w:rPr>
        <w:t>4</w:t>
      </w:r>
      <w:r>
        <w:rPr>
          <w:color w:val="231F20"/>
        </w:rPr>
        <w:t>% of GDP in 1998. On balance, the MPC thinks that the risks to net trade are on the</w:t>
      </w:r>
      <w:r>
        <w:rPr>
          <w:color w:val="231F20"/>
          <w:spacing w:val="-4"/>
        </w:rPr>
        <w:t> </w:t>
      </w:r>
      <w:r>
        <w:rPr>
          <w:color w:val="231F20"/>
        </w:rPr>
        <w:t>downside.</w:t>
      </w:r>
    </w:p>
    <w:p>
      <w:pPr>
        <w:pStyle w:val="BodyText"/>
        <w:spacing w:before="8"/>
        <w:rPr>
          <w:sz w:val="25"/>
        </w:rPr>
      </w:pPr>
    </w:p>
    <w:p>
      <w:pPr>
        <w:spacing w:before="0"/>
        <w:ind w:left="214" w:right="0" w:firstLine="0"/>
        <w:jc w:val="left"/>
        <w:rPr>
          <w:sz w:val="24"/>
        </w:rPr>
      </w:pPr>
      <w:r>
        <w:rPr>
          <w:color w:val="231F20"/>
          <w:sz w:val="24"/>
        </w:rPr>
        <w:t>The immediate prospect is for somewhat weaker GDP</w:t>
      </w:r>
    </w:p>
    <w:p>
      <w:pPr>
        <w:spacing w:after="0"/>
        <w:jc w:val="left"/>
        <w:rPr>
          <w:sz w:val="24"/>
        </w:rPr>
        <w:sectPr>
          <w:type w:val="continuous"/>
          <w:pgSz w:w="11900" w:h="16840"/>
          <w:pgMar w:top="1220" w:bottom="280" w:left="620" w:right="640"/>
          <w:cols w:num="2" w:equalWidth="0">
            <w:col w:w="3927" w:space="839"/>
            <w:col w:w="5874"/>
          </w:cols>
        </w:sectPr>
      </w:pPr>
    </w:p>
    <w:p>
      <w:pPr>
        <w:pStyle w:val="BodyText"/>
        <w:spacing w:before="1"/>
        <w:rPr>
          <w:sz w:val="6"/>
        </w:rPr>
      </w:pPr>
    </w:p>
    <w:p>
      <w:pPr>
        <w:pStyle w:val="BodyText"/>
        <w:spacing w:line="20" w:lineRule="exact"/>
        <w:ind w:left="385"/>
        <w:rPr>
          <w:sz w:val="2"/>
        </w:rPr>
      </w:pPr>
      <w:r>
        <w:rPr>
          <w:sz w:val="2"/>
        </w:rPr>
        <w:pict>
          <v:group style="width:3.7pt;height:.5pt;mso-position-horizontal-relative:char;mso-position-vertical-relative:line" coordorigin="0,0" coordsize="74,10">
            <v:line style="position:absolute" from="0,5" to="74,5" stroked="true" strokeweight=".5pt" strokecolor="#231f20">
              <v:stroke dashstyle="solid"/>
            </v:line>
          </v:group>
        </w:pict>
      </w:r>
      <w:r>
        <w:rPr>
          <w:sz w:val="2"/>
        </w:rPr>
      </w:r>
    </w:p>
    <w:p>
      <w:pPr>
        <w:pStyle w:val="BodyText"/>
        <w:rPr>
          <w:sz w:val="20"/>
        </w:rPr>
      </w:pPr>
    </w:p>
    <w:p>
      <w:pPr>
        <w:pStyle w:val="BodyText"/>
        <w:spacing w:before="5"/>
        <w:rPr>
          <w:sz w:val="11"/>
        </w:rPr>
      </w:pPr>
      <w:r>
        <w:rPr/>
        <w:pict>
          <v:shape style="position:absolute;margin-left:50.720001pt;margin-top:8.779767pt;width:3.7pt;height:.1pt;mso-position-horizontal-relative:page;mso-position-vertical-relative:paragraph;z-index:-15368192;mso-wrap-distance-left:0;mso-wrap-distance-right:0" coordorigin="1014,176" coordsize="74,0" path="m1014,176l1088,176e" filled="false" stroked="true" strokeweight=".5pt" strokecolor="#231f20">
            <v:path arrowok="t"/>
            <v:stroke dashstyle="solid"/>
            <w10:wrap type="topAndBottom"/>
          </v:shape>
        </w:pic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4"/>
        <w:rPr>
          <w:sz w:val="16"/>
        </w:rPr>
      </w:pPr>
    </w:p>
    <w:p>
      <w:pPr>
        <w:spacing w:before="0"/>
        <w:ind w:left="0" w:right="0" w:firstLine="0"/>
        <w:jc w:val="right"/>
        <w:rPr>
          <w:sz w:val="12"/>
        </w:rPr>
      </w:pPr>
      <w:r>
        <w:rPr>
          <w:color w:val="231F20"/>
          <w:sz w:val="12"/>
        </w:rPr>
        <w:t>1994</w:t>
      </w:r>
    </w:p>
    <w:p>
      <w:pPr>
        <w:pStyle w:val="BodyText"/>
        <w:rPr>
          <w:sz w:val="14"/>
        </w:rPr>
      </w:pPr>
      <w:r>
        <w:rPr/>
        <w:br w:type="column"/>
      </w:r>
      <w:r>
        <w:rPr>
          <w:sz w:val="14"/>
        </w:rPr>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10"/>
        <w:rPr>
          <w:sz w:val="13"/>
        </w:rPr>
      </w:pPr>
    </w:p>
    <w:p>
      <w:pPr>
        <w:tabs>
          <w:tab w:pos="712" w:val="left" w:leader="none"/>
          <w:tab w:pos="1121" w:val="left" w:leader="none"/>
        </w:tabs>
        <w:spacing w:before="0"/>
        <w:ind w:left="266" w:right="0" w:firstLine="0"/>
        <w:jc w:val="left"/>
        <w:rPr>
          <w:sz w:val="12"/>
        </w:rPr>
      </w:pPr>
      <w:r>
        <w:rPr>
          <w:color w:val="231F20"/>
          <w:sz w:val="12"/>
        </w:rPr>
        <w:t>95</w:t>
        <w:tab/>
        <w:t>96</w:t>
        <w:tab/>
      </w:r>
      <w:r>
        <w:rPr>
          <w:color w:val="231F20"/>
          <w:spacing w:val="-10"/>
          <w:position w:val="2"/>
          <w:sz w:val="12"/>
        </w:rPr>
        <w:t>97</w:t>
      </w:r>
    </w:p>
    <w:p>
      <w:pPr>
        <w:pStyle w:val="BodyText"/>
        <w:rPr>
          <w:sz w:val="14"/>
        </w:rPr>
      </w:pPr>
      <w:r>
        <w:rPr/>
        <w:br w:type="column"/>
      </w:r>
      <w:r>
        <w:rPr>
          <w:sz w:val="14"/>
        </w:rPr>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8"/>
        <w:rPr>
          <w:sz w:val="14"/>
        </w:rPr>
      </w:pPr>
    </w:p>
    <w:p>
      <w:pPr>
        <w:tabs>
          <w:tab w:pos="682" w:val="left" w:leader="none"/>
        </w:tabs>
        <w:spacing w:before="1"/>
        <w:ind w:left="271" w:right="0" w:firstLine="0"/>
        <w:jc w:val="left"/>
        <w:rPr>
          <w:sz w:val="12"/>
        </w:rPr>
      </w:pPr>
      <w:r>
        <w:rPr>
          <w:color w:val="231F20"/>
          <w:sz w:val="12"/>
        </w:rPr>
        <w:t>98</w:t>
        <w:tab/>
      </w:r>
      <w:r>
        <w:rPr>
          <w:color w:val="231F20"/>
          <w:spacing w:val="-10"/>
          <w:position w:val="1"/>
          <w:sz w:val="12"/>
        </w:rPr>
        <w:t>99</w:t>
      </w:r>
    </w:p>
    <w:p>
      <w:pPr>
        <w:spacing w:line="134" w:lineRule="exact" w:before="0"/>
        <w:ind w:left="635" w:right="0" w:firstLine="0"/>
        <w:jc w:val="left"/>
        <w:rPr>
          <w:sz w:val="12"/>
        </w:rPr>
      </w:pPr>
      <w:r>
        <w:rPr/>
        <w:br w:type="column"/>
      </w:r>
      <w:r>
        <w:rPr>
          <w:sz w:val="12"/>
        </w:rPr>
        <w:t>6</w:t>
      </w:r>
    </w:p>
    <w:p>
      <w:pPr>
        <w:pStyle w:val="BodyText"/>
        <w:rPr>
          <w:sz w:val="12"/>
        </w:rPr>
      </w:pPr>
    </w:p>
    <w:p>
      <w:pPr>
        <w:pStyle w:val="BodyText"/>
        <w:spacing w:before="1"/>
        <w:rPr>
          <w:sz w:val="12"/>
        </w:rPr>
      </w:pPr>
    </w:p>
    <w:p>
      <w:pPr>
        <w:spacing w:before="0"/>
        <w:ind w:left="619" w:right="0" w:firstLine="0"/>
        <w:jc w:val="left"/>
        <w:rPr>
          <w:sz w:val="12"/>
        </w:rPr>
      </w:pPr>
      <w:r>
        <w:rPr/>
        <w:pict>
          <v:group style="position:absolute;margin-left:50.720001pt;margin-top:4.770548pt;width:165.6pt;height:128.9pt;mso-position-horizontal-relative:page;mso-position-vertical-relative:paragraph;z-index:-20833792" coordorigin="1014,95" coordsize="3312,2578">
            <v:shape style="position:absolute;left:3020;top:175;width:987;height:2300" coordorigin="3021,175" coordsize="987,2300" path="m4007,175l3898,381,3788,609,3678,745,3569,935,3459,1025,3350,1001,3240,985,3130,1003,3021,1112,3130,1753,3240,2069,3350,2281,3459,2444,3569,2461,3678,2455,3788,2475,3898,2381,4007,2294,4007,175xe" filled="true" fillcolor="#dbeae4" stroked="false">
              <v:path arrowok="t"/>
              <v:fill type="solid"/>
            </v:shape>
            <v:shape style="position:absolute;left:3020;top:397;width:987;height:1889" coordorigin="3021,398" coordsize="987,1889" path="m4007,398l3898,590,3788,804,3678,924,3569,1094,3459,1173,3350,1134,3230,1098,3120,1082,3021,1114,3120,1668,3240,1945,3350,2134,3459,2282,3569,2286,3678,2258,3788,2258,3898,2148,4007,2047,4007,398xe" filled="true" fillcolor="#bfdbcf" stroked="false">
              <v:path arrowok="t"/>
              <v:fill type="solid"/>
            </v:shape>
            <v:shape style="position:absolute;left:3020;top:545;width:987;height:1627" coordorigin="3021,545" coordsize="987,1627" path="m4007,545l3898,730,3788,936,3678,1045,3569,1203,3459,1275,3350,1227,3230,1177,3120,1138,3021,1118,3120,1611,3230,1862,3350,2035,3459,2171,3569,2167,3678,2124,3788,2113,3898,1992,4007,1881,4007,545xe" filled="true" fillcolor="#a4cdbd" stroked="false">
              <v:path arrowok="t"/>
              <v:fill type="solid"/>
            </v:shape>
            <v:shape style="position:absolute;left:3020;top:661;width:987;height:1418" coordorigin="3021,661" coordsize="987,1418" path="m4007,661l3898,840,3788,1037,3678,1138,3569,1285,3459,1352,3350,1295,3230,1235,3120,1177,3021,1116,3120,1561,3230,1791,3350,1951,3459,2079,3569,2068,3678,2014,3788,1994,3898,1865,4007,1748,4007,661xe" filled="true" fillcolor="#8abfab" stroked="false">
              <v:path arrowok="t"/>
              <v:fill type="solid"/>
            </v:shape>
            <v:shape style="position:absolute;left:3020;top:758;width:987;height:1246" coordorigin="3021,758" coordsize="987,1246" path="m4007,758l3898,932,3788,1125,3678,1220,3569,1361,3459,1422,3350,1359,3230,1288,3120,1214,3021,1115,3120,1521,3230,1733,3350,1883,3459,2003,3569,1987,3678,1922,3788,1891,3898,1754,4007,1629,4007,758xe" filled="true" fillcolor="#6fb39a" stroked="false">
              <v:path arrowok="t"/>
              <v:fill type="solid"/>
            </v:shape>
            <v:shape style="position:absolute;left:3020;top:850;width:987;height:1086" coordorigin="3021,851" coordsize="987,1086" path="m4007,851l3898,1019,3788,1205,3678,1292,3569,1424,3459,1481,3350,1412,3230,1333,3120,1245,3021,1115,3120,1486,3230,1682,3350,1823,3459,1936,3569,1915,3678,1840,3788,1802,3898,1658,4007,1527,4007,851xe" filled="true" fillcolor="#53a78b" stroked="false">
              <v:path arrowok="t"/>
              <v:fill type="solid"/>
            </v:shape>
            <v:shape style="position:absolute;left:3020;top:932;width:987;height:939" coordorigin="3021,933" coordsize="987,939" path="m4007,933l3898,1097,3788,1278,3678,1359,3569,1485,3459,1537,3350,1463,3230,1377,3120,1275,3021,1117,3120,1452,3230,1632,3350,1764,3459,1871,3569,1845,3678,1762,3788,1717,3898,1568,4007,1432,4007,933xe" filled="true" fillcolor="#309d7d" stroked="false">
              <v:path arrowok="t"/>
              <v:fill type="solid"/>
            </v:shape>
            <v:shape style="position:absolute;left:3020;top:1010;width:987;height:800" coordorigin="3021,1010" coordsize="987,800" path="m4007,1010l3898,1170,3788,1347,3678,1422,3569,1542,3459,1589,3350,1510,3230,1416,3120,1302,3021,1114,3120,1418,3230,1584,3350,1708,3459,1809,3569,1778,3678,1688,3788,1637,3898,1481,4007,1340,4007,1010xe" filled="true" fillcolor="#00936f" stroked="false">
              <v:path arrowok="t"/>
              <v:fill type="solid"/>
            </v:shape>
            <v:shape style="position:absolute;left:3020;top:1087;width:987;height:665" coordorigin="3021,1088" coordsize="987,665" path="m4007,1088l3898,1243,3788,1415,3678,1485,3569,1598,3459,1642,3350,1557,3230,1457,3120,1330,3021,1115,3120,1388,3230,1541,3350,1656,3459,1752,3569,1716,3678,1618,3788,1560,3898,1399,4007,1253,4007,1088xe" filled="true" fillcolor="#008256" stroked="false">
              <v:path arrowok="t"/>
              <v:fill type="solid"/>
            </v:shape>
            <v:shape style="position:absolute;left:1014;top:507;width:2997;height:2126" coordorigin="1014,508" coordsize="2997,2126" path="m1148,2625l4011,2625m1148,2622l1148,2517m1265,2629l1265,2555m1375,2629l1375,2555m1485,2629l1485,2555m1594,2629l1594,2517m1704,2629l1704,2555m1813,2629l1813,2555m1923,2629l1923,2555m2033,2621l2033,2517m2142,2629l2142,2555m2252,2629l2252,2555m2362,2629l2362,2555m2471,2624l2471,2517m2581,2629l2581,2555m2690,2629l2690,2555m2800,2629l2800,2555m2910,2626l2910,2517m3019,2629l3019,2555m3129,2629l3129,2555m3239,2629l3239,2555m3348,2627l3348,2517m3458,2629l3458,2555m3567,2629l3567,2555m3677,2633l3677,2559m3788,2623l3788,2517m1014,2622l1088,2622m1014,2199l1088,2199m1014,1776l1088,1776m1014,1353l1088,1353m1014,931l1088,931m1014,508l1088,508e" filled="false" stroked="true" strokeweight=".5pt" strokecolor="#231f20">
              <v:path arrowok="t"/>
              <v:stroke dashstyle="solid"/>
            </v:shape>
            <v:shape style="position:absolute;left:1157;top:105;width:220;height:589" coordorigin="1157,105" coordsize="220,589" path="m1267,292l1157,694m1376,105l1267,292e" filled="false" stroked="true" strokeweight="1pt" strokecolor="#008256">
              <v:path arrowok="t"/>
              <v:stroke dashstyle="solid"/>
            </v:shape>
            <v:line style="position:absolute" from="1366,107" to="1496,107" stroked="true" strokeweight="1.195pt" strokecolor="#008256">
              <v:stroke dashstyle="solid"/>
            </v:line>
            <v:shape style="position:absolute;left:1485;top:109;width:1316;height:1232" coordorigin="1486,109" coordsize="1316,1232" path="m1596,501l1486,109m1705,985l1596,501m1815,1301l1705,985m1924,1341l1815,1301m2034,1313l1924,1341m2144,1192l2034,1313m2253,1161l2144,1192m2363,986l2253,1161m2473,1036l2363,986m2582,871l2473,1036m2692,745l2582,871m2802,953l2692,745e" filled="false" stroked="true" strokeweight="1pt" strokecolor="#008256">
              <v:path arrowok="t"/>
              <v:stroke dashstyle="solid"/>
            </v:shape>
            <v:line style="position:absolute" from="2792,951" to="2921,951" stroked="true" strokeweight="1.291pt" strokecolor="#008256">
              <v:stroke dashstyle="solid"/>
            </v:line>
            <v:line style="position:absolute" from="3021,1117" to="2911,948" stroked="true" strokeweight="1pt" strokecolor="#008256">
              <v:stroke dashstyle="solid"/>
            </v:line>
            <v:shape style="position:absolute;left:1164;top:2192;width:3004;height:436" coordorigin="1165,2193" coordsize="3004,436" path="m4002,2628l4002,2555m1165,2195l4005,2195m4086,2193l4160,2193m3901,2624l3901,2544m4094,2624l4168,2624e" filled="false" stroked="true" strokeweight=".5pt" strokecolor="#000000">
              <v:path arrowok="t"/>
              <v:stroke dashstyle="solid"/>
            </v:shape>
            <v:shape style="position:absolute;left:4245;top:445;width:80;height:1388" type="#_x0000_t202" filled="false" stroked="false">
              <v:textbox inset="0,0,0,0">
                <w:txbxContent>
                  <w:p>
                    <w:pPr>
                      <w:spacing w:line="133" w:lineRule="exact" w:before="0"/>
                      <w:ind w:left="0" w:right="0" w:firstLine="0"/>
                      <w:jc w:val="left"/>
                      <w:rPr>
                        <w:sz w:val="12"/>
                      </w:rPr>
                    </w:pPr>
                    <w:r>
                      <w:rPr>
                        <w:sz w:val="12"/>
                      </w:rPr>
                      <w:t>4</w:t>
                    </w:r>
                  </w:p>
                  <w:p>
                    <w:pPr>
                      <w:spacing w:line="240" w:lineRule="auto" w:before="0"/>
                      <w:rPr>
                        <w:sz w:val="12"/>
                      </w:rPr>
                    </w:pPr>
                  </w:p>
                  <w:p>
                    <w:pPr>
                      <w:spacing w:line="240" w:lineRule="auto" w:before="1"/>
                      <w:rPr>
                        <w:sz w:val="12"/>
                      </w:rPr>
                    </w:pPr>
                  </w:p>
                  <w:p>
                    <w:pPr>
                      <w:spacing w:before="0"/>
                      <w:ind w:left="0" w:right="0" w:firstLine="0"/>
                      <w:jc w:val="left"/>
                      <w:rPr>
                        <w:sz w:val="12"/>
                      </w:rPr>
                    </w:pPr>
                    <w:r>
                      <w:rPr>
                        <w:sz w:val="12"/>
                      </w:rPr>
                      <w:t>3</w:t>
                    </w:r>
                  </w:p>
                  <w:p>
                    <w:pPr>
                      <w:spacing w:line="240" w:lineRule="auto" w:before="0"/>
                      <w:rPr>
                        <w:sz w:val="12"/>
                      </w:rPr>
                    </w:pPr>
                  </w:p>
                  <w:p>
                    <w:pPr>
                      <w:spacing w:line="240" w:lineRule="auto" w:before="11"/>
                      <w:rPr>
                        <w:sz w:val="12"/>
                      </w:rPr>
                    </w:pPr>
                  </w:p>
                  <w:p>
                    <w:pPr>
                      <w:spacing w:before="0"/>
                      <w:ind w:left="0" w:right="0" w:firstLine="0"/>
                      <w:jc w:val="left"/>
                      <w:rPr>
                        <w:sz w:val="12"/>
                      </w:rPr>
                    </w:pPr>
                    <w:r>
                      <w:rPr>
                        <w:sz w:val="12"/>
                      </w:rPr>
                      <w:t>2</w:t>
                    </w:r>
                  </w:p>
                  <w:p>
                    <w:pPr>
                      <w:spacing w:line="240" w:lineRule="auto" w:before="0"/>
                      <w:rPr>
                        <w:sz w:val="12"/>
                      </w:rPr>
                    </w:pPr>
                  </w:p>
                  <w:p>
                    <w:pPr>
                      <w:spacing w:line="240" w:lineRule="auto" w:before="1"/>
                      <w:rPr>
                        <w:sz w:val="12"/>
                      </w:rPr>
                    </w:pPr>
                  </w:p>
                  <w:p>
                    <w:pPr>
                      <w:spacing w:before="0"/>
                      <w:ind w:left="0" w:right="0" w:firstLine="0"/>
                      <w:jc w:val="left"/>
                      <w:rPr>
                        <w:sz w:val="12"/>
                      </w:rPr>
                    </w:pPr>
                    <w:r>
                      <w:rPr>
                        <w:sz w:val="12"/>
                      </w:rPr>
                      <w:t>1</w:t>
                    </w:r>
                  </w:p>
                </w:txbxContent>
              </v:textbox>
              <w10:wrap type="none"/>
            </v:shape>
            <v:shape style="position:absolute;left:4143;top:1859;width:111;height:178" type="#_x0000_t202" filled="false" stroked="false">
              <v:textbox inset="0,0,0,0">
                <w:txbxContent>
                  <w:p>
                    <w:pPr>
                      <w:spacing w:line="177" w:lineRule="exact" w:before="0"/>
                      <w:ind w:left="0" w:right="0" w:firstLine="0"/>
                      <w:jc w:val="left"/>
                      <w:rPr>
                        <w:sz w:val="16"/>
                      </w:rPr>
                    </w:pPr>
                    <w:r>
                      <w:rPr>
                        <w:sz w:val="16"/>
                      </w:rPr>
                      <w:t>+</w:t>
                    </w:r>
                  </w:p>
                </w:txbxContent>
              </v:textbox>
              <w10:wrap type="none"/>
            </v:shape>
            <v:shape style="position:absolute;left:4245;top:2130;width:80;height:133" type="#_x0000_t202" filled="false" stroked="false">
              <v:textbox inset="0,0,0,0">
                <w:txbxContent>
                  <w:p>
                    <w:pPr>
                      <w:spacing w:line="133" w:lineRule="exact" w:before="0"/>
                      <w:ind w:left="0" w:right="0" w:firstLine="0"/>
                      <w:jc w:val="left"/>
                      <w:rPr>
                        <w:sz w:val="12"/>
                      </w:rPr>
                    </w:pPr>
                    <w:r>
                      <w:rPr>
                        <w:sz w:val="12"/>
                      </w:rPr>
                      <w:t>0</w:t>
                    </w:r>
                  </w:p>
                </w:txbxContent>
              </v:textbox>
              <w10:wrap type="none"/>
            </v:shape>
            <v:shape style="position:absolute;left:4143;top:2239;width:100;height:178" type="#_x0000_t202" filled="false" stroked="false">
              <v:textbox inset="0,0,0,0">
                <w:txbxContent>
                  <w:p>
                    <w:pPr>
                      <w:spacing w:line="177" w:lineRule="exact" w:before="0"/>
                      <w:ind w:left="0" w:right="0" w:firstLine="0"/>
                      <w:jc w:val="left"/>
                      <w:rPr>
                        <w:sz w:val="16"/>
                      </w:rPr>
                    </w:pPr>
                    <w:r>
                      <w:rPr>
                        <w:sz w:val="16"/>
                      </w:rPr>
                      <w:t>_</w:t>
                    </w:r>
                  </w:p>
                </w:txbxContent>
              </v:textbox>
              <w10:wrap type="none"/>
            </v:shape>
            <v:shape style="position:absolute;left:4245;top:2540;width:80;height:133" type="#_x0000_t202" filled="false" stroked="false">
              <v:textbox inset="0,0,0,0">
                <w:txbxContent>
                  <w:p>
                    <w:pPr>
                      <w:spacing w:line="133" w:lineRule="exact" w:before="0"/>
                      <w:ind w:left="0" w:right="0" w:firstLine="0"/>
                      <w:jc w:val="left"/>
                      <w:rPr>
                        <w:sz w:val="12"/>
                      </w:rPr>
                    </w:pPr>
                    <w:r>
                      <w:rPr>
                        <w:sz w:val="12"/>
                      </w:rPr>
                      <w:t>1</w:t>
                    </w:r>
                  </w:p>
                </w:txbxContent>
              </v:textbox>
              <w10:wrap type="none"/>
            </v:shape>
            <w10:wrap type="none"/>
          </v:group>
        </w:pict>
      </w:r>
      <w:r>
        <w:rPr/>
        <w:pict>
          <v:line style="position:absolute;mso-position-horizontal-relative:page;mso-position-vertical-relative:paragraph;z-index:16094720" from="204.477997pt,4.119548pt" to="208.177997pt,4.119548pt" stroked="true" strokeweight=".5pt" strokecolor="#000000">
            <v:stroke dashstyle="solid"/>
            <w10:wrap type="none"/>
          </v:line>
        </w:pict>
      </w:r>
      <w:r>
        <w:rPr>
          <w:sz w:val="12"/>
        </w:rPr>
        <w:t>5</w:t>
      </w:r>
    </w:p>
    <w:p>
      <w:pPr>
        <w:pStyle w:val="BodyText"/>
        <w:spacing w:before="1"/>
        <w:rPr>
          <w:sz w:val="28"/>
        </w:rPr>
      </w:pPr>
      <w:r>
        <w:rPr/>
        <w:pict>
          <v:shape style="position:absolute;margin-left:204.477997pt;margin-top:18.36812pt;width:3.7pt;height:.1pt;mso-position-horizontal-relative:page;mso-position-vertical-relative:paragraph;z-index:-15367680;mso-wrap-distance-left:0;mso-wrap-distance-right:0" coordorigin="4090,367" coordsize="74,0" path="m4090,367l4164,367e" filled="false" stroked="true" strokeweight=".5pt" strokecolor="#000000">
            <v:path arrowok="t"/>
            <v:stroke dashstyle="solid"/>
            <w10:wrap type="topAndBottom"/>
          </v:shape>
        </w:pict>
      </w:r>
      <w:r>
        <w:rPr/>
        <w:pict>
          <v:shape style="position:absolute;margin-left:204.477997pt;margin-top:39.51012pt;width:3.7pt;height:.1pt;mso-position-horizontal-relative:page;mso-position-vertical-relative:paragraph;z-index:-15367168;mso-wrap-distance-left:0;mso-wrap-distance-right:0" coordorigin="4090,790" coordsize="74,0" path="m4090,790l4164,790e" filled="false" stroked="true" strokeweight=".5pt" strokecolor="#000000">
            <v:path arrowok="t"/>
            <v:stroke dashstyle="solid"/>
            <w10:wrap type="topAndBottom"/>
          </v:shape>
        </w:pict>
      </w:r>
      <w:r>
        <w:rPr/>
        <w:pict>
          <v:shape style="position:absolute;margin-left:204.477997pt;margin-top:60.652119pt;width:3.7pt;height:.1pt;mso-position-horizontal-relative:page;mso-position-vertical-relative:paragraph;z-index:-15366656;mso-wrap-distance-left:0;mso-wrap-distance-right:0" coordorigin="4090,1213" coordsize="74,0" path="m4090,1213l4164,1213e" filled="false" stroked="true" strokeweight=".5pt" strokecolor="#000000">
            <v:path arrowok="t"/>
            <v:stroke dashstyle="solid"/>
            <w10:wrap type="topAndBottom"/>
          </v:shape>
        </w:pict>
      </w:r>
      <w:r>
        <w:rPr/>
        <w:pict>
          <v:shape style="position:absolute;margin-left:204.477997pt;margin-top:81.79512pt;width:3.7pt;height:.1pt;mso-position-horizontal-relative:page;mso-position-vertical-relative:paragraph;z-index:-15366144;mso-wrap-distance-left:0;mso-wrap-distance-right:0" coordorigin="4090,1636" coordsize="74,0" path="m4090,1636l4164,1636e" filled="false" stroked="true" strokeweight=".5pt" strokecolor="#000000">
            <v:path arrowok="t"/>
            <v:stroke dashstyle="solid"/>
            <w10:wrap type="topAndBottom"/>
          </v:shape>
        </w:pict>
      </w:r>
    </w:p>
    <w:p>
      <w:pPr>
        <w:pStyle w:val="BodyText"/>
        <w:spacing w:before="11"/>
        <w:rPr>
          <w:sz w:val="29"/>
        </w:rPr>
      </w:pPr>
    </w:p>
    <w:p>
      <w:pPr>
        <w:pStyle w:val="BodyText"/>
        <w:spacing w:before="11"/>
        <w:rPr>
          <w:sz w:val="29"/>
        </w:rPr>
      </w:pPr>
    </w:p>
    <w:p>
      <w:pPr>
        <w:pStyle w:val="BodyText"/>
        <w:spacing w:before="11"/>
        <w:rPr>
          <w:sz w:val="29"/>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
        <w:rPr>
          <w:sz w:val="14"/>
        </w:rPr>
      </w:pPr>
    </w:p>
    <w:p>
      <w:pPr>
        <w:spacing w:before="0"/>
        <w:ind w:left="182" w:right="0" w:firstLine="0"/>
        <w:jc w:val="left"/>
        <w:rPr>
          <w:sz w:val="12"/>
        </w:rPr>
      </w:pPr>
      <w:r>
        <w:rPr>
          <w:color w:val="231F20"/>
          <w:sz w:val="12"/>
        </w:rPr>
        <w:t>2000</w:t>
      </w:r>
    </w:p>
    <w:p>
      <w:pPr>
        <w:pStyle w:val="Heading4"/>
        <w:spacing w:line="242" w:lineRule="auto"/>
        <w:ind w:left="601" w:right="181"/>
      </w:pPr>
      <w:r>
        <w:rPr/>
        <w:br w:type="column"/>
      </w:r>
      <w:r>
        <w:rPr>
          <w:color w:val="231F20"/>
        </w:rPr>
        <w:t>growth than previously thought, because some of the downside risks to output and demand identified in May appear to be materialising. Business and consumer survey data, which until recently suggested stronger activity than official data, have in the past month or so turned down—very sharply in manufacturing industry, but also to some degree in services. But the marked deterioration of sentiment makes the future paths of demand and output particularly uncertain. The central projection is for the four-quarter growth rate of output to continue slowing until early 1999, because of both weaker net trade and weaker domestic demand growth.</w:t>
      </w:r>
    </w:p>
    <w:p>
      <w:pPr>
        <w:spacing w:after="0" w:line="242" w:lineRule="auto"/>
        <w:sectPr>
          <w:type w:val="continuous"/>
          <w:pgSz w:w="11900" w:h="16840"/>
          <w:pgMar w:top="1220" w:bottom="280" w:left="620" w:right="640"/>
          <w:cols w:num="5" w:equalWidth="0">
            <w:col w:w="842" w:space="40"/>
            <w:col w:w="1243" w:space="39"/>
            <w:col w:w="803" w:space="39"/>
            <w:col w:w="736" w:space="637"/>
            <w:col w:w="6261"/>
          </w:cols>
        </w:sectPr>
      </w:pPr>
    </w:p>
    <w:p>
      <w:pPr>
        <w:spacing w:line="208" w:lineRule="auto" w:before="89"/>
        <w:ind w:left="214" w:right="20" w:firstLine="0"/>
        <w:jc w:val="left"/>
        <w:rPr>
          <w:sz w:val="12"/>
        </w:rPr>
      </w:pPr>
      <w:r>
        <w:rPr>
          <w:color w:val="231F20"/>
          <w:sz w:val="12"/>
        </w:rPr>
        <w:t>The fan chart depicting the probability distribution for output growth is rather like a contour map. At any given point during the forecast period, the depth of shading represents the height of the probability density function over a range of outcomes for output. The darkest band includes the central (single most likely) projection and covers 10% of the probability. Each successive pair of bands is drawn to cover a further 10% of the probability, until 90% of the probability distribution is covered. The bands widen as the time horizon is extended, indicating increasing uncertainty about outcomes.</w:t>
      </w:r>
    </w:p>
    <w:p>
      <w:pPr>
        <w:pStyle w:val="Heading4"/>
        <w:spacing w:line="242" w:lineRule="auto" w:before="6"/>
        <w:ind w:left="214"/>
        <w:rPr>
          <w:sz w:val="16"/>
        </w:rPr>
      </w:pPr>
      <w:r>
        <w:rPr/>
        <w:br w:type="column"/>
      </w:r>
      <w:r>
        <w:rPr>
          <w:color w:val="231F20"/>
        </w:rPr>
        <w:t>Output growth then begins to rise, as the deterioration in net trade comes to an end and as government spending picks up (see Chart 6.1).</w:t>
      </w:r>
      <w:r>
        <w:rPr>
          <w:color w:val="231F20"/>
          <w:position w:val="5"/>
          <w:sz w:val="16"/>
        </w:rPr>
        <w:t>(1)</w:t>
      </w:r>
    </w:p>
    <w:p>
      <w:pPr>
        <w:pStyle w:val="BodyText"/>
        <w:spacing w:before="8"/>
        <w:rPr>
          <w:sz w:val="24"/>
        </w:rPr>
      </w:pPr>
    </w:p>
    <w:p>
      <w:pPr>
        <w:spacing w:line="242" w:lineRule="auto" w:before="0"/>
        <w:ind w:left="214" w:right="0" w:firstLine="0"/>
        <w:jc w:val="left"/>
        <w:rPr>
          <w:sz w:val="24"/>
        </w:rPr>
      </w:pPr>
      <w:r>
        <w:rPr>
          <w:color w:val="231F20"/>
          <w:sz w:val="24"/>
        </w:rPr>
        <w:t>The key question for monetary policy continues to be whether the slowdown in aggregate demand already</w:t>
      </w:r>
    </w:p>
    <w:p>
      <w:pPr>
        <w:pStyle w:val="ListParagraph"/>
        <w:numPr>
          <w:ilvl w:val="0"/>
          <w:numId w:val="38"/>
        </w:numPr>
        <w:tabs>
          <w:tab w:pos="459" w:val="left" w:leader="none"/>
        </w:tabs>
        <w:spacing w:line="240" w:lineRule="auto" w:before="221" w:after="0"/>
        <w:ind w:left="458" w:right="0" w:hanging="241"/>
        <w:jc w:val="left"/>
        <w:rPr>
          <w:sz w:val="16"/>
        </w:rPr>
      </w:pPr>
      <w:r>
        <w:rPr>
          <w:color w:val="231F20"/>
          <w:sz w:val="16"/>
        </w:rPr>
        <w:t>Also shown as Chart 1 in the Overview.</w:t>
      </w:r>
    </w:p>
    <w:p>
      <w:pPr>
        <w:spacing w:after="0" w:line="240" w:lineRule="auto"/>
        <w:jc w:val="left"/>
        <w:rPr>
          <w:sz w:val="16"/>
        </w:rPr>
        <w:sectPr>
          <w:type w:val="continuous"/>
          <w:pgSz w:w="11900" w:h="16840"/>
          <w:pgMar w:top="1220" w:bottom="280" w:left="620" w:right="640"/>
          <w:cols w:num="2" w:equalWidth="0">
            <w:col w:w="3564" w:space="1201"/>
            <w:col w:w="5875"/>
          </w:cols>
        </w:sectPr>
      </w:pPr>
    </w:p>
    <w:p>
      <w:pPr>
        <w:pStyle w:val="BodyText"/>
        <w:rPr>
          <w:sz w:val="20"/>
        </w:rPr>
      </w:pPr>
    </w:p>
    <w:p>
      <w:pPr>
        <w:pStyle w:val="Heading4"/>
        <w:spacing w:line="242" w:lineRule="auto" w:before="207"/>
        <w:ind w:left="4965" w:right="200"/>
      </w:pPr>
      <w:r>
        <w:rPr>
          <w:color w:val="231F20"/>
        </w:rPr>
        <w:t>occurring will be sufficient to hold inflation at a level consistent with the inflation target, once the temporary restraining influence of the earlier appreciation of sterling wears off. Despite the slowdown of real activity, there has been adverse news about inflationary pressure since the May </w:t>
      </w:r>
      <w:r>
        <w:rPr>
          <w:i/>
          <w:color w:val="231F20"/>
        </w:rPr>
        <w:t>Report</w:t>
      </w:r>
      <w:r>
        <w:rPr>
          <w:color w:val="231F20"/>
        </w:rPr>
        <w:t>, particularly on earnings.</w:t>
      </w:r>
    </w:p>
    <w:p>
      <w:pPr>
        <w:spacing w:line="242" w:lineRule="auto" w:before="8"/>
        <w:ind w:left="4965" w:right="174" w:firstLine="0"/>
        <w:jc w:val="left"/>
        <w:rPr>
          <w:sz w:val="24"/>
        </w:rPr>
      </w:pPr>
      <w:r>
        <w:rPr>
          <w:color w:val="231F20"/>
          <w:sz w:val="24"/>
        </w:rPr>
        <w:t>Evidence on unemployment, vacancies, skill shortages and recruitment intentions had for some time suggested that the labour market was very tight. </w:t>
      </w:r>
      <w:r>
        <w:rPr>
          <w:color w:val="231F20"/>
          <w:spacing w:val="-4"/>
          <w:sz w:val="24"/>
        </w:rPr>
        <w:t>However, </w:t>
      </w:r>
      <w:r>
        <w:rPr>
          <w:color w:val="231F20"/>
          <w:sz w:val="24"/>
        </w:rPr>
        <w:t>earnings did not accelerate sharply until this spring. In the longer run, the current annual headline rate of earnings growth of 5.4%, if maintained, would clearly be inconsistent with the inflation target. The possibility that </w:t>
      </w:r>
      <w:r>
        <w:rPr>
          <w:color w:val="231F20"/>
          <w:spacing w:val="-3"/>
          <w:sz w:val="24"/>
        </w:rPr>
        <w:t>productivity </w:t>
      </w:r>
      <w:r>
        <w:rPr>
          <w:color w:val="231F20"/>
          <w:sz w:val="24"/>
        </w:rPr>
        <w:t>growth is being under-recorded in the manufacturing sector while correspondingly being over-recorded elsewhere does not alter this</w:t>
      </w:r>
      <w:r>
        <w:rPr>
          <w:color w:val="231F20"/>
          <w:spacing w:val="-1"/>
          <w:sz w:val="24"/>
        </w:rPr>
        <w:t> </w:t>
      </w:r>
      <w:r>
        <w:rPr>
          <w:color w:val="231F20"/>
          <w:sz w:val="24"/>
        </w:rPr>
        <w:t>conclusion.</w:t>
      </w:r>
    </w:p>
    <w:p>
      <w:pPr>
        <w:pStyle w:val="BodyText"/>
        <w:spacing w:before="10"/>
        <w:rPr>
          <w:sz w:val="28"/>
        </w:rPr>
      </w:pPr>
    </w:p>
    <w:p>
      <w:pPr>
        <w:spacing w:line="242" w:lineRule="auto" w:before="0"/>
        <w:ind w:left="4965" w:right="135" w:firstLine="0"/>
        <w:jc w:val="left"/>
        <w:rPr>
          <w:sz w:val="24"/>
        </w:rPr>
      </w:pPr>
      <w:r>
        <w:rPr>
          <w:color w:val="231F20"/>
          <w:sz w:val="24"/>
        </w:rPr>
        <w:t>The fact that earnings growth has been significantly higher than expected at the time of the May </w:t>
      </w:r>
      <w:r>
        <w:rPr>
          <w:i/>
          <w:color w:val="231F20"/>
          <w:sz w:val="24"/>
        </w:rPr>
        <w:t>Report </w:t>
      </w:r>
      <w:r>
        <w:rPr>
          <w:color w:val="231F20"/>
          <w:sz w:val="24"/>
        </w:rPr>
        <w:t>perhaps suggests that unemployment is more clearly below its natural rate than was then thought. And the National Minimum Wage, which was not taken into account in the May projection, will come into effect in April 1999. So the immediate prospect is for higher earnings growth than projected in May. But in the medium term, there is likely to be a rise in unemployment, reflecting a period of below-trend output growth, that brings down earnings growth before the</w:t>
      </w:r>
    </w:p>
    <w:p>
      <w:pPr>
        <w:spacing w:before="14"/>
        <w:ind w:left="4965" w:right="0" w:firstLine="0"/>
        <w:jc w:val="left"/>
        <w:rPr>
          <w:sz w:val="24"/>
        </w:rPr>
      </w:pPr>
      <w:r>
        <w:rPr>
          <w:color w:val="231F20"/>
          <w:sz w:val="24"/>
        </w:rPr>
        <w:t>two-year forecast horizon.</w:t>
      </w:r>
    </w:p>
    <w:p>
      <w:pPr>
        <w:pStyle w:val="BodyText"/>
        <w:spacing w:before="2"/>
        <w:rPr>
          <w:sz w:val="28"/>
        </w:rPr>
      </w:pPr>
    </w:p>
    <w:p>
      <w:pPr>
        <w:spacing w:line="242" w:lineRule="auto" w:before="0"/>
        <w:ind w:left="4965" w:right="143" w:firstLine="0"/>
        <w:jc w:val="left"/>
        <w:rPr>
          <w:sz w:val="24"/>
        </w:rPr>
      </w:pPr>
      <w:r>
        <w:rPr>
          <w:color w:val="231F20"/>
          <w:sz w:val="24"/>
        </w:rPr>
        <w:t>There are clearly risks on both sides of the central case. The current natural rate of unemployment is highly uncertain. The apparent degree of labour market tightness, together with the recent sharp increase in earnings growth, poses the risk that earnings may accelerate more sharply than in the central projection. Moreover, there is a risk that average earnings growth in the public sector could rise towards the growth rate in the private sector. As to the risks on the downside for earnings, it may be significant that bonuses and performance-related pay appear to account for some of the recent acceleration of earnings. Insofar as bonuses reflect past performance and profits, their contribution might fall back, as real activity weakens in such a way that aggregate earnings growth is more benign for inflation than in the central projection. Moreover, past supply-side reforms may mean that the labour market is not as tight as the quantity indicators suggest. There is also considerable uncertainty about the consequences for inflation of the minimum wage, and the determinants of inflation expectations.</w:t>
      </w:r>
    </w:p>
    <w:p>
      <w:pPr>
        <w:spacing w:after="0" w:line="242" w:lineRule="auto"/>
        <w:jc w:val="left"/>
        <w:rPr>
          <w:sz w:val="24"/>
        </w:rPr>
        <w:sectPr>
          <w:pgSz w:w="11900" w:h="16840"/>
          <w:pgMar w:header="566" w:footer="597" w:top="760" w:bottom="780" w:left="620" w:right="640"/>
        </w:sectPr>
      </w:pPr>
    </w:p>
    <w:p>
      <w:pPr>
        <w:pStyle w:val="BodyText"/>
        <w:rPr>
          <w:sz w:val="20"/>
        </w:rPr>
      </w:pPr>
    </w:p>
    <w:p>
      <w:pPr>
        <w:spacing w:line="242" w:lineRule="auto" w:before="207"/>
        <w:ind w:left="4980" w:right="161" w:firstLine="0"/>
        <w:jc w:val="left"/>
        <w:rPr>
          <w:sz w:val="24"/>
        </w:rPr>
      </w:pPr>
      <w:r>
        <w:rPr>
          <w:color w:val="231F20"/>
          <w:sz w:val="24"/>
        </w:rPr>
        <w:t>Broad money growth has fallen slightly since the May </w:t>
      </w:r>
      <w:r>
        <w:rPr>
          <w:i/>
          <w:color w:val="231F20"/>
          <w:sz w:val="24"/>
        </w:rPr>
        <w:t>Report</w:t>
      </w:r>
      <w:r>
        <w:rPr>
          <w:color w:val="231F20"/>
          <w:sz w:val="24"/>
        </w:rPr>
        <w:t>, and this easing seems broadly consistent with weaker real demand and output growth. Nonetheless, broad money growth (or velocity) needs to slow further if the nominal income projections are not to be </w:t>
      </w:r>
      <w:r>
        <w:rPr>
          <w:color w:val="231F20"/>
          <w:spacing w:val="-3"/>
          <w:sz w:val="24"/>
        </w:rPr>
        <w:t>exceeded. </w:t>
      </w:r>
      <w:r>
        <w:rPr>
          <w:color w:val="231F20"/>
          <w:sz w:val="24"/>
        </w:rPr>
        <w:t>There remains a risk that past rapid money growth could presage faster rates of increase of earnings and prices than in the central case.</w:t>
      </w:r>
    </w:p>
    <w:p>
      <w:pPr>
        <w:pStyle w:val="BodyText"/>
        <w:spacing w:before="3"/>
        <w:rPr>
          <w:sz w:val="25"/>
        </w:rPr>
      </w:pPr>
    </w:p>
    <w:p>
      <w:pPr>
        <w:spacing w:line="242" w:lineRule="auto" w:before="0"/>
        <w:ind w:left="4979" w:right="153" w:firstLine="0"/>
        <w:jc w:val="left"/>
        <w:rPr>
          <w:sz w:val="24"/>
        </w:rPr>
      </w:pPr>
      <w:r>
        <w:rPr>
          <w:color w:val="231F20"/>
          <w:sz w:val="24"/>
        </w:rPr>
        <w:t>RPIX inflation rose sharply in both April and </w:t>
      </w:r>
      <w:r>
        <w:rPr>
          <w:color w:val="231F20"/>
          <w:spacing w:val="-4"/>
          <w:sz w:val="24"/>
        </w:rPr>
        <w:t>May, </w:t>
      </w:r>
      <w:r>
        <w:rPr>
          <w:color w:val="231F20"/>
          <w:sz w:val="24"/>
        </w:rPr>
        <w:t>but fell in June. The rise in April was expected, and can be accounted for by the rise in fuel duties in the March Budget. The rise in May was largely unexpected, and can mostly be explained by erratic factors. The subsequent lower outturn for June was broadly</w:t>
      </w:r>
      <w:r>
        <w:rPr>
          <w:color w:val="231F20"/>
          <w:spacing w:val="-24"/>
          <w:sz w:val="24"/>
        </w:rPr>
        <w:t> </w:t>
      </w:r>
      <w:r>
        <w:rPr>
          <w:color w:val="231F20"/>
          <w:sz w:val="24"/>
        </w:rPr>
        <w:t>consistent with the central projection in the May </w:t>
      </w:r>
      <w:r>
        <w:rPr>
          <w:i/>
          <w:color w:val="231F20"/>
          <w:sz w:val="24"/>
        </w:rPr>
        <w:t>Report</w:t>
      </w:r>
      <w:r>
        <w:rPr>
          <w:color w:val="231F20"/>
          <w:sz w:val="24"/>
        </w:rPr>
        <w:t>, so there was no overall implication for the medium-term inflation projection. RPIX inflation is likely to </w:t>
      </w:r>
      <w:r>
        <w:rPr>
          <w:color w:val="231F20"/>
          <w:spacing w:val="-3"/>
          <w:sz w:val="24"/>
        </w:rPr>
        <w:t>have </w:t>
      </w:r>
      <w:r>
        <w:rPr>
          <w:color w:val="231F20"/>
          <w:sz w:val="24"/>
        </w:rPr>
        <w:t>fallen in </w:t>
      </w:r>
      <w:r>
        <w:rPr>
          <w:color w:val="231F20"/>
          <w:spacing w:val="-7"/>
          <w:sz w:val="24"/>
        </w:rPr>
        <w:t>July, </w:t>
      </w:r>
      <w:r>
        <w:rPr>
          <w:color w:val="231F20"/>
          <w:sz w:val="24"/>
        </w:rPr>
        <w:t>as the petrol duty increase twelve months previously dropped out of the calculation.</w:t>
      </w:r>
    </w:p>
    <w:p>
      <w:pPr>
        <w:pStyle w:val="BodyText"/>
        <w:spacing w:before="6"/>
        <w:rPr>
          <w:sz w:val="25"/>
        </w:rPr>
      </w:pPr>
    </w:p>
    <w:p>
      <w:pPr>
        <w:spacing w:line="242" w:lineRule="auto" w:before="0"/>
        <w:ind w:left="4979" w:right="135" w:firstLine="0"/>
        <w:jc w:val="left"/>
        <w:rPr>
          <w:sz w:val="24"/>
        </w:rPr>
      </w:pPr>
      <w:r>
        <w:rPr>
          <w:color w:val="231F20"/>
          <w:sz w:val="24"/>
        </w:rPr>
        <w:t>The MPC’s projection for the twelve-month RPIX inflation rate—assuming constant interest rates—is shown in Chart 6.2.</w:t>
      </w:r>
      <w:r>
        <w:rPr>
          <w:color w:val="231F20"/>
          <w:position w:val="5"/>
          <w:sz w:val="16"/>
        </w:rPr>
        <w:t>(1) </w:t>
      </w:r>
      <w:r>
        <w:rPr>
          <w:color w:val="231F20"/>
          <w:sz w:val="24"/>
        </w:rPr>
        <w:t>It is shown next to the May projection (see Chart 6.3). In the projection, the most likely path for RPIX inflation is for it to rise somewhat over the next year, but then to fall back so that, as in the May </w:t>
      </w:r>
      <w:r>
        <w:rPr>
          <w:i/>
          <w:color w:val="231F20"/>
          <w:sz w:val="24"/>
        </w:rPr>
        <w:t>Report</w:t>
      </w:r>
      <w:r>
        <w:rPr>
          <w:color w:val="231F20"/>
          <w:sz w:val="24"/>
        </w:rPr>
        <w:t>, inflation some two years ahead is close to the 2</w:t>
      </w:r>
      <w:r>
        <w:rPr>
          <w:color w:val="231F20"/>
          <w:position w:val="8"/>
          <w:sz w:val="12"/>
        </w:rPr>
        <w:t>1</w:t>
      </w:r>
      <w:r>
        <w:rPr>
          <w:color w:val="231F20"/>
          <w:sz w:val="24"/>
        </w:rPr>
        <w:t>/</w:t>
      </w:r>
      <w:r>
        <w:rPr>
          <w:color w:val="231F20"/>
          <w:sz w:val="12"/>
        </w:rPr>
        <w:t>2</w:t>
      </w:r>
      <w:r>
        <w:rPr>
          <w:color w:val="231F20"/>
          <w:sz w:val="24"/>
        </w:rPr>
        <w:t>% target. The rising profile over the next year reflects the trajectory for labour costs, which is higher than in the May </w:t>
      </w:r>
      <w:r>
        <w:rPr>
          <w:i/>
          <w:color w:val="231F20"/>
          <w:sz w:val="24"/>
        </w:rPr>
        <w:t>Report</w:t>
      </w:r>
      <w:r>
        <w:rPr>
          <w:color w:val="231F20"/>
          <w:sz w:val="24"/>
        </w:rPr>
        <w:t>. But the future path for earnings, and the consequences for the profile of retail price inflation, are both quite uncertain. As real activity weakens, price-cost margins may be expected to fall temporarily, but the likely timing and extent of that fall are hard to judge. The short-term outlook for retail price inflation is also heavily influenced by the timing and extent of further pass-through of the past exchange rate appreciation to retail prices. Thus a slightly greater sensitivity of price-cost margins to the slowdown in real activity, or a slightly faster import price pass-through, could significantly flatten the profile for RPIX inflation shown in the central projection.</w:t>
      </w:r>
    </w:p>
    <w:p>
      <w:pPr>
        <w:pStyle w:val="BodyText"/>
        <w:spacing w:before="9"/>
        <w:rPr>
          <w:sz w:val="26"/>
        </w:rPr>
      </w:pPr>
    </w:p>
    <w:p>
      <w:pPr>
        <w:spacing w:line="242" w:lineRule="auto" w:before="0"/>
        <w:ind w:left="4979" w:right="194" w:firstLine="0"/>
        <w:jc w:val="left"/>
        <w:rPr>
          <w:sz w:val="24"/>
        </w:rPr>
      </w:pPr>
      <w:r>
        <w:rPr>
          <w:color w:val="231F20"/>
          <w:sz w:val="24"/>
        </w:rPr>
        <w:t>The higher profile for inflation since the May projection reflects a number of factors. The higher-than-expected earnings figures led to a reassessment of the extent of current labour market pressures. The incorporation of the effects of the National Minimum </w:t>
      </w:r>
      <w:r>
        <w:rPr>
          <w:color w:val="231F20"/>
          <w:spacing w:val="-5"/>
          <w:sz w:val="24"/>
        </w:rPr>
        <w:t>Wage </w:t>
      </w:r>
      <w:r>
        <w:rPr>
          <w:color w:val="231F20"/>
          <w:sz w:val="24"/>
        </w:rPr>
        <w:t>has a </w:t>
      </w:r>
      <w:r>
        <w:rPr>
          <w:color w:val="231F20"/>
          <w:spacing w:val="-4"/>
          <w:sz w:val="24"/>
        </w:rPr>
        <w:t>positive </w:t>
      </w:r>
      <w:r>
        <w:rPr>
          <w:color w:val="231F20"/>
          <w:sz w:val="24"/>
        </w:rPr>
        <w:t>but small effect on projected inflation. The</w:t>
      </w:r>
      <w:r>
        <w:rPr>
          <w:color w:val="231F20"/>
          <w:spacing w:val="-7"/>
          <w:sz w:val="24"/>
        </w:rPr>
        <w:t> </w:t>
      </w:r>
      <w:r>
        <w:rPr>
          <w:color w:val="231F20"/>
          <w:sz w:val="24"/>
        </w:rPr>
        <w:t>fiscal</w:t>
      </w:r>
    </w:p>
    <w:p>
      <w:pPr>
        <w:pStyle w:val="BodyText"/>
        <w:spacing w:before="6"/>
        <w:rPr>
          <w:sz w:val="20"/>
        </w:rPr>
      </w:pPr>
    </w:p>
    <w:p>
      <w:pPr>
        <w:pStyle w:val="ListParagraph"/>
        <w:numPr>
          <w:ilvl w:val="1"/>
          <w:numId w:val="38"/>
        </w:numPr>
        <w:tabs>
          <w:tab w:pos="5241" w:val="left" w:leader="none"/>
        </w:tabs>
        <w:spacing w:line="240" w:lineRule="auto" w:before="0" w:after="0"/>
        <w:ind w:left="5240" w:right="0" w:hanging="241"/>
        <w:jc w:val="left"/>
        <w:rPr>
          <w:sz w:val="16"/>
        </w:rPr>
      </w:pPr>
      <w:r>
        <w:rPr>
          <w:color w:val="231F20"/>
          <w:sz w:val="16"/>
        </w:rPr>
        <w:t>Also shown as Chart 2 in the Overview.</w:t>
      </w:r>
    </w:p>
    <w:p>
      <w:pPr>
        <w:spacing w:after="0" w:line="240" w:lineRule="auto"/>
        <w:jc w:val="left"/>
        <w:rPr>
          <w:sz w:val="16"/>
        </w:rPr>
        <w:sectPr>
          <w:pgSz w:w="11900" w:h="16840"/>
          <w:pgMar w:header="566" w:footer="954" w:top="760" w:bottom="1140" w:left="620" w:right="6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6"/>
        </w:rPr>
      </w:pPr>
    </w:p>
    <w:p>
      <w:pPr>
        <w:spacing w:after="0"/>
        <w:rPr>
          <w:sz w:val="16"/>
        </w:rPr>
        <w:sectPr>
          <w:pgSz w:w="11900" w:h="16840"/>
          <w:pgMar w:header="566" w:footer="597" w:top="760" w:bottom="780" w:left="620" w:right="640"/>
        </w:sectPr>
      </w:pPr>
    </w:p>
    <w:p>
      <w:pPr>
        <w:pStyle w:val="Heading8"/>
        <w:spacing w:before="92"/>
        <w:ind w:left="235"/>
      </w:pPr>
      <w:r>
        <w:rPr>
          <w:color w:val="0093C1"/>
        </w:rPr>
        <w:t>Chart 6.2</w:t>
      </w:r>
    </w:p>
    <w:p>
      <w:pPr>
        <w:spacing w:line="249" w:lineRule="auto" w:before="10"/>
        <w:ind w:left="235" w:right="183" w:firstLine="0"/>
        <w:jc w:val="left"/>
        <w:rPr>
          <w:b/>
          <w:sz w:val="20"/>
        </w:rPr>
      </w:pPr>
      <w:r>
        <w:rPr>
          <w:b/>
          <w:color w:val="0093C1"/>
          <w:sz w:val="20"/>
        </w:rPr>
        <w:t>Current RPIX inflation projection based on constant nominal interest rates</w:t>
      </w:r>
    </w:p>
    <w:p>
      <w:pPr>
        <w:spacing w:before="76"/>
        <w:ind w:left="1819" w:right="0" w:firstLine="0"/>
        <w:jc w:val="left"/>
        <w:rPr>
          <w:sz w:val="12"/>
        </w:rPr>
      </w:pPr>
      <w:r>
        <w:rPr/>
        <w:pict>
          <v:line style="position:absolute;mso-position-horizontal-relative:page;mso-position-vertical-relative:paragraph;z-index:16099840" from="40.091pt,11.734545pt" to="44.78pt,11.734545pt" stroked="true" strokeweight=".5pt" strokecolor="#000000">
            <v:stroke dashstyle="solid"/>
            <w10:wrap type="none"/>
          </v:line>
        </w:pict>
      </w:r>
      <w:r>
        <w:rPr/>
        <w:pict>
          <v:line style="position:absolute;mso-position-horizontal-relative:page;mso-position-vertical-relative:paragraph;z-index:-20827136" from="231.633005pt,11.734545pt" to="227.033005pt,11.734545pt" stroked="true" strokeweight=".5pt" strokecolor="#000000">
            <v:stroke dashstyle="solid"/>
            <w10:wrap type="none"/>
          </v:line>
        </w:pict>
      </w:r>
      <w:r>
        <w:rPr>
          <w:sz w:val="12"/>
        </w:rPr>
        <w:t>Percentage increase in prices on a year earlier </w:t>
      </w:r>
      <w:r>
        <w:rPr>
          <w:position w:val="-6"/>
          <w:sz w:val="12"/>
        </w:rPr>
        <w:t>6</w:t>
      </w:r>
    </w:p>
    <w:p>
      <w:pPr>
        <w:pStyle w:val="Heading8"/>
        <w:spacing w:before="92"/>
        <w:ind w:left="235"/>
      </w:pPr>
      <w:r>
        <w:rPr>
          <w:b w:val="0"/>
        </w:rPr>
        <w:br w:type="column"/>
      </w:r>
      <w:r>
        <w:rPr>
          <w:color w:val="0093C1"/>
        </w:rPr>
        <w:t>Chart 6.3</w:t>
      </w:r>
    </w:p>
    <w:p>
      <w:pPr>
        <w:spacing w:line="249" w:lineRule="auto" w:before="10"/>
        <w:ind w:left="235" w:right="1960" w:firstLine="0"/>
        <w:jc w:val="left"/>
        <w:rPr>
          <w:b/>
          <w:sz w:val="20"/>
        </w:rPr>
      </w:pPr>
      <w:r>
        <w:rPr>
          <w:b/>
          <w:color w:val="0093C1"/>
          <w:sz w:val="20"/>
        </w:rPr>
        <w:t>RPIX inflation projection in May based on constant nominal interest rates</w:t>
      </w:r>
    </w:p>
    <w:p>
      <w:pPr>
        <w:spacing w:line="115" w:lineRule="exact" w:before="63"/>
        <w:ind w:left="1915" w:right="0" w:firstLine="0"/>
        <w:jc w:val="left"/>
        <w:rPr>
          <w:sz w:val="12"/>
        </w:rPr>
      </w:pPr>
      <w:r>
        <w:rPr>
          <w:sz w:val="12"/>
        </w:rPr>
        <w:t>Percentage increase in prices on a year earlier</w:t>
      </w:r>
    </w:p>
    <w:p>
      <w:pPr>
        <w:spacing w:line="115" w:lineRule="exact" w:before="0"/>
        <w:ind w:left="4173" w:right="0" w:firstLine="0"/>
        <w:jc w:val="left"/>
        <w:rPr>
          <w:sz w:val="12"/>
        </w:rPr>
      </w:pPr>
      <w:r>
        <w:rPr/>
        <w:pict>
          <v:line style="position:absolute;mso-position-horizontal-relative:page;mso-position-vertical-relative:paragraph;z-index:16105472" from="285.779999pt,2.164461pt" to="290.379999pt,2.164461pt" stroked="true" strokeweight=".5pt" strokecolor="#000000">
            <v:stroke dashstyle="solid"/>
            <w10:wrap type="none"/>
          </v:line>
        </w:pict>
      </w:r>
      <w:r>
        <w:rPr/>
        <w:pict>
          <v:line style="position:absolute;mso-position-horizontal-relative:page;mso-position-vertical-relative:paragraph;z-index:16106496" from="475.446985pt,2.164461pt" to="470.846985pt,2.164461pt" stroked="true" strokeweight=".5pt" strokecolor="#000000">
            <v:stroke dashstyle="solid"/>
            <w10:wrap type="none"/>
          </v:line>
        </w:pict>
      </w:r>
      <w:r>
        <w:rPr>
          <w:sz w:val="12"/>
        </w:rPr>
        <w:t>6</w:t>
      </w:r>
    </w:p>
    <w:p>
      <w:pPr>
        <w:spacing w:after="0" w:line="115" w:lineRule="exact"/>
        <w:jc w:val="left"/>
        <w:rPr>
          <w:sz w:val="12"/>
        </w:rPr>
        <w:sectPr>
          <w:type w:val="continuous"/>
          <w:pgSz w:w="11900" w:h="16840"/>
          <w:pgMar w:top="1220" w:bottom="280" w:left="620" w:right="640"/>
          <w:cols w:num="2" w:equalWidth="0">
            <w:col w:w="4177" w:space="603"/>
            <w:col w:w="5860"/>
          </w:cols>
        </w:sectPr>
      </w:pPr>
    </w:p>
    <w:p>
      <w:pPr>
        <w:pStyle w:val="BodyText"/>
        <w:spacing w:before="10"/>
        <w:rPr>
          <w:sz w:val="21"/>
        </w:rPr>
      </w:pPr>
    </w:p>
    <w:p>
      <w:pPr>
        <w:tabs>
          <w:tab w:pos="8953" w:val="left" w:leader="none"/>
        </w:tabs>
        <w:spacing w:before="94"/>
        <w:ind w:left="4076" w:right="0" w:firstLine="0"/>
        <w:jc w:val="left"/>
        <w:rPr>
          <w:sz w:val="12"/>
        </w:rPr>
      </w:pPr>
      <w:r>
        <w:rPr/>
        <w:pict>
          <v:line style="position:absolute;mso-position-horizontal-relative:page;mso-position-vertical-relative:paragraph;z-index:16099328" from="40.091pt,9.151582pt" to="44.691pt,9.151582pt" stroked="true" strokeweight=".5pt" strokecolor="#000000">
            <v:stroke dashstyle="solid"/>
            <w10:wrap type="none"/>
          </v:line>
        </w:pict>
      </w:r>
      <w:r>
        <w:rPr/>
        <w:pict>
          <v:line style="position:absolute;mso-position-horizontal-relative:page;mso-position-vertical-relative:paragraph;z-index:16100352" from="231.633005pt,9.151582pt" to="227.033005pt,9.151582pt" stroked="true" strokeweight=".5pt" strokecolor="#000000">
            <v:stroke dashstyle="solid"/>
            <w10:wrap type="none"/>
          </v:line>
        </w:pict>
      </w:r>
      <w:r>
        <w:rPr/>
        <w:pict>
          <v:line style="position:absolute;mso-position-horizontal-relative:page;mso-position-vertical-relative:paragraph;z-index:-20823040" from="285.779999pt,8.492581pt" to="290.379999pt,8.492581pt" stroked="true" strokeweight=".5pt" strokecolor="#000000">
            <v:stroke dashstyle="solid"/>
            <w10:wrap type="none"/>
          </v:line>
        </w:pict>
      </w:r>
      <w:r>
        <w:rPr/>
        <w:pict>
          <v:line style="position:absolute;mso-position-horizontal-relative:page;mso-position-vertical-relative:paragraph;z-index:-20822016" from="475.446985pt,8.492581pt" to="470.846985pt,8.492581pt" stroked="true" strokeweight=".5pt" strokecolor="#000000">
            <v:stroke dashstyle="solid"/>
            <w10:wrap type="none"/>
          </v:line>
        </w:pict>
      </w:r>
      <w:r>
        <w:rPr>
          <w:position w:val="1"/>
          <w:sz w:val="12"/>
        </w:rPr>
        <w:t>5</w:t>
        <w:tab/>
      </w:r>
      <w:r>
        <w:rPr>
          <w:sz w:val="12"/>
        </w:rPr>
        <w:t>5</w:t>
      </w:r>
    </w:p>
    <w:p>
      <w:pPr>
        <w:pStyle w:val="BodyText"/>
        <w:spacing w:before="10"/>
        <w:rPr>
          <w:sz w:val="21"/>
        </w:rPr>
      </w:pPr>
    </w:p>
    <w:p>
      <w:pPr>
        <w:tabs>
          <w:tab w:pos="8953" w:val="left" w:leader="none"/>
        </w:tabs>
        <w:spacing w:before="93"/>
        <w:ind w:left="4076" w:right="0" w:firstLine="0"/>
        <w:jc w:val="left"/>
        <w:rPr>
          <w:sz w:val="12"/>
        </w:rPr>
      </w:pPr>
      <w:r>
        <w:rPr/>
        <w:pict>
          <v:group style="position:absolute;margin-left:46.874001pt;margin-top:-1.117655pt;width:184.8pt;height:84.5pt;mso-position-horizontal-relative:page;mso-position-vertical-relative:paragraph;z-index:16096256" coordorigin="937,-22" coordsize="3696,1690">
            <v:shape style="position:absolute;left:3268;top:-23;width:1227;height:1633" coordorigin="3269,-22" coordsize="1227,1633" path="m4495,-22l4359,32,4223,62,4086,118,3950,166,3814,187,3677,311,3541,488,3405,688,3269,695,3405,1090,3541,1192,3677,1217,3814,1193,3950,1172,4086,1281,4223,1382,4359,1508,4495,1611,4495,-22xe" filled="true" fillcolor="#fee7de" stroked="false">
              <v:path arrowok="t"/>
              <v:fill type="solid"/>
            </v:shape>
            <v:shape style="position:absolute;left:3268;top:190;width:1227;height:1273" coordorigin="3269,191" coordsize="1227,1273" path="m4495,191l4359,224,4223,233,4086,268,3950,295,3814,316,3677,427,3541,578,3405,740,3269,696,3405,1054,3541,1127,3677,1133,3814,1100,3950,1079,4086,1174,4223,1262,4359,1375,4495,1463,4495,191xe" filled="true" fillcolor="#fcd3c4" stroked="false">
              <v:path arrowok="t"/>
              <v:fill type="solid"/>
            </v:shape>
            <v:shape style="position:absolute;left:3268;top:332;width:1227;height:1027" coordorigin="3269,332" coordsize="1227,1027" path="m4495,332l4359,351,4223,345,4086,365,3950,378,3814,398,3677,501,3541,636,3405,772,3269,695,3405,1027,3541,1081,3677,1074,3814,1035,3950,1014,4086,1099,4223,1177,4359,1279,4495,1358,4495,332xe" filled="true" fillcolor="#fabeac" stroked="false">
              <v:path arrowok="t"/>
              <v:fill type="solid"/>
            </v:shape>
            <v:shape style="position:absolute;left:3268;top:435;width:1227;height:843" coordorigin="3269,436" coordsize="1227,843" path="m4223,436l4086,445,3950,446,3814,466,3677,563,3541,683,3405,799,3269,694,3405,1006,3541,1046,3677,1029,3814,984,3950,964,4086,1042,4223,1112,4359,1207,4495,1279,4495,445,4359,452,4223,436xe" filled="true" fillcolor="#f8aa95" stroked="false">
              <v:path arrowok="t"/>
              <v:fill type="solid"/>
            </v:shape>
            <v:shape style="position:absolute;left:3268;top:505;width:1227;height:705" coordorigin="3269,505" coordsize="1227,705" path="m3950,505l3814,526,3677,616,3541,725,3405,823,3269,694,3405,988,3541,1015,3677,989,3814,940,3950,919,4086,991,4223,1055,4359,1144,4495,1210,4495,539,4359,537,4223,512,4086,512,3950,505xe" filled="true" fillcolor="#f69780" stroked="false">
              <v:path arrowok="t"/>
              <v:fill type="solid"/>
            </v:shape>
            <v:shape style="position:absolute;left:3268;top:558;width:1227;height:592" coordorigin="3269,558" coordsize="1227,592" path="m3950,558l3814,579,3677,664,3541,762,3405,843,3269,693,3405,972,3541,986,3677,953,3814,900,3950,879,4086,946,4223,1005,4359,1089,4495,1150,4495,627,4359,617,4223,583,4086,574,3950,558xe" filled="true" fillcolor="#f5846d" stroked="false">
              <v:path arrowok="t"/>
              <v:fill type="solid"/>
            </v:shape>
            <v:shape style="position:absolute;left:3268;top:606;width:1227;height:483" coordorigin="3269,606" coordsize="1227,483" path="m3950,606l3814,627,3677,707,3541,795,3405,861,3269,691,3405,956,3541,960,3677,920,3814,863,3950,843,4086,903,4223,956,4359,1034,4495,1089,4495,704,4359,687,4223,646,4086,629,3950,606xe" filled="true" fillcolor="#f3715b" stroked="false">
              <v:path arrowok="t"/>
              <v:fill type="solid"/>
            </v:shape>
            <v:shape style="position:absolute;left:3268;top:652;width:1227;height:384" coordorigin="3269,652" coordsize="1227,384" path="m3950,652l3814,673,3677,749,3541,828,3405,881,3269,693,3405,944,3541,938,3677,891,3814,831,3950,810,4086,866,4223,914,4359,987,4495,1036,4495,785,4359,759,4223,709,4086,685,3950,652xe" filled="true" fillcolor="#f15b4a" stroked="false">
              <v:path arrowok="t"/>
              <v:fill type="solid"/>
            </v:shape>
            <v:shape style="position:absolute;left:3268;top:693;width:1227;height:294" coordorigin="3269,694" coordsize="1227,294" path="m3269,694l3405,931,3541,915,3677,860,3814,797,3950,776,4086,828,4223,873,4359,942,4495,988,4495,859,4359,826,4223,769,4089,737,3953,697,3814,718,3677,789,3541,859,3405,900,3269,694xe" filled="true" fillcolor="#ed1b2d" stroked="false">
              <v:path arrowok="t"/>
              <v:fill type="solid"/>
            </v:shape>
            <v:shape style="position:absolute;left:4540;top:182;width:92;height:1480" coordorigin="4541,182" coordsize="92,1480" path="m4633,1662l4541,1662m4633,1169l4541,1169m4633,675l4541,675m4633,182l4541,182e" filled="false" stroked="true" strokeweight=".5pt" strokecolor="#000000">
              <v:path arrowok="t"/>
              <v:stroke dashstyle="solid"/>
            </v:shape>
            <v:shape style="position:absolute;left:947;top:708;width:818;height:374" coordorigin="947,709" coordsize="818,374" path="m1084,965l947,825m1220,1083l1084,965m1356,1051l1220,1083m1493,776l1356,1051m1629,801l1493,776m1765,709l1629,801e" filled="false" stroked="true" strokeweight="1pt" strokecolor="#ed1b2d">
              <v:path arrowok="t"/>
              <v:stroke dashstyle="solid"/>
            </v:shape>
            <v:line style="position:absolute" from="1755,712" to="1912,712" stroked="true" strokeweight="1.265pt" strokecolor="#ed1b2d">
              <v:stroke dashstyle="solid"/>
            </v:line>
            <v:shape style="position:absolute;left:1901;top:566;width:1227;height:327" coordorigin="1902,566" coordsize="1227,327" path="m2038,760l1902,714m2174,777l2038,760m2310,737l2174,777m2447,566l2310,737m2583,742l2447,566m2719,893l2583,742m2856,757l2719,893m2992,796l2856,757m3128,873l2992,796e" filled="false" stroked="true" strokeweight="1pt" strokecolor="#ed1b2d">
              <v:path arrowok="t"/>
              <v:stroke dashstyle="solid"/>
            </v:shape>
            <v:line style="position:absolute" from="3265,695" to="3128,873" stroked="true" strokeweight="1pt" strokecolor="#ed1b2d">
              <v:stroke dashstyle="solid"/>
            </v:line>
            <v:shape style="position:absolute;left:937;top:-23;width:3696;height:1690" type="#_x0000_t202" filled="false" stroked="false">
              <v:textbox inset="0,0,0,0">
                <w:txbxContent>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11"/>
                      <w:rPr>
                        <w:sz w:val="12"/>
                      </w:rPr>
                    </w:pPr>
                  </w:p>
                  <w:p>
                    <w:pPr>
                      <w:tabs>
                        <w:tab w:pos="3547" w:val="left" w:leader="none"/>
                      </w:tabs>
                      <w:spacing w:before="0"/>
                      <w:ind w:left="2" w:right="-15" w:firstLine="0"/>
                      <w:jc w:val="left"/>
                      <w:rPr>
                        <w:sz w:val="12"/>
                      </w:rPr>
                    </w:pPr>
                    <w:r>
                      <w:rPr>
                        <w:sz w:val="12"/>
                        <w:u w:val="single"/>
                      </w:rPr>
                      <w:t> </w:t>
                      <w:tab/>
                    </w:r>
                    <w:r>
                      <w:rPr>
                        <w:sz w:val="12"/>
                      </w:rPr>
                      <w:t> </w:t>
                    </w:r>
                    <w:r>
                      <w:rPr>
                        <w:spacing w:val="1"/>
                        <w:sz w:val="12"/>
                      </w:rPr>
                      <w:t> </w:t>
                    </w:r>
                    <w:r>
                      <w:rPr>
                        <w:sz w:val="12"/>
                        <w:u w:val="single"/>
                      </w:rPr>
                      <w:t> </w:t>
                    </w:r>
                    <w:r>
                      <w:rPr>
                        <w:spacing w:val="2"/>
                        <w:sz w:val="12"/>
                        <w:u w:val="single"/>
                      </w:rPr>
                      <w:t> </w:t>
                    </w:r>
                  </w:p>
                </w:txbxContent>
              </v:textbox>
              <w10:wrap type="none"/>
            </v:shape>
            <w10:wrap type="none"/>
          </v:group>
        </w:pict>
      </w:r>
      <w:r>
        <w:rPr/>
        <w:pict>
          <v:line style="position:absolute;mso-position-horizontal-relative:page;mso-position-vertical-relative:paragraph;z-index:16098816" from="40.091pt,9.100346pt" to="44.691pt,9.100346pt" stroked="true" strokeweight=".5pt" strokecolor="#000000">
            <v:stroke dashstyle="solid"/>
            <w10:wrap type="none"/>
          </v:line>
        </w:pict>
      </w:r>
      <w:r>
        <w:rPr/>
        <w:pict>
          <v:group style="position:absolute;margin-left:290.817993pt;margin-top:-1.181655pt;width:184.95pt;height:86.6pt;mso-position-horizontal-relative:page;mso-position-vertical-relative:paragraph;z-index:-20826112" coordorigin="5816,-24" coordsize="3699,1732">
            <v:shape style="position:absolute;left:8092;top:-24;width:1274;height:1732" coordorigin="8092,-24" coordsize="1274,1732" path="m9366,-24l9224,164,9083,312,8941,440,8800,554,8658,534,8517,603,8375,687,8234,578,8092,859,8234,1002,8375,1437,8517,1565,8658,1599,8800,1619,8941,1668,9083,1698,9224,1708,9366,1683,9366,-24xe" filled="true" fillcolor="#fee7de" stroked="false">
              <v:path arrowok="t"/>
              <v:fill type="solid"/>
            </v:shape>
            <v:shape style="position:absolute;left:8092;top:194;width:1274;height:1362" coordorigin="8092,195" coordsize="1274,1362" path="m9366,195l9224,348,9083,471,8941,565,8800,649,8658,629,8375,757,8234,619,8092,861,8234,949,8375,1334,8517,1438,8800,1477,8941,1522,9083,1551,9224,1556,9366,1527,9366,195xe" filled="true" fillcolor="#fcd3c4" stroked="false">
              <v:path arrowok="t"/>
              <v:fill type="solid"/>
            </v:shape>
            <v:shape style="position:absolute;left:8085;top:349;width:1274;height:1106" coordorigin="8085,350" coordsize="1274,1106" path="m9359,350l9218,483,9076,581,8935,655,8793,715,8651,695,8368,803,8227,646,8085,863,8227,912,8368,1272,8510,1356,8651,1366,8793,1386,8935,1425,9076,1455,9218,1455,9359,1425,9359,350xe" filled="true" fillcolor="#fabeac" stroked="false">
              <v:path arrowok="t"/>
              <v:fill type="solid"/>
            </v:shape>
            <v:shape style="position:absolute;left:8092;top:464;width:1274;height:908" coordorigin="8092,465" coordsize="1274,908" path="m9366,465l9224,578,9083,657,8941,717,8800,756,8658,736,8517,786,8375,830,8234,657,8092,860,8234,879,8375,1215,8517,1279,8658,1284,8800,1304,8941,1343,9083,1368,9224,1373,9366,1338,9366,465xe" filled="true" fillcolor="#f8aa95" stroked="false">
              <v:path arrowok="t"/>
              <v:fill type="solid"/>
            </v:shape>
            <v:shape style="position:absolute;left:8088;top:567;width:1274;height:736" coordorigin="8089,568" coordsize="1274,736" path="m9363,568l9221,667,9079,731,8938,775,8796,800,8655,780,8513,824,8372,859,8230,676,8089,859,8230,854,8372,1170,8513,1224,8655,1219,8796,1239,8938,1278,9079,1303,9221,1303,9363,1268,9363,568xe" filled="true" fillcolor="#f69780" stroked="false">
              <v:path arrowok="t"/>
              <v:fill type="solid"/>
            </v:shape>
            <v:shape style="position:absolute;left:8088;top:657;width:1274;height:583" coordorigin="8089,658" coordsize="1274,583" path="m9363,658l9221,747,9079,796,8938,825,8796,840,8655,821,8513,865,8372,890,8230,692,8089,860,8230,830,8372,1126,8513,1171,8655,1161,8796,1181,8938,1220,9079,1240,9221,1240,9363,1205,9363,658xe" filled="true" fillcolor="#f5846d" stroked="false">
              <v:path arrowok="t"/>
              <v:fill type="solid"/>
            </v:shape>
            <v:shape style="position:absolute;left:8088;top:706;width:1274;height:479" coordorigin="8089,706" coordsize="1274,479" path="m8230,706l8089,859,8230,805,8372,1091,8513,1121,8655,1106,8796,1126,8938,1165,9079,1185,9221,1185,9363,1150,9363,746,9221,820,9079,859,8938,874,8796,874,8655,854,8513,894,8372,913,8230,706xe" filled="true" fillcolor="#f3715b" stroked="false">
              <v:path arrowok="t"/>
              <v:fill type="solid"/>
            </v:shape>
            <v:shape style="position:absolute;left:8091;top:719;width:1274;height:410" coordorigin="8091,720" coordsize="1274,410" path="m8233,720l8091,858,8233,784,8374,1055,8516,1075,8657,1055,8799,1075,8940,1110,9082,1129,9223,1129,9365,1090,9365,824,9223,888,9082,912,8940,917,8799,907,8657,888,8516,922,8374,937,8233,720xe" filled="true" fillcolor="#f15b4a" stroked="false">
              <v:path arrowok="t"/>
              <v:fill type="solid"/>
            </v:shape>
            <v:shape style="position:absolute;left:8091;top:729;width:1274;height:346" coordorigin="8091,729" coordsize="1274,346" path="m8233,729l8091,858,8233,764,8374,1016,8516,1025,8657,1001,8799,1021,8940,1055,9082,1075,9223,1075,9365,1035,9365,902,9223,951,9082,966,8940,961,8799,937,8657,917,8516,951,8374,956,8233,729xe" filled="true" fillcolor="#ed1b2d" stroked="false">
              <v:path arrowok="t"/>
              <v:fill type="solid"/>
            </v:shape>
            <v:shape style="position:absolute;left:9416;top:168;width:92;height:1480" coordorigin="9417,169" coordsize="92,1480" path="m9509,1649l9417,1649m9509,1156l9417,1156m9509,662l9417,662m9509,169l9417,169e" filled="false" stroked="true" strokeweight=".5pt" strokecolor="#000000">
              <v:path arrowok="t"/>
              <v:stroke dashstyle="solid"/>
            </v:shape>
            <v:shape style="position:absolute;left:5826;top:696;width:1274;height:375" coordorigin="5826,697" coordsize="1274,375" path="m7100,766l6959,746m5968,953l5826,810m6109,1072l5968,953m6251,1037l6109,1072m6393,766l6251,1037m6534,785l6393,766m6676,697l6534,785e" filled="false" stroked="true" strokeweight="1pt" strokecolor="#ed1b2d">
              <v:path arrowok="t"/>
              <v:stroke dashstyle="solid"/>
            </v:shape>
            <v:line style="position:absolute" from="6666,699" to="6827,699" stroked="true" strokeweight="1.247pt" strokecolor="#ed1b2d">
              <v:stroke dashstyle="solid"/>
            </v:line>
            <v:shape style="position:absolute;left:6817;top:553;width:1274;height:326" coordorigin="6817,554" coordsize="1274,326" path="m6959,746l6817,702m7242,731l7100,766m7383,554l7242,731m7525,731l7383,554m7666,879l7525,731m7808,756l7666,879m7949,781l7808,756m8091,859l7949,781e" filled="false" stroked="true" strokeweight="1pt" strokecolor="#ed1b2d">
              <v:path arrowok="t"/>
              <v:stroke dashstyle="solid"/>
            </v:shape>
            <v:line style="position:absolute" from="9515,902" to="9423,902" stroked="true" strokeweight=".5pt" strokecolor="#000000">
              <v:stroke dashstyle="solid"/>
            </v:line>
            <v:shape style="position:absolute;left:5816;top:-24;width:3699;height:1732" type="#_x0000_t202" filled="false" stroked="false">
              <v:textbox inset="0,0,0,0">
                <w:txbxContent>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3"/>
                      </w:rPr>
                    </w:pPr>
                  </w:p>
                  <w:p>
                    <w:pPr>
                      <w:tabs>
                        <w:tab w:pos="3545" w:val="left" w:leader="none"/>
                      </w:tabs>
                      <w:spacing w:before="1"/>
                      <w:ind w:left="-1" w:right="0" w:firstLine="0"/>
                      <w:jc w:val="left"/>
                      <w:rPr>
                        <w:sz w:val="12"/>
                      </w:rPr>
                    </w:pPr>
                    <w:r>
                      <w:rPr>
                        <w:sz w:val="12"/>
                        <w:u w:val="single"/>
                      </w:rPr>
                      <w:t> </w:t>
                      <w:tab/>
                    </w:r>
                  </w:p>
                </w:txbxContent>
              </v:textbox>
              <w10:wrap type="none"/>
            </v:shape>
            <w10:wrap type="none"/>
          </v:group>
        </w:pict>
      </w:r>
      <w:r>
        <w:rPr/>
        <w:pict>
          <v:line style="position:absolute;mso-position-horizontal-relative:page;mso-position-vertical-relative:paragraph;z-index:-20823552" from="285.779999pt,8.440345pt" to="290.379999pt,8.440345pt" stroked="true" strokeweight=".5pt" strokecolor="#000000">
            <v:stroke dashstyle="solid"/>
            <w10:wrap type="none"/>
          </v:line>
        </w:pict>
      </w:r>
      <w:r>
        <w:rPr>
          <w:position w:val="1"/>
          <w:sz w:val="12"/>
        </w:rPr>
        <w:t>4</w:t>
        <w:tab/>
      </w:r>
      <w:r>
        <w:rPr>
          <w:sz w:val="12"/>
        </w:rPr>
        <w:t>4</w:t>
      </w:r>
    </w:p>
    <w:p>
      <w:pPr>
        <w:pStyle w:val="BodyText"/>
        <w:spacing w:before="11"/>
        <w:rPr>
          <w:sz w:val="21"/>
        </w:rPr>
      </w:pPr>
    </w:p>
    <w:p>
      <w:pPr>
        <w:tabs>
          <w:tab w:pos="8953" w:val="left" w:leader="none"/>
        </w:tabs>
        <w:spacing w:before="93"/>
        <w:ind w:left="4076" w:right="0" w:firstLine="0"/>
        <w:jc w:val="left"/>
        <w:rPr>
          <w:sz w:val="12"/>
        </w:rPr>
      </w:pPr>
      <w:r>
        <w:rPr/>
        <w:pict>
          <v:line style="position:absolute;mso-position-horizontal-relative:page;mso-position-vertical-relative:paragraph;z-index:16098304" from="40.091pt,9.10017pt" to="44.691pt,9.10017pt" stroked="true" strokeweight=".5pt" strokecolor="#000000">
            <v:stroke dashstyle="solid"/>
            <w10:wrap type="none"/>
          </v:line>
        </w:pict>
      </w:r>
      <w:r>
        <w:rPr/>
        <w:pict>
          <v:line style="position:absolute;mso-position-horizontal-relative:page;mso-position-vertical-relative:paragraph;z-index:-20824064" from="285.779999pt,8.44117pt" to="290.379999pt,8.44117pt" stroked="true" strokeweight=".5pt" strokecolor="#000000">
            <v:stroke dashstyle="solid"/>
            <w10:wrap type="none"/>
          </v:line>
        </w:pict>
      </w:r>
      <w:r>
        <w:rPr>
          <w:position w:val="1"/>
          <w:sz w:val="12"/>
        </w:rPr>
        <w:t>3</w:t>
        <w:tab/>
      </w:r>
      <w:r>
        <w:rPr>
          <w:sz w:val="12"/>
        </w:rPr>
        <w:t>3</w:t>
      </w:r>
    </w:p>
    <w:p>
      <w:pPr>
        <w:tabs>
          <w:tab w:pos="8962" w:val="left" w:leader="none"/>
        </w:tabs>
        <w:spacing w:before="73"/>
        <w:ind w:left="4086" w:right="0" w:firstLine="0"/>
        <w:jc w:val="left"/>
        <w:rPr>
          <w:sz w:val="12"/>
        </w:rPr>
      </w:pPr>
      <w:r>
        <w:rPr>
          <w:sz w:val="12"/>
        </w:rPr>
        <w:t>2.5</w:t>
        <w:tab/>
      </w:r>
      <w:r>
        <w:rPr>
          <w:position w:val="1"/>
          <w:sz w:val="12"/>
        </w:rPr>
        <w:t>2.5</w:t>
      </w:r>
    </w:p>
    <w:p>
      <w:pPr>
        <w:tabs>
          <w:tab w:pos="8953" w:val="left" w:leader="none"/>
        </w:tabs>
        <w:spacing w:before="125"/>
        <w:ind w:left="4076" w:right="0" w:firstLine="0"/>
        <w:jc w:val="left"/>
        <w:rPr>
          <w:sz w:val="12"/>
        </w:rPr>
      </w:pPr>
      <w:r>
        <w:rPr/>
        <w:pict>
          <v:line style="position:absolute;mso-position-horizontal-relative:page;mso-position-vertical-relative:paragraph;z-index:16097792" from="40.091pt,10.699934pt" to="44.691pt,10.699934pt" stroked="true" strokeweight=".5pt" strokecolor="#000000">
            <v:stroke dashstyle="solid"/>
            <w10:wrap type="none"/>
          </v:line>
        </w:pict>
      </w:r>
      <w:r>
        <w:rPr/>
        <w:pict>
          <v:line style="position:absolute;mso-position-horizontal-relative:page;mso-position-vertical-relative:paragraph;z-index:-20824576" from="285.779999pt,10.040934pt" to="290.379999pt,10.040934pt" stroked="true" strokeweight=".5pt" strokecolor="#000000">
            <v:stroke dashstyle="solid"/>
            <w10:wrap type="none"/>
          </v:line>
        </w:pict>
      </w:r>
      <w:r>
        <w:rPr>
          <w:position w:val="1"/>
          <w:sz w:val="12"/>
        </w:rPr>
        <w:t>2</w:t>
        <w:tab/>
      </w:r>
      <w:r>
        <w:rPr>
          <w:sz w:val="12"/>
        </w:rPr>
        <w:t>2</w:t>
      </w:r>
    </w:p>
    <w:p>
      <w:pPr>
        <w:pStyle w:val="BodyText"/>
        <w:spacing w:before="10"/>
        <w:rPr>
          <w:sz w:val="21"/>
        </w:rPr>
      </w:pPr>
    </w:p>
    <w:p>
      <w:pPr>
        <w:tabs>
          <w:tab w:pos="8953" w:val="left" w:leader="none"/>
        </w:tabs>
        <w:spacing w:before="94"/>
        <w:ind w:left="4076" w:right="0" w:firstLine="0"/>
        <w:jc w:val="left"/>
        <w:rPr>
          <w:sz w:val="12"/>
        </w:rPr>
      </w:pPr>
      <w:r>
        <w:rPr/>
        <w:pict>
          <v:line style="position:absolute;mso-position-horizontal-relative:page;mso-position-vertical-relative:paragraph;z-index:16097280" from="40.091pt,9.148758pt" to="44.691pt,9.148758pt" stroked="true" strokeweight=".5pt" strokecolor="#000000">
            <v:stroke dashstyle="solid"/>
            <w10:wrap type="none"/>
          </v:line>
        </w:pict>
      </w:r>
      <w:r>
        <w:rPr/>
        <w:pict>
          <v:line style="position:absolute;mso-position-horizontal-relative:page;mso-position-vertical-relative:paragraph;z-index:-20825088" from="285.779999pt,8.488758pt" to="290.379999pt,8.488758pt" stroked="true" strokeweight=".5pt" strokecolor="#000000">
            <v:stroke dashstyle="solid"/>
            <w10:wrap type="none"/>
          </v:line>
        </w:pict>
      </w:r>
      <w:r>
        <w:rPr>
          <w:position w:val="1"/>
          <w:sz w:val="12"/>
        </w:rPr>
        <w:t>1</w:t>
        <w:tab/>
      </w:r>
      <w:r>
        <w:rPr>
          <w:sz w:val="12"/>
        </w:rPr>
        <w:t>1</w:t>
      </w:r>
    </w:p>
    <w:p>
      <w:pPr>
        <w:pStyle w:val="BodyText"/>
        <w:spacing w:before="10"/>
        <w:rPr>
          <w:sz w:val="21"/>
        </w:rPr>
      </w:pPr>
    </w:p>
    <w:p>
      <w:pPr>
        <w:spacing w:after="0"/>
        <w:rPr>
          <w:sz w:val="21"/>
        </w:rPr>
        <w:sectPr>
          <w:type w:val="continuous"/>
          <w:pgSz w:w="11900" w:h="16840"/>
          <w:pgMar w:top="1220" w:bottom="280" w:left="620" w:right="640"/>
        </w:sectPr>
      </w:pPr>
    </w:p>
    <w:p>
      <w:pPr>
        <w:pStyle w:val="BodyText"/>
        <w:rPr>
          <w:sz w:val="12"/>
        </w:rPr>
      </w:pPr>
    </w:p>
    <w:p>
      <w:pPr>
        <w:tabs>
          <w:tab w:pos="1152" w:val="left" w:leader="none"/>
          <w:tab w:pos="1692" w:val="left" w:leader="none"/>
          <w:tab w:pos="2285" w:val="left" w:leader="none"/>
          <w:tab w:pos="2845" w:val="left" w:leader="none"/>
          <w:tab w:pos="3399" w:val="left" w:leader="none"/>
        </w:tabs>
        <w:spacing w:before="106"/>
        <w:ind w:left="512" w:right="0" w:firstLine="0"/>
        <w:jc w:val="left"/>
        <w:rPr>
          <w:sz w:val="12"/>
        </w:rPr>
      </w:pPr>
      <w:r>
        <w:rPr>
          <w:sz w:val="12"/>
        </w:rPr>
        <w:t>1994</w:t>
        <w:tab/>
        <w:t>95</w:t>
        <w:tab/>
        <w:t>96</w:t>
        <w:tab/>
        <w:t>97</w:t>
        <w:tab/>
        <w:t>98</w:t>
        <w:tab/>
      </w:r>
      <w:r>
        <w:rPr>
          <w:spacing w:val="-10"/>
          <w:sz w:val="12"/>
        </w:rPr>
        <w:t>99</w:t>
      </w:r>
    </w:p>
    <w:p>
      <w:pPr>
        <w:spacing w:before="95"/>
        <w:ind w:left="517" w:right="0" w:firstLine="0"/>
        <w:jc w:val="left"/>
        <w:rPr>
          <w:sz w:val="12"/>
        </w:rPr>
      </w:pPr>
      <w:r>
        <w:rPr/>
        <w:br w:type="column"/>
      </w:r>
      <w:r>
        <w:rPr>
          <w:sz w:val="12"/>
        </w:rPr>
        <w:t>0</w:t>
      </w:r>
    </w:p>
    <w:p>
      <w:pPr>
        <w:spacing w:before="11"/>
        <w:ind w:left="180" w:right="0" w:firstLine="0"/>
        <w:jc w:val="left"/>
        <w:rPr>
          <w:sz w:val="12"/>
        </w:rPr>
      </w:pPr>
      <w:r>
        <w:rPr/>
        <w:pict>
          <v:shape style="position:absolute;margin-left:40.001999pt;margin-top:-9.664455pt;width:191.6pt;height:7.35pt;mso-position-horizontal-relative:page;mso-position-vertical-relative:paragraph;z-index:16096768" coordorigin="800,-193" coordsize="3832,147" path="m936,-50l4496,-50m936,-50l936,-187m1089,-50l1089,-124m1225,-50l1225,-124m1362,-50l1362,-124m1511,-50l1511,-187m1634,-50l1634,-124m1770,-50l1770,-124m1907,-50l1907,-124m2056,-53l2056,-187m2179,-50l2179,-124m2316,-50l2316,-124m2452,-50l2452,-124m2602,-47l2602,-187m2724,-50l2724,-124m2861,-50l2861,-124m2997,-50l2997,-124m3147,-49l3147,-187m3270,-50l3270,-124m3406,-50l3406,-124m3542,-50l3542,-124m3692,-55l3692,-193m3815,-50l3815,-124m3951,-50l3951,-124m4083,-50l4083,-124m4216,-50l4216,-182m4496,-50l4496,-124m4356,-50l4356,-124m800,-63l892,-63m4632,-57l4540,-57e" filled="false" stroked="true" strokeweight=".5pt" strokecolor="#000000">
            <v:path arrowok="t"/>
            <v:stroke dashstyle="solid"/>
            <w10:wrap type="none"/>
          </v:shape>
        </w:pict>
      </w:r>
      <w:r>
        <w:rPr>
          <w:sz w:val="12"/>
        </w:rPr>
        <w:t>2000</w:t>
      </w:r>
    </w:p>
    <w:p>
      <w:pPr>
        <w:pStyle w:val="BodyText"/>
        <w:rPr>
          <w:sz w:val="12"/>
        </w:rPr>
      </w:pPr>
      <w:r>
        <w:rPr/>
        <w:br w:type="column"/>
      </w:r>
      <w:r>
        <w:rPr>
          <w:sz w:val="12"/>
        </w:rPr>
      </w:r>
    </w:p>
    <w:p>
      <w:pPr>
        <w:tabs>
          <w:tab w:pos="1152" w:val="left" w:leader="none"/>
          <w:tab w:pos="1692" w:val="left" w:leader="none"/>
          <w:tab w:pos="2285" w:val="left" w:leader="none"/>
          <w:tab w:pos="2845" w:val="left" w:leader="none"/>
          <w:tab w:pos="3399" w:val="left" w:leader="none"/>
        </w:tabs>
        <w:spacing w:before="93"/>
        <w:ind w:left="512" w:right="0" w:firstLine="0"/>
        <w:jc w:val="left"/>
        <w:rPr>
          <w:sz w:val="12"/>
        </w:rPr>
      </w:pPr>
      <w:r>
        <w:rPr>
          <w:sz w:val="12"/>
        </w:rPr>
        <w:t>1994</w:t>
        <w:tab/>
        <w:t>95</w:t>
        <w:tab/>
        <w:t>96</w:t>
        <w:tab/>
        <w:t>97</w:t>
        <w:tab/>
        <w:t>98</w:t>
        <w:tab/>
      </w:r>
      <w:r>
        <w:rPr>
          <w:spacing w:val="-10"/>
          <w:sz w:val="12"/>
        </w:rPr>
        <w:t>99</w:t>
      </w:r>
    </w:p>
    <w:p>
      <w:pPr>
        <w:spacing w:line="133" w:lineRule="exact" w:before="103"/>
        <w:ind w:left="517" w:right="0" w:firstLine="0"/>
        <w:jc w:val="left"/>
        <w:rPr>
          <w:sz w:val="12"/>
        </w:rPr>
      </w:pPr>
      <w:r>
        <w:rPr/>
        <w:br w:type="column"/>
      </w:r>
      <w:r>
        <w:rPr>
          <w:sz w:val="12"/>
        </w:rPr>
        <w:t>0</w:t>
      </w:r>
    </w:p>
    <w:p>
      <w:pPr>
        <w:spacing w:line="133" w:lineRule="exact" w:before="0"/>
        <w:ind w:left="180" w:right="0" w:firstLine="0"/>
        <w:jc w:val="left"/>
        <w:rPr>
          <w:sz w:val="12"/>
        </w:rPr>
      </w:pPr>
      <w:r>
        <w:rPr/>
        <w:pict>
          <v:shape style="position:absolute;margin-left:285.779999pt;margin-top:-9.037126pt;width:189.65pt;height:5.95pt;mso-position-horizontal-relative:page;mso-position-vertical-relative:paragraph;z-index:16102400" coordorigin="5716,-181" coordsize="3793,119" path="m5842,-67l9362,-67m5842,-67l5842,-179m5970,-67l5970,-141m6112,-67l6112,-141m6254,-67l6254,-141m6408,-62l6408,-179m6537,-67l6537,-141m6678,-67l6678,-141m6820,-67l6820,-141m6975,-73l6975,-179m7103,-67l7103,-141m7244,-67l7244,-141m7386,-67l7386,-141m7541,-73l7541,-179m7669,-67l7669,-141m7810,-67l7810,-141m7952,-67l7952,-141m8107,-73l8107,-179m8235,-67l8235,-141m8377,-67l8377,-141m8518,-67l8518,-141m8673,-73l8673,-179m8801,-67l8801,-141m8943,-67l8943,-141m9086,-67l9086,-141m9247,-67l9247,-181m9362,-67l9362,-141m5716,-67l5808,-67m9508,-73l9416,-73e" filled="false" stroked="true" strokeweight=".5pt" strokecolor="#000000">
            <v:path arrowok="t"/>
            <v:stroke dashstyle="solid"/>
            <w10:wrap type="none"/>
          </v:shape>
        </w:pict>
      </w:r>
      <w:r>
        <w:rPr>
          <w:sz w:val="12"/>
        </w:rPr>
        <w:t>2000</w:t>
      </w:r>
    </w:p>
    <w:p>
      <w:pPr>
        <w:spacing w:after="0" w:line="133" w:lineRule="exact"/>
        <w:jc w:val="left"/>
        <w:rPr>
          <w:sz w:val="12"/>
        </w:rPr>
        <w:sectPr>
          <w:type w:val="continuous"/>
          <w:pgSz w:w="11900" w:h="16840"/>
          <w:pgMar w:top="1220" w:bottom="280" w:left="620" w:right="640"/>
          <w:cols w:num="4" w:equalWidth="0">
            <w:col w:w="3520" w:space="40"/>
            <w:col w:w="618" w:space="698"/>
            <w:col w:w="3520" w:space="40"/>
            <w:col w:w="2204"/>
          </w:cols>
        </w:sectPr>
      </w:pPr>
    </w:p>
    <w:p>
      <w:pPr>
        <w:spacing w:line="208" w:lineRule="auto" w:before="116"/>
        <w:ind w:left="189" w:right="855" w:firstLine="0"/>
        <w:jc w:val="left"/>
        <w:rPr>
          <w:sz w:val="16"/>
        </w:rPr>
      </w:pPr>
      <w:r>
        <w:rPr>
          <w:color w:val="231F20"/>
          <w:sz w:val="16"/>
        </w:rPr>
        <w:t>The fan chart depicting the probability distribution for inflation is rather like a contour map. At any given point during the forecast period, the depth of shading represents the height of the probability density function over a range of outcomes for inflation. The darkest band includes the central (single most likely) projection and covers 10% of the probability. Each successive pair of bands is drawn to cover a further 10% of the probability, until 90% of the probability distribution is covered. The bands widen as the time horizon is extended, indicating increasing uncertainty about outcomes.</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7"/>
        </w:rPr>
      </w:pPr>
    </w:p>
    <w:p>
      <w:pPr>
        <w:spacing w:after="0"/>
        <w:rPr>
          <w:sz w:val="17"/>
        </w:rPr>
        <w:sectPr>
          <w:type w:val="continuous"/>
          <w:pgSz w:w="11900" w:h="16840"/>
          <w:pgMar w:top="1220" w:bottom="280" w:left="620" w:right="640"/>
        </w:sectPr>
      </w:pPr>
    </w:p>
    <w:p>
      <w:pPr>
        <w:pStyle w:val="Heading8"/>
        <w:spacing w:before="91"/>
        <w:ind w:left="189"/>
      </w:pPr>
      <w:r>
        <w:rPr>
          <w:color w:val="0093C1"/>
        </w:rPr>
        <w:t>Chart 6.4</w:t>
      </w:r>
    </w:p>
    <w:p>
      <w:pPr>
        <w:spacing w:line="249" w:lineRule="auto" w:before="10"/>
        <w:ind w:left="189" w:right="21" w:firstLine="0"/>
        <w:jc w:val="left"/>
        <w:rPr>
          <w:b/>
          <w:sz w:val="20"/>
        </w:rPr>
      </w:pPr>
      <w:r>
        <w:rPr>
          <w:b/>
          <w:color w:val="0093C1"/>
          <w:sz w:val="20"/>
        </w:rPr>
        <w:t>Current projection for the percentage increase in RPIX in the year to 2000 Q3</w:t>
      </w:r>
    </w:p>
    <w:p>
      <w:pPr>
        <w:spacing w:before="91"/>
        <w:ind w:left="189" w:right="0" w:firstLine="0"/>
        <w:jc w:val="left"/>
        <w:rPr>
          <w:b/>
          <w:sz w:val="20"/>
        </w:rPr>
      </w:pPr>
      <w:r>
        <w:rPr/>
        <w:br w:type="column"/>
      </w:r>
      <w:r>
        <w:rPr>
          <w:b/>
          <w:color w:val="0093C1"/>
          <w:sz w:val="20"/>
        </w:rPr>
        <w:t>Chart 6.5</w:t>
      </w:r>
    </w:p>
    <w:p>
      <w:pPr>
        <w:spacing w:line="249" w:lineRule="auto" w:before="10"/>
        <w:ind w:left="189" w:right="1723" w:firstLine="0"/>
        <w:jc w:val="left"/>
        <w:rPr>
          <w:b/>
          <w:sz w:val="20"/>
        </w:rPr>
      </w:pPr>
      <w:r>
        <w:rPr>
          <w:b/>
          <w:color w:val="0093C1"/>
          <w:sz w:val="20"/>
        </w:rPr>
        <w:t>May projection for the percentage increase in RPIX in the year to 2000 Q2</w:t>
      </w:r>
    </w:p>
    <w:p>
      <w:pPr>
        <w:spacing w:after="0" w:line="249" w:lineRule="auto"/>
        <w:jc w:val="left"/>
        <w:rPr>
          <w:sz w:val="20"/>
        </w:rPr>
        <w:sectPr>
          <w:type w:val="continuous"/>
          <w:pgSz w:w="11900" w:h="16840"/>
          <w:pgMar w:top="1220" w:bottom="280" w:left="620" w:right="640"/>
          <w:cols w:num="2" w:equalWidth="0">
            <w:col w:w="4212" w:space="608"/>
            <w:col w:w="5820"/>
          </w:cols>
        </w:sectPr>
      </w:pPr>
    </w:p>
    <w:p>
      <w:pPr>
        <w:pStyle w:val="BodyText"/>
        <w:rPr>
          <w:b/>
          <w:sz w:val="20"/>
        </w:rPr>
      </w:pPr>
    </w:p>
    <w:p>
      <w:pPr>
        <w:spacing w:after="0"/>
        <w:rPr>
          <w:sz w:val="20"/>
        </w:rPr>
        <w:sectPr>
          <w:type w:val="continuous"/>
          <w:pgSz w:w="11900" w:h="16840"/>
          <w:pgMar w:top="1220" w:bottom="280" w:left="620" w:right="640"/>
        </w:sectPr>
      </w:pPr>
    </w:p>
    <w:p>
      <w:pPr>
        <w:pStyle w:val="BodyText"/>
        <w:rPr>
          <w:b/>
          <w:sz w:val="21"/>
        </w:rPr>
      </w:pPr>
    </w:p>
    <w:p>
      <w:pPr>
        <w:spacing w:before="0"/>
        <w:ind w:left="0" w:right="38" w:firstLine="0"/>
        <w:jc w:val="right"/>
        <w:rPr>
          <w:sz w:val="12"/>
        </w:rPr>
      </w:pPr>
      <w:r>
        <w:rPr/>
        <w:pict>
          <v:line style="position:absolute;mso-position-horizontal-relative:page;mso-position-vertical-relative:paragraph;z-index:16114688" from="43.02pt,8.101554pt" to="48.02pt,8.101554pt" stroked="true" strokeweight=".5pt" strokecolor="#000000">
            <v:stroke dashstyle="solid"/>
            <w10:wrap type="none"/>
          </v:line>
        </w:pict>
      </w:r>
      <w:r>
        <w:rPr/>
        <w:pict>
          <v:line style="position:absolute;mso-position-horizontal-relative:page;mso-position-vertical-relative:paragraph;z-index:-20812800" from="241.770004pt,8.101554pt" to="247.770004pt,8.101554pt" stroked="true" strokeweight=".5pt" strokecolor="#000000">
            <v:stroke dashstyle="solid"/>
            <w10:wrap type="none"/>
          </v:line>
        </w:pict>
      </w:r>
      <w:r>
        <w:rPr>
          <w:sz w:val="12"/>
        </w:rPr>
        <w:t>Probability in per cent (a) </w:t>
      </w:r>
      <w:r>
        <w:rPr>
          <w:position w:val="-7"/>
          <w:sz w:val="12"/>
        </w:rPr>
        <w:t>5</w:t>
      </w:r>
    </w:p>
    <w:p>
      <w:pPr>
        <w:pStyle w:val="BodyText"/>
        <w:rPr>
          <w:sz w:val="12"/>
        </w:rPr>
      </w:pPr>
      <w:r>
        <w:rPr/>
        <w:br w:type="column"/>
      </w:r>
      <w:r>
        <w:rPr>
          <w:sz w:val="12"/>
        </w:rPr>
      </w:r>
    </w:p>
    <w:p>
      <w:pPr>
        <w:spacing w:line="119" w:lineRule="exact" w:before="79"/>
        <w:ind w:left="3095" w:right="0" w:firstLine="0"/>
        <w:jc w:val="left"/>
        <w:rPr>
          <w:sz w:val="12"/>
        </w:rPr>
      </w:pPr>
      <w:r>
        <w:rPr>
          <w:sz w:val="12"/>
        </w:rPr>
        <w:t>Probability in per cent (a)</w:t>
      </w:r>
    </w:p>
    <w:p>
      <w:pPr>
        <w:spacing w:line="119" w:lineRule="exact" w:before="0"/>
        <w:ind w:left="4393" w:right="0" w:firstLine="0"/>
        <w:jc w:val="left"/>
        <w:rPr>
          <w:sz w:val="12"/>
        </w:rPr>
      </w:pPr>
      <w:r>
        <w:rPr/>
        <w:pict>
          <v:line style="position:absolute;mso-position-horizontal-relative:page;mso-position-vertical-relative:paragraph;z-index:16107520" from="486.269989pt,3.151868pt" to="490.269989pt,3.151868pt" stroked="true" strokeweight=".5pt" strokecolor="#000000">
            <v:stroke dashstyle="solid"/>
            <w10:wrap type="none"/>
          </v:line>
        </w:pict>
      </w:r>
      <w:r>
        <w:rPr/>
        <w:pict>
          <v:line style="position:absolute;mso-position-horizontal-relative:page;mso-position-vertical-relative:paragraph;z-index:16110592" from="283.269989pt,3.151868pt" to="288.269989pt,3.151868pt" stroked="true" strokeweight=".5pt" strokecolor="#000000">
            <v:stroke dashstyle="solid"/>
            <w10:wrap type="none"/>
          </v:line>
        </w:pict>
      </w:r>
      <w:r>
        <w:rPr>
          <w:sz w:val="12"/>
        </w:rPr>
        <w:t>5</w:t>
      </w:r>
    </w:p>
    <w:p>
      <w:pPr>
        <w:spacing w:after="0" w:line="119" w:lineRule="exact"/>
        <w:jc w:val="left"/>
        <w:rPr>
          <w:sz w:val="12"/>
        </w:rPr>
        <w:sectPr>
          <w:type w:val="continuous"/>
          <w:pgSz w:w="11900" w:h="16840"/>
          <w:pgMar w:top="1220" w:bottom="280" w:left="620" w:right="640"/>
          <w:cols w:num="2" w:equalWidth="0">
            <w:col w:w="4546" w:space="316"/>
            <w:col w:w="5778"/>
          </w:cols>
        </w:sectPr>
      </w:pPr>
    </w:p>
    <w:p>
      <w:pPr>
        <w:pStyle w:val="BodyText"/>
        <w:rPr>
          <w:sz w:val="20"/>
        </w:rPr>
      </w:pPr>
    </w:p>
    <w:p>
      <w:pPr>
        <w:tabs>
          <w:tab w:pos="7336" w:val="left" w:leader="none"/>
          <w:tab w:pos="9315" w:val="right" w:leader="none"/>
        </w:tabs>
        <w:spacing w:before="227"/>
        <w:ind w:left="4425" w:right="0" w:firstLine="0"/>
        <w:jc w:val="left"/>
        <w:rPr>
          <w:sz w:val="12"/>
        </w:rPr>
      </w:pPr>
      <w:r>
        <w:rPr/>
        <w:pict>
          <v:group style="position:absolute;margin-left:292.519989pt;margin-top:20.956549pt;width:189.25pt;height:116pt;mso-position-horizontal-relative:page;mso-position-vertical-relative:paragraph;z-index:-20820992" coordorigin="5850,419" coordsize="3785,2320">
            <v:shape style="position:absolute;left:6440;top:434;width:2160;height:2295" coordorigin="6440,434" coordsize="2160,2295" path="m7360,434l7300,434,7220,454,7160,514,7100,594,7040,694,6980,814,6920,954,6800,1274,6720,1434,6600,1754,6540,1894,6497,2023,6440,2114,6440,2729,8600,2729,8600,2154,8420,1914,8300,1714,8240,1594,8180,1494,8100,1374,8040,1274,7980,1154,7920,1054,7860,934,7800,854,7740,754,7660,674,7600,594,7540,534,7420,454,7360,434xe" filled="true" fillcolor="#eeefef" stroked="false">
              <v:path arrowok="t"/>
              <v:fill type="solid"/>
            </v:shape>
            <v:shape style="position:absolute;left:6440;top:434;width:2160;height:2295" coordorigin="6440,434" coordsize="2160,2295" path="m6497,2023l6540,1894,6600,1754,6720,1434,6800,1274,6920,954,6980,814,7040,694,7100,594,7160,514,7220,454,7300,434,7360,434,7420,454,7540,534,7600,594,7660,674,7740,754,7800,854,7860,934,7920,1054,7980,1154,8040,1274,8100,1374,8180,1494,8240,1594,8300,1714,8420,1914,8600,2154,8600,2729,6440,2729,6440,2114,6497,2023xe" filled="false" stroked="true" strokeweight="1pt" strokecolor="#eeefef">
              <v:path arrowok="t"/>
              <v:stroke dashstyle="solid"/>
            </v:shape>
            <v:shape style="position:absolute;left:5860;top:429;width:3765;height:2260" coordorigin="5860,429" coordsize="3765,2260" path="m5860,2654l5940,2629,6000,2594,6045,2569,6110,2519,6165,2469,6225,2409,6295,2334,6370,2234,6440,2129,6500,2014,6545,1889,6605,1749,6665,1589,6725,1419,6800,1254,6865,1109,6925,949,6985,809,7045,689,7105,589,7165,509,7225,449,7305,429,7365,429,7425,449,7545,529,7612,592,7675,666,7745,749,7812,842,7865,929,7929,1036,7985,1149,8045,1256,8110,1369,8185,1489,8245,1589,8312,1707,8365,1809,8425,1909,8545,2069,8622,2166,8865,2409,8925,2454,8985,2489,9185,2589,9425,2669,9490,2679,9565,2689,9625,2689e" filled="false" stroked="true" strokeweight="1pt" strokecolor="#ed1b2d">
              <v:path arrowok="t"/>
              <v:stroke dashstyle="solid"/>
            </v:shape>
            <v:shape style="position:absolute;left:5865;top:2669;width:3760;height:60" coordorigin="5865,2669" coordsize="3760,60" path="m5865,2729l5865,2669m6485,2729l6485,2669m7105,2729l7105,2669m7745,2729l7745,2669m8365,2729l8365,2669m8985,2729l8985,2669m9625,2729l9625,2669m5865,2729l9625,2729e" filled="false" stroked="true" strokeweight=".5pt" strokecolor="#000000">
              <v:path arrowok="t"/>
              <v:stroke dashstyle="solid"/>
            </v:shape>
            <v:line style="position:absolute" from="8390,432" to="7736,1086" stroked="true" strokeweight=".5pt" strokecolor="#000000">
              <v:stroke dashstyle="solid"/>
            </v:line>
            <v:shape style="position:absolute;left:7688;top:1055;width:78;height:78" coordorigin="7688,1056" coordsize="78,78" path="m7730,1056l7699,1117,7688,1134,7695,1128,7766,1092,7730,1056xe" filled="true" fillcolor="#000000" stroked="false">
              <v:path arrowok="t"/>
              <v:fill type="solid"/>
            </v:shape>
            <w10:wrap type="none"/>
          </v:group>
        </w:pict>
      </w:r>
      <w:r>
        <w:rPr/>
        <w:pict>
          <v:line style="position:absolute;mso-position-horizontal-relative:page;mso-position-vertical-relative:paragraph;z-index:-20819968" from="486.269989pt,15.456549pt" to="490.269989pt,15.456549pt" stroked="true" strokeweight=".5pt" strokecolor="#000000">
            <v:stroke dashstyle="solid"/>
            <w10:wrap type="none"/>
          </v:line>
        </w:pict>
      </w:r>
      <w:r>
        <w:rPr/>
        <w:pict>
          <v:line style="position:absolute;mso-position-horizontal-relative:page;mso-position-vertical-relative:paragraph;z-index:-20816896" from="283.269989pt,15.456549pt" to="288.269989pt,15.456549pt" stroked="true" strokeweight=".5pt" strokecolor="#000000">
            <v:stroke dashstyle="solid"/>
            <w10:wrap type="none"/>
          </v:line>
        </w:pict>
      </w:r>
      <w:r>
        <w:rPr/>
        <w:pict>
          <v:group style="position:absolute;margin-left:43.02pt;margin-top:15.696549pt;width:204.75pt;height:124pt;mso-position-horizontal-relative:page;mso-position-vertical-relative:paragraph;z-index:16114176" coordorigin="860,314" coordsize="4095,2480">
            <v:shape style="position:absolute;left:860;top:2733;width:2665;height:60" coordorigin="860,2734" coordsize="2665,60" path="m1005,2734l1005,2794m860,2734l960,2734m1625,2734l1625,2794m2265,2734l2265,2794m2885,2734l2885,2794m3525,2734l3525,2794e" filled="false" stroked="true" strokeweight=".5pt" strokecolor="#000000">
              <v:path arrowok="t"/>
              <v:stroke dashstyle="solid"/>
            </v:shape>
            <v:shape style="position:absolute;left:1695;top:323;width:2060;height:2400" coordorigin="1695,324" coordsize="2060,2400" path="m2575,324l2495,344,2435,384,2375,444,2255,684,2135,1004,2055,1164,1935,1524,1815,1844,1695,2124,1695,2724,3755,2724,3755,2104,3515,1704,3435,1584,3315,1344,3255,1204,3075,844,2995,744,2935,644,2815,484,2695,364,2575,324xe" filled="true" fillcolor="#eeefef" stroked="false">
              <v:path arrowok="t"/>
              <v:fill type="solid"/>
            </v:shape>
            <v:shape style="position:absolute;left:1695;top:323;width:2060;height:2400" coordorigin="1695,324" coordsize="2060,2400" path="m3755,2104l3515,1704,3435,1584,3315,1344,3255,1204,3075,844,2995,744,2935,644,2815,484,2695,364,2575,324,2495,344,2435,384,2375,444,2255,684,2135,1004,2055,1164,1935,1524,1815,1844,1695,2124,1695,2724,3755,2724,3755,2104xe" filled="false" stroked="true" strokeweight="1pt" strokecolor="#eeefef">
              <v:path arrowok="t"/>
              <v:stroke dashstyle="solid"/>
            </v:shape>
            <v:shape style="position:absolute;left:860;top:333;width:4095;height:2460" coordorigin="860,334" coordsize="4095,2460" path="m4145,2734l4145,2794m4765,2734l4765,2794m4835,2734l4955,2734m860,334l960,334m860,934l960,934m860,1534l960,1534m860,2134l960,2134m4835,334l4955,334m4835,934l4955,934m4835,1534l4955,1534m4835,2134l4955,2134e" filled="false" stroked="true" strokeweight=".5pt" strokecolor="#000000">
              <v:path arrowok="t"/>
              <v:stroke dashstyle="solid"/>
            </v:shape>
            <v:shape style="position:absolute;left:1005;top:323;width:3760;height:2390" coordorigin="1005,324" coordsize="3760,2390" path="m1005,2714l1065,2704,1185,2664,1255,2634,1325,2594,1385,2554,1455,2497,1519,2431,1569,2351,1635,2241,1695,2124,1815,1844,1935,1524,1995,1344,2065,1164,2135,991,2195,844,2255,684,2315,554,2375,444,2435,384,2495,344,2575,324,2656,334,2705,374,2825,494,2945,654,3009,757,3069,854,3142,984,3209,1107,3265,1227,3325,1364,3405,1524,3469,1641,3532,1737,3585,1824,3655,1937,3705,2024,3765,2114,3885,2274,3959,2344,4022,2404,4085,2454,4145,2504,4205,2544,4262,2584,4325,2614,4402,2644,4465,2664,4525,2674,4585,2687,4645,2694,4702,2704,4765,2714e" filled="false" stroked="true" strokeweight="1pt" strokecolor="#ed1b2d">
              <v:path arrowok="t"/>
              <v:stroke dashstyle="solid"/>
            </v:shape>
            <v:line style="position:absolute" from="1005,2734" to="4765,2734" stroked="true" strokeweight=".5pt" strokecolor="#000000">
              <v:stroke dashstyle="solid"/>
            </v:line>
            <v:line style="position:absolute" from="3680,498" to="3027,1151" stroked="true" strokeweight=".5pt" strokecolor="#000000">
              <v:stroke dashstyle="solid"/>
            </v:line>
            <v:shape style="position:absolute;left:2978;top:1121;width:78;height:78" coordorigin="2979,1121" coordsize="78,78" path="m3021,1121l2990,1183,2979,1199,2986,1194,3056,1157,3021,1121xe" filled="true" fillcolor="#000000" stroked="false">
              <v:path arrowok="t"/>
              <v:fill type="solid"/>
            </v:shape>
            <v:shape style="position:absolute;left:3246;top:357;width:967;height:133" type="#_x0000_t202" filled="false" stroked="false">
              <v:textbox inset="0,0,0,0">
                <w:txbxContent>
                  <w:p>
                    <w:pPr>
                      <w:spacing w:line="133" w:lineRule="exact" w:before="0"/>
                      <w:ind w:left="0" w:right="0" w:firstLine="0"/>
                      <w:jc w:val="left"/>
                      <w:rPr>
                        <w:sz w:val="12"/>
                      </w:rPr>
                    </w:pPr>
                    <w:r>
                      <w:rPr>
                        <w:sz w:val="12"/>
                      </w:rPr>
                      <w:t>90% probability (b)</w:t>
                    </w:r>
                  </w:p>
                </w:txbxContent>
              </v:textbox>
              <w10:wrap type="none"/>
            </v:shape>
            <w10:wrap type="none"/>
          </v:group>
        </w:pict>
      </w:r>
      <w:r>
        <w:rPr>
          <w:position w:val="6"/>
          <w:sz w:val="12"/>
        </w:rPr>
        <w:t>4</w:t>
        <w:tab/>
      </w:r>
      <w:r>
        <w:rPr>
          <w:sz w:val="12"/>
        </w:rPr>
        <w:t>90% probability (b)</w:t>
        <w:tab/>
      </w:r>
      <w:r>
        <w:rPr>
          <w:position w:val="6"/>
          <w:sz w:val="12"/>
        </w:rPr>
        <w:t>4</w:t>
      </w:r>
    </w:p>
    <w:p>
      <w:pPr>
        <w:tabs>
          <w:tab w:pos="9255" w:val="left" w:leader="none"/>
        </w:tabs>
        <w:spacing w:before="402"/>
        <w:ind w:left="4445" w:right="0" w:firstLine="0"/>
        <w:jc w:val="left"/>
        <w:rPr>
          <w:sz w:val="12"/>
        </w:rPr>
      </w:pPr>
      <w:r>
        <w:rPr/>
        <w:pict>
          <v:line style="position:absolute;mso-position-horizontal-relative:page;mso-position-vertical-relative:paragraph;z-index:-20819456" from="486.269989pt,24.201574pt" to="490.269989pt,24.201574pt" stroked="true" strokeweight=".5pt" strokecolor="#000000">
            <v:stroke dashstyle="solid"/>
            <w10:wrap type="none"/>
          </v:line>
        </w:pict>
      </w:r>
      <w:r>
        <w:rPr/>
        <w:pict>
          <v:line style="position:absolute;mso-position-horizontal-relative:page;mso-position-vertical-relative:paragraph;z-index:-20816384" from="283.269989pt,24.201574pt" to="288.269989pt,24.201574pt" stroked="true" strokeweight=".5pt" strokecolor="#000000">
            <v:stroke dashstyle="solid"/>
            <w10:wrap type="none"/>
          </v:line>
        </w:pict>
      </w:r>
      <w:r>
        <w:rPr>
          <w:position w:val="-1"/>
          <w:sz w:val="12"/>
        </w:rPr>
        <w:t>3</w:t>
        <w:tab/>
      </w:r>
      <w:r>
        <w:rPr>
          <w:sz w:val="12"/>
        </w:rPr>
        <w:t>3</w:t>
      </w:r>
    </w:p>
    <w:p>
      <w:pPr>
        <w:tabs>
          <w:tab w:pos="9255" w:val="left" w:leader="none"/>
        </w:tabs>
        <w:spacing w:before="442"/>
        <w:ind w:left="4425" w:right="0" w:firstLine="0"/>
        <w:jc w:val="left"/>
        <w:rPr>
          <w:sz w:val="12"/>
        </w:rPr>
      </w:pPr>
      <w:r>
        <w:rPr/>
        <w:pict>
          <v:line style="position:absolute;mso-position-horizontal-relative:page;mso-position-vertical-relative:paragraph;z-index:-20818944" from="486.269989pt,26.201559pt" to="490.269989pt,26.201559pt" stroked="true" strokeweight=".5pt" strokecolor="#000000">
            <v:stroke dashstyle="solid"/>
            <w10:wrap type="none"/>
          </v:line>
        </w:pict>
      </w:r>
      <w:r>
        <w:rPr/>
        <w:pict>
          <v:line style="position:absolute;mso-position-horizontal-relative:page;mso-position-vertical-relative:paragraph;z-index:-20815872" from="283.269989pt,26.201559pt" to="288.269989pt,26.201559pt" stroked="true" strokeweight=".5pt" strokecolor="#000000">
            <v:stroke dashstyle="solid"/>
            <w10:wrap type="none"/>
          </v:line>
        </w:pict>
      </w:r>
      <w:r>
        <w:rPr>
          <w:position w:val="-1"/>
          <w:sz w:val="12"/>
        </w:rPr>
        <w:t>2</w:t>
        <w:tab/>
      </w:r>
      <w:r>
        <w:rPr>
          <w:sz w:val="12"/>
        </w:rPr>
        <w:t>2</w:t>
      </w:r>
    </w:p>
    <w:p>
      <w:pPr>
        <w:tabs>
          <w:tab w:pos="9255" w:val="left" w:leader="none"/>
        </w:tabs>
        <w:spacing w:before="447"/>
        <w:ind w:left="4445" w:right="0" w:firstLine="0"/>
        <w:jc w:val="left"/>
        <w:rPr>
          <w:sz w:val="12"/>
        </w:rPr>
      </w:pPr>
      <w:r>
        <w:rPr/>
        <w:pict>
          <v:line style="position:absolute;mso-position-horizontal-relative:page;mso-position-vertical-relative:paragraph;z-index:-20818432" from="486.269989pt,27.211355pt" to="490.269989pt,27.211355pt" stroked="true" strokeweight=".5pt" strokecolor="#000000">
            <v:stroke dashstyle="solid"/>
            <w10:wrap type="none"/>
          </v:line>
        </w:pict>
      </w:r>
      <w:r>
        <w:rPr/>
        <w:pict>
          <v:line style="position:absolute;mso-position-horizontal-relative:page;mso-position-vertical-relative:paragraph;z-index:-20815360" from="283.269989pt,27.211355pt" to="288.269989pt,27.211355pt" stroked="true" strokeweight=".5pt" strokecolor="#000000">
            <v:stroke dashstyle="solid"/>
            <w10:wrap type="none"/>
          </v:line>
        </w:pict>
      </w:r>
      <w:r>
        <w:rPr>
          <w:sz w:val="12"/>
        </w:rPr>
        <w:t>1</w:t>
        <w:tab/>
        <w:t>1</w:t>
      </w:r>
    </w:p>
    <w:p>
      <w:pPr>
        <w:spacing w:after="0"/>
        <w:jc w:val="left"/>
        <w:rPr>
          <w:sz w:val="12"/>
        </w:rPr>
        <w:sectPr>
          <w:type w:val="continuous"/>
          <w:pgSz w:w="11900" w:h="16840"/>
          <w:pgMar w:top="1220" w:bottom="280" w:left="620" w:right="640"/>
        </w:sectPr>
      </w:pPr>
    </w:p>
    <w:p>
      <w:pPr>
        <w:pStyle w:val="BodyText"/>
        <w:rPr>
          <w:sz w:val="12"/>
        </w:rPr>
      </w:pPr>
    </w:p>
    <w:p>
      <w:pPr>
        <w:pStyle w:val="BodyText"/>
        <w:rPr>
          <w:sz w:val="12"/>
        </w:rPr>
      </w:pPr>
    </w:p>
    <w:p>
      <w:pPr>
        <w:pStyle w:val="BodyText"/>
        <w:spacing w:before="2"/>
        <w:rPr>
          <w:sz w:val="16"/>
        </w:rPr>
      </w:pPr>
    </w:p>
    <w:p>
      <w:pPr>
        <w:spacing w:before="0"/>
        <w:ind w:left="4425" w:right="0" w:firstLine="0"/>
        <w:jc w:val="left"/>
        <w:rPr>
          <w:sz w:val="12"/>
        </w:rPr>
      </w:pPr>
      <w:r>
        <w:rPr>
          <w:sz w:val="12"/>
        </w:rPr>
        <w:t>0</w:t>
      </w:r>
    </w:p>
    <w:p>
      <w:pPr>
        <w:tabs>
          <w:tab w:pos="970" w:val="left" w:leader="none"/>
          <w:tab w:pos="1625" w:val="left" w:leader="none"/>
          <w:tab w:pos="2235" w:val="left" w:leader="none"/>
          <w:tab w:pos="2870" w:val="left" w:leader="none"/>
          <w:tab w:pos="3495" w:val="left" w:leader="none"/>
          <w:tab w:pos="4115" w:val="left" w:leader="none"/>
        </w:tabs>
        <w:spacing w:before="27"/>
        <w:ind w:left="355" w:right="0" w:firstLine="0"/>
        <w:jc w:val="left"/>
        <w:rPr>
          <w:sz w:val="12"/>
        </w:rPr>
      </w:pPr>
      <w:r>
        <w:rPr>
          <w:sz w:val="12"/>
        </w:rPr>
        <w:t>0</w:t>
        <w:tab/>
        <w:t>1</w:t>
        <w:tab/>
        <w:t>2</w:t>
        <w:tab/>
        <w:t>3</w:t>
        <w:tab/>
        <w:t>4</w:t>
        <w:tab/>
        <w:t>5</w:t>
        <w:tab/>
        <w:t>6</w:t>
      </w:r>
    </w:p>
    <w:p>
      <w:pPr>
        <w:spacing w:before="17"/>
        <w:ind w:left="1815" w:right="0" w:firstLine="0"/>
        <w:jc w:val="left"/>
        <w:rPr>
          <w:sz w:val="12"/>
        </w:rPr>
      </w:pPr>
      <w:r>
        <w:rPr>
          <w:sz w:val="12"/>
        </w:rPr>
        <w:t>Inflation</w:t>
      </w:r>
    </w:p>
    <w:p>
      <w:pPr>
        <w:spacing w:before="62"/>
        <w:ind w:left="209" w:right="0" w:firstLine="0"/>
        <w:jc w:val="left"/>
        <w:rPr>
          <w:sz w:val="16"/>
        </w:rPr>
      </w:pPr>
      <w:r>
        <w:rPr>
          <w:color w:val="231F20"/>
          <w:sz w:val="16"/>
        </w:rPr>
        <w:t>Source: Bank of England.</w:t>
      </w:r>
    </w:p>
    <w:p>
      <w:pPr>
        <w:pStyle w:val="BodyText"/>
        <w:rPr>
          <w:sz w:val="12"/>
        </w:rPr>
      </w:pPr>
      <w:r>
        <w:rPr/>
        <w:br w:type="column"/>
      </w:r>
      <w:r>
        <w:rPr>
          <w:sz w:val="12"/>
        </w:rPr>
      </w:r>
    </w:p>
    <w:p>
      <w:pPr>
        <w:pStyle w:val="BodyText"/>
        <w:rPr>
          <w:sz w:val="12"/>
        </w:rPr>
      </w:pPr>
    </w:p>
    <w:p>
      <w:pPr>
        <w:pStyle w:val="BodyText"/>
        <w:spacing w:before="6"/>
        <w:rPr>
          <w:sz w:val="17"/>
        </w:rPr>
      </w:pPr>
    </w:p>
    <w:p>
      <w:pPr>
        <w:spacing w:line="129" w:lineRule="exact" w:before="0"/>
        <w:ind w:left="2945" w:right="0" w:firstLine="0"/>
        <w:jc w:val="center"/>
        <w:rPr>
          <w:sz w:val="12"/>
        </w:rPr>
      </w:pPr>
      <w:r>
        <w:rPr>
          <w:sz w:val="12"/>
        </w:rPr>
        <w:t>0</w:t>
      </w:r>
    </w:p>
    <w:p>
      <w:pPr>
        <w:tabs>
          <w:tab w:pos="639" w:val="left" w:leader="none"/>
          <w:tab w:pos="1259" w:val="left" w:leader="none"/>
          <w:tab w:pos="1879" w:val="left" w:leader="none"/>
          <w:tab w:pos="2499" w:val="left" w:leader="none"/>
          <w:tab w:pos="3139" w:val="left" w:leader="none"/>
          <w:tab w:pos="3759" w:val="left" w:leader="none"/>
        </w:tabs>
        <w:spacing w:line="129" w:lineRule="exact" w:before="0"/>
        <w:ind w:left="0" w:right="1412" w:firstLine="0"/>
        <w:jc w:val="center"/>
        <w:rPr>
          <w:sz w:val="12"/>
        </w:rPr>
      </w:pPr>
      <w:r>
        <w:rPr/>
        <w:pict>
          <v:line style="position:absolute;mso-position-horizontal-relative:page;mso-position-vertical-relative:paragraph;z-index:16110080" from="486.269989pt,-2.348148pt" to="490.269989pt,-2.348148pt" stroked="true" strokeweight=".5pt" strokecolor="#000000">
            <v:stroke dashstyle="solid"/>
            <w10:wrap type="none"/>
          </v:line>
        </w:pict>
      </w:r>
      <w:r>
        <w:rPr/>
        <w:pict>
          <v:line style="position:absolute;mso-position-horizontal-relative:page;mso-position-vertical-relative:paragraph;z-index:16113152" from="283.269989pt,-2.348148pt" to="288.269989pt,-2.348148pt" stroked="true" strokeweight=".5pt" strokecolor="#000000">
            <v:stroke dashstyle="solid"/>
            <w10:wrap type="none"/>
          </v:line>
        </w:pict>
      </w:r>
      <w:r>
        <w:rPr>
          <w:sz w:val="12"/>
        </w:rPr>
        <w:t>0</w:t>
        <w:tab/>
        <w:t>1</w:t>
        <w:tab/>
        <w:t>2</w:t>
        <w:tab/>
        <w:t>3</w:t>
        <w:tab/>
        <w:t>4</w:t>
        <w:tab/>
        <w:t>5</w:t>
        <w:tab/>
        <w:t>6</w:t>
      </w:r>
    </w:p>
    <w:p>
      <w:pPr>
        <w:spacing w:before="2"/>
        <w:ind w:left="0" w:right="1379" w:firstLine="0"/>
        <w:jc w:val="center"/>
        <w:rPr>
          <w:sz w:val="12"/>
        </w:rPr>
      </w:pPr>
      <w:r>
        <w:rPr>
          <w:sz w:val="12"/>
        </w:rPr>
        <w:t>Inflation</w:t>
      </w:r>
    </w:p>
    <w:p>
      <w:pPr>
        <w:spacing w:after="0"/>
        <w:jc w:val="center"/>
        <w:rPr>
          <w:sz w:val="12"/>
        </w:rPr>
        <w:sectPr>
          <w:type w:val="continuous"/>
          <w:pgSz w:w="11900" w:h="16840"/>
          <w:pgMar w:top="1220" w:bottom="280" w:left="620" w:right="640"/>
          <w:cols w:num="2" w:equalWidth="0">
            <w:col w:w="4526" w:space="460"/>
            <w:col w:w="5654"/>
          </w:cols>
        </w:sectPr>
      </w:pPr>
    </w:p>
    <w:p>
      <w:pPr>
        <w:pStyle w:val="ListParagraph"/>
        <w:numPr>
          <w:ilvl w:val="0"/>
          <w:numId w:val="39"/>
        </w:numPr>
        <w:tabs>
          <w:tab w:pos="450" w:val="left" w:leader="none"/>
        </w:tabs>
        <w:spacing w:line="208" w:lineRule="auto" w:before="155" w:after="0"/>
        <w:ind w:left="449" w:right="1447" w:hanging="240"/>
        <w:jc w:val="left"/>
        <w:rPr>
          <w:sz w:val="16"/>
        </w:rPr>
      </w:pPr>
      <w:r>
        <w:rPr>
          <w:color w:val="231F20"/>
          <w:sz w:val="16"/>
        </w:rPr>
        <w:t>Probability of inflation being within ±0.05 percentage point of any given inflation rate, specified to one decimal place. For example, </w:t>
      </w:r>
      <w:r>
        <w:rPr>
          <w:color w:val="231F20"/>
          <w:spacing w:val="-6"/>
          <w:sz w:val="16"/>
        </w:rPr>
        <w:t>the </w:t>
      </w:r>
      <w:r>
        <w:rPr>
          <w:color w:val="231F20"/>
          <w:sz w:val="16"/>
        </w:rPr>
        <w:t>probability of inflation being 2.5% (between 2.45% and 2.55%) in the current projection is around 4%.</w:t>
      </w:r>
    </w:p>
    <w:p>
      <w:pPr>
        <w:pStyle w:val="ListParagraph"/>
        <w:numPr>
          <w:ilvl w:val="0"/>
          <w:numId w:val="39"/>
        </w:numPr>
        <w:tabs>
          <w:tab w:pos="450" w:val="left" w:leader="none"/>
        </w:tabs>
        <w:spacing w:line="208" w:lineRule="auto" w:before="0" w:after="0"/>
        <w:ind w:left="449" w:right="1128" w:hanging="240"/>
        <w:jc w:val="left"/>
        <w:rPr>
          <w:sz w:val="16"/>
        </w:rPr>
      </w:pPr>
      <w:r>
        <w:rPr>
          <w:color w:val="231F20"/>
          <w:sz w:val="16"/>
        </w:rPr>
        <w:t>The areas shaded light grey contain 90% of the probability, and are consistent with the widest bands shown in Charts 6.2 and 6.3. For </w:t>
      </w:r>
      <w:r>
        <w:rPr>
          <w:color w:val="231F20"/>
          <w:spacing w:val="-3"/>
          <w:sz w:val="16"/>
        </w:rPr>
        <w:t>further </w:t>
      </w:r>
      <w:r>
        <w:rPr>
          <w:color w:val="231F20"/>
          <w:sz w:val="16"/>
        </w:rPr>
        <w:t>details see ‘The </w:t>
      </w:r>
      <w:r>
        <w:rPr>
          <w:i/>
          <w:color w:val="231F20"/>
          <w:sz w:val="16"/>
        </w:rPr>
        <w:t>Inflation Report </w:t>
      </w:r>
      <w:r>
        <w:rPr>
          <w:color w:val="231F20"/>
          <w:sz w:val="16"/>
        </w:rPr>
        <w:t>projections: understanding the fan chart’, February 1998 </w:t>
      </w:r>
      <w:r>
        <w:rPr>
          <w:i/>
          <w:color w:val="231F20"/>
          <w:sz w:val="16"/>
        </w:rPr>
        <w:t>Quarterly Bulletin</w:t>
      </w:r>
      <w:r>
        <w:rPr>
          <w:color w:val="231F20"/>
          <w:sz w:val="16"/>
        </w:rPr>
        <w:t>, pages</w:t>
      </w:r>
      <w:r>
        <w:rPr>
          <w:color w:val="231F20"/>
          <w:spacing w:val="-2"/>
          <w:sz w:val="16"/>
        </w:rPr>
        <w:t> </w:t>
      </w:r>
      <w:r>
        <w:rPr>
          <w:color w:val="231F20"/>
          <w:sz w:val="16"/>
        </w:rPr>
        <w:t>30–37.</w:t>
      </w:r>
    </w:p>
    <w:p>
      <w:pPr>
        <w:spacing w:after="0" w:line="208" w:lineRule="auto"/>
        <w:jc w:val="left"/>
        <w:rPr>
          <w:sz w:val="16"/>
        </w:rPr>
        <w:sectPr>
          <w:type w:val="continuous"/>
          <w:pgSz w:w="11900" w:h="16840"/>
          <w:pgMar w:top="1220" w:bottom="280" w:left="620" w:right="640"/>
        </w:sectPr>
      </w:pPr>
    </w:p>
    <w:p>
      <w:pPr>
        <w:pStyle w:val="BodyText"/>
        <w:rPr>
          <w:sz w:val="20"/>
        </w:rPr>
      </w:pPr>
    </w:p>
    <w:p>
      <w:pPr>
        <w:spacing w:after="0"/>
        <w:rPr>
          <w:sz w:val="20"/>
        </w:rPr>
        <w:sectPr>
          <w:headerReference w:type="even" r:id="rId95"/>
          <w:headerReference w:type="default" r:id="rId96"/>
          <w:footerReference w:type="even" r:id="rId97"/>
          <w:footerReference w:type="default" r:id="rId98"/>
          <w:pgSz w:w="11900" w:h="16840"/>
          <w:pgMar w:header="566" w:footer="597" w:top="760" w:bottom="780" w:left="620" w:right="64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8"/>
        <w:spacing w:before="175"/>
        <w:ind w:left="190"/>
        <w:jc w:val="both"/>
      </w:pPr>
      <w:r>
        <w:rPr>
          <w:color w:val="0093C1"/>
        </w:rPr>
        <w:t>Table 6.A</w:t>
      </w:r>
    </w:p>
    <w:p>
      <w:pPr>
        <w:spacing w:line="249" w:lineRule="auto" w:before="10"/>
        <w:ind w:left="190" w:right="235" w:firstLine="0"/>
        <w:jc w:val="both"/>
        <w:rPr>
          <w:sz w:val="12"/>
        </w:rPr>
      </w:pPr>
      <w:r>
        <w:rPr>
          <w:b/>
          <w:color w:val="0093C1"/>
          <w:sz w:val="20"/>
        </w:rPr>
        <w:t>The MPC’s expectations for RPIX inflation and GDP growth based on constant nominal interest rates</w:t>
      </w:r>
      <w:r>
        <w:rPr>
          <w:color w:val="231F20"/>
          <w:position w:val="4"/>
          <w:sz w:val="12"/>
        </w:rPr>
        <w:t>(a)</w:t>
      </w:r>
    </w:p>
    <w:p>
      <w:pPr>
        <w:spacing w:before="98"/>
        <w:ind w:left="190" w:right="0" w:firstLine="0"/>
        <w:jc w:val="left"/>
        <w:rPr>
          <w:b/>
          <w:sz w:val="14"/>
        </w:rPr>
      </w:pPr>
      <w:r>
        <w:rPr>
          <w:b/>
          <w:color w:val="231F20"/>
          <w:sz w:val="14"/>
        </w:rPr>
        <w:t>RPIX inflation</w:t>
      </w:r>
    </w:p>
    <w:p>
      <w:pPr>
        <w:tabs>
          <w:tab w:pos="1740" w:val="left" w:leader="none"/>
          <w:tab w:pos="3549" w:val="left" w:leader="none"/>
        </w:tabs>
        <w:spacing w:before="59"/>
        <w:ind w:left="190" w:right="0" w:firstLine="0"/>
        <w:jc w:val="left"/>
        <w:rPr>
          <w:sz w:val="14"/>
        </w:rPr>
      </w:pPr>
      <w:r>
        <w:rPr>
          <w:color w:val="231F20"/>
          <w:sz w:val="14"/>
        </w:rPr>
        <w:t>Probability, per cent</w:t>
        <w:tab/>
      </w:r>
      <w:r>
        <w:rPr>
          <w:color w:val="231F20"/>
          <w:sz w:val="14"/>
          <w:u w:val="single" w:color="231F20"/>
        </w:rPr>
        <w:t>Range:</w:t>
        <w:tab/>
      </w:r>
    </w:p>
    <w:p>
      <w:pPr>
        <w:pStyle w:val="BodyText"/>
        <w:spacing w:before="2"/>
        <w:rPr>
          <w:sz w:val="2"/>
        </w:rPr>
      </w:pP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9"/>
        <w:gridCol w:w="806"/>
        <w:gridCol w:w="489"/>
        <w:gridCol w:w="489"/>
        <w:gridCol w:w="488"/>
        <w:gridCol w:w="467"/>
        <w:gridCol w:w="453"/>
      </w:tblGrid>
      <w:tr>
        <w:trPr>
          <w:trHeight w:val="287" w:hRule="atLeast"/>
        </w:trPr>
        <w:tc>
          <w:tcPr>
            <w:tcW w:w="1199" w:type="dxa"/>
          </w:tcPr>
          <w:p>
            <w:pPr>
              <w:pStyle w:val="TableParagraph"/>
              <w:rPr>
                <w:sz w:val="20"/>
              </w:rPr>
            </w:pPr>
          </w:p>
        </w:tc>
        <w:tc>
          <w:tcPr>
            <w:tcW w:w="806" w:type="dxa"/>
          </w:tcPr>
          <w:p>
            <w:pPr>
              <w:pStyle w:val="TableParagraph"/>
              <w:spacing w:line="155" w:lineRule="exact"/>
              <w:ind w:left="411"/>
              <w:rPr>
                <w:sz w:val="14"/>
              </w:rPr>
            </w:pPr>
            <w:r>
              <w:rPr>
                <w:color w:val="231F20"/>
                <w:sz w:val="14"/>
              </w:rPr>
              <w:t>less</w:t>
            </w:r>
          </w:p>
        </w:tc>
        <w:tc>
          <w:tcPr>
            <w:tcW w:w="489" w:type="dxa"/>
          </w:tcPr>
          <w:p>
            <w:pPr>
              <w:pStyle w:val="TableParagraph"/>
              <w:spacing w:line="155" w:lineRule="exact"/>
              <w:ind w:left="104"/>
              <w:rPr>
                <w:sz w:val="14"/>
              </w:rPr>
            </w:pPr>
            <w:r>
              <w:rPr>
                <w:color w:val="231F20"/>
                <w:sz w:val="14"/>
              </w:rPr>
              <w:t>1.5%</w:t>
            </w:r>
          </w:p>
        </w:tc>
        <w:tc>
          <w:tcPr>
            <w:tcW w:w="489" w:type="dxa"/>
          </w:tcPr>
          <w:p>
            <w:pPr>
              <w:pStyle w:val="TableParagraph"/>
              <w:spacing w:line="155" w:lineRule="exact"/>
              <w:ind w:left="96"/>
              <w:rPr>
                <w:sz w:val="14"/>
              </w:rPr>
            </w:pPr>
            <w:r>
              <w:rPr>
                <w:color w:val="231F20"/>
                <w:sz w:val="14"/>
              </w:rPr>
              <w:t>2.5%</w:t>
            </w:r>
          </w:p>
        </w:tc>
        <w:tc>
          <w:tcPr>
            <w:tcW w:w="1408" w:type="dxa"/>
            <w:gridSpan w:val="3"/>
          </w:tcPr>
          <w:p>
            <w:pPr>
              <w:pStyle w:val="TableParagraph"/>
              <w:spacing w:line="155" w:lineRule="exact"/>
              <w:ind w:left="107"/>
              <w:rPr>
                <w:sz w:val="14"/>
              </w:rPr>
            </w:pPr>
            <w:r>
              <w:rPr>
                <w:color w:val="231F20"/>
                <w:sz w:val="14"/>
              </w:rPr>
              <w:t>more</w:t>
            </w:r>
          </w:p>
        </w:tc>
      </w:tr>
      <w:tr>
        <w:trPr>
          <w:trHeight w:val="179" w:hRule="atLeast"/>
        </w:trPr>
        <w:tc>
          <w:tcPr>
            <w:tcW w:w="1199" w:type="dxa"/>
          </w:tcPr>
          <w:p>
            <w:pPr>
              <w:pStyle w:val="TableParagraph"/>
              <w:rPr>
                <w:sz w:val="12"/>
              </w:rPr>
            </w:pPr>
          </w:p>
        </w:tc>
        <w:tc>
          <w:tcPr>
            <w:tcW w:w="806" w:type="dxa"/>
          </w:tcPr>
          <w:p>
            <w:pPr>
              <w:pStyle w:val="TableParagraph"/>
              <w:rPr>
                <w:sz w:val="12"/>
              </w:rPr>
            </w:pPr>
          </w:p>
        </w:tc>
        <w:tc>
          <w:tcPr>
            <w:tcW w:w="489" w:type="dxa"/>
          </w:tcPr>
          <w:p>
            <w:pPr>
              <w:pStyle w:val="TableParagraph"/>
              <w:rPr>
                <w:sz w:val="12"/>
              </w:rPr>
            </w:pPr>
          </w:p>
        </w:tc>
        <w:tc>
          <w:tcPr>
            <w:tcW w:w="489" w:type="dxa"/>
          </w:tcPr>
          <w:p>
            <w:pPr>
              <w:pStyle w:val="TableParagraph"/>
              <w:rPr>
                <w:sz w:val="12"/>
              </w:rPr>
            </w:pPr>
          </w:p>
        </w:tc>
        <w:tc>
          <w:tcPr>
            <w:tcW w:w="1408" w:type="dxa"/>
            <w:gridSpan w:val="3"/>
          </w:tcPr>
          <w:p>
            <w:pPr>
              <w:pStyle w:val="TableParagraph"/>
              <w:rPr>
                <w:sz w:val="12"/>
              </w:rPr>
            </w:pPr>
          </w:p>
        </w:tc>
      </w:tr>
      <w:tr>
        <w:trPr>
          <w:trHeight w:val="179" w:hRule="atLeast"/>
        </w:trPr>
        <w:tc>
          <w:tcPr>
            <w:tcW w:w="1199" w:type="dxa"/>
          </w:tcPr>
          <w:p>
            <w:pPr>
              <w:pStyle w:val="TableParagraph"/>
              <w:rPr>
                <w:sz w:val="12"/>
              </w:rPr>
            </w:pPr>
          </w:p>
        </w:tc>
        <w:tc>
          <w:tcPr>
            <w:tcW w:w="806" w:type="dxa"/>
          </w:tcPr>
          <w:p>
            <w:pPr>
              <w:pStyle w:val="TableParagraph"/>
              <w:rPr>
                <w:sz w:val="12"/>
              </w:rPr>
            </w:pPr>
          </w:p>
        </w:tc>
        <w:tc>
          <w:tcPr>
            <w:tcW w:w="489" w:type="dxa"/>
          </w:tcPr>
          <w:p>
            <w:pPr>
              <w:pStyle w:val="TableParagraph"/>
              <w:rPr>
                <w:sz w:val="12"/>
              </w:rPr>
            </w:pPr>
          </w:p>
        </w:tc>
        <w:tc>
          <w:tcPr>
            <w:tcW w:w="489" w:type="dxa"/>
          </w:tcPr>
          <w:p>
            <w:pPr>
              <w:pStyle w:val="TableParagraph"/>
              <w:rPr>
                <w:sz w:val="12"/>
              </w:rPr>
            </w:pPr>
          </w:p>
        </w:tc>
        <w:tc>
          <w:tcPr>
            <w:tcW w:w="1408" w:type="dxa"/>
            <w:gridSpan w:val="3"/>
          </w:tcPr>
          <w:p>
            <w:pPr>
              <w:pStyle w:val="TableParagraph"/>
              <w:rPr>
                <w:sz w:val="12"/>
              </w:rPr>
            </w:pPr>
          </w:p>
        </w:tc>
      </w:tr>
      <w:tr>
        <w:trPr>
          <w:trHeight w:val="140" w:hRule="atLeast"/>
        </w:trPr>
        <w:tc>
          <w:tcPr>
            <w:tcW w:w="1199" w:type="dxa"/>
          </w:tcPr>
          <w:p>
            <w:pPr>
              <w:pStyle w:val="TableParagraph"/>
              <w:rPr>
                <w:sz w:val="8"/>
              </w:rPr>
            </w:pPr>
          </w:p>
        </w:tc>
        <w:tc>
          <w:tcPr>
            <w:tcW w:w="806" w:type="dxa"/>
          </w:tcPr>
          <w:p>
            <w:pPr>
              <w:pStyle w:val="TableParagraph"/>
              <w:rPr>
                <w:sz w:val="8"/>
              </w:rPr>
            </w:pPr>
          </w:p>
        </w:tc>
        <w:tc>
          <w:tcPr>
            <w:tcW w:w="489" w:type="dxa"/>
          </w:tcPr>
          <w:p>
            <w:pPr>
              <w:pStyle w:val="TableParagraph"/>
              <w:rPr>
                <w:sz w:val="8"/>
              </w:rPr>
            </w:pPr>
          </w:p>
        </w:tc>
        <w:tc>
          <w:tcPr>
            <w:tcW w:w="489" w:type="dxa"/>
          </w:tcPr>
          <w:p>
            <w:pPr>
              <w:pStyle w:val="TableParagraph"/>
              <w:rPr>
                <w:sz w:val="8"/>
              </w:rPr>
            </w:pPr>
          </w:p>
        </w:tc>
        <w:tc>
          <w:tcPr>
            <w:tcW w:w="1408" w:type="dxa"/>
            <w:gridSpan w:val="3"/>
          </w:tcPr>
          <w:p>
            <w:pPr>
              <w:pStyle w:val="TableParagraph"/>
              <w:rPr>
                <w:sz w:val="8"/>
              </w:rPr>
            </w:pPr>
          </w:p>
        </w:tc>
      </w:tr>
      <w:tr>
        <w:trPr>
          <w:trHeight w:val="240" w:hRule="atLeast"/>
        </w:trPr>
        <w:tc>
          <w:tcPr>
            <w:tcW w:w="1199" w:type="dxa"/>
          </w:tcPr>
          <w:p>
            <w:pPr>
              <w:pStyle w:val="TableParagraph"/>
              <w:rPr>
                <w:sz w:val="16"/>
              </w:rPr>
            </w:pPr>
          </w:p>
        </w:tc>
        <w:tc>
          <w:tcPr>
            <w:tcW w:w="806" w:type="dxa"/>
          </w:tcPr>
          <w:p>
            <w:pPr>
              <w:pStyle w:val="TableParagraph"/>
              <w:rPr>
                <w:sz w:val="16"/>
              </w:rPr>
            </w:pPr>
          </w:p>
        </w:tc>
        <w:tc>
          <w:tcPr>
            <w:tcW w:w="489" w:type="dxa"/>
          </w:tcPr>
          <w:p>
            <w:pPr>
              <w:pStyle w:val="TableParagraph"/>
              <w:rPr>
                <w:sz w:val="16"/>
              </w:rPr>
            </w:pPr>
          </w:p>
        </w:tc>
        <w:tc>
          <w:tcPr>
            <w:tcW w:w="489" w:type="dxa"/>
          </w:tcPr>
          <w:p>
            <w:pPr>
              <w:pStyle w:val="TableParagraph"/>
              <w:rPr>
                <w:sz w:val="16"/>
              </w:rPr>
            </w:pPr>
          </w:p>
        </w:tc>
        <w:tc>
          <w:tcPr>
            <w:tcW w:w="1408" w:type="dxa"/>
            <w:gridSpan w:val="3"/>
          </w:tcPr>
          <w:p>
            <w:pPr>
              <w:pStyle w:val="TableParagraph"/>
              <w:rPr>
                <w:sz w:val="16"/>
              </w:rPr>
            </w:pPr>
          </w:p>
        </w:tc>
      </w:tr>
      <w:tr>
        <w:trPr>
          <w:trHeight w:val="247" w:hRule="atLeast"/>
        </w:trPr>
        <w:tc>
          <w:tcPr>
            <w:tcW w:w="1199" w:type="dxa"/>
          </w:tcPr>
          <w:p>
            <w:pPr>
              <w:pStyle w:val="TableParagraph"/>
              <w:rPr>
                <w:sz w:val="18"/>
              </w:rPr>
            </w:pPr>
          </w:p>
        </w:tc>
        <w:tc>
          <w:tcPr>
            <w:tcW w:w="806" w:type="dxa"/>
          </w:tcPr>
          <w:p>
            <w:pPr>
              <w:pStyle w:val="TableParagraph"/>
              <w:rPr>
                <w:sz w:val="18"/>
              </w:rPr>
            </w:pPr>
          </w:p>
        </w:tc>
        <w:tc>
          <w:tcPr>
            <w:tcW w:w="489" w:type="dxa"/>
          </w:tcPr>
          <w:p>
            <w:pPr>
              <w:pStyle w:val="TableParagraph"/>
              <w:rPr>
                <w:sz w:val="18"/>
              </w:rPr>
            </w:pPr>
          </w:p>
        </w:tc>
        <w:tc>
          <w:tcPr>
            <w:tcW w:w="489" w:type="dxa"/>
          </w:tcPr>
          <w:p>
            <w:pPr>
              <w:pStyle w:val="TableParagraph"/>
              <w:rPr>
                <w:sz w:val="18"/>
              </w:rPr>
            </w:pPr>
          </w:p>
        </w:tc>
        <w:tc>
          <w:tcPr>
            <w:tcW w:w="1408" w:type="dxa"/>
            <w:gridSpan w:val="3"/>
          </w:tcPr>
          <w:p>
            <w:pPr>
              <w:pStyle w:val="TableParagraph"/>
              <w:rPr>
                <w:sz w:val="18"/>
              </w:rPr>
            </w:pPr>
          </w:p>
        </w:tc>
      </w:tr>
      <w:tr>
        <w:trPr>
          <w:trHeight w:val="249" w:hRule="atLeast"/>
        </w:trPr>
        <w:tc>
          <w:tcPr>
            <w:tcW w:w="4391" w:type="dxa"/>
            <w:gridSpan w:val="7"/>
          </w:tcPr>
          <w:p>
            <w:pPr>
              <w:pStyle w:val="TableParagraph"/>
              <w:rPr>
                <w:sz w:val="18"/>
              </w:rPr>
            </w:pPr>
          </w:p>
        </w:tc>
      </w:tr>
      <w:tr>
        <w:trPr>
          <w:trHeight w:val="142" w:hRule="atLeast"/>
        </w:trPr>
        <w:tc>
          <w:tcPr>
            <w:tcW w:w="1199" w:type="dxa"/>
          </w:tcPr>
          <w:p>
            <w:pPr>
              <w:pStyle w:val="TableParagraph"/>
              <w:rPr>
                <w:sz w:val="8"/>
              </w:rPr>
            </w:pPr>
          </w:p>
        </w:tc>
        <w:tc>
          <w:tcPr>
            <w:tcW w:w="806" w:type="dxa"/>
          </w:tcPr>
          <w:p>
            <w:pPr>
              <w:pStyle w:val="TableParagraph"/>
              <w:rPr>
                <w:sz w:val="8"/>
              </w:rPr>
            </w:pPr>
          </w:p>
        </w:tc>
        <w:tc>
          <w:tcPr>
            <w:tcW w:w="489" w:type="dxa"/>
          </w:tcPr>
          <w:p>
            <w:pPr>
              <w:pStyle w:val="TableParagraph"/>
              <w:rPr>
                <w:sz w:val="8"/>
              </w:rPr>
            </w:pPr>
          </w:p>
        </w:tc>
        <w:tc>
          <w:tcPr>
            <w:tcW w:w="489" w:type="dxa"/>
          </w:tcPr>
          <w:p>
            <w:pPr>
              <w:pStyle w:val="TableParagraph"/>
              <w:rPr>
                <w:sz w:val="8"/>
              </w:rPr>
            </w:pPr>
          </w:p>
        </w:tc>
        <w:tc>
          <w:tcPr>
            <w:tcW w:w="488" w:type="dxa"/>
          </w:tcPr>
          <w:p>
            <w:pPr>
              <w:pStyle w:val="TableParagraph"/>
              <w:rPr>
                <w:sz w:val="8"/>
              </w:rPr>
            </w:pPr>
          </w:p>
        </w:tc>
        <w:tc>
          <w:tcPr>
            <w:tcW w:w="467" w:type="dxa"/>
          </w:tcPr>
          <w:p>
            <w:pPr>
              <w:pStyle w:val="TableParagraph"/>
              <w:rPr>
                <w:sz w:val="8"/>
              </w:rPr>
            </w:pPr>
          </w:p>
        </w:tc>
        <w:tc>
          <w:tcPr>
            <w:tcW w:w="453" w:type="dxa"/>
          </w:tcPr>
          <w:p>
            <w:pPr>
              <w:pStyle w:val="TableParagraph"/>
              <w:rPr>
                <w:sz w:val="8"/>
              </w:rPr>
            </w:pPr>
          </w:p>
        </w:tc>
      </w:tr>
      <w:tr>
        <w:trPr>
          <w:trHeight w:val="140" w:hRule="atLeast"/>
        </w:trPr>
        <w:tc>
          <w:tcPr>
            <w:tcW w:w="1199" w:type="dxa"/>
          </w:tcPr>
          <w:p>
            <w:pPr>
              <w:pStyle w:val="TableParagraph"/>
              <w:rPr>
                <w:sz w:val="8"/>
              </w:rPr>
            </w:pPr>
          </w:p>
        </w:tc>
        <w:tc>
          <w:tcPr>
            <w:tcW w:w="806" w:type="dxa"/>
          </w:tcPr>
          <w:p>
            <w:pPr>
              <w:pStyle w:val="TableParagraph"/>
              <w:rPr>
                <w:sz w:val="8"/>
              </w:rPr>
            </w:pPr>
          </w:p>
        </w:tc>
        <w:tc>
          <w:tcPr>
            <w:tcW w:w="489" w:type="dxa"/>
          </w:tcPr>
          <w:p>
            <w:pPr>
              <w:pStyle w:val="TableParagraph"/>
              <w:rPr>
                <w:sz w:val="8"/>
              </w:rPr>
            </w:pPr>
          </w:p>
        </w:tc>
        <w:tc>
          <w:tcPr>
            <w:tcW w:w="489" w:type="dxa"/>
          </w:tcPr>
          <w:p>
            <w:pPr>
              <w:pStyle w:val="TableParagraph"/>
              <w:rPr>
                <w:sz w:val="8"/>
              </w:rPr>
            </w:pPr>
          </w:p>
        </w:tc>
        <w:tc>
          <w:tcPr>
            <w:tcW w:w="488" w:type="dxa"/>
          </w:tcPr>
          <w:p>
            <w:pPr>
              <w:pStyle w:val="TableParagraph"/>
              <w:rPr>
                <w:sz w:val="8"/>
              </w:rPr>
            </w:pPr>
          </w:p>
        </w:tc>
        <w:tc>
          <w:tcPr>
            <w:tcW w:w="467" w:type="dxa"/>
          </w:tcPr>
          <w:p>
            <w:pPr>
              <w:pStyle w:val="TableParagraph"/>
              <w:rPr>
                <w:sz w:val="8"/>
              </w:rPr>
            </w:pPr>
          </w:p>
        </w:tc>
        <w:tc>
          <w:tcPr>
            <w:tcW w:w="453" w:type="dxa"/>
          </w:tcPr>
          <w:p>
            <w:pPr>
              <w:pStyle w:val="TableParagraph"/>
              <w:rPr>
                <w:sz w:val="8"/>
              </w:rPr>
            </w:pPr>
          </w:p>
        </w:tc>
      </w:tr>
      <w:tr>
        <w:trPr>
          <w:trHeight w:val="179" w:hRule="atLeast"/>
        </w:trPr>
        <w:tc>
          <w:tcPr>
            <w:tcW w:w="1199" w:type="dxa"/>
          </w:tcPr>
          <w:p>
            <w:pPr>
              <w:pStyle w:val="TableParagraph"/>
              <w:rPr>
                <w:sz w:val="12"/>
              </w:rPr>
            </w:pPr>
          </w:p>
        </w:tc>
        <w:tc>
          <w:tcPr>
            <w:tcW w:w="806" w:type="dxa"/>
          </w:tcPr>
          <w:p>
            <w:pPr>
              <w:pStyle w:val="TableParagraph"/>
              <w:rPr>
                <w:sz w:val="12"/>
              </w:rPr>
            </w:pPr>
          </w:p>
        </w:tc>
        <w:tc>
          <w:tcPr>
            <w:tcW w:w="489" w:type="dxa"/>
          </w:tcPr>
          <w:p>
            <w:pPr>
              <w:pStyle w:val="TableParagraph"/>
              <w:rPr>
                <w:sz w:val="12"/>
              </w:rPr>
            </w:pPr>
          </w:p>
        </w:tc>
        <w:tc>
          <w:tcPr>
            <w:tcW w:w="489" w:type="dxa"/>
          </w:tcPr>
          <w:p>
            <w:pPr>
              <w:pStyle w:val="TableParagraph"/>
              <w:rPr>
                <w:sz w:val="12"/>
              </w:rPr>
            </w:pPr>
          </w:p>
        </w:tc>
        <w:tc>
          <w:tcPr>
            <w:tcW w:w="488" w:type="dxa"/>
          </w:tcPr>
          <w:p>
            <w:pPr>
              <w:pStyle w:val="TableParagraph"/>
              <w:rPr>
                <w:sz w:val="12"/>
              </w:rPr>
            </w:pPr>
          </w:p>
        </w:tc>
        <w:tc>
          <w:tcPr>
            <w:tcW w:w="467" w:type="dxa"/>
          </w:tcPr>
          <w:p>
            <w:pPr>
              <w:pStyle w:val="TableParagraph"/>
              <w:rPr>
                <w:sz w:val="12"/>
              </w:rPr>
            </w:pPr>
          </w:p>
        </w:tc>
        <w:tc>
          <w:tcPr>
            <w:tcW w:w="453" w:type="dxa"/>
          </w:tcPr>
          <w:p>
            <w:pPr>
              <w:pStyle w:val="TableParagraph"/>
              <w:rPr>
                <w:sz w:val="12"/>
              </w:rPr>
            </w:pPr>
          </w:p>
        </w:tc>
      </w:tr>
      <w:tr>
        <w:trPr>
          <w:trHeight w:val="179" w:hRule="atLeast"/>
        </w:trPr>
        <w:tc>
          <w:tcPr>
            <w:tcW w:w="1199" w:type="dxa"/>
          </w:tcPr>
          <w:p>
            <w:pPr>
              <w:pStyle w:val="TableParagraph"/>
              <w:rPr>
                <w:sz w:val="12"/>
              </w:rPr>
            </w:pPr>
          </w:p>
        </w:tc>
        <w:tc>
          <w:tcPr>
            <w:tcW w:w="806" w:type="dxa"/>
          </w:tcPr>
          <w:p>
            <w:pPr>
              <w:pStyle w:val="TableParagraph"/>
              <w:rPr>
                <w:sz w:val="12"/>
              </w:rPr>
            </w:pPr>
          </w:p>
        </w:tc>
        <w:tc>
          <w:tcPr>
            <w:tcW w:w="489" w:type="dxa"/>
          </w:tcPr>
          <w:p>
            <w:pPr>
              <w:pStyle w:val="TableParagraph"/>
              <w:rPr>
                <w:sz w:val="12"/>
              </w:rPr>
            </w:pPr>
          </w:p>
        </w:tc>
        <w:tc>
          <w:tcPr>
            <w:tcW w:w="489" w:type="dxa"/>
          </w:tcPr>
          <w:p>
            <w:pPr>
              <w:pStyle w:val="TableParagraph"/>
              <w:rPr>
                <w:sz w:val="12"/>
              </w:rPr>
            </w:pPr>
          </w:p>
        </w:tc>
        <w:tc>
          <w:tcPr>
            <w:tcW w:w="488" w:type="dxa"/>
          </w:tcPr>
          <w:p>
            <w:pPr>
              <w:pStyle w:val="TableParagraph"/>
              <w:rPr>
                <w:sz w:val="12"/>
              </w:rPr>
            </w:pPr>
          </w:p>
        </w:tc>
        <w:tc>
          <w:tcPr>
            <w:tcW w:w="467" w:type="dxa"/>
          </w:tcPr>
          <w:p>
            <w:pPr>
              <w:pStyle w:val="TableParagraph"/>
              <w:rPr>
                <w:sz w:val="12"/>
              </w:rPr>
            </w:pPr>
          </w:p>
        </w:tc>
        <w:tc>
          <w:tcPr>
            <w:tcW w:w="453" w:type="dxa"/>
          </w:tcPr>
          <w:p>
            <w:pPr>
              <w:pStyle w:val="TableParagraph"/>
              <w:rPr>
                <w:sz w:val="12"/>
              </w:rPr>
            </w:pPr>
          </w:p>
        </w:tc>
      </w:tr>
      <w:tr>
        <w:trPr>
          <w:trHeight w:val="140" w:hRule="atLeast"/>
        </w:trPr>
        <w:tc>
          <w:tcPr>
            <w:tcW w:w="1199" w:type="dxa"/>
          </w:tcPr>
          <w:p>
            <w:pPr>
              <w:pStyle w:val="TableParagraph"/>
              <w:rPr>
                <w:sz w:val="8"/>
              </w:rPr>
            </w:pPr>
          </w:p>
        </w:tc>
        <w:tc>
          <w:tcPr>
            <w:tcW w:w="806" w:type="dxa"/>
          </w:tcPr>
          <w:p>
            <w:pPr>
              <w:pStyle w:val="TableParagraph"/>
              <w:rPr>
                <w:sz w:val="8"/>
              </w:rPr>
            </w:pPr>
          </w:p>
        </w:tc>
        <w:tc>
          <w:tcPr>
            <w:tcW w:w="489" w:type="dxa"/>
          </w:tcPr>
          <w:p>
            <w:pPr>
              <w:pStyle w:val="TableParagraph"/>
              <w:rPr>
                <w:sz w:val="8"/>
              </w:rPr>
            </w:pPr>
          </w:p>
        </w:tc>
        <w:tc>
          <w:tcPr>
            <w:tcW w:w="489" w:type="dxa"/>
          </w:tcPr>
          <w:p>
            <w:pPr>
              <w:pStyle w:val="TableParagraph"/>
              <w:rPr>
                <w:sz w:val="8"/>
              </w:rPr>
            </w:pPr>
          </w:p>
        </w:tc>
        <w:tc>
          <w:tcPr>
            <w:tcW w:w="488" w:type="dxa"/>
          </w:tcPr>
          <w:p>
            <w:pPr>
              <w:pStyle w:val="TableParagraph"/>
              <w:rPr>
                <w:sz w:val="8"/>
              </w:rPr>
            </w:pPr>
          </w:p>
        </w:tc>
        <w:tc>
          <w:tcPr>
            <w:tcW w:w="467" w:type="dxa"/>
          </w:tcPr>
          <w:p>
            <w:pPr>
              <w:pStyle w:val="TableParagraph"/>
              <w:rPr>
                <w:sz w:val="8"/>
              </w:rPr>
            </w:pPr>
          </w:p>
        </w:tc>
        <w:tc>
          <w:tcPr>
            <w:tcW w:w="453" w:type="dxa"/>
          </w:tcPr>
          <w:p>
            <w:pPr>
              <w:pStyle w:val="TableParagraph"/>
              <w:rPr>
                <w:sz w:val="8"/>
              </w:rPr>
            </w:pPr>
          </w:p>
        </w:tc>
      </w:tr>
      <w:tr>
        <w:trPr>
          <w:trHeight w:val="147" w:hRule="atLeast"/>
        </w:trPr>
        <w:tc>
          <w:tcPr>
            <w:tcW w:w="1199" w:type="dxa"/>
          </w:tcPr>
          <w:p>
            <w:pPr>
              <w:pStyle w:val="TableParagraph"/>
              <w:rPr>
                <w:sz w:val="8"/>
              </w:rPr>
            </w:pPr>
          </w:p>
        </w:tc>
        <w:tc>
          <w:tcPr>
            <w:tcW w:w="806" w:type="dxa"/>
          </w:tcPr>
          <w:p>
            <w:pPr>
              <w:pStyle w:val="TableParagraph"/>
              <w:rPr>
                <w:sz w:val="8"/>
              </w:rPr>
            </w:pPr>
          </w:p>
        </w:tc>
        <w:tc>
          <w:tcPr>
            <w:tcW w:w="489" w:type="dxa"/>
          </w:tcPr>
          <w:p>
            <w:pPr>
              <w:pStyle w:val="TableParagraph"/>
              <w:rPr>
                <w:sz w:val="8"/>
              </w:rPr>
            </w:pPr>
          </w:p>
        </w:tc>
        <w:tc>
          <w:tcPr>
            <w:tcW w:w="489" w:type="dxa"/>
          </w:tcPr>
          <w:p>
            <w:pPr>
              <w:pStyle w:val="TableParagraph"/>
              <w:rPr>
                <w:sz w:val="8"/>
              </w:rPr>
            </w:pPr>
          </w:p>
        </w:tc>
        <w:tc>
          <w:tcPr>
            <w:tcW w:w="488" w:type="dxa"/>
          </w:tcPr>
          <w:p>
            <w:pPr>
              <w:pStyle w:val="TableParagraph"/>
              <w:rPr>
                <w:sz w:val="8"/>
              </w:rPr>
            </w:pPr>
          </w:p>
        </w:tc>
        <w:tc>
          <w:tcPr>
            <w:tcW w:w="467" w:type="dxa"/>
          </w:tcPr>
          <w:p>
            <w:pPr>
              <w:pStyle w:val="TableParagraph"/>
              <w:rPr>
                <w:sz w:val="8"/>
              </w:rPr>
            </w:pPr>
          </w:p>
        </w:tc>
        <w:tc>
          <w:tcPr>
            <w:tcW w:w="453" w:type="dxa"/>
          </w:tcPr>
          <w:p>
            <w:pPr>
              <w:pStyle w:val="TableParagraph"/>
              <w:rPr>
                <w:sz w:val="8"/>
              </w:rPr>
            </w:pPr>
          </w:p>
        </w:tc>
      </w:tr>
      <w:tr>
        <w:trPr>
          <w:trHeight w:val="255" w:hRule="atLeast"/>
        </w:trPr>
        <w:tc>
          <w:tcPr>
            <w:tcW w:w="4391" w:type="dxa"/>
            <w:gridSpan w:val="7"/>
          </w:tcPr>
          <w:p>
            <w:pPr>
              <w:pStyle w:val="TableParagraph"/>
              <w:rPr>
                <w:sz w:val="18"/>
              </w:rPr>
            </w:pPr>
          </w:p>
        </w:tc>
      </w:tr>
      <w:tr>
        <w:trPr>
          <w:trHeight w:val="10" w:hRule="atLeast"/>
        </w:trPr>
        <w:tc>
          <w:tcPr>
            <w:tcW w:w="4391" w:type="dxa"/>
            <w:gridSpan w:val="7"/>
          </w:tcPr>
          <w:p>
            <w:pPr>
              <w:pStyle w:val="TableParagraph"/>
              <w:rPr>
                <w:sz w:val="2"/>
              </w:rPr>
            </w:pPr>
          </w:p>
        </w:tc>
      </w:tr>
    </w:tbl>
    <w:p>
      <w:pPr>
        <w:tabs>
          <w:tab w:pos="2249" w:val="left" w:leader="none"/>
          <w:tab w:pos="2729" w:val="left" w:leader="none"/>
          <w:tab w:pos="3230" w:val="left" w:leader="none"/>
        </w:tabs>
        <w:spacing w:line="150" w:lineRule="exact" w:before="29"/>
        <w:ind w:left="1750" w:right="0" w:firstLine="0"/>
        <w:jc w:val="left"/>
        <w:rPr>
          <w:sz w:val="14"/>
        </w:rPr>
      </w:pPr>
      <w:r>
        <w:rPr>
          <w:color w:val="231F20"/>
          <w:sz w:val="14"/>
        </w:rPr>
        <w:t>than</w:t>
        <w:tab/>
        <w:t>to</w:t>
        <w:tab/>
        <w:t>to</w:t>
        <w:tab/>
        <w:t>than</w:t>
      </w:r>
    </w:p>
    <w:p>
      <w:pPr>
        <w:tabs>
          <w:tab w:pos="2229" w:val="left" w:leader="none"/>
          <w:tab w:pos="3210" w:val="left" w:leader="none"/>
        </w:tabs>
        <w:spacing w:line="150" w:lineRule="exact" w:before="0"/>
        <w:ind w:left="1730" w:right="0" w:firstLine="0"/>
        <w:jc w:val="left"/>
        <w:rPr>
          <w:sz w:val="14"/>
        </w:rPr>
      </w:pPr>
      <w:r>
        <w:rPr>
          <w:color w:val="231F20"/>
          <w:sz w:val="14"/>
          <w:u w:val="single" w:color="231F20"/>
        </w:rPr>
        <w:t>%</w:t>
      </w:r>
      <w:r>
        <w:rPr>
          <w:color w:val="231F20"/>
          <w:sz w:val="14"/>
        </w:rPr>
        <w:tab/>
      </w:r>
      <w:r>
        <w:rPr>
          <w:color w:val="231F20"/>
          <w:sz w:val="14"/>
          <w:u w:val="single" w:color="231F20"/>
        </w:rPr>
        <w:t>2.5%</w:t>
      </w:r>
      <w:r>
        <w:rPr>
          <w:color w:val="231F20"/>
          <w:sz w:val="14"/>
        </w:rPr>
        <w:t>    </w:t>
      </w:r>
      <w:r>
        <w:rPr>
          <w:color w:val="231F20"/>
          <w:spacing w:val="13"/>
          <w:sz w:val="14"/>
        </w:rPr>
        <w:t> </w:t>
      </w:r>
      <w:r>
        <w:rPr>
          <w:color w:val="231F20"/>
          <w:sz w:val="14"/>
          <w:u w:val="single" w:color="231F20"/>
        </w:rPr>
        <w:t>3.5%</w:t>
      </w:r>
      <w:r>
        <w:rPr>
          <w:color w:val="231F20"/>
          <w:sz w:val="14"/>
        </w:rPr>
        <w:tab/>
      </w:r>
      <w:r>
        <w:rPr>
          <w:color w:val="231F20"/>
          <w:sz w:val="14"/>
          <w:u w:val="single" w:color="231F20"/>
        </w:rPr>
        <w:t>3.5%</w:t>
      </w:r>
    </w:p>
    <w:p>
      <w:pPr>
        <w:tabs>
          <w:tab w:pos="1839" w:val="left" w:leader="none"/>
          <w:tab w:pos="2269" w:val="left" w:leader="none"/>
          <w:tab w:pos="2769" w:val="left" w:leader="none"/>
          <w:tab w:pos="3449" w:val="right" w:leader="none"/>
        </w:tabs>
        <w:spacing w:line="150" w:lineRule="exact" w:before="59"/>
        <w:ind w:left="190" w:right="0" w:firstLine="0"/>
        <w:jc w:val="left"/>
        <w:rPr>
          <w:sz w:val="14"/>
        </w:rPr>
      </w:pPr>
      <w:r>
        <w:rPr>
          <w:color w:val="231F20"/>
          <w:sz w:val="14"/>
        </w:rPr>
        <w:t>1998 Q4</w:t>
        <w:tab/>
        <w:t>0</w:t>
        <w:tab/>
        <w:t>37</w:t>
        <w:tab/>
        <w:t>60</w:t>
        <w:tab/>
        <w:t>3</w:t>
      </w:r>
    </w:p>
    <w:p>
      <w:pPr>
        <w:tabs>
          <w:tab w:pos="1839" w:val="left" w:leader="none"/>
          <w:tab w:pos="2269" w:val="left" w:leader="none"/>
          <w:tab w:pos="2769" w:val="left" w:leader="none"/>
          <w:tab w:pos="3449" w:val="right" w:leader="none"/>
        </w:tabs>
        <w:spacing w:line="140" w:lineRule="exact" w:before="0"/>
        <w:ind w:left="190" w:right="0" w:firstLine="0"/>
        <w:jc w:val="left"/>
        <w:rPr>
          <w:sz w:val="14"/>
        </w:rPr>
      </w:pPr>
      <w:r>
        <w:rPr>
          <w:color w:val="231F20"/>
          <w:sz w:val="14"/>
        </w:rPr>
        <w:t>1999 Q4</w:t>
        <w:tab/>
        <w:t>2</w:t>
        <w:tab/>
        <w:t>26</w:t>
        <w:tab/>
        <w:t>50</w:t>
        <w:tab/>
        <w:t>22</w:t>
      </w:r>
    </w:p>
    <w:p>
      <w:pPr>
        <w:tabs>
          <w:tab w:pos="1769" w:val="left" w:leader="none"/>
          <w:tab w:pos="2269" w:val="left" w:leader="none"/>
          <w:tab w:pos="2769" w:val="left" w:leader="none"/>
          <w:tab w:pos="3449" w:val="right" w:leader="none"/>
        </w:tabs>
        <w:spacing w:line="150" w:lineRule="exact" w:before="0"/>
        <w:ind w:left="190" w:right="0" w:firstLine="0"/>
        <w:jc w:val="left"/>
        <w:rPr>
          <w:sz w:val="14"/>
        </w:rPr>
      </w:pPr>
      <w:r>
        <w:rPr>
          <w:color w:val="231F20"/>
          <w:sz w:val="14"/>
        </w:rPr>
        <w:t>2000 Q3</w:t>
        <w:tab/>
        <w:t>10</w:t>
        <w:tab/>
        <w:t>33</w:t>
        <w:tab/>
        <w:t>35</w:t>
        <w:tab/>
        <w:t>22</w:t>
      </w:r>
    </w:p>
    <w:p>
      <w:pPr>
        <w:pStyle w:val="BodyText"/>
        <w:spacing w:before="7"/>
        <w:rPr>
          <w:sz w:val="15"/>
        </w:rPr>
      </w:pPr>
    </w:p>
    <w:p>
      <w:pPr>
        <w:spacing w:before="0"/>
        <w:ind w:left="190" w:right="0" w:firstLine="0"/>
        <w:jc w:val="left"/>
        <w:rPr>
          <w:b/>
          <w:sz w:val="14"/>
        </w:rPr>
      </w:pPr>
      <w:r>
        <w:rPr>
          <w:b/>
          <w:color w:val="231F20"/>
          <w:sz w:val="14"/>
        </w:rPr>
        <w:t>GDP growth</w:t>
      </w:r>
    </w:p>
    <w:p>
      <w:pPr>
        <w:tabs>
          <w:tab w:pos="1740" w:val="left" w:leader="none"/>
          <w:tab w:pos="4479" w:val="left" w:leader="none"/>
        </w:tabs>
        <w:spacing w:before="59"/>
        <w:ind w:left="190" w:right="0" w:firstLine="0"/>
        <w:jc w:val="left"/>
        <w:rPr>
          <w:sz w:val="14"/>
        </w:rPr>
      </w:pPr>
      <w:r>
        <w:rPr>
          <w:color w:val="231F20"/>
          <w:sz w:val="14"/>
        </w:rPr>
        <w:t>Probability, per cent</w:t>
        <w:tab/>
      </w:r>
      <w:r>
        <w:rPr>
          <w:color w:val="231F20"/>
          <w:sz w:val="14"/>
          <w:u w:val="single" w:color="231F20"/>
        </w:rPr>
        <w:t>Range:</w:t>
        <w:tab/>
      </w:r>
    </w:p>
    <w:p>
      <w:pPr>
        <w:tabs>
          <w:tab w:pos="2249" w:val="left" w:leader="none"/>
          <w:tab w:pos="2729" w:val="left" w:leader="none"/>
          <w:tab w:pos="3229" w:val="left" w:leader="none"/>
          <w:tab w:pos="3779" w:val="left" w:leader="none"/>
          <w:tab w:pos="4199" w:val="left" w:leader="none"/>
        </w:tabs>
        <w:spacing w:line="208" w:lineRule="auto" w:before="36"/>
        <w:ind w:left="1750" w:right="38" w:firstLine="0"/>
        <w:jc w:val="left"/>
        <w:rPr>
          <w:sz w:val="14"/>
        </w:rPr>
      </w:pPr>
      <w:r>
        <w:rPr>
          <w:color w:val="231F20"/>
          <w:sz w:val="14"/>
        </w:rPr>
        <w:t>less</w:t>
        <w:tab/>
        <w:t>0%</w:t>
        <w:tab/>
        <w:t>1%</w:t>
        <w:tab/>
        <w:t>2%</w:t>
        <w:tab/>
        <w:t>3%</w:t>
        <w:tab/>
      </w:r>
      <w:r>
        <w:rPr>
          <w:color w:val="231F20"/>
          <w:spacing w:val="-5"/>
          <w:sz w:val="14"/>
        </w:rPr>
        <w:t>more </w:t>
      </w:r>
      <w:r>
        <w:rPr>
          <w:color w:val="231F20"/>
          <w:sz w:val="14"/>
        </w:rPr>
        <w:t>than</w:t>
        <w:tab/>
        <w:t>to</w:t>
        <w:tab/>
        <w:t>to</w:t>
        <w:tab/>
        <w:t>to</w:t>
        <w:tab/>
        <w:t>to</w:t>
        <w:tab/>
        <w:t>than</w:t>
      </w:r>
    </w:p>
    <w:p>
      <w:pPr>
        <w:tabs>
          <w:tab w:pos="2249" w:val="left" w:leader="none"/>
          <w:tab w:pos="2730" w:val="left" w:leader="none"/>
          <w:tab w:pos="3230" w:val="left" w:leader="none"/>
          <w:tab w:pos="3780" w:val="left" w:leader="none"/>
          <w:tab w:pos="4200" w:val="left" w:leader="none"/>
        </w:tabs>
        <w:spacing w:line="144" w:lineRule="exact" w:before="0"/>
        <w:ind w:left="1730" w:right="0" w:firstLine="0"/>
        <w:jc w:val="left"/>
        <w:rPr>
          <w:sz w:val="14"/>
        </w:rPr>
      </w:pPr>
      <w:r>
        <w:rPr>
          <w:color w:val="231F20"/>
          <w:spacing w:val="-15"/>
          <w:sz w:val="14"/>
          <w:u w:val="single" w:color="231F20"/>
        </w:rPr>
        <w:t> </w:t>
      </w:r>
      <w:r>
        <w:rPr>
          <w:color w:val="231F20"/>
          <w:sz w:val="14"/>
          <w:u w:val="single" w:color="231F20"/>
        </w:rPr>
        <w:t>0%</w:t>
      </w:r>
      <w:r>
        <w:rPr>
          <w:color w:val="231F20"/>
          <w:sz w:val="14"/>
        </w:rPr>
        <w:tab/>
      </w:r>
      <w:r>
        <w:rPr>
          <w:color w:val="231F20"/>
          <w:sz w:val="14"/>
          <w:u w:val="single" w:color="231F20"/>
        </w:rPr>
        <w:t>1%</w:t>
      </w:r>
      <w:r>
        <w:rPr>
          <w:color w:val="231F20"/>
          <w:sz w:val="14"/>
        </w:rPr>
        <w:tab/>
      </w:r>
      <w:r>
        <w:rPr>
          <w:color w:val="231F20"/>
          <w:sz w:val="14"/>
          <w:u w:val="single" w:color="231F20"/>
        </w:rPr>
        <w:t>2%</w:t>
      </w:r>
      <w:r>
        <w:rPr>
          <w:color w:val="231F20"/>
          <w:sz w:val="14"/>
        </w:rPr>
        <w:tab/>
      </w:r>
      <w:r>
        <w:rPr>
          <w:color w:val="231F20"/>
          <w:sz w:val="14"/>
          <w:u w:val="single" w:color="231F20"/>
        </w:rPr>
        <w:t>3%</w:t>
      </w:r>
      <w:r>
        <w:rPr>
          <w:color w:val="231F20"/>
          <w:sz w:val="14"/>
        </w:rPr>
        <w:tab/>
      </w:r>
      <w:r>
        <w:rPr>
          <w:color w:val="231F20"/>
          <w:sz w:val="14"/>
          <w:u w:val="single" w:color="231F20"/>
        </w:rPr>
        <w:t>4%</w:t>
      </w:r>
      <w:r>
        <w:rPr>
          <w:color w:val="231F20"/>
          <w:sz w:val="14"/>
        </w:rPr>
        <w:tab/>
      </w:r>
      <w:r>
        <w:rPr>
          <w:color w:val="231F20"/>
          <w:sz w:val="14"/>
          <w:u w:val="single" w:color="231F20"/>
        </w:rPr>
        <w:t>4%</w:t>
      </w:r>
      <w:r>
        <w:rPr>
          <w:color w:val="231F20"/>
          <w:spacing w:val="-12"/>
          <w:sz w:val="14"/>
          <w:u w:val="single" w:color="231F20"/>
        </w:rPr>
        <w:t> </w:t>
      </w:r>
    </w:p>
    <w:p>
      <w:pPr>
        <w:tabs>
          <w:tab w:pos="1839" w:val="left" w:leader="none"/>
          <w:tab w:pos="2269" w:val="left" w:leader="none"/>
          <w:tab w:pos="2769" w:val="left" w:leader="none"/>
          <w:tab w:pos="3309" w:val="left" w:leader="none"/>
          <w:tab w:pos="3879" w:val="left" w:leader="none"/>
          <w:tab w:pos="4339" w:val="left" w:leader="none"/>
        </w:tabs>
        <w:spacing w:line="150" w:lineRule="exact" w:before="59"/>
        <w:ind w:left="190" w:right="0" w:firstLine="0"/>
        <w:jc w:val="left"/>
        <w:rPr>
          <w:sz w:val="14"/>
        </w:rPr>
      </w:pPr>
      <w:r>
        <w:rPr>
          <w:color w:val="231F20"/>
          <w:sz w:val="14"/>
        </w:rPr>
        <w:t>1998 Q4</w:t>
        <w:tab/>
        <w:t>2</w:t>
        <w:tab/>
        <w:t>20</w:t>
        <w:tab/>
        <w:t>48</w:t>
        <w:tab/>
        <w:t>27</w:t>
        <w:tab/>
        <w:t>3</w:t>
        <w:tab/>
        <w:t>0</w:t>
      </w:r>
    </w:p>
    <w:p>
      <w:pPr>
        <w:tabs>
          <w:tab w:pos="1769" w:val="left" w:leader="none"/>
          <w:tab w:pos="2269" w:val="left" w:leader="none"/>
          <w:tab w:pos="2769" w:val="left" w:leader="none"/>
          <w:tab w:pos="3309" w:val="left" w:leader="none"/>
          <w:tab w:pos="3879" w:val="left" w:leader="none"/>
          <w:tab w:pos="4409" w:val="right" w:leader="none"/>
        </w:tabs>
        <w:spacing w:line="140" w:lineRule="exact" w:before="0"/>
        <w:ind w:left="190" w:right="0" w:firstLine="0"/>
        <w:jc w:val="left"/>
        <w:rPr>
          <w:sz w:val="14"/>
        </w:rPr>
      </w:pPr>
      <w:r>
        <w:rPr>
          <w:color w:val="231F20"/>
          <w:sz w:val="14"/>
        </w:rPr>
        <w:t>1999 Q4</w:t>
        <w:tab/>
        <w:t>12</w:t>
        <w:tab/>
        <w:t>24</w:t>
        <w:tab/>
        <w:t>32</w:t>
        <w:tab/>
        <w:t>23</w:t>
        <w:tab/>
        <w:t>8</w:t>
        <w:tab/>
        <w:t>1</w:t>
      </w:r>
    </w:p>
    <w:p>
      <w:pPr>
        <w:tabs>
          <w:tab w:pos="1839" w:val="left" w:leader="none"/>
          <w:tab w:pos="2269" w:val="left" w:leader="none"/>
          <w:tab w:pos="2769" w:val="left" w:leader="none"/>
          <w:tab w:pos="3309" w:val="left" w:leader="none"/>
          <w:tab w:pos="3809" w:val="left" w:leader="none"/>
          <w:tab w:pos="4409" w:val="right" w:leader="none"/>
        </w:tabs>
        <w:spacing w:line="150" w:lineRule="exact" w:before="0"/>
        <w:ind w:left="190" w:right="0" w:firstLine="0"/>
        <w:jc w:val="left"/>
        <w:rPr>
          <w:sz w:val="14"/>
        </w:rPr>
      </w:pPr>
      <w:r>
        <w:rPr>
          <w:color w:val="231F20"/>
          <w:sz w:val="14"/>
        </w:rPr>
        <w:t>2000 Q3</w:t>
        <w:tab/>
        <w:t>7</w:t>
        <w:tab/>
        <w:t>13</w:t>
        <w:tab/>
        <w:t>22</w:t>
        <w:tab/>
        <w:t>26</w:t>
        <w:tab/>
        <w:t>20</w:t>
        <w:tab/>
        <w:t>12</w:t>
      </w:r>
    </w:p>
    <w:p>
      <w:pPr>
        <w:spacing w:line="208" w:lineRule="auto" w:before="132"/>
        <w:ind w:left="430" w:right="0" w:hanging="240"/>
        <w:jc w:val="left"/>
        <w:rPr>
          <w:sz w:val="12"/>
        </w:rPr>
      </w:pPr>
      <w:r>
        <w:rPr>
          <w:color w:val="231F20"/>
          <w:sz w:val="12"/>
        </w:rPr>
        <w:t>(a) These figures are from the same distributions as the GDP and inflation fan charts, Charts 6.1 and 6.2.</w:t>
      </w:r>
    </w:p>
    <w:p>
      <w:pPr>
        <w:pStyle w:val="Heading4"/>
        <w:spacing w:line="242" w:lineRule="auto" w:before="227"/>
        <w:ind w:left="190" w:right="172"/>
      </w:pPr>
      <w:r>
        <w:rPr/>
        <w:br w:type="column"/>
      </w:r>
      <w:r>
        <w:rPr>
          <w:color w:val="231F20"/>
        </w:rPr>
        <w:t>announcements since the May </w:t>
      </w:r>
      <w:r>
        <w:rPr>
          <w:i/>
          <w:color w:val="231F20"/>
        </w:rPr>
        <w:t>Report </w:t>
      </w:r>
      <w:r>
        <w:rPr>
          <w:color w:val="231F20"/>
        </w:rPr>
        <w:t>tend to raise output growth and inflation at the end of the forecast period. The profile and the starting-point for the effective exchange rate index imply higher inflation throughout the forecast period. But some factors </w:t>
      </w:r>
      <w:r>
        <w:rPr>
          <w:color w:val="231F20"/>
          <w:spacing w:val="-3"/>
        </w:rPr>
        <w:t>have </w:t>
      </w:r>
      <w:r>
        <w:rPr>
          <w:color w:val="231F20"/>
        </w:rPr>
        <w:t>lowered the central projection since </w:t>
      </w:r>
      <w:r>
        <w:rPr>
          <w:color w:val="231F20"/>
          <w:spacing w:val="-4"/>
        </w:rPr>
        <w:t>May. </w:t>
      </w:r>
      <w:r>
        <w:rPr>
          <w:color w:val="231F20"/>
        </w:rPr>
        <w:t>There was the rise in interest rates of 25 basis points in June. The immediate prospects for demand and output appear weaker, reflecting in particular a more depressed </w:t>
      </w:r>
      <w:r>
        <w:rPr>
          <w:color w:val="231F20"/>
          <w:spacing w:val="-3"/>
        </w:rPr>
        <w:t>outlook </w:t>
      </w:r>
      <w:r>
        <w:rPr>
          <w:color w:val="231F20"/>
        </w:rPr>
        <w:t>for private investment. Furthermore, the prospects for world activity </w:t>
      </w:r>
      <w:r>
        <w:rPr>
          <w:color w:val="231F20"/>
          <w:spacing w:val="-3"/>
        </w:rPr>
        <w:t>have </w:t>
      </w:r>
      <w:r>
        <w:rPr>
          <w:color w:val="231F20"/>
        </w:rPr>
        <w:t>weakened somewhat.</w:t>
      </w:r>
    </w:p>
    <w:p>
      <w:pPr>
        <w:pStyle w:val="BodyText"/>
        <w:spacing w:before="3"/>
        <w:rPr>
          <w:sz w:val="27"/>
        </w:rPr>
      </w:pPr>
    </w:p>
    <w:p>
      <w:pPr>
        <w:spacing w:line="242" w:lineRule="auto" w:before="1"/>
        <w:ind w:left="190" w:right="154" w:firstLine="0"/>
        <w:jc w:val="left"/>
        <w:rPr>
          <w:sz w:val="24"/>
        </w:rPr>
      </w:pPr>
      <w:r>
        <w:rPr>
          <w:color w:val="231F20"/>
          <w:sz w:val="24"/>
        </w:rPr>
        <w:t>The balance of risks to output is on the downside. These risks, which reflect continuing concerns about the world economy and the speed of domestic demand moderation, on their own imply corresponding downside risks to inflation. The overall balance of risks to inflation is, however, on the upside, primarily reflecting the possibility of a more rapid fall in the exchange rate.</w:t>
      </w:r>
    </w:p>
    <w:p>
      <w:pPr>
        <w:pStyle w:val="BodyText"/>
        <w:spacing w:before="9"/>
        <w:rPr>
          <w:sz w:val="26"/>
        </w:rPr>
      </w:pPr>
    </w:p>
    <w:p>
      <w:pPr>
        <w:spacing w:line="242" w:lineRule="auto" w:before="0"/>
        <w:ind w:left="190" w:right="211" w:firstLine="0"/>
        <w:jc w:val="left"/>
        <w:rPr>
          <w:sz w:val="24"/>
        </w:rPr>
      </w:pPr>
      <w:r>
        <w:rPr>
          <w:color w:val="231F20"/>
          <w:sz w:val="24"/>
        </w:rPr>
        <w:t>Charts 6.4 and 6.5 complement the fan charts by showing the overall balance of risks to inflation at the end of the forecast period. Table 6.A shows the MPC’s assessment of the probabilities of various outturns for inflation and output.</w:t>
      </w:r>
    </w:p>
    <w:p>
      <w:pPr>
        <w:pStyle w:val="BodyText"/>
        <w:spacing w:before="11"/>
        <w:rPr>
          <w:sz w:val="24"/>
        </w:rPr>
      </w:pPr>
    </w:p>
    <w:p>
      <w:pPr>
        <w:spacing w:line="242" w:lineRule="auto" w:before="0"/>
        <w:ind w:left="190" w:right="141" w:firstLine="0"/>
        <w:jc w:val="left"/>
        <w:rPr>
          <w:sz w:val="24"/>
        </w:rPr>
      </w:pPr>
      <w:r>
        <w:rPr>
          <w:color w:val="231F20"/>
          <w:sz w:val="24"/>
        </w:rPr>
        <w:t>The market expectation of the likely path of interest rates rose, following the increase in June and the publication of economic data later in the month. Nonetheless, the market expectation is that official interest rates will</w:t>
      </w:r>
    </w:p>
    <w:p>
      <w:pPr>
        <w:spacing w:after="0" w:line="242" w:lineRule="auto"/>
        <w:jc w:val="left"/>
        <w:rPr>
          <w:sz w:val="24"/>
        </w:rPr>
        <w:sectPr>
          <w:type w:val="continuous"/>
          <w:pgSz w:w="11900" w:h="16840"/>
          <w:pgMar w:top="1220" w:bottom="280" w:left="620" w:right="640"/>
          <w:cols w:num="2" w:equalWidth="0">
            <w:col w:w="4528" w:space="282"/>
            <w:col w:w="5830"/>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9"/>
        </w:rPr>
      </w:pPr>
    </w:p>
    <w:p>
      <w:pPr>
        <w:spacing w:after="0"/>
        <w:rPr>
          <w:sz w:val="29"/>
        </w:rPr>
        <w:sectPr>
          <w:type w:val="continuous"/>
          <w:pgSz w:w="11900" w:h="16840"/>
          <w:pgMar w:top="1220" w:bottom="280" w:left="620" w:right="640"/>
        </w:sectPr>
      </w:pPr>
    </w:p>
    <w:p>
      <w:pPr>
        <w:pStyle w:val="Heading8"/>
        <w:spacing w:before="92"/>
        <w:ind w:left="180"/>
      </w:pPr>
      <w:r>
        <w:rPr>
          <w:color w:val="0093C1"/>
        </w:rPr>
        <w:t>Chart 6.6</w:t>
      </w:r>
    </w:p>
    <w:p>
      <w:pPr>
        <w:spacing w:line="249" w:lineRule="auto" w:before="10"/>
        <w:ind w:left="180" w:right="413" w:firstLine="0"/>
        <w:jc w:val="left"/>
        <w:rPr>
          <w:b/>
          <w:sz w:val="20"/>
        </w:rPr>
      </w:pPr>
      <w:r>
        <w:rPr>
          <w:b/>
          <w:color w:val="0093C1"/>
          <w:sz w:val="20"/>
        </w:rPr>
        <w:t>Current RPIX inflation projection based on market interest rate expectations</w:t>
      </w:r>
    </w:p>
    <w:p>
      <w:pPr>
        <w:spacing w:line="114" w:lineRule="exact" w:before="126"/>
        <w:ind w:left="1977" w:right="0" w:firstLine="0"/>
        <w:jc w:val="left"/>
        <w:rPr>
          <w:sz w:val="12"/>
        </w:rPr>
      </w:pPr>
      <w:r>
        <w:rPr>
          <w:sz w:val="12"/>
        </w:rPr>
        <w:t>Percentage increase in prices on a year earl</w:t>
      </w:r>
      <w:r>
        <w:rPr>
          <w:sz w:val="12"/>
          <w:u w:val="single"/>
        </w:rPr>
        <w:t>ie</w:t>
      </w:r>
      <w:r>
        <w:rPr>
          <w:sz w:val="12"/>
        </w:rPr>
        <w:t>r</w:t>
      </w:r>
    </w:p>
    <w:p>
      <w:pPr>
        <w:spacing w:line="114" w:lineRule="exact" w:before="0"/>
        <w:ind w:left="4251" w:right="0" w:firstLine="0"/>
        <w:jc w:val="left"/>
        <w:rPr>
          <w:sz w:val="12"/>
        </w:rPr>
      </w:pPr>
      <w:r>
        <w:rPr/>
        <w:pict>
          <v:line style="position:absolute;mso-position-horizontal-relative:page;mso-position-vertical-relative:paragraph;z-index:16119296" from="48.952999pt,2.049652pt" to="43.202999pt,2.049652pt" stroked="true" strokeweight=".5pt" strokecolor="#000000">
            <v:stroke dashstyle="solid"/>
            <w10:wrap type="none"/>
          </v:line>
        </w:pict>
      </w:r>
      <w:r>
        <w:rPr>
          <w:sz w:val="12"/>
        </w:rPr>
        <w:t>6</w:t>
      </w:r>
    </w:p>
    <w:p>
      <w:pPr>
        <w:pStyle w:val="Heading8"/>
        <w:spacing w:before="92"/>
        <w:ind w:left="180"/>
      </w:pPr>
      <w:r>
        <w:rPr>
          <w:b w:val="0"/>
        </w:rPr>
        <w:br w:type="column"/>
      </w:r>
      <w:r>
        <w:rPr>
          <w:color w:val="0093C1"/>
        </w:rPr>
        <w:t>Chart 6.7</w:t>
      </w:r>
    </w:p>
    <w:p>
      <w:pPr>
        <w:spacing w:line="249" w:lineRule="auto" w:before="10"/>
        <w:ind w:left="180" w:right="1334" w:firstLine="0"/>
        <w:jc w:val="left"/>
        <w:rPr>
          <w:b/>
          <w:sz w:val="20"/>
        </w:rPr>
      </w:pPr>
      <w:r>
        <w:rPr>
          <w:b/>
          <w:color w:val="0093C1"/>
          <w:sz w:val="20"/>
        </w:rPr>
        <w:t>Current GDP projection based on market interest rate expectations</w:t>
      </w:r>
    </w:p>
    <w:p>
      <w:pPr>
        <w:spacing w:before="110"/>
        <w:ind w:left="1997" w:right="0" w:firstLine="0"/>
        <w:jc w:val="left"/>
        <w:rPr>
          <w:sz w:val="12"/>
        </w:rPr>
      </w:pPr>
      <w:r>
        <w:rPr/>
        <w:pict>
          <v:line style="position:absolute;mso-position-horizontal-relative:page;mso-position-vertical-relative:paragraph;z-index:16120832" from="289.015991pt,13.184556pt" to="293.640991pt,13.184556pt" stroked="true" strokeweight=".5pt" strokecolor="#231f20">
            <v:stroke dashstyle="solid"/>
            <w10:wrap type="none"/>
          </v:line>
        </w:pict>
      </w:r>
      <w:r>
        <w:rPr/>
        <w:pict>
          <v:line style="position:absolute;mso-position-horizontal-relative:page;mso-position-vertical-relative:paragraph;z-index:-20806656" from="483.473999pt,13.434556pt" to="477.723999pt,13.434556pt" stroked="true" strokeweight=".5pt" strokecolor="#000000">
            <v:stroke dashstyle="solid"/>
            <w10:wrap type="none"/>
          </v:line>
        </w:pict>
      </w:r>
      <w:r>
        <w:rPr>
          <w:sz w:val="12"/>
        </w:rPr>
        <w:t>Percentage increase in output on a year earlier </w:t>
      </w:r>
      <w:r>
        <w:rPr>
          <w:position w:val="-7"/>
          <w:sz w:val="12"/>
        </w:rPr>
        <w:t>6</w:t>
      </w:r>
    </w:p>
    <w:p>
      <w:pPr>
        <w:spacing w:after="0"/>
        <w:jc w:val="left"/>
        <w:rPr>
          <w:sz w:val="12"/>
        </w:rPr>
        <w:sectPr>
          <w:type w:val="continuous"/>
          <w:pgSz w:w="11900" w:h="16840"/>
          <w:pgMar w:top="1220" w:bottom="280" w:left="620" w:right="640"/>
          <w:cols w:num="2" w:equalWidth="0">
            <w:col w:w="4352" w:space="488"/>
            <w:col w:w="5800"/>
          </w:cols>
        </w:sectPr>
      </w:pPr>
    </w:p>
    <w:p>
      <w:pPr>
        <w:pStyle w:val="BodyText"/>
        <w:spacing w:before="6"/>
        <w:rPr>
          <w:sz w:val="14"/>
        </w:rPr>
      </w:pPr>
    </w:p>
    <w:p>
      <w:pPr>
        <w:spacing w:line="116" w:lineRule="exact" w:before="95"/>
        <w:ind w:left="7641" w:right="0" w:firstLine="0"/>
        <w:jc w:val="center"/>
        <w:rPr>
          <w:sz w:val="12"/>
        </w:rPr>
      </w:pPr>
      <w:r>
        <w:rPr/>
        <w:pict>
          <v:group style="position:absolute;margin-left:288.923004pt;margin-top:7.994563pt;width:194.9pt;height:128pt;mso-position-horizontal-relative:page;mso-position-vertical-relative:paragraph;z-index:-20807680" coordorigin="5778,160" coordsize="3898,2560">
            <v:shape style="position:absolute;left:8255;top:169;width:1234;height:2360" coordorigin="8256,169" coordsize="1234,2360" path="m9489,169l9352,389,9215,638,9078,795,8941,1003,8804,1106,8667,1086,8530,1071,8393,1087,8256,1195,8393,1837,8530,2155,8667,2366,8804,2524,8941,2529,9078,2505,9215,2503,9352,2389,9489,2288,9489,169xe" filled="true" fillcolor="#dbeae4" stroked="false">
              <v:path arrowok="t"/>
              <v:fill type="solid"/>
            </v:shape>
            <v:shape style="position:absolute;left:8255;top:390;width:1234;height:1970" coordorigin="8256,390" coordsize="1234,1970" path="m9489,390l9352,597,9215,832,9078,972,8941,1160,8804,1252,8667,1218,8530,1183,8393,1165,8256,1196,8393,1751,8530,2030,8667,2218,8804,2360,8941,2353,9078,2306,9215,2285,9352,2155,9489,2040,9489,390xe" filled="true" fillcolor="#bfdbcf" stroked="false">
              <v:path arrowok="t"/>
              <v:fill type="solid"/>
            </v:shape>
            <v:shape style="position:absolute;left:8255;top:533;width:1234;height:1713" coordorigin="8256,533" coordsize="1234,1713" path="m9489,533l9352,732,9215,958,9078,1088,8941,1265,8804,1349,8667,1306,8530,1257,8393,1216,8256,1195,8393,1689,8530,1942,8667,2114,8804,2245,8941,2229,9078,2168,9215,2135,9352,1994,9489,1869,9489,533xe" filled="true" fillcolor="#a4cdbd" stroked="false">
              <v:path arrowok="t"/>
              <v:fill type="solid"/>
            </v:shape>
            <v:shape style="position:absolute;left:8255;top:652;width:1234;height:1504" coordorigin="8256,653" coordsize="1234,1504" path="m9489,653l9352,845,9215,1063,9078,1184,8941,1350,8804,1429,8667,1377,8530,1318,8393,1258,8256,1196,8393,1643,8530,1874,8667,2033,8804,2156,8941,2133,9078,2061,9215,2019,9352,1870,9489,1739,9489,653xe" filled="true" fillcolor="#8abfab" stroked="false">
              <v:path arrowok="t"/>
              <v:fill type="solid"/>
            </v:shape>
            <v:shape style="position:absolute;left:8255;top:748;width:1234;height:1332" coordorigin="8256,748" coordsize="1234,1332" path="m9489,748l9352,936,9215,1150,9078,1266,8941,1425,8804,1498,8667,1440,8530,1371,8393,1295,8256,1195,8393,1602,8530,1816,8667,1965,8804,2080,8941,2051,9078,1968,9215,1916,9352,1758,9489,1620,9489,748xe" filled="true" fillcolor="#6fb39a" stroked="false">
              <v:path arrowok="t"/>
              <v:fill type="solid"/>
            </v:shape>
            <v:shape style="position:absolute;left:8255;top:843;width:1234;height:1172" coordorigin="8256,843" coordsize="1234,1172" path="m9489,843l9352,1025,9215,1232,9078,1340,8941,1490,8804,1559,8667,1495,8530,1418,8393,1327,8256,1196,8393,1568,8530,1766,8667,1906,8804,2015,8941,1981,9078,1888,9215,1829,9352,1664,9489,1520,9489,843xe" filled="true" fillcolor="#53a78b" stroked="false">
              <v:path arrowok="t"/>
              <v:fill type="solid"/>
            </v:shape>
            <v:shape style="position:absolute;left:8255;top:921;width:1234;height:1025" coordorigin="8256,922" coordsize="1234,1025" path="m9489,922l9352,1100,9215,1302,9078,1404,8941,1548,8804,1612,8667,1543,8530,1458,8393,1355,8256,1195,8393,1531,8530,1714,8667,1844,8804,1946,8941,1907,9078,1807,9215,1741,9352,1571,9489,1421,9489,922xe" filled="true" fillcolor="#309d7d" stroked="false">
              <v:path arrowok="t"/>
              <v:fill type="solid"/>
            </v:shape>
            <v:shape style="position:absolute;left:8255;top:1002;width:1234;height:886" coordorigin="8256,1003" coordsize="1234,886" path="m9489,1003l9352,1176,9215,1373,9078,1471,8941,1608,8804,1668,8667,1593,8530,1501,8393,1385,8256,1195,8393,1501,8530,1669,8667,1792,8804,1888,8941,1844,9078,1736,9215,1663,9352,1488,9489,1333,9489,1003xe" filled="true" fillcolor="#00936f" stroked="false">
              <v:path arrowok="t"/>
              <v:fill type="solid"/>
            </v:shape>
            <v:shape style="position:absolute;left:8252;top:1082;width:1237;height:751" coordorigin="8252,1083" coordsize="1237,751" path="m9489,1083l9352,1252,9215,1444,9078,1536,8941,1666,8804,1723,8667,1643,8530,1544,8393,1415,8252,1196,8393,1473,8530,1628,8667,1742,8804,1833,8941,1785,9078,1669,9215,1589,9352,1408,9489,1248,9489,1083xe" filled="true" fillcolor="#008256" stroked="false">
              <v:path arrowok="t"/>
              <v:fill type="solid"/>
            </v:shape>
            <v:shape style="position:absolute;left:5778;top:164;width:3709;height:2554" coordorigin="5778,165" coordsize="3709,2554" path="m5922,2714l9487,2714m5922,2712l5922,2580m6059,2714l6059,2640m6197,2714l6197,2640m6334,2714l6334,2640m6481,2710l6481,2587m6608,2714l6608,2640m6745,2714l6745,2640m6882,2714l6882,2640m7021,2717l7021,2580m7156,2714l7156,2640m7293,2714l7293,2640m7430,2714l7430,2640m7567,2712l7567,2580m7704,2714l7704,2640m7841,2714l7841,2640m7978,2714l7978,2640m8115,2717l8115,2580m8252,2714l8252,2640m8389,2714l8389,2640m8526,2714l8526,2640m8663,2714l8663,2580m8800,2714l8800,2640m8937,2714l8937,2640m9074,2718l9074,2644m9214,2714l9214,2580m9347,2718l9347,2644m9487,2714l9487,2640m5781,2702l5873,2702m5778,2288l5871,2288m5780,1856l5873,1856m5780,1433l5873,1433m5780,1011l5873,1011m5780,588l5873,588m5780,165l5873,165e" filled="false" stroked="true" strokeweight=".5pt" strokecolor="#231f20">
              <v:path arrowok="t"/>
              <v:stroke dashstyle="solid"/>
            </v:shape>
            <v:line style="position:absolute" from="8258,1201" to="8117,1028" stroked="true" strokeweight="1pt" strokecolor="#008256">
              <v:stroke dashstyle="solid"/>
            </v:line>
            <v:shape style="position:absolute;left:5924;top:185;width:275;height:589" coordorigin="5924,185" coordsize="275,589" path="m6061,372l5924,774m6198,185l6061,372e" filled="false" stroked="true" strokeweight="1pt" strokecolor="#008256">
              <v:path arrowok="t"/>
              <v:stroke dashstyle="solid"/>
            </v:shape>
            <v:line style="position:absolute" from="6188,187" to="6345,187" stroked="true" strokeweight="1.195pt" strokecolor="#008256">
              <v:stroke dashstyle="solid"/>
            </v:line>
            <v:shape style="position:absolute;left:6335;top:189;width:1645;height:1232" coordorigin="6335,189" coordsize="1645,1232" path="m6472,581l6335,189m6609,1065l6472,581m6746,1381l6609,1065m6884,1421l6746,1381m7021,1393l6884,1421m7158,1272l7021,1393m7295,1241l7158,1272m7432,1066l7295,1241m7569,1116l7432,1066m7706,951l7569,1116m7843,825l7706,951m7980,1033l7843,825e" filled="false" stroked="true" strokeweight="1pt" strokecolor="#008256">
              <v:path arrowok="t"/>
              <v:stroke dashstyle="solid"/>
            </v:shape>
            <v:line style="position:absolute" from="7970,1031" to="8127,1031" stroked="true" strokeweight="1.291pt" strokecolor="#008256">
              <v:stroke dashstyle="solid"/>
            </v:line>
            <v:shape style="position:absolute;left:9548;top:1432;width:122;height:850" coordorigin="9548,1432" coordsize="122,850" path="m9663,1857l9548,1857m9669,1432l9554,1432m9669,2282l9554,2282e" filled="false" stroked="true" strokeweight=".5pt" strokecolor="#000000">
              <v:path arrowok="t"/>
              <v:stroke dashstyle="solid"/>
            </v:shape>
            <v:line style="position:absolute" from="9676,2707" to="9561,2707" stroked="true" strokeweight=".5pt" strokecolor="#231f20">
              <v:stroke dashstyle="solid"/>
            </v:line>
            <v:shape style="position:absolute;left:9554;top:172;width:122;height:835" coordorigin="9554,172" coordsize="122,835" path="m9676,1007l9561,1007m9669,582l9554,582m9669,172l9554,172e" filled="false" stroked="true" strokeweight=".5pt" strokecolor="#000000">
              <v:path arrowok="t"/>
              <v:stroke dashstyle="solid"/>
            </v:shape>
            <v:shape style="position:absolute;left:5943;top:2166;width:3561;height:133" type="#_x0000_t202" filled="false" stroked="false">
              <v:textbox inset="0,0,0,0">
                <w:txbxContent>
                  <w:p>
                    <w:pPr>
                      <w:tabs>
                        <w:tab w:pos="3540" w:val="left" w:leader="none"/>
                      </w:tabs>
                      <w:spacing w:line="133" w:lineRule="exact" w:before="0"/>
                      <w:ind w:left="0" w:right="0" w:firstLine="0"/>
                      <w:jc w:val="left"/>
                      <w:rPr>
                        <w:sz w:val="12"/>
                      </w:rPr>
                    </w:pPr>
                    <w:r>
                      <w:rPr>
                        <w:sz w:val="12"/>
                        <w:u w:val="single"/>
                      </w:rPr>
                      <w:t> </w:t>
                      <w:tab/>
                    </w:r>
                  </w:p>
                </w:txbxContent>
              </v:textbox>
              <w10:wrap type="none"/>
            </v:shape>
            <w10:wrap type="none"/>
          </v:group>
        </w:pict>
      </w:r>
      <w:r>
        <w:rPr>
          <w:sz w:val="12"/>
        </w:rPr>
        <w:t>5</w:t>
      </w:r>
    </w:p>
    <w:p>
      <w:pPr>
        <w:spacing w:line="116" w:lineRule="exact" w:before="0"/>
        <w:ind w:left="0" w:right="2074" w:firstLine="0"/>
        <w:jc w:val="center"/>
        <w:rPr>
          <w:sz w:val="12"/>
        </w:rPr>
      </w:pPr>
      <w:r>
        <w:rPr/>
        <w:pict>
          <v:line style="position:absolute;mso-position-horizontal-relative:page;mso-position-vertical-relative:paragraph;z-index:16117760" from="239.567993pt,2.173358pt" to="233.817993pt,2.173358pt" stroked="true" strokeweight=".5pt" strokecolor="#000000">
            <v:stroke dashstyle="solid"/>
            <w10:wrap type="none"/>
          </v:line>
        </w:pict>
      </w:r>
      <w:r>
        <w:rPr/>
        <w:pict>
          <v:line style="position:absolute;mso-position-horizontal-relative:page;mso-position-vertical-relative:paragraph;z-index:16118784" from="48.952999pt,2.111358pt" to="43.202999pt,2.111358pt" stroked="true" strokeweight=".5pt" strokecolor="#000000">
            <v:stroke dashstyle="solid"/>
            <w10:wrap type="none"/>
          </v:line>
        </w:pict>
      </w:r>
      <w:r>
        <w:rPr>
          <w:sz w:val="12"/>
        </w:rPr>
        <w:t>5</w:t>
      </w:r>
    </w:p>
    <w:p>
      <w:pPr>
        <w:pStyle w:val="BodyText"/>
        <w:spacing w:before="11"/>
        <w:rPr>
          <w:sz w:val="15"/>
        </w:rPr>
      </w:pPr>
    </w:p>
    <w:p>
      <w:pPr>
        <w:spacing w:before="0"/>
        <w:ind w:left="7641" w:right="0" w:firstLine="0"/>
        <w:jc w:val="center"/>
        <w:rPr>
          <w:sz w:val="12"/>
        </w:rPr>
      </w:pPr>
      <w:r>
        <w:rPr/>
        <w:pict>
          <v:group style="position:absolute;margin-left:43.202999pt;margin-top:.221761pt;width:196.4pt;height:81.650pt;mso-position-horizontal-relative:page;mso-position-vertical-relative:paragraph;z-index:16116224" coordorigin="864,4" coordsize="3928,1633">
            <v:shape style="position:absolute;left:3380;top:4;width:1234;height:1633" coordorigin="3381,4" coordsize="1234,1633" path="m4614,4l4477,72,4340,113,4203,165,4066,215,3929,237,3792,361,3655,536,3518,736,3381,743,3518,1138,3655,1241,3792,1267,3929,1243,4066,1222,4203,1328,4340,1432,4477,1549,4614,1637,4614,4xe" filled="true" fillcolor="#fee7de" stroked="false">
              <v:path arrowok="t"/>
              <v:fill type="solid"/>
            </v:shape>
            <v:shape style="position:absolute;left:3367;top:211;width:1246;height:1274" coordorigin="3367,212" coordsize="1246,1274" path="m4611,212l4463,260,4326,279,4189,310,4052,340,3915,361,3778,473,3641,622,3504,783,3367,739,3504,1097,3641,1171,3778,1179,3915,1145,4052,1124,4196,1216,4339,1308,4476,1410,4613,1485,4611,212xe" filled="true" fillcolor="#fcd3c4" stroked="false">
              <v:path arrowok="t"/>
              <v:fill type="solid"/>
            </v:shape>
            <v:shape style="position:absolute;left:3380;top:353;width:1234;height:1027" coordorigin="3381,354" coordsize="1234,1027" path="m4614,354l4477,386,4340,391,4203,407,4066,422,3929,443,3792,546,3655,679,3518,815,3381,737,3518,1070,3655,1124,3792,1119,3929,1080,4066,1058,4203,1141,4340,1222,4477,1315,4614,1380,4614,354xe" filled="true" fillcolor="#fabeac" stroked="false">
              <v:path arrowok="t"/>
              <v:fill type="solid"/>
            </v:shape>
            <v:shape style="position:absolute;left:3380;top:467;width:1234;height:834" coordorigin="3381,467" coordsize="1234,834" path="m4614,467l4477,489,4340,482,4203,487,4066,491,3929,512,3792,608,3655,727,3518,843,3381,737,3518,1050,3655,1090,3792,1075,3929,1030,4066,1009,4203,1084,4340,1158,4477,1243,4614,1301,4614,467xe" filled="true" fillcolor="#f8aa95" stroked="false">
              <v:path arrowok="t"/>
              <v:fill type="solid"/>
            </v:shape>
            <v:shape style="position:absolute;left:3380;top:554;width:1234;height:682" coordorigin="3381,555" coordsize="1234,682" path="m4066,555l3929,576,3792,667,3655,773,3518,871,3381,742,3518,1037,3655,1063,3792,1039,3929,991,4066,969,4203,1038,4340,1106,4477,1185,4614,1237,4614,566,4477,578,4340,563,4203,560,4066,555xe" filled="true" fillcolor="#f69780" stroked="false">
              <v:path arrowok="t"/>
              <v:fill type="solid"/>
            </v:shape>
            <v:shape style="position:absolute;left:3385;top:610;width:1229;height:569" coordorigin="3386,611" coordsize="1229,569" path="m4066,611l3929,632,3792,717,3660,813,3528,894,3386,744,3518,1023,3655,1037,3792,1006,3929,953,4066,932,4203,995,4340,1058,4477,1133,4614,1179,4614,656,4477,660,4340,636,4203,624,4066,611xe" filled="true" fillcolor="#f5846d" stroked="false">
              <v:path arrowok="t"/>
              <v:fill type="solid"/>
            </v:shape>
            <v:shape style="position:absolute;left:3380;top:654;width:1234;height:460" coordorigin="3381,654" coordsize="1234,460" path="m4066,654l3929,676,3792,756,3655,842,3518,908,3381,738,3518,1003,3655,1007,3792,969,3929,912,4066,891,4203,949,4340,1005,4477,1074,4614,1114,4614,729,4477,726,4340,695,4203,675,4066,654xe" filled="true" fillcolor="#f3715b" stroked="false">
              <v:path arrowok="t"/>
              <v:fill type="solid"/>
            </v:shape>
            <v:shape style="position:absolute;left:3385;top:702;width:1229;height:362" coordorigin="3386,702" coordsize="1229,362" path="m4066,702l3929,724,3792,799,3655,876,3518,930,3386,742,3528,993,3665,987,3802,941,3939,882,4076,860,4208,913,4340,965,4477,1028,4614,1064,4614,812,4477,800,4340,760,4203,732,4066,702xe" filled="true" fillcolor="#f15b4a" stroked="false">
              <v:path arrowok="t"/>
              <v:fill type="solid"/>
            </v:shape>
            <v:shape style="position:absolute;left:3380;top:742;width:1234;height:273" coordorigin="3381,742" coordsize="1234,273" path="m3381,742l3518,980,3655,963,3792,911,3929,848,4066,826,4203,875,4340,923,4477,983,4614,1015,4614,887,4477,867,4340,820,4203,784,4066,747,3929,769,3792,840,3655,908,3518,948,3381,742xe" filled="true" fillcolor="#ed1b2d" stroked="false">
              <v:path arrowok="t"/>
              <v:fill type="solid"/>
            </v:shape>
            <v:line style="position:absolute" from="3374,743" to="3237,920" stroked="true" strokeweight="1pt" strokecolor="#ed1b2d">
              <v:stroke dashstyle="solid"/>
            </v:line>
            <v:shape style="position:absolute;left:1044;top:756;width:823;height:374" coordorigin="1044,756" coordsize="823,374" path="m1181,1012l1044,872m1318,1130l1181,1012m1455,1099l1318,1130m1592,824l1455,1099m1729,849l1592,824m1866,756l1729,849e" filled="false" stroked="true" strokeweight="1pt" strokecolor="#ed1b2d">
              <v:path arrowok="t"/>
              <v:stroke dashstyle="solid"/>
            </v:shape>
            <v:line style="position:absolute" from="1856,759" to="2013,759" stroked="true" strokeweight="1.265pt" strokecolor="#ed1b2d">
              <v:stroke dashstyle="solid"/>
            </v:line>
            <v:shape style="position:absolute;left:2003;top:613;width:1234;height:327" coordorigin="2003,614" coordsize="1234,327" path="m2141,807l2003,762m2278,825l2141,807m2415,784l2278,825m2552,614l2415,784m2689,790l2552,614m2826,940l2689,790m2963,805l2826,940m3100,843l2963,805m3237,920l3100,843e" filled="false" stroked="true" strokeweight="1pt" strokecolor="#ed1b2d">
              <v:path arrowok="t"/>
              <v:stroke dashstyle="solid"/>
            </v:shape>
            <v:shape style="position:absolute;left:3373;top:742;width:1097;height:224" coordorigin="3374,743" coordsize="1097,224" path="m3511,966l3374,743m3648,939l3511,966m3785,880l3648,939m3922,813l3785,880m4059,792l3922,813m4196,836l4059,792m4333,879l4196,836m4470,934l4333,879e" filled="false" stroked="true" strokeweight="1pt" strokecolor="#ed1b2d">
              <v:path arrowok="t"/>
              <v:stroke dashstyle="solid"/>
            </v:shape>
            <v:line style="position:absolute" from="4607,961" to="4470,934" stroked="true" strokeweight="1pt" strokecolor="#ed1b2d">
              <v:stroke dashstyle="solid"/>
            </v:line>
            <v:shape style="position:absolute;left:864;top:236;width:3928;height:988" coordorigin="864,236" coordsize="3928,988" path="m4791,1224l4676,1224m4791,731l4676,731m4791,237l4676,237m979,1223l864,1223m979,729l864,729m979,236l864,236e" filled="false" stroked="true" strokeweight=".5pt" strokecolor="#000000">
              <v:path arrowok="t"/>
              <v:stroke dashstyle="solid"/>
            </v:shape>
            <v:shape style="position:absolute;left:864;top:4;width:3928;height:1633" type="#_x0000_t202" filled="false" stroked="false">
              <v:textbox inset="0,0,0,0">
                <w:txbxContent>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5"/>
                      <w:rPr>
                        <w:sz w:val="16"/>
                      </w:rPr>
                    </w:pPr>
                  </w:p>
                  <w:p>
                    <w:pPr>
                      <w:tabs>
                        <w:tab w:pos="3921" w:val="left" w:leader="none"/>
                      </w:tabs>
                      <w:spacing w:before="0"/>
                      <w:ind w:left="177" w:right="0" w:firstLine="0"/>
                      <w:jc w:val="left"/>
                      <w:rPr>
                        <w:sz w:val="12"/>
                      </w:rPr>
                    </w:pPr>
                    <w:r>
                      <w:rPr>
                        <w:sz w:val="12"/>
                        <w:u w:val="single"/>
                      </w:rPr>
                      <w:t> </w:t>
                      <w:tab/>
                    </w:r>
                  </w:p>
                </w:txbxContent>
              </v:textbox>
              <w10:wrap type="none"/>
            </v:shape>
            <w10:wrap type="none"/>
          </v:group>
        </w:pict>
      </w:r>
      <w:r>
        <w:rPr>
          <w:sz w:val="12"/>
        </w:rPr>
        <w:t>4</w:t>
      </w:r>
    </w:p>
    <w:p>
      <w:pPr>
        <w:spacing w:before="34"/>
        <w:ind w:left="0" w:right="2074" w:firstLine="0"/>
        <w:jc w:val="center"/>
        <w:rPr>
          <w:sz w:val="12"/>
        </w:rPr>
      </w:pPr>
      <w:r>
        <w:rPr>
          <w:sz w:val="12"/>
        </w:rPr>
        <w:t>4</w:t>
      </w:r>
    </w:p>
    <w:p>
      <w:pPr>
        <w:pStyle w:val="BodyText"/>
        <w:rPr>
          <w:sz w:val="10"/>
        </w:rPr>
      </w:pPr>
    </w:p>
    <w:p>
      <w:pPr>
        <w:spacing w:before="0"/>
        <w:ind w:left="7641" w:right="0" w:firstLine="0"/>
        <w:jc w:val="center"/>
        <w:rPr>
          <w:sz w:val="12"/>
        </w:rPr>
      </w:pPr>
      <w:r>
        <w:rPr>
          <w:sz w:val="12"/>
        </w:rPr>
        <w:t>3</w:t>
      </w:r>
    </w:p>
    <w:p>
      <w:pPr>
        <w:spacing w:line="132" w:lineRule="exact" w:before="102"/>
        <w:ind w:left="0" w:right="2074" w:firstLine="0"/>
        <w:jc w:val="center"/>
        <w:rPr>
          <w:sz w:val="12"/>
        </w:rPr>
      </w:pPr>
      <w:r>
        <w:rPr>
          <w:sz w:val="12"/>
        </w:rPr>
        <w:t>3</w:t>
      </w:r>
    </w:p>
    <w:p>
      <w:pPr>
        <w:spacing w:line="110" w:lineRule="exact" w:before="0"/>
        <w:ind w:left="7601" w:right="0" w:firstLine="0"/>
        <w:jc w:val="center"/>
        <w:rPr>
          <w:sz w:val="12"/>
        </w:rPr>
      </w:pPr>
      <w:r>
        <w:rPr>
          <w:sz w:val="12"/>
        </w:rPr>
        <w:t>2</w:t>
      </w:r>
    </w:p>
    <w:p>
      <w:pPr>
        <w:spacing w:line="116" w:lineRule="exact" w:before="0"/>
        <w:ind w:left="1294" w:right="3285" w:firstLine="0"/>
        <w:jc w:val="center"/>
        <w:rPr>
          <w:sz w:val="12"/>
        </w:rPr>
      </w:pPr>
      <w:r>
        <w:rPr>
          <w:sz w:val="12"/>
        </w:rPr>
        <w:t>2.5</w:t>
      </w:r>
    </w:p>
    <w:p>
      <w:pPr>
        <w:pStyle w:val="BodyText"/>
        <w:spacing w:before="10"/>
        <w:rPr>
          <w:sz w:val="11"/>
        </w:rPr>
      </w:pPr>
    </w:p>
    <w:p>
      <w:pPr>
        <w:spacing w:line="120" w:lineRule="exact" w:before="0"/>
        <w:ind w:left="4251" w:right="0" w:firstLine="0"/>
        <w:jc w:val="left"/>
        <w:rPr>
          <w:sz w:val="12"/>
        </w:rPr>
      </w:pPr>
      <w:r>
        <w:rPr>
          <w:sz w:val="12"/>
        </w:rPr>
        <w:t>2</w:t>
      </w:r>
    </w:p>
    <w:p>
      <w:pPr>
        <w:spacing w:line="120" w:lineRule="exact" w:before="0"/>
        <w:ind w:left="9110" w:right="0" w:firstLine="0"/>
        <w:jc w:val="left"/>
        <w:rPr>
          <w:sz w:val="12"/>
        </w:rPr>
      </w:pPr>
      <w:r>
        <w:rPr>
          <w:sz w:val="12"/>
        </w:rPr>
        <w:t>1</w:t>
      </w:r>
    </w:p>
    <w:p>
      <w:pPr>
        <w:spacing w:before="87"/>
        <w:ind w:left="9041" w:right="0" w:firstLine="0"/>
        <w:jc w:val="left"/>
        <w:rPr>
          <w:sz w:val="12"/>
        </w:rPr>
      </w:pPr>
      <w:r>
        <w:rPr>
          <w:sz w:val="12"/>
        </w:rPr>
        <w:t>+</w:t>
      </w:r>
    </w:p>
    <w:p>
      <w:pPr>
        <w:tabs>
          <w:tab w:pos="9110" w:val="left" w:leader="none"/>
        </w:tabs>
        <w:spacing w:before="28"/>
        <w:ind w:left="4251" w:right="0" w:firstLine="0"/>
        <w:jc w:val="left"/>
        <w:rPr>
          <w:sz w:val="12"/>
        </w:rPr>
      </w:pPr>
      <w:r>
        <w:rPr/>
        <w:pict>
          <v:line style="position:absolute;mso-position-horizontal-relative:page;mso-position-vertical-relative:paragraph;z-index:16117248" from="239.567993pt,4.68876pt" to="233.817993pt,4.68876pt" stroked="true" strokeweight=".5pt" strokecolor="#000000">
            <v:stroke dashstyle="solid"/>
            <w10:wrap type="none"/>
          </v:line>
        </w:pict>
      </w:r>
      <w:r>
        <w:rPr/>
        <w:pict>
          <v:line style="position:absolute;mso-position-horizontal-relative:page;mso-position-vertical-relative:paragraph;z-index:16118272" from="48.952999pt,4.627759pt" to="43.202999pt,4.627759pt" stroked="true" strokeweight=".5pt" strokecolor="#000000">
            <v:stroke dashstyle="solid"/>
            <w10:wrap type="none"/>
          </v:line>
        </w:pict>
      </w:r>
      <w:r>
        <w:rPr>
          <w:sz w:val="12"/>
        </w:rPr>
        <w:t>1</w:t>
        <w:tab/>
      </w:r>
      <w:r>
        <w:rPr>
          <w:position w:val="-4"/>
          <w:sz w:val="12"/>
        </w:rPr>
        <w:t>0</w:t>
      </w:r>
    </w:p>
    <w:p>
      <w:pPr>
        <w:spacing w:after="0"/>
        <w:jc w:val="left"/>
        <w:rPr>
          <w:sz w:val="12"/>
        </w:rPr>
        <w:sectPr>
          <w:type w:val="continuous"/>
          <w:pgSz w:w="11900" w:h="16840"/>
          <w:pgMar w:top="1220" w:bottom="280" w:left="620" w:right="640"/>
        </w:sectPr>
      </w:pPr>
    </w:p>
    <w:p>
      <w:pPr>
        <w:pStyle w:val="BodyText"/>
        <w:rPr>
          <w:sz w:val="14"/>
        </w:rPr>
      </w:pPr>
    </w:p>
    <w:p>
      <w:pPr>
        <w:pStyle w:val="BodyText"/>
        <w:rPr>
          <w:sz w:val="14"/>
        </w:rPr>
      </w:pPr>
    </w:p>
    <w:p>
      <w:pPr>
        <w:tabs>
          <w:tab w:pos="1215" w:val="left" w:leader="none"/>
          <w:tab w:pos="1782" w:val="left" w:leader="none"/>
          <w:tab w:pos="2293" w:val="left" w:leader="none"/>
          <w:tab w:pos="2854" w:val="left" w:leader="none"/>
          <w:tab w:pos="3380" w:val="left" w:leader="none"/>
        </w:tabs>
        <w:spacing w:before="109"/>
        <w:ind w:left="597" w:right="0" w:firstLine="0"/>
        <w:jc w:val="left"/>
        <w:rPr>
          <w:sz w:val="12"/>
        </w:rPr>
      </w:pPr>
      <w:r>
        <w:rPr>
          <w:position w:val="1"/>
          <w:sz w:val="12"/>
        </w:rPr>
        <w:t>1994</w:t>
        <w:tab/>
        <w:t>95</w:t>
        <w:tab/>
        <w:t>96</w:t>
        <w:tab/>
        <w:t>97</w:t>
        <w:tab/>
      </w:r>
      <w:r>
        <w:rPr>
          <w:sz w:val="12"/>
        </w:rPr>
        <w:t>98</w:t>
        <w:tab/>
      </w:r>
      <w:r>
        <w:rPr>
          <w:spacing w:val="-10"/>
          <w:sz w:val="12"/>
        </w:rPr>
        <w:t>99</w:t>
      </w:r>
    </w:p>
    <w:p>
      <w:pPr>
        <w:pStyle w:val="BodyText"/>
        <w:rPr>
          <w:sz w:val="12"/>
        </w:rPr>
      </w:pPr>
      <w:r>
        <w:rPr/>
        <w:br w:type="column"/>
      </w:r>
      <w:r>
        <w:rPr>
          <w:sz w:val="12"/>
        </w:rPr>
      </w:r>
    </w:p>
    <w:p>
      <w:pPr>
        <w:pStyle w:val="BodyText"/>
        <w:spacing w:before="7"/>
        <w:rPr>
          <w:sz w:val="14"/>
        </w:rPr>
      </w:pPr>
    </w:p>
    <w:p>
      <w:pPr>
        <w:spacing w:line="134" w:lineRule="exact" w:before="0"/>
        <w:ind w:left="710" w:right="0" w:firstLine="0"/>
        <w:jc w:val="left"/>
        <w:rPr>
          <w:sz w:val="12"/>
        </w:rPr>
      </w:pPr>
      <w:r>
        <w:rPr>
          <w:sz w:val="12"/>
        </w:rPr>
        <w:t>0</w:t>
      </w:r>
    </w:p>
    <w:p>
      <w:pPr>
        <w:spacing w:line="134" w:lineRule="exact" w:before="0"/>
        <w:ind w:left="198" w:right="0" w:firstLine="0"/>
        <w:jc w:val="left"/>
        <w:rPr>
          <w:sz w:val="12"/>
        </w:rPr>
      </w:pPr>
      <w:r>
        <w:rPr/>
        <w:pict>
          <v:shape style="position:absolute;margin-left:43.702999pt;margin-top:-9.533146pt;width:196.6pt;height:6.5pt;mso-position-horizontal-relative:page;mso-position-vertical-relative:paragraph;z-index:16116736" coordorigin="874,-191" coordsize="3932,130" path="m1041,-63l4620,-63m1042,-63l1042,-190m1179,-61l1179,-135m1316,-66l1316,-140m1454,-66l1454,-140m1591,-63l1591,-190m1728,-63l1728,-137m1865,-63l1865,-137m2002,-63l2002,-137m2139,-63l2139,-190m2276,-63l2276,-137m2413,-63l2413,-137m2550,-63l2550,-137m2687,-63l2687,-190m2824,-63l2824,-137m2961,-63l2961,-137m3098,-63l3098,-137m3235,-63l3235,-190m3372,-63l3372,-137m3509,-63l3509,-137m3646,-63l3646,-137m3783,-63l3783,-190m3933,-66l3933,-140m4070,-66l4070,-140m4194,-63l4194,-137m4336,-63l4336,-191m4471,-66l4471,-129m4806,-63l4691,-63m4620,-62l4620,-130m989,-61l874,-61e" filled="false" stroked="true" strokeweight=".5pt" strokecolor="#000000">
            <v:path arrowok="t"/>
            <v:stroke dashstyle="solid"/>
            <w10:wrap type="none"/>
          </v:shape>
        </w:pict>
      </w:r>
      <w:r>
        <w:rPr>
          <w:sz w:val="12"/>
        </w:rPr>
        <w:t>2000</w:t>
      </w:r>
    </w:p>
    <w:p>
      <w:pPr>
        <w:pStyle w:val="BodyText"/>
        <w:rPr>
          <w:sz w:val="14"/>
        </w:rPr>
      </w:pPr>
      <w:r>
        <w:rPr/>
        <w:br w:type="column"/>
      </w:r>
      <w:r>
        <w:rPr>
          <w:sz w:val="14"/>
        </w:rPr>
      </w:r>
    </w:p>
    <w:p>
      <w:pPr>
        <w:pStyle w:val="BodyText"/>
        <w:spacing w:before="1"/>
        <w:rPr>
          <w:sz w:val="19"/>
        </w:rPr>
      </w:pPr>
    </w:p>
    <w:p>
      <w:pPr>
        <w:tabs>
          <w:tab w:pos="1226" w:val="left" w:leader="none"/>
        </w:tabs>
        <w:spacing w:before="1"/>
        <w:ind w:left="597" w:right="0" w:firstLine="0"/>
        <w:jc w:val="left"/>
        <w:rPr>
          <w:sz w:val="12"/>
        </w:rPr>
      </w:pPr>
      <w:r>
        <w:rPr>
          <w:color w:val="231F20"/>
          <w:sz w:val="12"/>
        </w:rPr>
        <w:t>1994</w:t>
        <w:tab/>
      </w:r>
      <w:r>
        <w:rPr>
          <w:color w:val="231F20"/>
          <w:spacing w:val="-10"/>
          <w:position w:val="1"/>
          <w:sz w:val="12"/>
        </w:rPr>
        <w:t>95</w:t>
      </w:r>
    </w:p>
    <w:p>
      <w:pPr>
        <w:pStyle w:val="BodyText"/>
        <w:rPr>
          <w:sz w:val="12"/>
        </w:rPr>
      </w:pPr>
      <w:r>
        <w:rPr/>
        <w:br w:type="column"/>
      </w:r>
      <w:r>
        <w:rPr>
          <w:sz w:val="12"/>
        </w:rPr>
      </w:r>
    </w:p>
    <w:p>
      <w:pPr>
        <w:pStyle w:val="BodyText"/>
        <w:rPr>
          <w:sz w:val="12"/>
        </w:rPr>
      </w:pPr>
    </w:p>
    <w:p>
      <w:pPr>
        <w:pStyle w:val="BodyText"/>
        <w:spacing w:before="1"/>
        <w:rPr>
          <w:sz w:val="10"/>
        </w:rPr>
      </w:pPr>
    </w:p>
    <w:p>
      <w:pPr>
        <w:tabs>
          <w:tab w:pos="932" w:val="left" w:leader="none"/>
          <w:tab w:pos="1473" w:val="left" w:leader="none"/>
        </w:tabs>
        <w:spacing w:before="0"/>
        <w:ind w:left="430" w:right="0" w:firstLine="0"/>
        <w:jc w:val="left"/>
        <w:rPr>
          <w:sz w:val="12"/>
        </w:rPr>
      </w:pPr>
      <w:r>
        <w:rPr>
          <w:color w:val="231F20"/>
          <w:sz w:val="12"/>
        </w:rPr>
        <w:t>96</w:t>
        <w:tab/>
        <w:t>97</w:t>
        <w:tab/>
      </w:r>
      <w:r>
        <w:rPr>
          <w:color w:val="231F20"/>
          <w:spacing w:val="-10"/>
          <w:sz w:val="12"/>
        </w:rPr>
        <w:t>98</w:t>
      </w:r>
    </w:p>
    <w:p>
      <w:pPr>
        <w:spacing w:before="46"/>
        <w:ind w:left="1220" w:right="0" w:firstLine="0"/>
        <w:jc w:val="left"/>
        <w:rPr>
          <w:sz w:val="12"/>
        </w:rPr>
      </w:pPr>
      <w:r>
        <w:rPr/>
        <w:br w:type="column"/>
      </w:r>
      <w:r>
        <w:rPr>
          <w:sz w:val="12"/>
        </w:rPr>
        <w:t>–</w:t>
      </w:r>
    </w:p>
    <w:p>
      <w:pPr>
        <w:spacing w:line="127" w:lineRule="exact" w:before="92"/>
        <w:ind w:left="1276" w:right="0" w:firstLine="0"/>
        <w:jc w:val="left"/>
        <w:rPr>
          <w:sz w:val="12"/>
        </w:rPr>
      </w:pPr>
      <w:r>
        <w:rPr>
          <w:sz w:val="12"/>
        </w:rPr>
        <w:t>1</w:t>
      </w:r>
    </w:p>
    <w:p>
      <w:pPr>
        <w:tabs>
          <w:tab w:pos="369" w:val="left" w:leader="none"/>
        </w:tabs>
        <w:spacing w:line="127" w:lineRule="exact" w:before="0"/>
        <w:ind w:left="0" w:right="1388" w:firstLine="0"/>
        <w:jc w:val="center"/>
        <w:rPr>
          <w:sz w:val="12"/>
        </w:rPr>
      </w:pPr>
      <w:r>
        <w:rPr>
          <w:color w:val="231F20"/>
          <w:sz w:val="12"/>
        </w:rPr>
        <w:t>99</w:t>
        <w:tab/>
        <w:t>2000</w:t>
      </w:r>
    </w:p>
    <w:p>
      <w:pPr>
        <w:spacing w:after="0" w:line="127" w:lineRule="exact"/>
        <w:jc w:val="center"/>
        <w:rPr>
          <w:sz w:val="12"/>
        </w:rPr>
        <w:sectPr>
          <w:type w:val="continuous"/>
          <w:pgSz w:w="11900" w:h="16840"/>
          <w:pgMar w:top="1220" w:bottom="280" w:left="620" w:right="640"/>
          <w:cols w:num="5" w:equalWidth="0">
            <w:col w:w="3501" w:space="40"/>
            <w:col w:w="811" w:space="461"/>
            <w:col w:w="1348" w:space="40"/>
            <w:col w:w="1594" w:space="39"/>
            <w:col w:w="2806"/>
          </w:cols>
        </w:sectPr>
      </w:pPr>
    </w:p>
    <w:p>
      <w:pPr>
        <w:pStyle w:val="BodyText"/>
        <w:rPr>
          <w:sz w:val="20"/>
        </w:rPr>
      </w:pPr>
    </w:p>
    <w:p>
      <w:pPr>
        <w:spacing w:after="0"/>
        <w:rPr>
          <w:sz w:val="20"/>
        </w:rPr>
        <w:sectPr>
          <w:pgSz w:w="11900" w:h="16840"/>
          <w:pgMar w:header="566" w:footer="597" w:top="760" w:bottom="780" w:left="620" w:right="640"/>
        </w:sectPr>
      </w:pPr>
    </w:p>
    <w:p>
      <w:pPr>
        <w:pStyle w:val="BodyText"/>
        <w:spacing w:before="5"/>
        <w:rPr>
          <w:sz w:val="21"/>
        </w:rPr>
      </w:pPr>
    </w:p>
    <w:p>
      <w:pPr>
        <w:pStyle w:val="Heading8"/>
        <w:spacing w:before="0"/>
        <w:ind w:left="175"/>
      </w:pPr>
      <w:bookmarkStart w:name="Other forecasts" w:id="93"/>
      <w:bookmarkEnd w:id="93"/>
      <w:r>
        <w:rPr>
          <w:b w:val="0"/>
        </w:rPr>
      </w:r>
      <w:bookmarkStart w:name="_bookmark40" w:id="94"/>
      <w:bookmarkEnd w:id="94"/>
      <w:r>
        <w:rPr>
          <w:b w:val="0"/>
        </w:rPr>
      </w:r>
      <w:r>
        <w:rPr>
          <w:color w:val="0093C1"/>
        </w:rPr>
        <w:t>Chart 6.8</w:t>
      </w:r>
    </w:p>
    <w:p>
      <w:pPr>
        <w:spacing w:line="249" w:lineRule="auto" w:before="10"/>
        <w:ind w:left="175" w:right="21" w:firstLine="0"/>
        <w:jc w:val="left"/>
        <w:rPr>
          <w:b/>
          <w:sz w:val="20"/>
        </w:rPr>
      </w:pPr>
      <w:r>
        <w:rPr>
          <w:b/>
          <w:color w:val="0093C1"/>
          <w:sz w:val="20"/>
        </w:rPr>
        <w:t>Distribution of RPIX inflation forecasts for 2000 Q3</w:t>
      </w:r>
    </w:p>
    <w:p>
      <w:pPr>
        <w:spacing w:line="242" w:lineRule="auto" w:before="207"/>
        <w:ind w:left="175" w:right="142" w:firstLine="0"/>
        <w:jc w:val="left"/>
        <w:rPr>
          <w:sz w:val="24"/>
        </w:rPr>
      </w:pPr>
      <w:r>
        <w:rPr/>
        <w:br w:type="column"/>
      </w:r>
      <w:r>
        <w:rPr>
          <w:color w:val="231F20"/>
          <w:sz w:val="24"/>
        </w:rPr>
        <w:t>begin to decline by the end of 1998, falling to below 7% by end 1999 and 6</w:t>
      </w:r>
      <w:r>
        <w:rPr>
          <w:color w:val="231F20"/>
          <w:position w:val="8"/>
          <w:sz w:val="12"/>
        </w:rPr>
        <w:t>1</w:t>
      </w:r>
      <w:r>
        <w:rPr>
          <w:color w:val="231F20"/>
          <w:sz w:val="24"/>
        </w:rPr>
        <w:t>/</w:t>
      </w:r>
      <w:r>
        <w:rPr>
          <w:color w:val="231F20"/>
          <w:sz w:val="12"/>
        </w:rPr>
        <w:t>2</w:t>
      </w:r>
      <w:r>
        <w:rPr>
          <w:color w:val="231F20"/>
          <w:sz w:val="24"/>
        </w:rPr>
        <w:t>% by mid 2000. The MPC’s projections for inflation and output growth under the</w:t>
      </w:r>
    </w:p>
    <w:p>
      <w:pPr>
        <w:spacing w:after="0" w:line="242" w:lineRule="auto"/>
        <w:jc w:val="left"/>
        <w:rPr>
          <w:sz w:val="24"/>
        </w:rPr>
        <w:sectPr>
          <w:type w:val="continuous"/>
          <w:pgSz w:w="11900" w:h="16840"/>
          <w:pgMar w:top="1220" w:bottom="280" w:left="620" w:right="640"/>
          <w:cols w:num="2" w:equalWidth="0">
            <w:col w:w="3899" w:space="891"/>
            <w:col w:w="5850"/>
          </w:cols>
        </w:sectPr>
      </w:pPr>
    </w:p>
    <w:p>
      <w:pPr>
        <w:spacing w:before="105"/>
        <w:ind w:left="0" w:right="0" w:firstLine="0"/>
        <w:jc w:val="right"/>
        <w:rPr>
          <w:sz w:val="12"/>
        </w:rPr>
      </w:pPr>
      <w:r>
        <w:rPr>
          <w:sz w:val="12"/>
        </w:rPr>
        <w:t>Median</w:t>
      </w:r>
    </w:p>
    <w:p>
      <w:pPr>
        <w:pStyle w:val="BodyText"/>
        <w:spacing w:line="20" w:lineRule="exact"/>
        <w:ind w:left="267"/>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spacing w:before="3"/>
        <w:rPr>
          <w:sz w:val="20"/>
        </w:rPr>
      </w:pPr>
      <w:r>
        <w:rPr/>
        <w:pict>
          <v:shape style="position:absolute;margin-left:44.633999pt;margin-top:13.870645pt;width:5pt;height:.1pt;mso-position-horizontal-relative:page;mso-position-vertical-relative:paragraph;z-index:-15334912;mso-wrap-distance-left:0;mso-wrap-distance-right:0" coordorigin="893,277" coordsize="100,0" path="m993,277l893,277e" filled="false" stroked="true" strokeweight=".5pt" strokecolor="#000000">
            <v:path arrowok="t"/>
            <v:stroke dashstyle="solid"/>
            <w10:wrap type="topAndBottom"/>
          </v:shape>
        </w:pict>
      </w:r>
      <w:r>
        <w:rPr/>
        <w:pict>
          <v:shape style="position:absolute;margin-left:44.633999pt;margin-top:29.870644pt;width:5pt;height:.1pt;mso-position-horizontal-relative:page;mso-position-vertical-relative:paragraph;z-index:-15334400;mso-wrap-distance-left:0;mso-wrap-distance-right:0" coordorigin="893,597" coordsize="100,0" path="m993,597l893,597e" filled="false" stroked="true" strokeweight=".5pt" strokecolor="#000000">
            <v:path arrowok="t"/>
            <v:stroke dashstyle="solid"/>
            <w10:wrap type="topAndBottom"/>
          </v:shape>
        </w:pict>
      </w:r>
      <w:r>
        <w:rPr/>
        <w:pict>
          <v:shape style="position:absolute;margin-left:44.633999pt;margin-top:43.870644pt;width:5pt;height:.1pt;mso-position-horizontal-relative:page;mso-position-vertical-relative:paragraph;z-index:-15333888;mso-wrap-distance-left:0;mso-wrap-distance-right:0" coordorigin="893,877" coordsize="100,0" path="m993,877l893,877e" filled="false" stroked="true" strokeweight=".5pt" strokecolor="#000000">
            <v:path arrowok="t"/>
            <v:stroke dashstyle="solid"/>
            <w10:wrap type="topAndBottom"/>
          </v:shape>
        </w:pict>
      </w:r>
      <w:r>
        <w:rPr/>
        <w:pict>
          <v:shape style="position:absolute;margin-left:44.633999pt;margin-top:59.870644pt;width:5pt;height:.1pt;mso-position-horizontal-relative:page;mso-position-vertical-relative:paragraph;z-index:-15333376;mso-wrap-distance-left:0;mso-wrap-distance-right:0" coordorigin="893,1197" coordsize="100,0" path="m993,1197l893,1197e" filled="false" stroked="true" strokeweight=".5pt" strokecolor="#000000">
            <v:path arrowok="t"/>
            <v:stroke dashstyle="solid"/>
            <w10:wrap type="topAndBottom"/>
          </v:shape>
        </w:pict>
      </w:r>
      <w:r>
        <w:rPr/>
        <w:pict>
          <v:shape style="position:absolute;margin-left:44.633999pt;margin-top:74.870644pt;width:5pt;height:.1pt;mso-position-horizontal-relative:page;mso-position-vertical-relative:paragraph;z-index:-15332864;mso-wrap-distance-left:0;mso-wrap-distance-right:0" coordorigin="893,1497" coordsize="100,0" path="m993,1497l893,1497e" filled="false" stroked="true" strokeweight=".5pt" strokecolor="#000000">
            <v:path arrowok="t"/>
            <v:stroke dashstyle="solid"/>
            <w10:wrap type="topAndBottom"/>
          </v:shape>
        </w:pict>
      </w:r>
      <w:r>
        <w:rPr/>
        <w:pict>
          <v:shape style="position:absolute;margin-left:44.633999pt;margin-top:89.870644pt;width:5pt;height:.1pt;mso-position-horizontal-relative:page;mso-position-vertical-relative:paragraph;z-index:-15332352;mso-wrap-distance-left:0;mso-wrap-distance-right:0" coordorigin="893,1797" coordsize="100,0" path="m993,1797l893,1797e" filled="false" stroked="true" strokeweight=".5pt" strokecolor="#000000">
            <v:path arrowok="t"/>
            <v:stroke dashstyle="solid"/>
            <w10:wrap type="topAndBottom"/>
          </v:shape>
        </w:pict>
      </w:r>
      <w:r>
        <w:rPr/>
        <w:pict>
          <v:shape style="position:absolute;margin-left:44.633999pt;margin-top:104.870644pt;width:5pt;height:.1pt;mso-position-horizontal-relative:page;mso-position-vertical-relative:paragraph;z-index:-15331840;mso-wrap-distance-left:0;mso-wrap-distance-right:0" coordorigin="893,2097" coordsize="100,0" path="m993,2097l893,2097e" filled="false" stroked="true" strokeweight=".5pt" strokecolor="#000000">
            <v:path arrowok="t"/>
            <v:stroke dashstyle="solid"/>
            <w10:wrap type="topAndBottom"/>
          </v:shape>
        </w:pict>
      </w:r>
      <w:r>
        <w:rPr/>
        <w:pict>
          <v:shape style="position:absolute;margin-left:44.633999pt;margin-top:119.870644pt;width:5pt;height:.1pt;mso-position-horizontal-relative:page;mso-position-vertical-relative:paragraph;z-index:-15331328;mso-wrap-distance-left:0;mso-wrap-distance-right:0" coordorigin="893,2397" coordsize="100,0" path="m993,2397l893,2397e" filled="false" stroked="true" strokeweight=".5pt" strokecolor="#000000">
            <v:path arrowok="t"/>
            <v:stroke dashstyle="solid"/>
            <w10:wrap type="topAndBottom"/>
          </v:shape>
        </w:pict>
      </w:r>
      <w:r>
        <w:rPr/>
        <w:pict>
          <v:shape style="position:absolute;margin-left:44.633999pt;margin-top:134.870651pt;width:5pt;height:.1pt;mso-position-horizontal-relative:page;mso-position-vertical-relative:paragraph;z-index:-15330816;mso-wrap-distance-left:0;mso-wrap-distance-right:0" coordorigin="893,2697" coordsize="100,0" path="m993,2697l893,2697e" filled="false" stroked="true" strokeweight=".5pt" strokecolor="#000000">
            <v:path arrowok="t"/>
            <v:stroke dashstyle="solid"/>
            <w10:wrap type="topAndBottom"/>
          </v:shape>
        </w:pict>
      </w:r>
    </w:p>
    <w:p>
      <w:pPr>
        <w:pStyle w:val="BodyText"/>
        <w:rPr>
          <w:sz w:val="21"/>
        </w:rPr>
      </w:pPr>
    </w:p>
    <w:p>
      <w:pPr>
        <w:pStyle w:val="BodyText"/>
        <w:spacing w:before="6"/>
        <w:rPr>
          <w:sz w:val="17"/>
        </w:rPr>
      </w:pPr>
    </w:p>
    <w:p>
      <w:pPr>
        <w:pStyle w:val="BodyText"/>
        <w:rPr>
          <w:sz w:val="21"/>
        </w:rPr>
      </w:pPr>
    </w:p>
    <w:p>
      <w:pPr>
        <w:pStyle w:val="BodyText"/>
        <w:spacing w:before="3"/>
        <w:rPr>
          <w:sz w:val="19"/>
        </w:rPr>
      </w:pPr>
    </w:p>
    <w:p>
      <w:pPr>
        <w:pStyle w:val="BodyText"/>
        <w:spacing w:before="3"/>
        <w:rPr>
          <w:sz w:val="19"/>
        </w:rPr>
      </w:pPr>
    </w:p>
    <w:p>
      <w:pPr>
        <w:pStyle w:val="BodyText"/>
        <w:spacing w:before="3"/>
        <w:rPr>
          <w:sz w:val="19"/>
        </w:rPr>
      </w:pPr>
    </w:p>
    <w:p>
      <w:pPr>
        <w:pStyle w:val="BodyText"/>
        <w:spacing w:before="3"/>
        <w:rPr>
          <w:sz w:val="19"/>
        </w:rPr>
      </w:pPr>
    </w:p>
    <w:p>
      <w:pPr>
        <w:pStyle w:val="BodyText"/>
        <w:spacing w:before="3"/>
        <w:rPr>
          <w:sz w:val="19"/>
        </w:rPr>
      </w:pPr>
    </w:p>
    <w:p>
      <w:pPr>
        <w:spacing w:line="116" w:lineRule="exact" w:before="71"/>
        <w:ind w:left="731" w:right="0" w:firstLine="0"/>
        <w:jc w:val="left"/>
        <w:rPr>
          <w:sz w:val="12"/>
        </w:rPr>
      </w:pPr>
      <w:r>
        <w:rPr/>
        <w:br w:type="column"/>
      </w:r>
      <w:r>
        <w:rPr>
          <w:sz w:val="12"/>
        </w:rPr>
        <w:t>Number of forecasts</w:t>
      </w:r>
    </w:p>
    <w:p>
      <w:pPr>
        <w:spacing w:line="116" w:lineRule="exact" w:before="0"/>
        <w:ind w:left="1726" w:right="0" w:firstLine="0"/>
        <w:jc w:val="left"/>
        <w:rPr>
          <w:sz w:val="12"/>
        </w:rPr>
      </w:pPr>
      <w:r>
        <w:rPr/>
        <w:pict>
          <v:group style="position:absolute;margin-left:44.633999pt;margin-top:3.652039pt;width:167.75pt;height:152pt;mso-position-horizontal-relative:page;mso-position-vertical-relative:paragraph;z-index:-20800512" coordorigin="893,73" coordsize="3355,3040">
            <v:line style="position:absolute" from="993,3073" to="893,3073" stroked="true" strokeweight=".5pt" strokecolor="#000000">
              <v:stroke dashstyle="solid"/>
            </v:line>
            <v:rect style="position:absolute;left:1975;top:2773;width:120;height:300" filled="true" fillcolor="#008256" stroked="false">
              <v:fill type="solid"/>
            </v:rect>
            <v:rect style="position:absolute;left:1975;top:2773;width:120;height:300" filled="false" stroked="true" strokeweight=".5pt" strokecolor="#000000">
              <v:stroke dashstyle="solid"/>
            </v:rect>
            <v:rect style="position:absolute;left:2115;top:2473;width:140;height:600" filled="true" fillcolor="#008256" stroked="false">
              <v:fill type="solid"/>
            </v:rect>
            <v:rect style="position:absolute;left:2115;top:2473;width:140;height:600" filled="false" stroked="true" strokeweight=".5pt" strokecolor="#000000">
              <v:stroke dashstyle="solid"/>
            </v:rect>
            <v:rect style="position:absolute;left:2275;top:353;width:120;height:2720" filled="true" fillcolor="#faab54" stroked="false">
              <v:fill type="solid"/>
            </v:rect>
            <v:rect style="position:absolute;left:2275;top:353;width:120;height:2720" filled="false" stroked="true" strokeweight=".5pt" strokecolor="#000000">
              <v:stroke dashstyle="solid"/>
            </v:rect>
            <v:rect style="position:absolute;left:2415;top:2473;width:140;height:600" filled="true" fillcolor="#0066a5" stroked="false">
              <v:fill type="solid"/>
            </v:rect>
            <v:rect style="position:absolute;left:2415;top:2473;width:140;height:600" filled="false" stroked="true" strokeweight=".5pt" strokecolor="#000000">
              <v:stroke dashstyle="solid"/>
            </v:rect>
            <v:rect style="position:absolute;left:2575;top:2773;width:120;height:300" filled="true" fillcolor="#0066a5" stroked="false">
              <v:fill type="solid"/>
            </v:rect>
            <v:rect style="position:absolute;left:2575;top:2773;width:120;height:300" filled="false" stroked="true" strokeweight=".5pt" strokecolor="#000000">
              <v:stroke dashstyle="solid"/>
            </v:rect>
            <v:shape style="position:absolute;left:1055;top:3073;width:3192;height:40" coordorigin="1056,3073" coordsize="3192,40" path="m1056,3073l4076,3073m1056,3073l1056,3113m1216,3073l1216,3113m1376,3073l1376,3113m1516,3073l1516,3113m1516,3073l1516,3113m1676,3073l1676,3113m1676,3073l1676,3113m1816,3073l1816,3113m1976,3073l1976,3113m2116,3073l2116,3113m2276,3073l2276,3113m2416,3073l2416,3113m2576,3073l2576,3113m2716,3073l2716,3113m2876,3073l2876,3113m3016,3073l3016,3113m3176,3073l3176,3113m3316,3073l3316,3113m3476,3073l3476,3113m3616,3073l3616,3113m3776,3073l3776,3113m3936,3073l3936,3113m4247,3073l4147,3073m4076,3073l4076,3113e" filled="false" stroked="true" strokeweight=".5pt" strokecolor="#000000">
              <v:path arrowok="t"/>
              <v:stroke dashstyle="solid"/>
            </v:shape>
            <v:rect style="position:absolute;left:2375;top:353;width:20;height:2720" filled="true" fillcolor="#0066a5" stroked="false">
              <v:fill type="solid"/>
            </v:rect>
            <v:shape style="position:absolute;left:2275;top:73;width:100;height:3000" coordorigin="2276,73" coordsize="100,3000" path="m2276,3073l2276,73m2316,3073l2316,73m2376,3073l2376,73e" filled="false" stroked="true" strokeweight=".5pt" strokecolor="#0066a5">
              <v:path arrowok="t"/>
              <v:stroke dashstyle="dash"/>
            </v:shape>
            <v:shape style="position:absolute;left:1490;top:416;width:1690;height:133" type="#_x0000_t202" filled="false" stroked="false">
              <v:textbox inset="0,0,0,0">
                <w:txbxContent>
                  <w:p>
                    <w:pPr>
                      <w:tabs>
                        <w:tab w:pos="973" w:val="left" w:leader="none"/>
                      </w:tabs>
                      <w:spacing w:line="133" w:lineRule="exact" w:before="0"/>
                      <w:ind w:left="0" w:right="0" w:firstLine="0"/>
                      <w:jc w:val="left"/>
                      <w:rPr>
                        <w:sz w:val="12"/>
                      </w:rPr>
                    </w:pPr>
                    <w:r>
                      <w:rPr>
                        <w:sz w:val="12"/>
                      </w:rPr>
                      <w:t>Lower quartile</w:t>
                      <w:tab/>
                      <w:t>Upper quartile</w:t>
                    </w:r>
                  </w:p>
                </w:txbxContent>
              </v:textbox>
              <w10:wrap type="none"/>
            </v:shape>
            <w10:wrap type="none"/>
          </v:group>
        </w:pict>
      </w:r>
      <w:r>
        <w:rPr/>
        <w:pict>
          <v:line style="position:absolute;mso-position-horizontal-relative:page;mso-position-vertical-relative:paragraph;z-index:16132608" from="212.341995pt,2.652039pt" to="207.341995pt,2.652039pt" stroked="true" strokeweight=".5pt" strokecolor="#000000">
            <v:stroke dashstyle="solid"/>
            <w10:wrap type="none"/>
          </v:line>
        </w:pict>
      </w:r>
      <w:r>
        <w:rPr>
          <w:sz w:val="12"/>
        </w:rPr>
        <w:t>20</w:t>
      </w:r>
    </w:p>
    <w:p>
      <w:pPr>
        <w:pStyle w:val="BodyText"/>
        <w:spacing w:before="1"/>
        <w:rPr>
          <w:sz w:val="14"/>
        </w:rPr>
      </w:pPr>
    </w:p>
    <w:p>
      <w:pPr>
        <w:spacing w:before="0"/>
        <w:ind w:left="0" w:right="0" w:firstLine="0"/>
        <w:jc w:val="right"/>
        <w:rPr>
          <w:sz w:val="12"/>
        </w:rPr>
      </w:pPr>
      <w:r>
        <w:rPr/>
        <w:pict>
          <v:line style="position:absolute;mso-position-horizontal-relative:page;mso-position-vertical-relative:paragraph;z-index:16132096" from="212.341995pt,3.768555pt" to="207.341995pt,3.768555pt" stroked="true" strokeweight=".5pt" strokecolor="#000000">
            <v:stroke dashstyle="solid"/>
            <w10:wrap type="none"/>
          </v:line>
        </w:pict>
      </w:r>
      <w:r>
        <w:rPr>
          <w:sz w:val="12"/>
        </w:rPr>
        <w:t>18</w:t>
      </w:r>
    </w:p>
    <w:p>
      <w:pPr>
        <w:pStyle w:val="BodyText"/>
        <w:spacing w:before="5"/>
        <w:rPr>
          <w:sz w:val="16"/>
        </w:rPr>
      </w:pPr>
    </w:p>
    <w:p>
      <w:pPr>
        <w:spacing w:before="0"/>
        <w:ind w:left="0" w:right="0" w:firstLine="0"/>
        <w:jc w:val="right"/>
        <w:rPr>
          <w:sz w:val="12"/>
        </w:rPr>
      </w:pPr>
      <w:r>
        <w:rPr/>
        <w:pict>
          <v:line style="position:absolute;mso-position-horizontal-relative:page;mso-position-vertical-relative:paragraph;z-index:16131584" from="212.341995pt,3.43457pt" to="207.341995pt,3.43457pt" stroked="true" strokeweight=".5pt" strokecolor="#000000">
            <v:stroke dashstyle="solid"/>
            <w10:wrap type="none"/>
          </v:line>
        </w:pict>
      </w:r>
      <w:r>
        <w:rPr>
          <w:sz w:val="12"/>
        </w:rPr>
        <w:t>16</w:t>
      </w:r>
    </w:p>
    <w:p>
      <w:pPr>
        <w:pStyle w:val="BodyText"/>
        <w:spacing w:before="9"/>
        <w:rPr>
          <w:sz w:val="11"/>
        </w:rPr>
      </w:pPr>
    </w:p>
    <w:p>
      <w:pPr>
        <w:spacing w:before="0"/>
        <w:ind w:left="0" w:right="0" w:firstLine="0"/>
        <w:jc w:val="right"/>
        <w:rPr>
          <w:sz w:val="12"/>
        </w:rPr>
      </w:pPr>
      <w:r>
        <w:rPr/>
        <w:pict>
          <v:line style="position:absolute;mso-position-horizontal-relative:page;mso-position-vertical-relative:paragraph;z-index:16131072" from="212.341995pt,3.768555pt" to="207.341995pt,3.768555pt" stroked="true" strokeweight=".5pt" strokecolor="#000000">
            <v:stroke dashstyle="solid"/>
            <w10:wrap type="none"/>
          </v:line>
        </w:pict>
      </w:r>
      <w:r>
        <w:rPr>
          <w:sz w:val="12"/>
        </w:rPr>
        <w:t>14</w:t>
      </w:r>
    </w:p>
    <w:p>
      <w:pPr>
        <w:pStyle w:val="BodyText"/>
        <w:spacing w:before="9"/>
        <w:rPr>
          <w:sz w:val="15"/>
        </w:rPr>
      </w:pPr>
    </w:p>
    <w:p>
      <w:pPr>
        <w:spacing w:before="1"/>
        <w:ind w:left="0" w:right="0" w:firstLine="0"/>
        <w:jc w:val="right"/>
        <w:rPr>
          <w:sz w:val="12"/>
        </w:rPr>
      </w:pPr>
      <w:r>
        <w:rPr/>
        <w:pict>
          <v:line style="position:absolute;mso-position-horizontal-relative:page;mso-position-vertical-relative:paragraph;z-index:16130560" from="212.341995pt,3.818555pt" to="207.341995pt,3.818555pt" stroked="true" strokeweight=".5pt" strokecolor="#000000">
            <v:stroke dashstyle="solid"/>
            <w10:wrap type="none"/>
          </v:line>
        </w:pict>
      </w:r>
      <w:r>
        <w:rPr>
          <w:sz w:val="12"/>
        </w:rPr>
        <w:t>12</w:t>
      </w:r>
    </w:p>
    <w:p>
      <w:pPr>
        <w:pStyle w:val="BodyText"/>
        <w:spacing w:before="5"/>
        <w:rPr>
          <w:sz w:val="13"/>
        </w:rPr>
      </w:pPr>
    </w:p>
    <w:p>
      <w:pPr>
        <w:spacing w:before="0"/>
        <w:ind w:left="0" w:right="0" w:firstLine="0"/>
        <w:jc w:val="right"/>
        <w:rPr>
          <w:sz w:val="12"/>
        </w:rPr>
      </w:pPr>
      <w:r>
        <w:rPr/>
        <w:pict>
          <v:line style="position:absolute;mso-position-horizontal-relative:page;mso-position-vertical-relative:paragraph;z-index:16130048" from="212.341995pt,4.101563pt" to="207.341995pt,4.101563pt" stroked="true" strokeweight=".5pt" strokecolor="#000000">
            <v:stroke dashstyle="solid"/>
            <w10:wrap type="none"/>
          </v:line>
        </w:pict>
      </w:r>
      <w:r>
        <w:rPr>
          <w:sz w:val="12"/>
        </w:rPr>
        <w:t>10</w:t>
      </w:r>
    </w:p>
    <w:p>
      <w:pPr>
        <w:pStyle w:val="BodyText"/>
        <w:spacing w:before="8"/>
        <w:rPr>
          <w:sz w:val="14"/>
        </w:rPr>
      </w:pPr>
    </w:p>
    <w:p>
      <w:pPr>
        <w:spacing w:before="0"/>
        <w:ind w:left="0" w:right="0" w:firstLine="0"/>
        <w:jc w:val="right"/>
        <w:rPr>
          <w:sz w:val="12"/>
        </w:rPr>
      </w:pPr>
      <w:r>
        <w:rPr/>
        <w:pict>
          <v:line style="position:absolute;mso-position-horizontal-relative:page;mso-position-vertical-relative:paragraph;z-index:16129536" from="212.341995pt,3.768555pt" to="207.341995pt,3.768555pt" stroked="true" strokeweight=".5pt" strokecolor="#000000">
            <v:stroke dashstyle="solid"/>
            <w10:wrap type="none"/>
          </v:line>
        </w:pict>
      </w:r>
      <w:r>
        <w:rPr>
          <w:sz w:val="12"/>
        </w:rPr>
        <w:t>8</w:t>
      </w:r>
    </w:p>
    <w:p>
      <w:pPr>
        <w:pStyle w:val="BodyText"/>
        <w:spacing w:before="1"/>
        <w:rPr>
          <w:sz w:val="14"/>
        </w:rPr>
      </w:pPr>
    </w:p>
    <w:p>
      <w:pPr>
        <w:spacing w:before="0"/>
        <w:ind w:left="0" w:right="0" w:firstLine="0"/>
        <w:jc w:val="right"/>
        <w:rPr>
          <w:sz w:val="12"/>
        </w:rPr>
      </w:pPr>
      <w:r>
        <w:rPr/>
        <w:pict>
          <v:line style="position:absolute;mso-position-horizontal-relative:page;mso-position-vertical-relative:paragraph;z-index:16129024" from="212.341995pt,3.768555pt" to="207.341995pt,3.768555pt" stroked="true" strokeweight=".5pt" strokecolor="#000000">
            <v:stroke dashstyle="solid"/>
            <w10:wrap type="none"/>
          </v:line>
        </w:pict>
      </w:r>
      <w:r>
        <w:rPr>
          <w:sz w:val="12"/>
        </w:rPr>
        <w:t>6</w:t>
      </w:r>
    </w:p>
    <w:p>
      <w:pPr>
        <w:pStyle w:val="BodyText"/>
        <w:spacing w:before="1"/>
        <w:rPr>
          <w:sz w:val="14"/>
        </w:rPr>
      </w:pPr>
    </w:p>
    <w:p>
      <w:pPr>
        <w:spacing w:before="0"/>
        <w:ind w:left="0" w:right="0" w:firstLine="0"/>
        <w:jc w:val="right"/>
        <w:rPr>
          <w:sz w:val="12"/>
        </w:rPr>
      </w:pPr>
      <w:r>
        <w:rPr/>
        <w:pict>
          <v:line style="position:absolute;mso-position-horizontal-relative:page;mso-position-vertical-relative:paragraph;z-index:16128512" from="212.341995pt,3.768555pt" to="207.341995pt,3.768555pt" stroked="true" strokeweight=".5pt" strokecolor="#000000">
            <v:stroke dashstyle="solid"/>
            <w10:wrap type="none"/>
          </v:line>
        </w:pict>
      </w:r>
      <w:r>
        <w:rPr>
          <w:sz w:val="12"/>
        </w:rPr>
        <w:t>4</w:t>
      </w:r>
    </w:p>
    <w:p>
      <w:pPr>
        <w:pStyle w:val="BodyText"/>
        <w:spacing w:before="1"/>
        <w:rPr>
          <w:sz w:val="14"/>
        </w:rPr>
      </w:pPr>
    </w:p>
    <w:p>
      <w:pPr>
        <w:spacing w:before="0"/>
        <w:ind w:left="0" w:right="0" w:firstLine="0"/>
        <w:jc w:val="right"/>
        <w:rPr>
          <w:sz w:val="12"/>
        </w:rPr>
      </w:pPr>
      <w:r>
        <w:rPr/>
        <w:pict>
          <v:line style="position:absolute;mso-position-horizontal-relative:page;mso-position-vertical-relative:paragraph;z-index:16128000" from="212.341995pt,3.768555pt" to="207.341995pt,3.768555pt" stroked="true" strokeweight=".5pt" strokecolor="#000000">
            <v:stroke dashstyle="solid"/>
            <w10:wrap type="none"/>
          </v:line>
        </w:pict>
      </w:r>
      <w:r>
        <w:rPr>
          <w:sz w:val="12"/>
        </w:rPr>
        <w:t>2</w:t>
      </w:r>
    </w:p>
    <w:p>
      <w:pPr>
        <w:pStyle w:val="Heading4"/>
        <w:spacing w:line="242" w:lineRule="auto" w:before="4"/>
        <w:ind w:left="1150" w:right="203"/>
      </w:pPr>
      <w:r>
        <w:rPr/>
        <w:br w:type="column"/>
      </w:r>
      <w:r>
        <w:rPr>
          <w:color w:val="231F20"/>
        </w:rPr>
        <w:t>assumption that official rates follow market expectations look broadly similar to those in the central projection (see Charts 6.6 and 6.7). That is because the path of interest rates does not diverge very far from the constant interest rate assumption until near the end of the</w:t>
      </w:r>
    </w:p>
    <w:p>
      <w:pPr>
        <w:spacing w:line="242" w:lineRule="auto" w:before="6"/>
        <w:ind w:left="1150" w:right="170" w:firstLine="0"/>
        <w:jc w:val="left"/>
        <w:rPr>
          <w:sz w:val="24"/>
        </w:rPr>
      </w:pPr>
      <w:r>
        <w:rPr>
          <w:color w:val="231F20"/>
          <w:sz w:val="24"/>
        </w:rPr>
        <w:t>two-year forecast period, with consequences for inflation that occur mostly beyond the end of the forecast period.</w:t>
      </w:r>
    </w:p>
    <w:p>
      <w:pPr>
        <w:pStyle w:val="BodyText"/>
        <w:spacing w:before="3"/>
        <w:rPr>
          <w:sz w:val="28"/>
        </w:rPr>
      </w:pPr>
    </w:p>
    <w:p>
      <w:pPr>
        <w:pStyle w:val="ListParagraph"/>
        <w:numPr>
          <w:ilvl w:val="1"/>
          <w:numId w:val="37"/>
        </w:numPr>
        <w:tabs>
          <w:tab w:pos="4600" w:val="left" w:leader="none"/>
          <w:tab w:pos="4601" w:val="left" w:leader="none"/>
          <w:tab w:pos="6649" w:val="left" w:leader="none"/>
        </w:tabs>
        <w:spacing w:line="240" w:lineRule="auto" w:before="0" w:after="0"/>
        <w:ind w:left="4600" w:right="0" w:hanging="3451"/>
        <w:jc w:val="left"/>
        <w:rPr>
          <w:b/>
          <w:sz w:val="28"/>
        </w:rPr>
      </w:pPr>
      <w:r>
        <w:rPr>
          <w:b/>
          <w:color w:val="009483"/>
          <w:sz w:val="28"/>
          <w:u w:val="thick" w:color="0093C1"/>
        </w:rPr>
        <w:t>Other</w:t>
      </w:r>
      <w:r>
        <w:rPr>
          <w:b/>
          <w:color w:val="009483"/>
          <w:spacing w:val="-13"/>
          <w:sz w:val="28"/>
          <w:u w:val="thick" w:color="0093C1"/>
        </w:rPr>
        <w:t> </w:t>
      </w:r>
      <w:r>
        <w:rPr>
          <w:b/>
          <w:color w:val="009483"/>
          <w:sz w:val="28"/>
          <w:u w:val="thick" w:color="0093C1"/>
        </w:rPr>
        <w:t>forecasts</w:t>
        <w:tab/>
      </w:r>
    </w:p>
    <w:p>
      <w:pPr>
        <w:pStyle w:val="BodyText"/>
        <w:rPr>
          <w:b/>
          <w:sz w:val="24"/>
        </w:rPr>
      </w:pPr>
    </w:p>
    <w:p>
      <w:pPr>
        <w:spacing w:before="0"/>
        <w:ind w:left="1150" w:right="0" w:firstLine="0"/>
        <w:jc w:val="left"/>
        <w:rPr>
          <w:sz w:val="24"/>
        </w:rPr>
      </w:pPr>
      <w:r>
        <w:rPr>
          <w:color w:val="231F20"/>
          <w:sz w:val="24"/>
        </w:rPr>
        <w:t>Chart 6.8 shows the distribution of central forecasts for</w:t>
      </w:r>
    </w:p>
    <w:p>
      <w:pPr>
        <w:spacing w:after="0"/>
        <w:jc w:val="left"/>
        <w:rPr>
          <w:sz w:val="24"/>
        </w:rPr>
        <w:sectPr>
          <w:type w:val="continuous"/>
          <w:pgSz w:w="11900" w:h="16840"/>
          <w:pgMar w:top="1220" w:bottom="280" w:left="620" w:right="640"/>
          <w:cols w:num="3" w:equalWidth="0">
            <w:col w:w="1889" w:space="40"/>
            <w:col w:w="1847" w:space="39"/>
            <w:col w:w="6825"/>
          </w:cols>
        </w:sectPr>
      </w:pPr>
    </w:p>
    <w:p>
      <w:pPr>
        <w:spacing w:line="126" w:lineRule="exact" w:before="25"/>
        <w:ind w:left="2976" w:right="0" w:firstLine="0"/>
        <w:jc w:val="center"/>
        <w:rPr>
          <w:sz w:val="12"/>
        </w:rPr>
      </w:pPr>
      <w:r>
        <w:rPr>
          <w:sz w:val="12"/>
        </w:rPr>
        <w:t>0</w:t>
      </w:r>
    </w:p>
    <w:p>
      <w:pPr>
        <w:spacing w:line="126" w:lineRule="exact" w:before="0"/>
        <w:ind w:left="962" w:right="1562" w:firstLine="0"/>
        <w:jc w:val="center"/>
        <w:rPr>
          <w:sz w:val="12"/>
        </w:rPr>
      </w:pPr>
      <w:r>
        <w:rPr>
          <w:sz w:val="12"/>
        </w:rPr>
        <w:t>0.0 0.6 1.2 1.8 2.4 3.0 3.6 4.2 4.8 5.4 6.0</w:t>
      </w:r>
    </w:p>
    <w:p>
      <w:pPr>
        <w:spacing w:before="22"/>
        <w:ind w:left="889" w:right="1562" w:firstLine="0"/>
        <w:jc w:val="center"/>
        <w:rPr>
          <w:sz w:val="12"/>
        </w:rPr>
      </w:pPr>
      <w:r>
        <w:rPr>
          <w:sz w:val="12"/>
        </w:rPr>
        <w:t>Range of forecasts</w:t>
      </w:r>
    </w:p>
    <w:p>
      <w:pPr>
        <w:pStyle w:val="BodyText"/>
        <w:spacing w:before="6"/>
        <w:rPr>
          <w:sz w:val="13"/>
        </w:rPr>
      </w:pPr>
    </w:p>
    <w:p>
      <w:pPr>
        <w:spacing w:before="0"/>
        <w:ind w:left="175" w:right="0" w:firstLine="0"/>
        <w:jc w:val="left"/>
        <w:rPr>
          <w:sz w:val="12"/>
        </w:rPr>
      </w:pPr>
      <w:r>
        <w:rPr>
          <w:color w:val="231F20"/>
          <w:sz w:val="12"/>
        </w:rPr>
        <w:t>Source: Forecasts of 30 outside forecasters as of 31 July 1998.</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Heading8"/>
        <w:spacing w:before="73"/>
        <w:ind w:left="175"/>
      </w:pPr>
      <w:r>
        <w:rPr>
          <w:color w:val="0093C1"/>
        </w:rPr>
        <w:t>Table 6.B</w:t>
      </w:r>
    </w:p>
    <w:p>
      <w:pPr>
        <w:spacing w:line="249" w:lineRule="auto" w:before="10"/>
        <w:ind w:left="175" w:right="125" w:firstLine="0"/>
        <w:jc w:val="left"/>
        <w:rPr>
          <w:sz w:val="12"/>
        </w:rPr>
      </w:pPr>
      <w:r>
        <w:rPr>
          <w:b/>
          <w:color w:val="0093C1"/>
          <w:sz w:val="20"/>
        </w:rPr>
        <w:t>Other forecasters’ expectations of RPIX inflation and GDP growth</w:t>
      </w:r>
      <w:r>
        <w:rPr>
          <w:color w:val="231F20"/>
          <w:position w:val="4"/>
          <w:sz w:val="12"/>
        </w:rPr>
        <w:t>(a)</w:t>
      </w:r>
    </w:p>
    <w:p>
      <w:pPr>
        <w:spacing w:before="98"/>
        <w:ind w:left="175" w:right="0" w:firstLine="0"/>
        <w:jc w:val="left"/>
        <w:rPr>
          <w:b/>
          <w:sz w:val="14"/>
        </w:rPr>
      </w:pPr>
      <w:r>
        <w:rPr>
          <w:b/>
          <w:color w:val="231F20"/>
          <w:sz w:val="14"/>
        </w:rPr>
        <w:t>RPIX inflation</w:t>
      </w:r>
    </w:p>
    <w:p>
      <w:pPr>
        <w:tabs>
          <w:tab w:pos="1725" w:val="left" w:leader="none"/>
          <w:tab w:pos="3559" w:val="left" w:leader="none"/>
        </w:tabs>
        <w:spacing w:before="59"/>
        <w:ind w:left="175" w:right="0" w:firstLine="0"/>
        <w:jc w:val="left"/>
        <w:rPr>
          <w:sz w:val="14"/>
        </w:rPr>
      </w:pPr>
      <w:r>
        <w:rPr/>
        <w:pict>
          <v:shape style="position:absolute;margin-left:37.279999pt;margin-top:12.247256pt;width:418.9pt;height:76.25pt;mso-position-horizontal-relative:page;mso-position-vertical-relative:paragraph;z-index:1613312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9"/>
                    <w:gridCol w:w="797"/>
                    <w:gridCol w:w="490"/>
                    <w:gridCol w:w="490"/>
                    <w:gridCol w:w="5391"/>
                  </w:tblGrid>
                  <w:tr>
                    <w:trPr>
                      <w:trHeight w:val="467" w:hRule="atLeast"/>
                    </w:trPr>
                    <w:tc>
                      <w:tcPr>
                        <w:tcW w:w="1209" w:type="dxa"/>
                      </w:tcPr>
                      <w:p>
                        <w:pPr>
                          <w:pStyle w:val="TableParagraph"/>
                          <w:rPr>
                            <w:sz w:val="18"/>
                          </w:rPr>
                        </w:pPr>
                      </w:p>
                    </w:tc>
                    <w:tc>
                      <w:tcPr>
                        <w:tcW w:w="797" w:type="dxa"/>
                      </w:tcPr>
                      <w:p>
                        <w:pPr>
                          <w:pStyle w:val="TableParagraph"/>
                          <w:spacing w:line="208" w:lineRule="auto" w:before="11"/>
                          <w:ind w:left="401" w:right="102"/>
                          <w:jc w:val="both"/>
                          <w:rPr>
                            <w:sz w:val="14"/>
                          </w:rPr>
                        </w:pPr>
                        <w:r>
                          <w:rPr>
                            <w:color w:val="231F20"/>
                            <w:sz w:val="14"/>
                          </w:rPr>
                          <w:t>less than </w:t>
                        </w:r>
                        <w:r>
                          <w:rPr>
                            <w:color w:val="231F20"/>
                            <w:sz w:val="14"/>
                            <w:u w:val="single" w:color="231F20"/>
                          </w:rPr>
                          <w:t>1.5%</w:t>
                        </w:r>
                      </w:p>
                    </w:tc>
                    <w:tc>
                      <w:tcPr>
                        <w:tcW w:w="490" w:type="dxa"/>
                      </w:tcPr>
                      <w:p>
                        <w:pPr>
                          <w:pStyle w:val="TableParagraph"/>
                          <w:spacing w:line="145" w:lineRule="exact"/>
                          <w:ind w:left="103"/>
                          <w:rPr>
                            <w:sz w:val="14"/>
                          </w:rPr>
                        </w:pPr>
                        <w:r>
                          <w:rPr>
                            <w:color w:val="231F20"/>
                            <w:sz w:val="14"/>
                          </w:rPr>
                          <w:t>1.5%</w:t>
                        </w:r>
                      </w:p>
                      <w:p>
                        <w:pPr>
                          <w:pStyle w:val="TableParagraph"/>
                          <w:spacing w:line="208" w:lineRule="auto" w:before="6"/>
                          <w:ind w:left="104" w:right="74" w:hanging="1"/>
                          <w:rPr>
                            <w:sz w:val="14"/>
                          </w:rPr>
                        </w:pPr>
                        <w:r>
                          <w:rPr>
                            <w:color w:val="231F20"/>
                            <w:sz w:val="14"/>
                          </w:rPr>
                          <w:t>to </w:t>
                        </w:r>
                        <w:r>
                          <w:rPr>
                            <w:color w:val="231F20"/>
                            <w:sz w:val="14"/>
                            <w:u w:val="single" w:color="231F20"/>
                          </w:rPr>
                          <w:t>2.5%</w:t>
                        </w:r>
                      </w:p>
                    </w:tc>
                    <w:tc>
                      <w:tcPr>
                        <w:tcW w:w="490" w:type="dxa"/>
                      </w:tcPr>
                      <w:p>
                        <w:pPr>
                          <w:pStyle w:val="TableParagraph"/>
                          <w:spacing w:line="145" w:lineRule="exact"/>
                          <w:ind w:left="94"/>
                          <w:rPr>
                            <w:sz w:val="14"/>
                          </w:rPr>
                        </w:pPr>
                        <w:r>
                          <w:rPr>
                            <w:color w:val="231F20"/>
                            <w:sz w:val="14"/>
                          </w:rPr>
                          <w:t>2.5%</w:t>
                        </w:r>
                      </w:p>
                      <w:p>
                        <w:pPr>
                          <w:pStyle w:val="TableParagraph"/>
                          <w:spacing w:line="208" w:lineRule="auto" w:before="6"/>
                          <w:ind w:left="94" w:right="84" w:hanging="1"/>
                          <w:rPr>
                            <w:sz w:val="14"/>
                          </w:rPr>
                        </w:pPr>
                        <w:r>
                          <w:rPr>
                            <w:color w:val="231F20"/>
                            <w:sz w:val="14"/>
                          </w:rPr>
                          <w:t>to </w:t>
                        </w:r>
                        <w:r>
                          <w:rPr>
                            <w:color w:val="231F20"/>
                            <w:sz w:val="14"/>
                            <w:u w:val="single" w:color="231F20"/>
                          </w:rPr>
                          <w:t>3.5%</w:t>
                        </w:r>
                      </w:p>
                    </w:tc>
                    <w:tc>
                      <w:tcPr>
                        <w:tcW w:w="5391" w:type="dxa"/>
                      </w:tcPr>
                      <w:p>
                        <w:pPr>
                          <w:pStyle w:val="TableParagraph"/>
                          <w:spacing w:line="142" w:lineRule="exact"/>
                          <w:ind w:left="104"/>
                          <w:rPr>
                            <w:sz w:val="14"/>
                          </w:rPr>
                        </w:pPr>
                        <w:r>
                          <w:rPr>
                            <w:color w:val="231F20"/>
                            <w:sz w:val="14"/>
                          </w:rPr>
                          <w:t>more</w:t>
                        </w:r>
                      </w:p>
                      <w:p>
                        <w:pPr>
                          <w:pStyle w:val="TableParagraph"/>
                          <w:tabs>
                            <w:tab w:pos="1853" w:val="left" w:leader="none"/>
                          </w:tabs>
                          <w:spacing w:line="197" w:lineRule="exact"/>
                          <w:ind w:left="104" w:right="-58"/>
                          <w:rPr>
                            <w:sz w:val="24"/>
                          </w:rPr>
                        </w:pPr>
                        <w:r>
                          <w:rPr>
                            <w:color w:val="231F20"/>
                            <w:sz w:val="24"/>
                            <w:vertAlign w:val="superscript"/>
                          </w:rPr>
                          <w:t>than</w:t>
                        </w:r>
                        <w:r>
                          <w:rPr>
                            <w:color w:val="231F20"/>
                            <w:sz w:val="24"/>
                            <w:vertAlign w:val="baseline"/>
                          </w:rPr>
                          <w:tab/>
                          <w:t>inflation being above the target in</w:t>
                        </w:r>
                        <w:r>
                          <w:rPr>
                            <w:color w:val="231F20"/>
                            <w:spacing w:val="-13"/>
                            <w:sz w:val="24"/>
                            <w:vertAlign w:val="baseline"/>
                          </w:rPr>
                          <w:t> </w:t>
                        </w:r>
                        <w:r>
                          <w:rPr>
                            <w:color w:val="231F20"/>
                            <w:sz w:val="24"/>
                            <w:vertAlign w:val="baseline"/>
                          </w:rPr>
                          <w:t>the</w:t>
                        </w:r>
                      </w:p>
                      <w:p>
                        <w:pPr>
                          <w:pStyle w:val="TableParagraph"/>
                          <w:spacing w:line="96" w:lineRule="exact"/>
                          <w:ind w:left="104"/>
                          <w:rPr>
                            <w:sz w:val="14"/>
                          </w:rPr>
                        </w:pPr>
                        <w:r>
                          <w:rPr>
                            <w:color w:val="231F20"/>
                            <w:sz w:val="14"/>
                            <w:u w:val="single" w:color="231F20"/>
                          </w:rPr>
                          <w:t>3.5% </w:t>
                        </w:r>
                      </w:p>
                    </w:tc>
                  </w:tr>
                  <w:tr>
                    <w:trPr>
                      <w:trHeight w:val="179" w:hRule="atLeast"/>
                    </w:trPr>
                    <w:tc>
                      <w:tcPr>
                        <w:tcW w:w="1209" w:type="dxa"/>
                      </w:tcPr>
                      <w:p>
                        <w:pPr>
                          <w:pStyle w:val="TableParagraph"/>
                          <w:spacing w:line="133" w:lineRule="exact" w:before="26"/>
                          <w:ind w:left="50"/>
                          <w:rPr>
                            <w:sz w:val="14"/>
                          </w:rPr>
                        </w:pPr>
                        <w:r>
                          <w:rPr>
                            <w:color w:val="231F20"/>
                            <w:sz w:val="14"/>
                          </w:rPr>
                          <w:t>1998 Q4</w:t>
                        </w:r>
                      </w:p>
                    </w:tc>
                    <w:tc>
                      <w:tcPr>
                        <w:tcW w:w="797" w:type="dxa"/>
                      </w:tcPr>
                      <w:p>
                        <w:pPr>
                          <w:pStyle w:val="TableParagraph"/>
                          <w:spacing w:line="133" w:lineRule="exact" w:before="26"/>
                          <w:ind w:right="233"/>
                          <w:jc w:val="right"/>
                          <w:rPr>
                            <w:sz w:val="14"/>
                          </w:rPr>
                        </w:pPr>
                        <w:r>
                          <w:rPr>
                            <w:color w:val="231F20"/>
                            <w:sz w:val="14"/>
                          </w:rPr>
                          <w:t>5</w:t>
                        </w:r>
                      </w:p>
                    </w:tc>
                    <w:tc>
                      <w:tcPr>
                        <w:tcW w:w="490" w:type="dxa"/>
                      </w:tcPr>
                      <w:p>
                        <w:pPr>
                          <w:pStyle w:val="TableParagraph"/>
                          <w:spacing w:line="133" w:lineRule="exact" w:before="26"/>
                          <w:ind w:left="124"/>
                          <w:rPr>
                            <w:sz w:val="14"/>
                          </w:rPr>
                        </w:pPr>
                        <w:r>
                          <w:rPr>
                            <w:color w:val="231F20"/>
                            <w:sz w:val="14"/>
                          </w:rPr>
                          <w:t>40</w:t>
                        </w:r>
                      </w:p>
                    </w:tc>
                    <w:tc>
                      <w:tcPr>
                        <w:tcW w:w="490" w:type="dxa"/>
                      </w:tcPr>
                      <w:p>
                        <w:pPr>
                          <w:pStyle w:val="TableParagraph"/>
                          <w:spacing w:line="133" w:lineRule="exact" w:before="26"/>
                          <w:ind w:left="133"/>
                          <w:rPr>
                            <w:sz w:val="14"/>
                          </w:rPr>
                        </w:pPr>
                        <w:r>
                          <w:rPr>
                            <w:color w:val="231F20"/>
                            <w:sz w:val="14"/>
                          </w:rPr>
                          <w:t>45</w:t>
                        </w:r>
                      </w:p>
                    </w:tc>
                    <w:tc>
                      <w:tcPr>
                        <w:tcW w:w="5391" w:type="dxa"/>
                      </w:tcPr>
                      <w:p>
                        <w:pPr>
                          <w:pStyle w:val="TableParagraph"/>
                          <w:tabs>
                            <w:tab w:pos="1669" w:val="left" w:leader="none"/>
                          </w:tabs>
                          <w:spacing w:line="160" w:lineRule="exact"/>
                          <w:ind w:right="-116"/>
                          <w:jc w:val="right"/>
                          <w:rPr>
                            <w:sz w:val="24"/>
                          </w:rPr>
                        </w:pPr>
                        <w:r>
                          <w:rPr>
                            <w:color w:val="231F20"/>
                            <w:position w:val="1"/>
                            <w:sz w:val="14"/>
                          </w:rPr>
                          <w:t>10</w:t>
                          <w:tab/>
                        </w:r>
                        <w:r>
                          <w:rPr>
                            <w:color w:val="231F20"/>
                            <w:sz w:val="24"/>
                          </w:rPr>
                          <w:t>2000, and a 51% probability to it bein</w:t>
                        </w:r>
                      </w:p>
                    </w:tc>
                  </w:tr>
                  <w:tr>
                    <w:trPr>
                      <w:trHeight w:val="140" w:hRule="atLeast"/>
                    </w:trPr>
                    <w:tc>
                      <w:tcPr>
                        <w:tcW w:w="1209" w:type="dxa"/>
                      </w:tcPr>
                      <w:p>
                        <w:pPr>
                          <w:pStyle w:val="TableParagraph"/>
                          <w:spacing w:line="120" w:lineRule="exact"/>
                          <w:ind w:left="50"/>
                          <w:rPr>
                            <w:sz w:val="14"/>
                          </w:rPr>
                        </w:pPr>
                        <w:r>
                          <w:rPr>
                            <w:color w:val="231F20"/>
                            <w:sz w:val="14"/>
                          </w:rPr>
                          <w:t>1999 Q4</w:t>
                        </w:r>
                      </w:p>
                    </w:tc>
                    <w:tc>
                      <w:tcPr>
                        <w:tcW w:w="797" w:type="dxa"/>
                      </w:tcPr>
                      <w:p>
                        <w:pPr>
                          <w:pStyle w:val="TableParagraph"/>
                          <w:spacing w:line="120" w:lineRule="exact"/>
                          <w:ind w:right="233"/>
                          <w:jc w:val="right"/>
                          <w:rPr>
                            <w:sz w:val="14"/>
                          </w:rPr>
                        </w:pPr>
                        <w:r>
                          <w:rPr>
                            <w:color w:val="231F20"/>
                            <w:sz w:val="14"/>
                          </w:rPr>
                          <w:t>11</w:t>
                        </w:r>
                      </w:p>
                    </w:tc>
                    <w:tc>
                      <w:tcPr>
                        <w:tcW w:w="490" w:type="dxa"/>
                      </w:tcPr>
                      <w:p>
                        <w:pPr>
                          <w:pStyle w:val="TableParagraph"/>
                          <w:spacing w:line="120" w:lineRule="exact"/>
                          <w:ind w:left="124"/>
                          <w:rPr>
                            <w:sz w:val="14"/>
                          </w:rPr>
                        </w:pPr>
                        <w:r>
                          <w:rPr>
                            <w:color w:val="231F20"/>
                            <w:sz w:val="14"/>
                          </w:rPr>
                          <w:t>38</w:t>
                        </w:r>
                      </w:p>
                    </w:tc>
                    <w:tc>
                      <w:tcPr>
                        <w:tcW w:w="490" w:type="dxa"/>
                      </w:tcPr>
                      <w:p>
                        <w:pPr>
                          <w:pStyle w:val="TableParagraph"/>
                          <w:spacing w:line="120" w:lineRule="exact"/>
                          <w:ind w:left="133"/>
                          <w:rPr>
                            <w:sz w:val="14"/>
                          </w:rPr>
                        </w:pPr>
                        <w:r>
                          <w:rPr>
                            <w:color w:val="231F20"/>
                            <w:sz w:val="14"/>
                          </w:rPr>
                          <w:t>39</w:t>
                        </w:r>
                      </w:p>
                    </w:tc>
                    <w:tc>
                      <w:tcPr>
                        <w:tcW w:w="5391" w:type="dxa"/>
                      </w:tcPr>
                      <w:p>
                        <w:pPr>
                          <w:pStyle w:val="TableParagraph"/>
                          <w:spacing w:line="120" w:lineRule="exact"/>
                          <w:ind w:left="183"/>
                          <w:rPr>
                            <w:sz w:val="14"/>
                          </w:rPr>
                        </w:pPr>
                        <w:r>
                          <w:rPr>
                            <w:color w:val="231F20"/>
                            <w:sz w:val="14"/>
                          </w:rPr>
                          <w:t>12</w:t>
                        </w:r>
                      </w:p>
                    </w:tc>
                  </w:tr>
                  <w:tr>
                    <w:trPr>
                      <w:trHeight w:val="240" w:hRule="atLeast"/>
                    </w:trPr>
                    <w:tc>
                      <w:tcPr>
                        <w:tcW w:w="1209" w:type="dxa"/>
                      </w:tcPr>
                      <w:p>
                        <w:pPr>
                          <w:pStyle w:val="TableParagraph"/>
                          <w:spacing w:line="148" w:lineRule="exact"/>
                          <w:ind w:left="50"/>
                          <w:rPr>
                            <w:sz w:val="12"/>
                          </w:rPr>
                        </w:pPr>
                        <w:r>
                          <w:rPr>
                            <w:color w:val="231F20"/>
                            <w:sz w:val="14"/>
                          </w:rPr>
                          <w:t>2000 Q3 </w:t>
                        </w:r>
                        <w:r>
                          <w:rPr>
                            <w:color w:val="231F20"/>
                            <w:sz w:val="12"/>
                          </w:rPr>
                          <w:t>(b)</w:t>
                        </w:r>
                      </w:p>
                    </w:tc>
                    <w:tc>
                      <w:tcPr>
                        <w:tcW w:w="797" w:type="dxa"/>
                      </w:tcPr>
                      <w:p>
                        <w:pPr>
                          <w:pStyle w:val="TableParagraph"/>
                          <w:spacing w:line="148" w:lineRule="exact"/>
                          <w:ind w:right="235"/>
                          <w:jc w:val="right"/>
                          <w:rPr>
                            <w:sz w:val="14"/>
                          </w:rPr>
                        </w:pPr>
                        <w:r>
                          <w:rPr>
                            <w:color w:val="231F20"/>
                            <w:sz w:val="14"/>
                          </w:rPr>
                          <w:t>13</w:t>
                        </w:r>
                      </w:p>
                    </w:tc>
                    <w:tc>
                      <w:tcPr>
                        <w:tcW w:w="490" w:type="dxa"/>
                      </w:tcPr>
                      <w:p>
                        <w:pPr>
                          <w:pStyle w:val="TableParagraph"/>
                          <w:spacing w:line="148" w:lineRule="exact"/>
                          <w:ind w:left="123"/>
                          <w:rPr>
                            <w:sz w:val="14"/>
                          </w:rPr>
                        </w:pPr>
                        <w:r>
                          <w:rPr>
                            <w:color w:val="231F20"/>
                            <w:sz w:val="14"/>
                          </w:rPr>
                          <w:t>38</w:t>
                        </w:r>
                      </w:p>
                    </w:tc>
                    <w:tc>
                      <w:tcPr>
                        <w:tcW w:w="490" w:type="dxa"/>
                      </w:tcPr>
                      <w:p>
                        <w:pPr>
                          <w:pStyle w:val="TableParagraph"/>
                          <w:spacing w:line="148" w:lineRule="exact"/>
                          <w:ind w:left="133"/>
                          <w:rPr>
                            <w:sz w:val="14"/>
                          </w:rPr>
                        </w:pPr>
                        <w:r>
                          <w:rPr>
                            <w:color w:val="231F20"/>
                            <w:sz w:val="14"/>
                          </w:rPr>
                          <w:t>37</w:t>
                        </w:r>
                      </w:p>
                    </w:tc>
                    <w:tc>
                      <w:tcPr>
                        <w:tcW w:w="5391" w:type="dxa"/>
                      </w:tcPr>
                      <w:p>
                        <w:pPr>
                          <w:pStyle w:val="TableParagraph"/>
                          <w:tabs>
                            <w:tab w:pos="1670" w:val="left" w:leader="none"/>
                          </w:tabs>
                          <w:spacing w:line="177" w:lineRule="exact"/>
                          <w:ind w:right="-58"/>
                          <w:jc w:val="right"/>
                          <w:rPr>
                            <w:sz w:val="24"/>
                          </w:rPr>
                        </w:pPr>
                        <w:r>
                          <w:rPr>
                            <w:color w:val="231F20"/>
                            <w:position w:val="1"/>
                            <w:sz w:val="14"/>
                          </w:rPr>
                          <w:t>12</w:t>
                          <w:tab/>
                        </w:r>
                        <w:r>
                          <w:rPr>
                            <w:color w:val="231F20"/>
                            <w:sz w:val="24"/>
                          </w:rPr>
                          <w:t>estimates </w:t>
                        </w:r>
                        <w:r>
                          <w:rPr>
                            <w:color w:val="231F20"/>
                            <w:spacing w:val="-3"/>
                            <w:sz w:val="24"/>
                          </w:rPr>
                          <w:t>have </w:t>
                        </w:r>
                        <w:r>
                          <w:rPr>
                            <w:color w:val="231F20"/>
                            <w:sz w:val="24"/>
                          </w:rPr>
                          <w:t>changed slightly</w:t>
                        </w:r>
                        <w:r>
                          <w:rPr>
                            <w:color w:val="231F20"/>
                            <w:spacing w:val="6"/>
                            <w:sz w:val="24"/>
                          </w:rPr>
                          <w:t> </w:t>
                        </w:r>
                        <w:r>
                          <w:rPr>
                            <w:color w:val="231F20"/>
                            <w:sz w:val="24"/>
                          </w:rPr>
                          <w:t>since</w:t>
                        </w:r>
                      </w:p>
                    </w:tc>
                  </w:tr>
                  <w:tr>
                    <w:trPr>
                      <w:trHeight w:val="247" w:hRule="atLeast"/>
                    </w:trPr>
                    <w:tc>
                      <w:tcPr>
                        <w:tcW w:w="1209" w:type="dxa"/>
                      </w:tcPr>
                      <w:p>
                        <w:pPr>
                          <w:pStyle w:val="TableParagraph"/>
                          <w:spacing w:line="141" w:lineRule="exact" w:before="86"/>
                          <w:ind w:left="50"/>
                          <w:rPr>
                            <w:b/>
                            <w:sz w:val="14"/>
                          </w:rPr>
                        </w:pPr>
                        <w:r>
                          <w:rPr>
                            <w:b/>
                            <w:color w:val="231F20"/>
                            <w:sz w:val="14"/>
                          </w:rPr>
                          <w:t>GDP growth</w:t>
                        </w:r>
                      </w:p>
                    </w:tc>
                    <w:tc>
                      <w:tcPr>
                        <w:tcW w:w="797" w:type="dxa"/>
                      </w:tcPr>
                      <w:p>
                        <w:pPr>
                          <w:pStyle w:val="TableParagraph"/>
                          <w:rPr>
                            <w:sz w:val="18"/>
                          </w:rPr>
                        </w:pPr>
                      </w:p>
                    </w:tc>
                    <w:tc>
                      <w:tcPr>
                        <w:tcW w:w="490" w:type="dxa"/>
                      </w:tcPr>
                      <w:p>
                        <w:pPr>
                          <w:pStyle w:val="TableParagraph"/>
                          <w:rPr>
                            <w:sz w:val="18"/>
                          </w:rPr>
                        </w:pPr>
                      </w:p>
                    </w:tc>
                    <w:tc>
                      <w:tcPr>
                        <w:tcW w:w="490" w:type="dxa"/>
                      </w:tcPr>
                      <w:p>
                        <w:pPr>
                          <w:pStyle w:val="TableParagraph"/>
                          <w:rPr>
                            <w:sz w:val="18"/>
                          </w:rPr>
                        </w:pPr>
                      </w:p>
                    </w:tc>
                    <w:tc>
                      <w:tcPr>
                        <w:tcW w:w="5391" w:type="dxa"/>
                      </w:tcPr>
                      <w:p>
                        <w:pPr>
                          <w:pStyle w:val="TableParagraph"/>
                          <w:spacing w:line="217" w:lineRule="exact"/>
                          <w:ind w:right="15"/>
                          <w:jc w:val="right"/>
                          <w:rPr>
                            <w:sz w:val="24"/>
                          </w:rPr>
                        </w:pPr>
                        <w:r>
                          <w:rPr>
                            <w:color w:val="231F20"/>
                            <w:sz w:val="24"/>
                          </w:rPr>
                          <w:t>with more weight being placed on lo</w:t>
                        </w:r>
                      </w:p>
                    </w:tc>
                  </w:tr>
                  <w:tr>
                    <w:trPr>
                      <w:trHeight w:val="249" w:hRule="atLeast"/>
                    </w:trPr>
                    <w:tc>
                      <w:tcPr>
                        <w:tcW w:w="8377" w:type="dxa"/>
                        <w:gridSpan w:val="5"/>
                      </w:tcPr>
                      <w:p>
                        <w:pPr>
                          <w:pStyle w:val="TableParagraph"/>
                          <w:tabs>
                            <w:tab w:pos="1600" w:val="left" w:leader="none"/>
                            <w:tab w:pos="4334" w:val="left" w:leader="none"/>
                            <w:tab w:pos="4839" w:val="left" w:leader="none"/>
                          </w:tabs>
                          <w:spacing w:line="230" w:lineRule="exact"/>
                          <w:ind w:left="50" w:right="-15"/>
                          <w:rPr>
                            <w:sz w:val="24"/>
                          </w:rPr>
                        </w:pPr>
                        <w:r>
                          <w:rPr>
                            <w:color w:val="231F20"/>
                            <w:position w:val="1"/>
                            <w:sz w:val="14"/>
                          </w:rPr>
                          <w:t>Probability, per cent</w:t>
                          <w:tab/>
                        </w:r>
                        <w:r>
                          <w:rPr>
                            <w:color w:val="231F20"/>
                            <w:position w:val="1"/>
                            <w:sz w:val="14"/>
                            <w:u w:val="single" w:color="231F20"/>
                          </w:rPr>
                          <w:t>Range:</w:t>
                          <w:tab/>
                        </w:r>
                        <w:r>
                          <w:rPr>
                            <w:color w:val="231F20"/>
                            <w:position w:val="1"/>
                            <w:sz w:val="14"/>
                          </w:rPr>
                          <w:tab/>
                        </w:r>
                        <w:r>
                          <w:rPr>
                            <w:color w:val="231F20"/>
                            <w:sz w:val="24"/>
                          </w:rPr>
                          <w:t>inflation. The average projection</w:t>
                        </w:r>
                        <w:r>
                          <w:rPr>
                            <w:color w:val="231F20"/>
                            <w:spacing w:val="-9"/>
                            <w:sz w:val="24"/>
                          </w:rPr>
                          <w:t> </w:t>
                        </w:r>
                        <w:r>
                          <w:rPr>
                            <w:color w:val="231F20"/>
                            <w:sz w:val="24"/>
                          </w:rPr>
                          <w:t>for</w:t>
                        </w:r>
                      </w:p>
                    </w:tc>
                  </w:tr>
                </w:tbl>
                <w:p>
                  <w:pPr>
                    <w:pStyle w:val="BodyText"/>
                  </w:pPr>
                </w:p>
              </w:txbxContent>
            </v:textbox>
            <w10:wrap type="none"/>
          </v:shape>
        </w:pict>
      </w:r>
      <w:r>
        <w:rPr>
          <w:color w:val="231F20"/>
          <w:sz w:val="14"/>
        </w:rPr>
        <w:t>Probability, per cent</w:t>
        <w:tab/>
      </w:r>
      <w:r>
        <w:rPr>
          <w:color w:val="231F20"/>
          <w:sz w:val="14"/>
          <w:u w:val="single" w:color="231F20"/>
        </w:rPr>
        <w:t>Range:</w:t>
        <w:tab/>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0"/>
        <w:rPr>
          <w:sz w:val="21"/>
        </w:rPr>
      </w:pPr>
    </w:p>
    <w:p>
      <w:pPr>
        <w:tabs>
          <w:tab w:pos="2235" w:val="left" w:leader="none"/>
          <w:tab w:pos="2715" w:val="left" w:leader="none"/>
          <w:tab w:pos="3215" w:val="left" w:leader="none"/>
          <w:tab w:pos="3765" w:val="left" w:leader="none"/>
          <w:tab w:pos="4185" w:val="left" w:leader="none"/>
        </w:tabs>
        <w:spacing w:before="0"/>
        <w:ind w:left="1735" w:right="0" w:firstLine="0"/>
        <w:jc w:val="left"/>
        <w:rPr>
          <w:sz w:val="14"/>
        </w:rPr>
      </w:pPr>
      <w:r>
        <w:rPr/>
        <w:pict>
          <v:shape style="position:absolute;margin-left:115.280403pt;margin-top:.297365pt;width:341.15pt;height:14.8pt;mso-position-horizontal-relative:page;mso-position-vertical-relative:paragraph;z-index:16133632"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0"/>
                    <w:gridCol w:w="463"/>
                    <w:gridCol w:w="490"/>
                    <w:gridCol w:w="525"/>
                    <w:gridCol w:w="485"/>
                    <w:gridCol w:w="1627"/>
                    <w:gridCol w:w="1992"/>
                    <w:gridCol w:w="820"/>
                  </w:tblGrid>
                  <w:tr>
                    <w:trPr>
                      <w:trHeight w:val="98" w:hRule="atLeast"/>
                    </w:trPr>
                    <w:tc>
                      <w:tcPr>
                        <w:tcW w:w="420" w:type="dxa"/>
                      </w:tcPr>
                      <w:p>
                        <w:pPr>
                          <w:pStyle w:val="TableParagraph"/>
                          <w:rPr>
                            <w:sz w:val="4"/>
                          </w:rPr>
                        </w:pPr>
                      </w:p>
                    </w:tc>
                    <w:tc>
                      <w:tcPr>
                        <w:tcW w:w="463" w:type="dxa"/>
                      </w:tcPr>
                      <w:p>
                        <w:pPr>
                          <w:pStyle w:val="TableParagraph"/>
                          <w:rPr>
                            <w:sz w:val="4"/>
                          </w:rPr>
                        </w:pPr>
                      </w:p>
                    </w:tc>
                    <w:tc>
                      <w:tcPr>
                        <w:tcW w:w="490" w:type="dxa"/>
                      </w:tcPr>
                      <w:p>
                        <w:pPr>
                          <w:pStyle w:val="TableParagraph"/>
                          <w:rPr>
                            <w:sz w:val="4"/>
                          </w:rPr>
                        </w:pPr>
                      </w:p>
                    </w:tc>
                    <w:tc>
                      <w:tcPr>
                        <w:tcW w:w="525" w:type="dxa"/>
                      </w:tcPr>
                      <w:p>
                        <w:pPr>
                          <w:pStyle w:val="TableParagraph"/>
                          <w:rPr>
                            <w:sz w:val="4"/>
                          </w:rPr>
                        </w:pPr>
                      </w:p>
                    </w:tc>
                    <w:tc>
                      <w:tcPr>
                        <w:tcW w:w="485" w:type="dxa"/>
                      </w:tcPr>
                      <w:p>
                        <w:pPr>
                          <w:pStyle w:val="TableParagraph"/>
                          <w:rPr>
                            <w:sz w:val="4"/>
                          </w:rPr>
                        </w:pPr>
                      </w:p>
                    </w:tc>
                    <w:tc>
                      <w:tcPr>
                        <w:tcW w:w="1627" w:type="dxa"/>
                      </w:tcPr>
                      <w:p>
                        <w:pPr>
                          <w:pStyle w:val="TableParagraph"/>
                          <w:rPr>
                            <w:sz w:val="4"/>
                          </w:rPr>
                        </w:pPr>
                      </w:p>
                    </w:tc>
                    <w:tc>
                      <w:tcPr>
                        <w:tcW w:w="1992" w:type="dxa"/>
                      </w:tcPr>
                      <w:p>
                        <w:pPr>
                          <w:pStyle w:val="TableParagraph"/>
                          <w:rPr>
                            <w:sz w:val="4"/>
                          </w:rPr>
                        </w:pPr>
                      </w:p>
                    </w:tc>
                    <w:tc>
                      <w:tcPr>
                        <w:tcW w:w="820" w:type="dxa"/>
                      </w:tcPr>
                      <w:p>
                        <w:pPr>
                          <w:pStyle w:val="TableParagraph"/>
                          <w:rPr>
                            <w:sz w:val="4"/>
                          </w:rPr>
                        </w:pPr>
                      </w:p>
                    </w:tc>
                  </w:tr>
                  <w:tr>
                    <w:trPr>
                      <w:trHeight w:val="196" w:hRule="atLeast"/>
                    </w:trPr>
                    <w:tc>
                      <w:tcPr>
                        <w:tcW w:w="420" w:type="dxa"/>
                      </w:tcPr>
                      <w:p>
                        <w:pPr>
                          <w:pStyle w:val="TableParagraph"/>
                          <w:spacing w:line="141" w:lineRule="exact" w:before="36"/>
                          <w:ind w:left="50"/>
                          <w:rPr>
                            <w:sz w:val="14"/>
                          </w:rPr>
                        </w:pPr>
                        <w:r>
                          <w:rPr>
                            <w:color w:val="231F20"/>
                            <w:sz w:val="14"/>
                          </w:rPr>
                          <w:t>than</w:t>
                        </w:r>
                      </w:p>
                    </w:tc>
                    <w:tc>
                      <w:tcPr>
                        <w:tcW w:w="463" w:type="dxa"/>
                      </w:tcPr>
                      <w:p>
                        <w:pPr>
                          <w:pStyle w:val="TableParagraph"/>
                          <w:spacing w:line="141" w:lineRule="exact" w:before="36"/>
                          <w:ind w:left="129"/>
                          <w:rPr>
                            <w:sz w:val="14"/>
                          </w:rPr>
                        </w:pPr>
                        <w:r>
                          <w:rPr>
                            <w:color w:val="231F20"/>
                            <w:sz w:val="14"/>
                          </w:rPr>
                          <w:t>to</w:t>
                        </w:r>
                      </w:p>
                    </w:tc>
                    <w:tc>
                      <w:tcPr>
                        <w:tcW w:w="490" w:type="dxa"/>
                      </w:tcPr>
                      <w:p>
                        <w:pPr>
                          <w:pStyle w:val="TableParagraph"/>
                          <w:spacing w:line="141" w:lineRule="exact" w:before="36"/>
                          <w:ind w:left="146"/>
                          <w:rPr>
                            <w:sz w:val="14"/>
                          </w:rPr>
                        </w:pPr>
                        <w:r>
                          <w:rPr>
                            <w:color w:val="231F20"/>
                            <w:sz w:val="14"/>
                          </w:rPr>
                          <w:t>to</w:t>
                        </w:r>
                      </w:p>
                    </w:tc>
                    <w:tc>
                      <w:tcPr>
                        <w:tcW w:w="525" w:type="dxa"/>
                      </w:tcPr>
                      <w:p>
                        <w:pPr>
                          <w:pStyle w:val="TableParagraph"/>
                          <w:spacing w:line="141" w:lineRule="exact" w:before="36"/>
                          <w:ind w:left="156"/>
                          <w:rPr>
                            <w:sz w:val="14"/>
                          </w:rPr>
                        </w:pPr>
                        <w:r>
                          <w:rPr>
                            <w:color w:val="231F20"/>
                            <w:sz w:val="14"/>
                          </w:rPr>
                          <w:t>to</w:t>
                        </w:r>
                      </w:p>
                    </w:tc>
                    <w:tc>
                      <w:tcPr>
                        <w:tcW w:w="485" w:type="dxa"/>
                      </w:tcPr>
                      <w:p>
                        <w:pPr>
                          <w:pStyle w:val="TableParagraph"/>
                          <w:spacing w:line="141" w:lineRule="exact" w:before="36"/>
                          <w:ind w:left="162" w:right="173"/>
                          <w:jc w:val="center"/>
                          <w:rPr>
                            <w:sz w:val="14"/>
                          </w:rPr>
                        </w:pPr>
                        <w:r>
                          <w:rPr>
                            <w:color w:val="231F20"/>
                            <w:sz w:val="14"/>
                          </w:rPr>
                          <w:t>to</w:t>
                        </w:r>
                      </w:p>
                    </w:tc>
                    <w:tc>
                      <w:tcPr>
                        <w:tcW w:w="1627" w:type="dxa"/>
                      </w:tcPr>
                      <w:p>
                        <w:pPr>
                          <w:pStyle w:val="TableParagraph"/>
                          <w:tabs>
                            <w:tab w:pos="896" w:val="left" w:leader="none"/>
                          </w:tabs>
                          <w:spacing w:line="177" w:lineRule="exact"/>
                          <w:ind w:left="116"/>
                          <w:rPr>
                            <w:sz w:val="24"/>
                          </w:rPr>
                        </w:pPr>
                        <w:r>
                          <w:rPr>
                            <w:color w:val="231F20"/>
                            <w:sz w:val="24"/>
                            <w:vertAlign w:val="subscript"/>
                          </w:rPr>
                          <w:t>than</w:t>
                        </w:r>
                        <w:r>
                          <w:rPr>
                            <w:color w:val="231F20"/>
                            <w:sz w:val="24"/>
                            <w:vertAlign w:val="baseline"/>
                          </w:rPr>
                          <w:tab/>
                          <w:t>year to</w:t>
                        </w:r>
                      </w:p>
                    </w:tc>
                    <w:tc>
                      <w:tcPr>
                        <w:tcW w:w="2812" w:type="dxa"/>
                        <w:gridSpan w:val="2"/>
                      </w:tcPr>
                      <w:p>
                        <w:pPr>
                          <w:pStyle w:val="TableParagraph"/>
                          <w:spacing w:line="177" w:lineRule="exact"/>
                          <w:ind w:left="-11" w:right="-29"/>
                          <w:rPr>
                            <w:sz w:val="24"/>
                          </w:rPr>
                        </w:pPr>
                        <w:r>
                          <w:rPr>
                            <w:color w:val="231F20"/>
                            <w:sz w:val="24"/>
                          </w:rPr>
                          <w:t>1998 Q4 is 1</w:t>
                        </w:r>
                        <w:r>
                          <w:rPr>
                            <w:color w:val="231F20"/>
                            <w:position w:val="8"/>
                            <w:sz w:val="12"/>
                          </w:rPr>
                          <w:t>1</w:t>
                        </w:r>
                        <w:r>
                          <w:rPr>
                            <w:color w:val="231F20"/>
                            <w:sz w:val="24"/>
                          </w:rPr>
                          <w:t>/</w:t>
                        </w:r>
                        <w:r>
                          <w:rPr>
                            <w:color w:val="231F20"/>
                            <w:sz w:val="12"/>
                          </w:rPr>
                          <w:t>2</w:t>
                        </w:r>
                        <w:r>
                          <w:rPr>
                            <w:color w:val="231F20"/>
                            <w:sz w:val="24"/>
                          </w:rPr>
                          <w:t>%, rising to</w:t>
                        </w:r>
                        <w:r>
                          <w:rPr>
                            <w:color w:val="231F20"/>
                            <w:spacing w:val="-3"/>
                            <w:sz w:val="24"/>
                          </w:rPr>
                          <w:t> </w:t>
                        </w:r>
                        <w:r>
                          <w:rPr>
                            <w:color w:val="231F20"/>
                            <w:sz w:val="24"/>
                          </w:rPr>
                          <w:t>1</w:t>
                        </w:r>
                        <w:r>
                          <w:rPr>
                            <w:color w:val="231F20"/>
                            <w:position w:val="8"/>
                            <w:sz w:val="12"/>
                          </w:rPr>
                          <w:t>3</w:t>
                        </w:r>
                        <w:r>
                          <w:rPr>
                            <w:color w:val="231F20"/>
                            <w:sz w:val="24"/>
                          </w:rPr>
                          <w:t>/</w:t>
                        </w:r>
                      </w:p>
                    </w:tc>
                  </w:tr>
                </w:tbl>
                <w:p>
                  <w:pPr>
                    <w:pStyle w:val="BodyText"/>
                  </w:pPr>
                </w:p>
              </w:txbxContent>
            </v:textbox>
            <w10:wrap type="none"/>
          </v:shape>
        </w:pict>
      </w:r>
      <w:r>
        <w:rPr>
          <w:color w:val="231F20"/>
          <w:sz w:val="14"/>
        </w:rPr>
        <w:t>less</w:t>
        <w:tab/>
        <w:t>0%</w:t>
        <w:tab/>
        <w:t>1%</w:t>
        <w:tab/>
        <w:t>2%</w:t>
        <w:tab/>
        <w:t>3%</w:t>
        <w:tab/>
        <w:t>more</w:t>
      </w:r>
    </w:p>
    <w:p>
      <w:pPr>
        <w:pStyle w:val="BodyText"/>
        <w:spacing w:before="10"/>
        <w:rPr>
          <w:sz w:val="10"/>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60"/>
        <w:gridCol w:w="827"/>
        <w:gridCol w:w="485"/>
        <w:gridCol w:w="461"/>
        <w:gridCol w:w="554"/>
        <w:gridCol w:w="456"/>
        <w:gridCol w:w="441"/>
      </w:tblGrid>
      <w:tr>
        <w:trPr>
          <w:trHeight w:val="187" w:hRule="atLeast"/>
        </w:trPr>
        <w:tc>
          <w:tcPr>
            <w:tcW w:w="1160" w:type="dxa"/>
          </w:tcPr>
          <w:p>
            <w:pPr>
              <w:pStyle w:val="TableParagraph"/>
              <w:rPr>
                <w:sz w:val="12"/>
              </w:rPr>
            </w:pPr>
          </w:p>
        </w:tc>
        <w:tc>
          <w:tcPr>
            <w:tcW w:w="827" w:type="dxa"/>
          </w:tcPr>
          <w:p>
            <w:pPr>
              <w:pStyle w:val="TableParagraph"/>
              <w:spacing w:line="155" w:lineRule="exact"/>
              <w:ind w:left="463" w:right="136"/>
              <w:jc w:val="center"/>
              <w:rPr>
                <w:sz w:val="14"/>
              </w:rPr>
            </w:pPr>
            <w:r>
              <w:rPr>
                <w:color w:val="231F20"/>
                <w:sz w:val="14"/>
                <w:u w:val="single" w:color="231F20"/>
              </w:rPr>
              <w:t>0% </w:t>
            </w:r>
          </w:p>
        </w:tc>
        <w:tc>
          <w:tcPr>
            <w:tcW w:w="485" w:type="dxa"/>
          </w:tcPr>
          <w:p>
            <w:pPr>
              <w:pStyle w:val="TableParagraph"/>
              <w:spacing w:line="155" w:lineRule="exact"/>
              <w:ind w:left="123"/>
              <w:rPr>
                <w:sz w:val="14"/>
              </w:rPr>
            </w:pPr>
            <w:r>
              <w:rPr>
                <w:color w:val="231F20"/>
                <w:sz w:val="14"/>
                <w:u w:val="single" w:color="231F20"/>
              </w:rPr>
              <w:t>1% </w:t>
            </w:r>
          </w:p>
        </w:tc>
        <w:tc>
          <w:tcPr>
            <w:tcW w:w="461" w:type="dxa"/>
          </w:tcPr>
          <w:p>
            <w:pPr>
              <w:pStyle w:val="TableParagraph"/>
              <w:spacing w:line="155" w:lineRule="exact"/>
              <w:ind w:left="87" w:right="123"/>
              <w:jc w:val="center"/>
              <w:rPr>
                <w:sz w:val="14"/>
              </w:rPr>
            </w:pPr>
            <w:r>
              <w:rPr>
                <w:color w:val="231F20"/>
                <w:sz w:val="14"/>
                <w:u w:val="single" w:color="231F20"/>
              </w:rPr>
              <w:t>2%</w:t>
            </w:r>
          </w:p>
        </w:tc>
        <w:tc>
          <w:tcPr>
            <w:tcW w:w="554" w:type="dxa"/>
          </w:tcPr>
          <w:p>
            <w:pPr>
              <w:pStyle w:val="TableParagraph"/>
              <w:spacing w:line="155" w:lineRule="exact"/>
              <w:ind w:left="161" w:right="157"/>
              <w:jc w:val="center"/>
              <w:rPr>
                <w:sz w:val="14"/>
              </w:rPr>
            </w:pPr>
            <w:r>
              <w:rPr>
                <w:color w:val="231F20"/>
                <w:sz w:val="14"/>
                <w:u w:val="single" w:color="231F20"/>
              </w:rPr>
              <w:t>3% </w:t>
            </w:r>
          </w:p>
        </w:tc>
        <w:tc>
          <w:tcPr>
            <w:tcW w:w="456" w:type="dxa"/>
          </w:tcPr>
          <w:p>
            <w:pPr>
              <w:pStyle w:val="TableParagraph"/>
              <w:spacing w:line="155" w:lineRule="exact"/>
              <w:ind w:left="133" w:right="96"/>
              <w:jc w:val="center"/>
              <w:rPr>
                <w:sz w:val="14"/>
              </w:rPr>
            </w:pPr>
            <w:r>
              <w:rPr>
                <w:color w:val="231F20"/>
                <w:sz w:val="14"/>
                <w:u w:val="single" w:color="231F20"/>
              </w:rPr>
              <w:t>4%</w:t>
            </w:r>
          </w:p>
        </w:tc>
        <w:tc>
          <w:tcPr>
            <w:tcW w:w="441" w:type="dxa"/>
          </w:tcPr>
          <w:p>
            <w:pPr>
              <w:pStyle w:val="TableParagraph"/>
              <w:spacing w:line="155" w:lineRule="exact"/>
              <w:ind w:left="140" w:right="73"/>
              <w:jc w:val="center"/>
              <w:rPr>
                <w:sz w:val="14"/>
              </w:rPr>
            </w:pPr>
            <w:r>
              <w:rPr>
                <w:color w:val="231F20"/>
                <w:sz w:val="14"/>
                <w:u w:val="single" w:color="231F20"/>
              </w:rPr>
              <w:t>4% </w:t>
            </w:r>
          </w:p>
        </w:tc>
      </w:tr>
      <w:tr>
        <w:trPr>
          <w:trHeight w:val="179" w:hRule="atLeast"/>
        </w:trPr>
        <w:tc>
          <w:tcPr>
            <w:tcW w:w="1160" w:type="dxa"/>
          </w:tcPr>
          <w:p>
            <w:pPr>
              <w:pStyle w:val="TableParagraph"/>
              <w:spacing w:line="133" w:lineRule="exact" w:before="26"/>
              <w:ind w:left="50"/>
              <w:rPr>
                <w:sz w:val="14"/>
              </w:rPr>
            </w:pPr>
            <w:r>
              <w:rPr>
                <w:color w:val="231F20"/>
                <w:sz w:val="14"/>
              </w:rPr>
              <w:t>1998 Q4</w:t>
            </w:r>
          </w:p>
        </w:tc>
        <w:tc>
          <w:tcPr>
            <w:tcW w:w="827" w:type="dxa"/>
          </w:tcPr>
          <w:p>
            <w:pPr>
              <w:pStyle w:val="TableParagraph"/>
              <w:spacing w:line="133" w:lineRule="exact" w:before="26"/>
              <w:ind w:left="323"/>
              <w:jc w:val="center"/>
              <w:rPr>
                <w:sz w:val="14"/>
              </w:rPr>
            </w:pPr>
            <w:r>
              <w:rPr>
                <w:color w:val="231F20"/>
                <w:sz w:val="14"/>
              </w:rPr>
              <w:t>6</w:t>
            </w:r>
          </w:p>
        </w:tc>
        <w:tc>
          <w:tcPr>
            <w:tcW w:w="485" w:type="dxa"/>
          </w:tcPr>
          <w:p>
            <w:pPr>
              <w:pStyle w:val="TableParagraph"/>
              <w:spacing w:line="133" w:lineRule="exact" w:before="26"/>
              <w:ind w:left="143"/>
              <w:rPr>
                <w:sz w:val="14"/>
              </w:rPr>
            </w:pPr>
            <w:r>
              <w:rPr>
                <w:color w:val="231F20"/>
                <w:sz w:val="14"/>
              </w:rPr>
              <w:t>23</w:t>
            </w:r>
          </w:p>
        </w:tc>
        <w:tc>
          <w:tcPr>
            <w:tcW w:w="461" w:type="dxa"/>
          </w:tcPr>
          <w:p>
            <w:pPr>
              <w:pStyle w:val="TableParagraph"/>
              <w:spacing w:line="133" w:lineRule="exact" w:before="26"/>
              <w:ind w:left="99" w:right="102"/>
              <w:jc w:val="center"/>
              <w:rPr>
                <w:sz w:val="14"/>
              </w:rPr>
            </w:pPr>
            <w:r>
              <w:rPr>
                <w:color w:val="231F20"/>
                <w:sz w:val="14"/>
              </w:rPr>
              <w:t>50</w:t>
            </w:r>
          </w:p>
        </w:tc>
        <w:tc>
          <w:tcPr>
            <w:tcW w:w="554" w:type="dxa"/>
          </w:tcPr>
          <w:p>
            <w:pPr>
              <w:pStyle w:val="TableParagraph"/>
              <w:spacing w:line="133" w:lineRule="exact" w:before="26"/>
              <w:ind w:left="165" w:right="106"/>
              <w:jc w:val="center"/>
              <w:rPr>
                <w:sz w:val="14"/>
              </w:rPr>
            </w:pPr>
            <w:r>
              <w:rPr>
                <w:color w:val="231F20"/>
                <w:sz w:val="14"/>
              </w:rPr>
              <w:t>17</w:t>
            </w:r>
          </w:p>
        </w:tc>
        <w:tc>
          <w:tcPr>
            <w:tcW w:w="456" w:type="dxa"/>
          </w:tcPr>
          <w:p>
            <w:pPr>
              <w:pStyle w:val="TableParagraph"/>
              <w:spacing w:line="133" w:lineRule="exact" w:before="26"/>
              <w:ind w:left="119"/>
              <w:jc w:val="center"/>
              <w:rPr>
                <w:sz w:val="14"/>
              </w:rPr>
            </w:pPr>
            <w:r>
              <w:rPr>
                <w:color w:val="231F20"/>
                <w:sz w:val="14"/>
              </w:rPr>
              <w:t>4</w:t>
            </w:r>
          </w:p>
        </w:tc>
        <w:tc>
          <w:tcPr>
            <w:tcW w:w="441" w:type="dxa"/>
          </w:tcPr>
          <w:p>
            <w:pPr>
              <w:pStyle w:val="TableParagraph"/>
              <w:spacing w:line="133" w:lineRule="exact" w:before="26"/>
              <w:ind w:left="142"/>
              <w:jc w:val="center"/>
              <w:rPr>
                <w:sz w:val="14"/>
              </w:rPr>
            </w:pPr>
            <w:r>
              <w:rPr>
                <w:color w:val="231F20"/>
                <w:sz w:val="14"/>
              </w:rPr>
              <w:t>1</w:t>
            </w:r>
          </w:p>
        </w:tc>
      </w:tr>
      <w:tr>
        <w:trPr>
          <w:trHeight w:val="140" w:hRule="atLeast"/>
        </w:trPr>
        <w:tc>
          <w:tcPr>
            <w:tcW w:w="1160" w:type="dxa"/>
          </w:tcPr>
          <w:p>
            <w:pPr>
              <w:pStyle w:val="TableParagraph"/>
              <w:spacing w:line="120" w:lineRule="exact"/>
              <w:ind w:left="50"/>
              <w:rPr>
                <w:sz w:val="14"/>
              </w:rPr>
            </w:pPr>
            <w:r>
              <w:rPr>
                <w:color w:val="231F20"/>
                <w:sz w:val="14"/>
              </w:rPr>
              <w:t>1999 Q4</w:t>
            </w:r>
          </w:p>
        </w:tc>
        <w:tc>
          <w:tcPr>
            <w:tcW w:w="827" w:type="dxa"/>
          </w:tcPr>
          <w:p>
            <w:pPr>
              <w:pStyle w:val="TableParagraph"/>
              <w:spacing w:line="120" w:lineRule="exact"/>
              <w:ind w:left="323"/>
              <w:jc w:val="center"/>
              <w:rPr>
                <w:sz w:val="14"/>
              </w:rPr>
            </w:pPr>
            <w:r>
              <w:rPr>
                <w:color w:val="231F20"/>
                <w:sz w:val="14"/>
              </w:rPr>
              <w:t>9</w:t>
            </w:r>
          </w:p>
        </w:tc>
        <w:tc>
          <w:tcPr>
            <w:tcW w:w="485" w:type="dxa"/>
          </w:tcPr>
          <w:p>
            <w:pPr>
              <w:pStyle w:val="TableParagraph"/>
              <w:spacing w:line="120" w:lineRule="exact"/>
              <w:ind w:left="143"/>
              <w:rPr>
                <w:sz w:val="14"/>
              </w:rPr>
            </w:pPr>
            <w:r>
              <w:rPr>
                <w:color w:val="231F20"/>
                <w:sz w:val="14"/>
              </w:rPr>
              <w:t>21</w:t>
            </w:r>
          </w:p>
        </w:tc>
        <w:tc>
          <w:tcPr>
            <w:tcW w:w="461" w:type="dxa"/>
          </w:tcPr>
          <w:p>
            <w:pPr>
              <w:pStyle w:val="TableParagraph"/>
              <w:spacing w:line="120" w:lineRule="exact"/>
              <w:ind w:left="99" w:right="102"/>
              <w:jc w:val="center"/>
              <w:rPr>
                <w:sz w:val="14"/>
              </w:rPr>
            </w:pPr>
            <w:r>
              <w:rPr>
                <w:color w:val="231F20"/>
                <w:sz w:val="14"/>
              </w:rPr>
              <w:t>39</w:t>
            </w:r>
          </w:p>
        </w:tc>
        <w:tc>
          <w:tcPr>
            <w:tcW w:w="554" w:type="dxa"/>
          </w:tcPr>
          <w:p>
            <w:pPr>
              <w:pStyle w:val="TableParagraph"/>
              <w:spacing w:line="120" w:lineRule="exact"/>
              <w:ind w:left="165" w:right="106"/>
              <w:jc w:val="center"/>
              <w:rPr>
                <w:sz w:val="14"/>
              </w:rPr>
            </w:pPr>
            <w:r>
              <w:rPr>
                <w:color w:val="231F20"/>
                <w:sz w:val="14"/>
              </w:rPr>
              <w:t>23</w:t>
            </w:r>
          </w:p>
        </w:tc>
        <w:tc>
          <w:tcPr>
            <w:tcW w:w="456" w:type="dxa"/>
          </w:tcPr>
          <w:p>
            <w:pPr>
              <w:pStyle w:val="TableParagraph"/>
              <w:spacing w:line="120" w:lineRule="exact"/>
              <w:ind w:left="119"/>
              <w:jc w:val="center"/>
              <w:rPr>
                <w:sz w:val="14"/>
              </w:rPr>
            </w:pPr>
            <w:r>
              <w:rPr>
                <w:color w:val="231F20"/>
                <w:sz w:val="14"/>
              </w:rPr>
              <w:t>7</w:t>
            </w:r>
          </w:p>
        </w:tc>
        <w:tc>
          <w:tcPr>
            <w:tcW w:w="441" w:type="dxa"/>
          </w:tcPr>
          <w:p>
            <w:pPr>
              <w:pStyle w:val="TableParagraph"/>
              <w:spacing w:line="120" w:lineRule="exact"/>
              <w:ind w:left="142"/>
              <w:jc w:val="center"/>
              <w:rPr>
                <w:sz w:val="14"/>
              </w:rPr>
            </w:pPr>
            <w:r>
              <w:rPr>
                <w:color w:val="231F20"/>
                <w:sz w:val="14"/>
              </w:rPr>
              <w:t>2</w:t>
            </w:r>
          </w:p>
        </w:tc>
      </w:tr>
      <w:tr>
        <w:trPr>
          <w:trHeight w:val="147" w:hRule="atLeast"/>
        </w:trPr>
        <w:tc>
          <w:tcPr>
            <w:tcW w:w="1160" w:type="dxa"/>
          </w:tcPr>
          <w:p>
            <w:pPr>
              <w:pStyle w:val="TableParagraph"/>
              <w:spacing w:line="128" w:lineRule="exact"/>
              <w:ind w:left="50"/>
              <w:rPr>
                <w:sz w:val="12"/>
              </w:rPr>
            </w:pPr>
            <w:r>
              <w:rPr>
                <w:color w:val="231F20"/>
                <w:sz w:val="14"/>
              </w:rPr>
              <w:t>2000 Q3 </w:t>
            </w:r>
            <w:r>
              <w:rPr>
                <w:color w:val="231F20"/>
                <w:sz w:val="12"/>
              </w:rPr>
              <w:t>(b)</w:t>
            </w:r>
          </w:p>
        </w:tc>
        <w:tc>
          <w:tcPr>
            <w:tcW w:w="827" w:type="dxa"/>
          </w:tcPr>
          <w:p>
            <w:pPr>
              <w:pStyle w:val="TableParagraph"/>
              <w:spacing w:line="128" w:lineRule="exact"/>
              <w:ind w:left="322"/>
              <w:jc w:val="center"/>
              <w:rPr>
                <w:sz w:val="14"/>
              </w:rPr>
            </w:pPr>
            <w:r>
              <w:rPr>
                <w:color w:val="231F20"/>
                <w:sz w:val="14"/>
              </w:rPr>
              <w:t>6</w:t>
            </w:r>
          </w:p>
        </w:tc>
        <w:tc>
          <w:tcPr>
            <w:tcW w:w="485" w:type="dxa"/>
          </w:tcPr>
          <w:p>
            <w:pPr>
              <w:pStyle w:val="TableParagraph"/>
              <w:spacing w:line="128" w:lineRule="exact"/>
              <w:ind w:left="142"/>
              <w:rPr>
                <w:sz w:val="14"/>
              </w:rPr>
            </w:pPr>
            <w:r>
              <w:rPr>
                <w:color w:val="231F20"/>
                <w:sz w:val="14"/>
              </w:rPr>
              <w:t>13</w:t>
            </w:r>
          </w:p>
        </w:tc>
        <w:tc>
          <w:tcPr>
            <w:tcW w:w="461" w:type="dxa"/>
          </w:tcPr>
          <w:p>
            <w:pPr>
              <w:pStyle w:val="TableParagraph"/>
              <w:spacing w:line="128" w:lineRule="exact"/>
              <w:ind w:left="99" w:right="102"/>
              <w:jc w:val="center"/>
              <w:rPr>
                <w:sz w:val="14"/>
              </w:rPr>
            </w:pPr>
            <w:r>
              <w:rPr>
                <w:color w:val="231F20"/>
                <w:sz w:val="14"/>
              </w:rPr>
              <w:t>29</w:t>
            </w:r>
          </w:p>
        </w:tc>
        <w:tc>
          <w:tcPr>
            <w:tcW w:w="554" w:type="dxa"/>
          </w:tcPr>
          <w:p>
            <w:pPr>
              <w:pStyle w:val="TableParagraph"/>
              <w:spacing w:line="128" w:lineRule="exact"/>
              <w:ind w:left="165" w:right="106"/>
              <w:jc w:val="center"/>
              <w:rPr>
                <w:sz w:val="14"/>
              </w:rPr>
            </w:pPr>
            <w:r>
              <w:rPr>
                <w:color w:val="231F20"/>
                <w:sz w:val="14"/>
              </w:rPr>
              <w:t>35</w:t>
            </w:r>
          </w:p>
        </w:tc>
        <w:tc>
          <w:tcPr>
            <w:tcW w:w="456" w:type="dxa"/>
          </w:tcPr>
          <w:p>
            <w:pPr>
              <w:pStyle w:val="TableParagraph"/>
              <w:spacing w:line="128" w:lineRule="exact"/>
              <w:ind w:left="133" w:right="84"/>
              <w:jc w:val="center"/>
              <w:rPr>
                <w:sz w:val="14"/>
              </w:rPr>
            </w:pPr>
            <w:r>
              <w:rPr>
                <w:color w:val="231F20"/>
                <w:sz w:val="14"/>
              </w:rPr>
              <w:t>13</w:t>
            </w:r>
          </w:p>
        </w:tc>
        <w:tc>
          <w:tcPr>
            <w:tcW w:w="441" w:type="dxa"/>
          </w:tcPr>
          <w:p>
            <w:pPr>
              <w:pStyle w:val="TableParagraph"/>
              <w:spacing w:line="128" w:lineRule="exact"/>
              <w:ind w:left="142"/>
              <w:jc w:val="center"/>
              <w:rPr>
                <w:sz w:val="14"/>
              </w:rPr>
            </w:pPr>
            <w:r>
              <w:rPr>
                <w:color w:val="231F20"/>
                <w:sz w:val="14"/>
              </w:rPr>
              <w:t>4</w:t>
            </w:r>
          </w:p>
        </w:tc>
      </w:tr>
    </w:tbl>
    <w:p>
      <w:pPr>
        <w:pStyle w:val="ListParagraph"/>
        <w:numPr>
          <w:ilvl w:val="0"/>
          <w:numId w:val="40"/>
        </w:numPr>
        <w:tabs>
          <w:tab w:pos="416" w:val="left" w:leader="none"/>
        </w:tabs>
        <w:spacing w:line="208" w:lineRule="auto" w:before="132" w:after="0"/>
        <w:ind w:left="415" w:right="46" w:hanging="240"/>
        <w:jc w:val="left"/>
        <w:rPr>
          <w:sz w:val="12"/>
        </w:rPr>
      </w:pPr>
      <w:r>
        <w:rPr>
          <w:color w:val="231F20"/>
          <w:sz w:val="12"/>
        </w:rPr>
        <w:t>32 other forecasters provided the Bank with their assessment of the likelihood, at three time horizons, of expected twelve-month RPIX inflation and four-quarter output growth falling in the ranges shown above. This table represents the means </w:t>
      </w:r>
      <w:r>
        <w:rPr>
          <w:color w:val="231F20"/>
          <w:spacing w:val="-9"/>
          <w:sz w:val="12"/>
        </w:rPr>
        <w:t>of </w:t>
      </w:r>
      <w:r>
        <w:rPr>
          <w:color w:val="231F20"/>
          <w:sz w:val="12"/>
        </w:rPr>
        <w:t>the responses for each range. For example, on average, forecasters assign a probability of 13% to inflation turning out to be less than 1.5% in 2000 Q3. Rows may not sum to 100 because of rounding.</w:t>
      </w:r>
    </w:p>
    <w:p>
      <w:pPr>
        <w:pStyle w:val="ListParagraph"/>
        <w:numPr>
          <w:ilvl w:val="0"/>
          <w:numId w:val="40"/>
        </w:numPr>
        <w:tabs>
          <w:tab w:pos="416" w:val="left" w:leader="none"/>
        </w:tabs>
        <w:spacing w:line="123" w:lineRule="exact" w:before="0" w:after="0"/>
        <w:ind w:left="415" w:right="0" w:hanging="241"/>
        <w:jc w:val="left"/>
        <w:rPr>
          <w:sz w:val="12"/>
        </w:rPr>
      </w:pPr>
      <w:r>
        <w:rPr>
          <w:color w:val="231F20"/>
          <w:sz w:val="12"/>
        </w:rPr>
        <w:t>30 forecasters.</w:t>
      </w:r>
    </w:p>
    <w:p>
      <w:pPr>
        <w:pStyle w:val="Heading4"/>
        <w:spacing w:line="242" w:lineRule="auto" w:before="4"/>
        <w:ind w:left="175" w:right="142"/>
      </w:pPr>
      <w:r>
        <w:rPr/>
        <w:br w:type="column"/>
      </w:r>
      <w:r>
        <w:rPr>
          <w:color w:val="231F20"/>
        </w:rPr>
        <w:t>the twelve-month rate of RPIX inflation in 2000 Q3, based on information gathered from the 30 forecasters surveyed by the Bank. The median forecast was 2.5% in July, broadly the same as at the time of the April survey, and in line with the inflation target.</w:t>
      </w:r>
    </w:p>
    <w:p>
      <w:pPr>
        <w:pStyle w:val="BodyText"/>
        <w:spacing w:before="4"/>
        <w:rPr>
          <w:sz w:val="28"/>
        </w:rPr>
      </w:pPr>
    </w:p>
    <w:p>
      <w:pPr>
        <w:spacing w:line="242" w:lineRule="auto" w:before="0"/>
        <w:ind w:left="175" w:right="142" w:firstLine="0"/>
        <w:jc w:val="left"/>
        <w:rPr>
          <w:sz w:val="24"/>
        </w:rPr>
      </w:pPr>
      <w:r>
        <w:rPr>
          <w:color w:val="231F20"/>
          <w:sz w:val="24"/>
        </w:rPr>
        <w:t>The forecasters surveyed by the Bank also provided their assessments of the probabilities that they attach to the various possible outcomes for inflation and growth (see Table 6.B). Overall, they assign a 49% probability to</w:t>
      </w:r>
    </w:p>
    <w:p>
      <w:pPr>
        <w:spacing w:line="242" w:lineRule="auto" w:before="5"/>
        <w:ind w:left="3688" w:right="455" w:firstLine="134"/>
        <w:jc w:val="left"/>
        <w:rPr>
          <w:sz w:val="24"/>
        </w:rPr>
      </w:pPr>
      <w:r>
        <w:rPr>
          <w:color w:val="231F20"/>
          <w:sz w:val="24"/>
        </w:rPr>
        <w:t>third quarter of g </w:t>
      </w:r>
      <w:r>
        <w:rPr>
          <w:color w:val="231F20"/>
          <w:spacing w:val="-4"/>
          <w:sz w:val="24"/>
        </w:rPr>
        <w:t>below. </w:t>
      </w:r>
      <w:r>
        <w:rPr>
          <w:color w:val="231F20"/>
          <w:sz w:val="24"/>
        </w:rPr>
        <w:t>These the May </w:t>
      </w:r>
      <w:r>
        <w:rPr>
          <w:i/>
          <w:color w:val="231F20"/>
          <w:sz w:val="24"/>
        </w:rPr>
        <w:t>Report</w:t>
      </w:r>
      <w:r>
        <w:rPr>
          <w:color w:val="231F20"/>
          <w:sz w:val="24"/>
        </w:rPr>
        <w:t>, wer outturns for</w:t>
      </w:r>
    </w:p>
    <w:p>
      <w:pPr>
        <w:spacing w:before="5"/>
        <w:ind w:left="3772" w:right="0" w:firstLine="0"/>
        <w:jc w:val="left"/>
        <w:rPr>
          <w:sz w:val="24"/>
        </w:rPr>
      </w:pPr>
      <w:r>
        <w:rPr>
          <w:color w:val="231F20"/>
          <w:sz w:val="24"/>
        </w:rPr>
        <w:t>GDP growth in the</w:t>
      </w:r>
    </w:p>
    <w:p>
      <w:pPr>
        <w:spacing w:before="4"/>
        <w:ind w:left="3734" w:right="0" w:firstLine="0"/>
        <w:jc w:val="left"/>
        <w:rPr>
          <w:sz w:val="24"/>
        </w:rPr>
      </w:pPr>
      <w:r>
        <w:rPr>
          <w:color w:val="231F20"/>
          <w:sz w:val="12"/>
        </w:rPr>
        <w:t>4</w:t>
      </w:r>
      <w:r>
        <w:rPr>
          <w:color w:val="231F20"/>
          <w:sz w:val="24"/>
        </w:rPr>
        <w:t>% in 1999 Q4.</w:t>
      </w:r>
    </w:p>
    <w:p>
      <w:pPr>
        <w:spacing w:line="242" w:lineRule="auto" w:before="4"/>
        <w:ind w:left="175" w:right="304" w:firstLine="0"/>
        <w:jc w:val="left"/>
        <w:rPr>
          <w:sz w:val="24"/>
        </w:rPr>
      </w:pPr>
      <w:r>
        <w:rPr>
          <w:color w:val="231F20"/>
          <w:sz w:val="24"/>
        </w:rPr>
        <w:t>These estimates are both a quarter of a percentage point lower than in May.</w:t>
      </w:r>
    </w:p>
    <w:p>
      <w:pPr>
        <w:pStyle w:val="BodyText"/>
        <w:spacing w:before="7"/>
        <w:rPr>
          <w:sz w:val="24"/>
        </w:rPr>
      </w:pPr>
    </w:p>
    <w:p>
      <w:pPr>
        <w:spacing w:line="242" w:lineRule="auto" w:before="0"/>
        <w:ind w:left="175" w:right="455" w:firstLine="0"/>
        <w:jc w:val="left"/>
        <w:rPr>
          <w:b/>
          <w:sz w:val="24"/>
        </w:rPr>
      </w:pPr>
      <w:r>
        <w:rPr>
          <w:b/>
          <w:color w:val="231F20"/>
          <w:sz w:val="24"/>
        </w:rPr>
        <w:t>The implications of the latest projections for the stance of monetary policy are discussed in the Overview at the beginning of the </w:t>
      </w:r>
      <w:r>
        <w:rPr>
          <w:b/>
          <w:i/>
          <w:color w:val="231F20"/>
          <w:sz w:val="24"/>
        </w:rPr>
        <w:t>Report</w:t>
      </w:r>
      <w:r>
        <w:rPr>
          <w:b/>
          <w:color w:val="231F20"/>
          <w:sz w:val="24"/>
        </w:rPr>
        <w:t>.</w:t>
      </w:r>
    </w:p>
    <w:p>
      <w:pPr>
        <w:spacing w:after="0" w:line="242" w:lineRule="auto"/>
        <w:jc w:val="left"/>
        <w:rPr>
          <w:sz w:val="24"/>
        </w:rPr>
        <w:sectPr>
          <w:type w:val="continuous"/>
          <w:pgSz w:w="11900" w:h="16840"/>
          <w:pgMar w:top="1220" w:bottom="280" w:left="620" w:right="640"/>
          <w:cols w:num="2" w:equalWidth="0">
            <w:col w:w="4514" w:space="276"/>
            <w:col w:w="5850"/>
          </w:cols>
        </w:sectPr>
      </w:pPr>
    </w:p>
    <w:p>
      <w:pPr>
        <w:spacing w:before="61"/>
        <w:ind w:left="589" w:right="0" w:firstLine="0"/>
        <w:jc w:val="left"/>
        <w:rPr>
          <w:b/>
          <w:sz w:val="28"/>
        </w:rPr>
      </w:pPr>
      <w:bookmarkStart w:name="Glossary and other information" w:id="95"/>
      <w:bookmarkEnd w:id="95"/>
      <w:r>
        <w:rPr/>
      </w:r>
      <w:bookmarkStart w:name="_bookmark41" w:id="96"/>
      <w:bookmarkEnd w:id="96"/>
      <w:r>
        <w:rPr/>
      </w:r>
      <w:r>
        <w:rPr>
          <w:b/>
          <w:color w:val="009483"/>
          <w:sz w:val="28"/>
        </w:rPr>
        <w:t>Glossary and other information</w:t>
      </w:r>
    </w:p>
    <w:p>
      <w:pPr>
        <w:pStyle w:val="BodyText"/>
        <w:spacing w:before="8"/>
        <w:rPr>
          <w:b/>
          <w:sz w:val="25"/>
        </w:rPr>
      </w:pPr>
    </w:p>
    <w:p>
      <w:pPr>
        <w:spacing w:before="0"/>
        <w:ind w:left="589" w:right="0" w:firstLine="0"/>
        <w:jc w:val="left"/>
        <w:rPr>
          <w:b/>
          <w:sz w:val="24"/>
        </w:rPr>
      </w:pPr>
      <w:r>
        <w:rPr>
          <w:b/>
          <w:color w:val="0093C1"/>
          <w:sz w:val="24"/>
        </w:rPr>
        <w:t>Glossary of selected terms</w:t>
      </w:r>
    </w:p>
    <w:p>
      <w:pPr>
        <w:spacing w:before="122"/>
        <w:ind w:left="589" w:right="0" w:firstLine="0"/>
        <w:jc w:val="left"/>
        <w:rPr>
          <w:sz w:val="20"/>
        </w:rPr>
      </w:pPr>
      <w:r>
        <w:rPr>
          <w:b/>
          <w:color w:val="231F20"/>
          <w:sz w:val="20"/>
        </w:rPr>
        <w:t>RPI inflation</w:t>
      </w:r>
      <w:r>
        <w:rPr>
          <w:color w:val="231F20"/>
          <w:sz w:val="20"/>
        </w:rPr>
        <w:t>: inflation measured by the retail price index.</w:t>
      </w:r>
    </w:p>
    <w:p>
      <w:pPr>
        <w:pStyle w:val="Heading9"/>
      </w:pPr>
      <w:r>
        <w:rPr>
          <w:b/>
          <w:color w:val="231F20"/>
        </w:rPr>
        <w:t>RPIX inflation</w:t>
      </w:r>
      <w:r>
        <w:rPr>
          <w:color w:val="231F20"/>
        </w:rPr>
        <w:t>: inflation measured by the RPI excluding mortgage interest payments.</w:t>
      </w:r>
    </w:p>
    <w:p>
      <w:pPr>
        <w:spacing w:line="249" w:lineRule="auto" w:before="10"/>
        <w:ind w:left="809" w:right="0" w:hanging="220"/>
        <w:jc w:val="left"/>
        <w:rPr>
          <w:sz w:val="20"/>
        </w:rPr>
      </w:pPr>
      <w:r>
        <w:rPr>
          <w:b/>
          <w:color w:val="231F20"/>
          <w:sz w:val="20"/>
        </w:rPr>
        <w:t>RPIY inflation</w:t>
      </w:r>
      <w:r>
        <w:rPr>
          <w:color w:val="231F20"/>
          <w:sz w:val="20"/>
        </w:rPr>
        <w:t>: inflation measured by the RPI excluding mortgage interest payments and the following indirect taxes: council tax, VAT, duties, car purchase tax and vehicle excise duty, insurance tax and airport tax.</w:t>
      </w:r>
    </w:p>
    <w:p>
      <w:pPr>
        <w:spacing w:line="249" w:lineRule="auto" w:before="1"/>
        <w:ind w:left="589" w:right="247" w:firstLine="0"/>
        <w:jc w:val="left"/>
        <w:rPr>
          <w:sz w:val="20"/>
        </w:rPr>
      </w:pPr>
      <w:r>
        <w:rPr>
          <w:b/>
          <w:color w:val="231F20"/>
          <w:sz w:val="20"/>
        </w:rPr>
        <w:t>HARP index</w:t>
      </w:r>
      <w:r>
        <w:rPr>
          <w:color w:val="231F20"/>
          <w:sz w:val="20"/>
        </w:rPr>
        <w:t>: a price index that replaces the mortgage interest payments component of the RPI with a Bank estimate of the user-cost of housing.</w:t>
      </w:r>
    </w:p>
    <w:p>
      <w:pPr>
        <w:spacing w:before="2"/>
        <w:ind w:left="589" w:right="0" w:firstLine="0"/>
        <w:jc w:val="left"/>
        <w:rPr>
          <w:sz w:val="20"/>
        </w:rPr>
      </w:pPr>
      <w:r>
        <w:rPr>
          <w:b/>
          <w:color w:val="231F20"/>
          <w:sz w:val="20"/>
        </w:rPr>
        <w:t>THARP index</w:t>
      </w:r>
      <w:r>
        <w:rPr>
          <w:color w:val="231F20"/>
          <w:sz w:val="20"/>
        </w:rPr>
        <w:t>: the HARP index excluding indirect taxes.</w:t>
      </w:r>
    </w:p>
    <w:p>
      <w:pPr>
        <w:pStyle w:val="Heading9"/>
      </w:pPr>
      <w:r>
        <w:rPr>
          <w:b/>
          <w:color w:val="231F20"/>
        </w:rPr>
        <w:t>M0</w:t>
      </w:r>
      <w:r>
        <w:rPr>
          <w:color w:val="231F20"/>
        </w:rPr>
        <w:t>: notes and coin in circulation outside the Bank of England and bankers’ operational deposits at the Bank.</w:t>
      </w:r>
    </w:p>
    <w:p>
      <w:pPr>
        <w:spacing w:line="249" w:lineRule="auto" w:before="10"/>
        <w:ind w:left="809" w:right="224" w:hanging="220"/>
        <w:jc w:val="left"/>
        <w:rPr>
          <w:sz w:val="20"/>
        </w:rPr>
      </w:pPr>
      <w:r>
        <w:rPr>
          <w:b/>
          <w:color w:val="231F20"/>
          <w:sz w:val="20"/>
        </w:rPr>
        <w:t>M4</w:t>
      </w:r>
      <w:r>
        <w:rPr>
          <w:color w:val="231F20"/>
          <w:sz w:val="20"/>
        </w:rPr>
        <w:t>: UK non-bank, non building society private sector’s holdings of notes and coin, together with all sterling deposits (including certificates of deposit) held at UK banks and building societies by the non-bank, non building society private sector.</w:t>
      </w:r>
    </w:p>
    <w:p>
      <w:pPr>
        <w:spacing w:line="249" w:lineRule="auto" w:before="3"/>
        <w:ind w:left="809" w:right="221" w:hanging="220"/>
        <w:jc w:val="left"/>
        <w:rPr>
          <w:sz w:val="20"/>
        </w:rPr>
      </w:pPr>
      <w:r>
        <w:rPr>
          <w:b/>
          <w:color w:val="231F20"/>
          <w:sz w:val="20"/>
        </w:rPr>
        <w:t>Divisia money</w:t>
      </w:r>
      <w:r>
        <w:rPr>
          <w:color w:val="231F20"/>
          <w:sz w:val="20"/>
        </w:rPr>
        <w:t>: a measure of the money stock in which each component is weighted according to an estimate of its likely use for transactions.</w:t>
      </w:r>
    </w:p>
    <w:p>
      <w:pPr>
        <w:spacing w:line="249" w:lineRule="auto" w:before="141"/>
        <w:ind w:left="589" w:right="6872" w:firstLine="0"/>
        <w:jc w:val="left"/>
        <w:rPr>
          <w:sz w:val="20"/>
        </w:rPr>
      </w:pPr>
      <w:r>
        <w:rPr>
          <w:b/>
          <w:color w:val="231F20"/>
          <w:sz w:val="20"/>
        </w:rPr>
        <w:t>ACT: </w:t>
      </w:r>
      <w:r>
        <w:rPr>
          <w:color w:val="231F20"/>
          <w:sz w:val="20"/>
        </w:rPr>
        <w:t>Advance Corporation Tax. </w:t>
      </w:r>
      <w:r>
        <w:rPr>
          <w:b/>
          <w:color w:val="231F20"/>
          <w:sz w:val="20"/>
        </w:rPr>
        <w:t>BCC: </w:t>
      </w:r>
      <w:r>
        <w:rPr>
          <w:color w:val="231F20"/>
          <w:sz w:val="20"/>
        </w:rPr>
        <w:t>British Chambers of Commerce. </w:t>
      </w:r>
      <w:r>
        <w:rPr>
          <w:b/>
          <w:color w:val="231F20"/>
          <w:sz w:val="20"/>
        </w:rPr>
        <w:t>BRC: </w:t>
      </w:r>
      <w:r>
        <w:rPr>
          <w:color w:val="231F20"/>
          <w:sz w:val="20"/>
        </w:rPr>
        <w:t>British Retail</w:t>
      </w:r>
      <w:r>
        <w:rPr>
          <w:color w:val="231F20"/>
          <w:spacing w:val="-1"/>
          <w:sz w:val="20"/>
        </w:rPr>
        <w:t> </w:t>
      </w:r>
      <w:r>
        <w:rPr>
          <w:color w:val="231F20"/>
          <w:sz w:val="20"/>
        </w:rPr>
        <w:t>Consortium.</w:t>
      </w:r>
    </w:p>
    <w:p>
      <w:pPr>
        <w:spacing w:before="3"/>
        <w:ind w:left="589" w:right="0" w:firstLine="0"/>
        <w:jc w:val="left"/>
        <w:rPr>
          <w:sz w:val="20"/>
        </w:rPr>
      </w:pPr>
      <w:r>
        <w:rPr>
          <w:b/>
          <w:color w:val="231F20"/>
          <w:sz w:val="20"/>
        </w:rPr>
        <w:t>CBI: </w:t>
      </w:r>
      <w:r>
        <w:rPr>
          <w:color w:val="231F20"/>
          <w:sz w:val="20"/>
        </w:rPr>
        <w:t>Confederation of British Industry.</w:t>
      </w:r>
    </w:p>
    <w:p>
      <w:pPr>
        <w:spacing w:before="10"/>
        <w:ind w:left="589" w:right="0" w:firstLine="0"/>
        <w:jc w:val="left"/>
        <w:rPr>
          <w:sz w:val="20"/>
        </w:rPr>
      </w:pPr>
      <w:r>
        <w:rPr>
          <w:b/>
          <w:color w:val="231F20"/>
          <w:sz w:val="20"/>
        </w:rPr>
        <w:t>C</w:t>
      </w:r>
      <w:r>
        <w:rPr>
          <w:b/>
          <w:color w:val="231F20"/>
          <w:sz w:val="16"/>
        </w:rPr>
        <w:t>IPS</w:t>
      </w:r>
      <w:r>
        <w:rPr>
          <w:b/>
          <w:color w:val="231F20"/>
          <w:sz w:val="20"/>
        </w:rPr>
        <w:t>: </w:t>
      </w:r>
      <w:r>
        <w:rPr>
          <w:color w:val="231F20"/>
          <w:sz w:val="20"/>
        </w:rPr>
        <w:t>Chartered Institute of Purchasing and Supply.</w:t>
      </w:r>
    </w:p>
    <w:p>
      <w:pPr>
        <w:spacing w:before="10"/>
        <w:ind w:left="589" w:right="0" w:firstLine="0"/>
        <w:jc w:val="left"/>
        <w:rPr>
          <w:sz w:val="20"/>
        </w:rPr>
      </w:pPr>
      <w:r>
        <w:rPr>
          <w:b/>
          <w:color w:val="231F20"/>
          <w:sz w:val="20"/>
        </w:rPr>
        <w:t>CSR: </w:t>
      </w:r>
      <w:r>
        <w:rPr>
          <w:color w:val="231F20"/>
          <w:sz w:val="20"/>
        </w:rPr>
        <w:t>Comprehensive Spending Review.</w:t>
      </w:r>
    </w:p>
    <w:p>
      <w:pPr>
        <w:spacing w:before="10"/>
        <w:ind w:left="589" w:right="0" w:firstLine="0"/>
        <w:jc w:val="left"/>
        <w:rPr>
          <w:sz w:val="20"/>
        </w:rPr>
      </w:pPr>
      <w:r>
        <w:rPr>
          <w:b/>
          <w:color w:val="231F20"/>
          <w:sz w:val="20"/>
        </w:rPr>
        <w:t>D</w:t>
      </w:r>
      <w:r>
        <w:rPr>
          <w:b/>
          <w:color w:val="231F20"/>
          <w:sz w:val="16"/>
        </w:rPr>
        <w:t>ETR</w:t>
      </w:r>
      <w:r>
        <w:rPr>
          <w:b/>
          <w:color w:val="231F20"/>
          <w:sz w:val="20"/>
        </w:rPr>
        <w:t>: </w:t>
      </w:r>
      <w:r>
        <w:rPr>
          <w:color w:val="231F20"/>
          <w:sz w:val="20"/>
        </w:rPr>
        <w:t>Department of the Environment, Transport and the Regions.</w:t>
      </w:r>
    </w:p>
    <w:p>
      <w:pPr>
        <w:spacing w:before="10"/>
        <w:ind w:left="589" w:right="0" w:firstLine="0"/>
        <w:jc w:val="left"/>
        <w:rPr>
          <w:sz w:val="20"/>
        </w:rPr>
      </w:pPr>
      <w:r>
        <w:rPr>
          <w:b/>
          <w:color w:val="231F20"/>
          <w:sz w:val="20"/>
        </w:rPr>
        <w:t>ECB</w:t>
      </w:r>
      <w:r>
        <w:rPr>
          <w:color w:val="231F20"/>
          <w:sz w:val="20"/>
        </w:rPr>
        <w:t>: European Central Bank.</w:t>
      </w:r>
    </w:p>
    <w:p>
      <w:pPr>
        <w:spacing w:before="10"/>
        <w:ind w:left="589" w:right="0" w:firstLine="0"/>
        <w:jc w:val="left"/>
        <w:rPr>
          <w:sz w:val="20"/>
        </w:rPr>
      </w:pPr>
      <w:r>
        <w:rPr>
          <w:b/>
          <w:color w:val="231F20"/>
          <w:sz w:val="20"/>
        </w:rPr>
        <w:t>E</w:t>
      </w:r>
      <w:r>
        <w:rPr>
          <w:b/>
          <w:color w:val="231F20"/>
          <w:sz w:val="16"/>
        </w:rPr>
        <w:t>FSR</w:t>
      </w:r>
      <w:r>
        <w:rPr>
          <w:b/>
          <w:color w:val="231F20"/>
          <w:sz w:val="20"/>
        </w:rPr>
        <w:t>: </w:t>
      </w:r>
      <w:r>
        <w:rPr>
          <w:color w:val="231F20"/>
          <w:sz w:val="20"/>
        </w:rPr>
        <w:t>Economic and Fiscal Strategy Report.</w:t>
      </w:r>
    </w:p>
    <w:p>
      <w:pPr>
        <w:spacing w:before="10"/>
        <w:ind w:left="589" w:right="0" w:firstLine="0"/>
        <w:jc w:val="left"/>
        <w:rPr>
          <w:sz w:val="20"/>
        </w:rPr>
      </w:pPr>
      <w:r>
        <w:rPr>
          <w:b/>
          <w:color w:val="231F20"/>
          <w:sz w:val="20"/>
        </w:rPr>
        <w:t>EMU: </w:t>
      </w:r>
      <w:r>
        <w:rPr>
          <w:color w:val="231F20"/>
          <w:sz w:val="20"/>
        </w:rPr>
        <w:t>Economic and Monetary Union.</w:t>
      </w:r>
    </w:p>
    <w:p>
      <w:pPr>
        <w:spacing w:before="10"/>
        <w:ind w:left="589" w:right="0" w:firstLine="0"/>
        <w:jc w:val="left"/>
        <w:rPr>
          <w:sz w:val="20"/>
        </w:rPr>
      </w:pPr>
      <w:r>
        <w:rPr>
          <w:b/>
          <w:color w:val="231F20"/>
          <w:sz w:val="20"/>
        </w:rPr>
        <w:t>ERI: </w:t>
      </w:r>
      <w:r>
        <w:rPr>
          <w:color w:val="231F20"/>
          <w:sz w:val="20"/>
        </w:rPr>
        <w:t>exchange rate index.</w:t>
      </w:r>
    </w:p>
    <w:p>
      <w:pPr>
        <w:spacing w:before="10"/>
        <w:ind w:left="589" w:right="0" w:firstLine="0"/>
        <w:jc w:val="left"/>
        <w:rPr>
          <w:sz w:val="20"/>
        </w:rPr>
      </w:pPr>
      <w:r>
        <w:rPr>
          <w:b/>
          <w:color w:val="231F20"/>
          <w:sz w:val="20"/>
        </w:rPr>
        <w:t>ERM: </w:t>
      </w:r>
      <w:r>
        <w:rPr>
          <w:color w:val="231F20"/>
          <w:sz w:val="20"/>
        </w:rPr>
        <w:t>Exchange Rate Mechanism.</w:t>
      </w:r>
    </w:p>
    <w:p>
      <w:pPr>
        <w:spacing w:before="10"/>
        <w:ind w:left="589" w:right="0" w:firstLine="0"/>
        <w:jc w:val="left"/>
        <w:rPr>
          <w:sz w:val="20"/>
        </w:rPr>
      </w:pPr>
      <w:r>
        <w:rPr>
          <w:b/>
          <w:color w:val="231F20"/>
          <w:sz w:val="20"/>
        </w:rPr>
        <w:t>ESA: </w:t>
      </w:r>
      <w:r>
        <w:rPr>
          <w:color w:val="231F20"/>
          <w:sz w:val="20"/>
        </w:rPr>
        <w:t>European System of Accounts.</w:t>
      </w:r>
    </w:p>
    <w:p>
      <w:pPr>
        <w:spacing w:before="10"/>
        <w:ind w:left="589" w:right="0" w:firstLine="0"/>
        <w:jc w:val="left"/>
        <w:rPr>
          <w:sz w:val="20"/>
        </w:rPr>
      </w:pPr>
      <w:r>
        <w:rPr>
          <w:b/>
          <w:color w:val="231F20"/>
          <w:sz w:val="20"/>
        </w:rPr>
        <w:t>F</w:t>
      </w:r>
      <w:r>
        <w:rPr>
          <w:b/>
          <w:color w:val="231F20"/>
          <w:sz w:val="16"/>
        </w:rPr>
        <w:t>T-SE: </w:t>
      </w:r>
      <w:r>
        <w:rPr>
          <w:color w:val="231F20"/>
          <w:sz w:val="20"/>
        </w:rPr>
        <w:t>Financial Times Stock Exchange.</w:t>
      </w:r>
    </w:p>
    <w:p>
      <w:pPr>
        <w:spacing w:before="10"/>
        <w:ind w:left="589" w:right="0" w:firstLine="0"/>
        <w:jc w:val="left"/>
        <w:rPr>
          <w:sz w:val="20"/>
        </w:rPr>
      </w:pPr>
      <w:r>
        <w:rPr>
          <w:b/>
          <w:color w:val="231F20"/>
          <w:sz w:val="20"/>
        </w:rPr>
        <w:t>GFK: </w:t>
      </w:r>
      <w:r>
        <w:rPr>
          <w:color w:val="231F20"/>
          <w:sz w:val="20"/>
        </w:rPr>
        <w:t>Gesellschaft Für Konsum, Great Britain Ltd.</w:t>
      </w:r>
    </w:p>
    <w:p>
      <w:pPr>
        <w:spacing w:line="249" w:lineRule="auto" w:before="10"/>
        <w:ind w:left="589" w:right="6393" w:firstLine="0"/>
        <w:jc w:val="both"/>
        <w:rPr>
          <w:sz w:val="20"/>
        </w:rPr>
      </w:pPr>
      <w:r>
        <w:rPr>
          <w:b/>
          <w:color w:val="231F20"/>
          <w:sz w:val="20"/>
        </w:rPr>
        <w:t>ICCs: </w:t>
      </w:r>
      <w:r>
        <w:rPr>
          <w:color w:val="231F20"/>
          <w:sz w:val="20"/>
        </w:rPr>
        <w:t>industrial and commercial companies. </w:t>
      </w:r>
      <w:r>
        <w:rPr>
          <w:b/>
          <w:color w:val="231F20"/>
          <w:sz w:val="20"/>
        </w:rPr>
        <w:t>I</w:t>
      </w:r>
      <w:r>
        <w:rPr>
          <w:b/>
          <w:color w:val="231F20"/>
          <w:sz w:val="16"/>
        </w:rPr>
        <w:t>DBR</w:t>
      </w:r>
      <w:r>
        <w:rPr>
          <w:b/>
          <w:color w:val="231F20"/>
          <w:sz w:val="20"/>
        </w:rPr>
        <w:t>: </w:t>
      </w:r>
      <w:r>
        <w:rPr>
          <w:color w:val="231F20"/>
          <w:sz w:val="20"/>
        </w:rPr>
        <w:t>Inter-Departmental Business Register. </w:t>
      </w:r>
      <w:r>
        <w:rPr>
          <w:b/>
          <w:color w:val="231F20"/>
          <w:sz w:val="20"/>
        </w:rPr>
        <w:t>IMF: </w:t>
      </w:r>
      <w:r>
        <w:rPr>
          <w:color w:val="231F20"/>
          <w:sz w:val="20"/>
        </w:rPr>
        <w:t>International Monetary Fund.</w:t>
      </w:r>
    </w:p>
    <w:p>
      <w:pPr>
        <w:spacing w:before="2"/>
        <w:ind w:left="589" w:right="0" w:firstLine="0"/>
        <w:jc w:val="left"/>
        <w:rPr>
          <w:sz w:val="20"/>
        </w:rPr>
      </w:pPr>
      <w:r>
        <w:rPr>
          <w:b/>
          <w:color w:val="231F20"/>
          <w:sz w:val="20"/>
        </w:rPr>
        <w:t>H</w:t>
      </w:r>
      <w:r>
        <w:rPr>
          <w:b/>
          <w:color w:val="231F20"/>
          <w:sz w:val="16"/>
        </w:rPr>
        <w:t>ICP</w:t>
      </w:r>
      <w:r>
        <w:rPr>
          <w:b/>
          <w:color w:val="231F20"/>
          <w:sz w:val="20"/>
        </w:rPr>
        <w:t>: </w:t>
      </w:r>
      <w:r>
        <w:rPr>
          <w:color w:val="231F20"/>
          <w:sz w:val="20"/>
        </w:rPr>
        <w:t>Harmonised Index of Consumer Prices.</w:t>
      </w:r>
    </w:p>
    <w:p>
      <w:pPr>
        <w:spacing w:before="10"/>
        <w:ind w:left="589" w:right="0" w:firstLine="0"/>
        <w:jc w:val="left"/>
        <w:rPr>
          <w:sz w:val="20"/>
        </w:rPr>
      </w:pPr>
      <w:r>
        <w:rPr>
          <w:b/>
          <w:color w:val="231F20"/>
          <w:sz w:val="20"/>
        </w:rPr>
        <w:t>L</w:t>
      </w:r>
      <w:r>
        <w:rPr>
          <w:b/>
          <w:color w:val="231F20"/>
          <w:sz w:val="16"/>
        </w:rPr>
        <w:t>APF</w:t>
      </w:r>
      <w:r>
        <w:rPr>
          <w:b/>
          <w:color w:val="231F20"/>
          <w:sz w:val="20"/>
        </w:rPr>
        <w:t>: </w:t>
      </w:r>
      <w:r>
        <w:rPr>
          <w:color w:val="231F20"/>
          <w:sz w:val="20"/>
        </w:rPr>
        <w:t>life assurance and pension funds.</w:t>
      </w:r>
    </w:p>
    <w:p>
      <w:pPr>
        <w:spacing w:before="10"/>
        <w:ind w:left="589" w:right="0" w:firstLine="0"/>
        <w:jc w:val="left"/>
        <w:rPr>
          <w:sz w:val="20"/>
        </w:rPr>
      </w:pPr>
      <w:r>
        <w:rPr>
          <w:b/>
          <w:color w:val="231F20"/>
          <w:sz w:val="20"/>
        </w:rPr>
        <w:t>LFS: </w:t>
      </w:r>
      <w:r>
        <w:rPr>
          <w:color w:val="231F20"/>
          <w:sz w:val="20"/>
        </w:rPr>
        <w:t>Labour Force Survey.</w:t>
      </w:r>
    </w:p>
    <w:p>
      <w:pPr>
        <w:spacing w:before="10"/>
        <w:ind w:left="589" w:right="0" w:firstLine="0"/>
        <w:jc w:val="left"/>
        <w:rPr>
          <w:sz w:val="20"/>
        </w:rPr>
      </w:pPr>
      <w:r>
        <w:rPr>
          <w:b/>
          <w:color w:val="231F20"/>
          <w:sz w:val="20"/>
        </w:rPr>
        <w:t>M</w:t>
      </w:r>
      <w:r>
        <w:rPr>
          <w:b/>
          <w:color w:val="231F20"/>
          <w:sz w:val="16"/>
        </w:rPr>
        <w:t>ORI</w:t>
      </w:r>
      <w:r>
        <w:rPr>
          <w:b/>
          <w:color w:val="231F20"/>
          <w:sz w:val="20"/>
        </w:rPr>
        <w:t>: </w:t>
      </w:r>
      <w:r>
        <w:rPr>
          <w:color w:val="231F20"/>
          <w:sz w:val="20"/>
        </w:rPr>
        <w:t>Market Opinion Research International.</w:t>
      </w:r>
    </w:p>
    <w:p>
      <w:pPr>
        <w:spacing w:line="249" w:lineRule="auto" w:before="10"/>
        <w:ind w:left="589" w:right="6893" w:firstLine="0"/>
        <w:jc w:val="left"/>
        <w:rPr>
          <w:sz w:val="20"/>
        </w:rPr>
      </w:pPr>
      <w:r>
        <w:rPr>
          <w:b/>
          <w:color w:val="231F20"/>
          <w:sz w:val="20"/>
        </w:rPr>
        <w:t>MPC: </w:t>
      </w:r>
      <w:r>
        <w:rPr>
          <w:color w:val="231F20"/>
          <w:sz w:val="20"/>
        </w:rPr>
        <w:t>Monetary Policy Committee. </w:t>
      </w:r>
      <w:r>
        <w:rPr>
          <w:b/>
          <w:color w:val="231F20"/>
          <w:sz w:val="20"/>
        </w:rPr>
        <w:t>OFIs: </w:t>
      </w:r>
      <w:r>
        <w:rPr>
          <w:color w:val="231F20"/>
          <w:sz w:val="20"/>
        </w:rPr>
        <w:t>other financial institutions. </w:t>
      </w:r>
      <w:r>
        <w:rPr>
          <w:b/>
          <w:color w:val="231F20"/>
          <w:sz w:val="20"/>
        </w:rPr>
        <w:t>ONS: </w:t>
      </w:r>
      <w:r>
        <w:rPr>
          <w:color w:val="231F20"/>
          <w:sz w:val="20"/>
        </w:rPr>
        <w:t>Office for National Statistics.</w:t>
      </w:r>
    </w:p>
    <w:p>
      <w:pPr>
        <w:spacing w:before="3"/>
        <w:ind w:left="589" w:right="0" w:firstLine="0"/>
        <w:jc w:val="left"/>
        <w:rPr>
          <w:sz w:val="20"/>
        </w:rPr>
      </w:pPr>
      <w:r>
        <w:rPr>
          <w:b/>
          <w:color w:val="231F20"/>
          <w:sz w:val="20"/>
        </w:rPr>
        <w:t>O</w:t>
      </w:r>
      <w:r>
        <w:rPr>
          <w:b/>
          <w:color w:val="231F20"/>
          <w:sz w:val="16"/>
        </w:rPr>
        <w:t>PEC</w:t>
      </w:r>
      <w:r>
        <w:rPr>
          <w:b/>
          <w:color w:val="231F20"/>
          <w:sz w:val="20"/>
        </w:rPr>
        <w:t>: </w:t>
      </w:r>
      <w:r>
        <w:rPr>
          <w:color w:val="231F20"/>
          <w:sz w:val="20"/>
        </w:rPr>
        <w:t>Organisation of Petroleum Exporting Countries.</w:t>
      </w:r>
    </w:p>
    <w:p>
      <w:pPr>
        <w:spacing w:before="10"/>
        <w:ind w:left="589" w:right="0" w:firstLine="0"/>
        <w:jc w:val="left"/>
        <w:rPr>
          <w:sz w:val="20"/>
        </w:rPr>
      </w:pPr>
      <w:r>
        <w:rPr>
          <w:b/>
          <w:color w:val="231F20"/>
          <w:sz w:val="20"/>
        </w:rPr>
        <w:t>PPI: </w:t>
      </w:r>
      <w:r>
        <w:rPr>
          <w:color w:val="231F20"/>
          <w:sz w:val="20"/>
        </w:rPr>
        <w:t>Producer Price Index.</w:t>
      </w:r>
    </w:p>
    <w:p>
      <w:pPr>
        <w:spacing w:before="10"/>
        <w:ind w:left="589" w:right="0" w:firstLine="0"/>
        <w:jc w:val="left"/>
        <w:rPr>
          <w:sz w:val="20"/>
        </w:rPr>
      </w:pPr>
      <w:r>
        <w:rPr>
          <w:b/>
          <w:color w:val="231F20"/>
          <w:sz w:val="20"/>
        </w:rPr>
        <w:t>PPIY: </w:t>
      </w:r>
      <w:r>
        <w:rPr>
          <w:color w:val="231F20"/>
          <w:sz w:val="20"/>
        </w:rPr>
        <w:t>Producer Price Index excluding excise duties.</w:t>
      </w:r>
    </w:p>
    <w:p>
      <w:pPr>
        <w:spacing w:before="10"/>
        <w:ind w:left="589" w:right="0" w:firstLine="0"/>
        <w:jc w:val="left"/>
        <w:rPr>
          <w:sz w:val="20"/>
        </w:rPr>
      </w:pPr>
      <w:r>
        <w:rPr>
          <w:b/>
          <w:color w:val="231F20"/>
          <w:sz w:val="20"/>
        </w:rPr>
        <w:t>PRP: </w:t>
      </w:r>
      <w:r>
        <w:rPr>
          <w:color w:val="231F20"/>
          <w:sz w:val="20"/>
        </w:rPr>
        <w:t>Profit-related pay.</w:t>
      </w:r>
    </w:p>
    <w:p>
      <w:pPr>
        <w:pStyle w:val="Heading9"/>
      </w:pPr>
      <w:r>
        <w:rPr>
          <w:b/>
          <w:color w:val="231F20"/>
        </w:rPr>
        <w:t>R</w:t>
      </w:r>
      <w:r>
        <w:rPr>
          <w:b/>
          <w:color w:val="231F20"/>
          <w:sz w:val="16"/>
        </w:rPr>
        <w:t>ICS</w:t>
      </w:r>
      <w:r>
        <w:rPr>
          <w:b/>
          <w:color w:val="231F20"/>
        </w:rPr>
        <w:t>: </w:t>
      </w:r>
      <w:r>
        <w:rPr>
          <w:color w:val="231F20"/>
        </w:rPr>
        <w:t>Royal Institute of Chartered Surveyors.</w:t>
      </w:r>
    </w:p>
    <w:p>
      <w:pPr>
        <w:spacing w:before="150"/>
        <w:ind w:left="589" w:right="0" w:firstLine="0"/>
        <w:jc w:val="left"/>
        <w:rPr>
          <w:sz w:val="20"/>
        </w:rPr>
      </w:pPr>
      <w:r>
        <w:rPr>
          <w:b/>
          <w:color w:val="231F20"/>
          <w:sz w:val="20"/>
        </w:rPr>
        <w:t>Three-month annualised</w:t>
      </w:r>
      <w:r>
        <w:rPr>
          <w:color w:val="231F20"/>
          <w:sz w:val="20"/>
        </w:rPr>
        <w:t>: the percentage change in a series over three months, expressed as an annual rate.</w:t>
      </w:r>
    </w:p>
    <w:p>
      <w:pPr>
        <w:spacing w:before="153"/>
        <w:ind w:left="589" w:right="0" w:firstLine="0"/>
        <w:jc w:val="left"/>
        <w:rPr>
          <w:b/>
          <w:sz w:val="24"/>
        </w:rPr>
      </w:pPr>
      <w:r>
        <w:rPr>
          <w:b/>
          <w:color w:val="0093C1"/>
          <w:sz w:val="24"/>
        </w:rPr>
        <w:t>Symbols and conventions</w:t>
      </w:r>
    </w:p>
    <w:p>
      <w:pPr>
        <w:pStyle w:val="Heading9"/>
        <w:spacing w:line="249" w:lineRule="auto" w:before="81"/>
        <w:ind w:right="200"/>
      </w:pPr>
      <w:r>
        <w:rPr>
          <w:color w:val="231F20"/>
        </w:rPr>
        <w:t>Except where otherwise stated, the source of the data used in charts and tables is the Office for National Statistics (ONS). The measures of inflation included in this </w:t>
      </w:r>
      <w:r>
        <w:rPr>
          <w:i/>
          <w:color w:val="231F20"/>
        </w:rPr>
        <w:t>Report </w:t>
      </w:r>
      <w:r>
        <w:rPr>
          <w:color w:val="231F20"/>
        </w:rPr>
        <w:t>have been adjusted by the Bank for an ONS error in under-recording RPI and RPIX inflation between February and May 1995.</w:t>
      </w:r>
    </w:p>
    <w:p>
      <w:pPr>
        <w:spacing w:before="3"/>
        <w:ind w:left="589" w:right="0" w:firstLine="0"/>
        <w:jc w:val="left"/>
        <w:rPr>
          <w:sz w:val="20"/>
        </w:rPr>
      </w:pPr>
      <w:r>
        <w:rPr>
          <w:color w:val="231F20"/>
          <w:sz w:val="20"/>
        </w:rPr>
        <w:t>n.a. = not available.</w:t>
      </w:r>
    </w:p>
    <w:p>
      <w:pPr>
        <w:spacing w:before="10"/>
        <w:ind w:left="589" w:right="0" w:firstLine="0"/>
        <w:jc w:val="left"/>
        <w:rPr>
          <w:sz w:val="20"/>
        </w:rPr>
      </w:pPr>
      <w:r>
        <w:rPr>
          <w:color w:val="231F20"/>
          <w:sz w:val="20"/>
        </w:rPr>
        <w:t>Because of rounding, the sum of the separate items may sometimes differ from the total shown.</w:t>
      </w:r>
    </w:p>
    <w:p>
      <w:pPr>
        <w:spacing w:line="249" w:lineRule="auto" w:before="10"/>
        <w:ind w:left="589" w:right="2039" w:firstLine="0"/>
        <w:jc w:val="left"/>
        <w:rPr>
          <w:sz w:val="20"/>
        </w:rPr>
      </w:pPr>
      <w:r>
        <w:rPr>
          <w:color w:val="231F20"/>
          <w:sz w:val="20"/>
        </w:rPr>
        <w:t>On the horizontal axes of graphs, larger ticks denote the first observation within the relevant period, eg data for the first quarter of the year.</w:t>
      </w:r>
    </w:p>
    <w:p>
      <w:pPr>
        <w:spacing w:before="64"/>
        <w:ind w:left="589" w:right="0" w:firstLine="0"/>
        <w:jc w:val="left"/>
        <w:rPr>
          <w:b/>
          <w:sz w:val="24"/>
        </w:rPr>
      </w:pPr>
      <w:r>
        <w:rPr>
          <w:b/>
          <w:color w:val="0093C1"/>
          <w:sz w:val="24"/>
        </w:rPr>
        <w:t>Other information</w:t>
      </w:r>
    </w:p>
    <w:p>
      <w:pPr>
        <w:spacing w:before="101"/>
        <w:ind w:left="589" w:right="0" w:firstLine="0"/>
        <w:jc w:val="left"/>
        <w:rPr>
          <w:sz w:val="20"/>
        </w:rPr>
      </w:pPr>
      <w:hyperlink r:id="rId101">
        <w:r>
          <w:rPr>
            <w:color w:val="231F20"/>
            <w:sz w:val="20"/>
          </w:rPr>
          <w:t>email: mapublications@bankofengland.co.uk</w:t>
        </w:r>
      </w:hyperlink>
    </w:p>
    <w:p>
      <w:pPr>
        <w:spacing w:before="10"/>
        <w:ind w:left="589" w:right="0" w:firstLine="0"/>
        <w:jc w:val="left"/>
        <w:rPr>
          <w:sz w:val="20"/>
        </w:rPr>
      </w:pPr>
      <w:r>
        <w:rPr>
          <w:color w:val="231F20"/>
          <w:sz w:val="20"/>
        </w:rPr>
        <w:t>This </w:t>
      </w:r>
      <w:r>
        <w:rPr>
          <w:i/>
          <w:color w:val="231F20"/>
          <w:sz w:val="20"/>
        </w:rPr>
        <w:t>Report </w:t>
      </w:r>
      <w:hyperlink r:id="rId102">
        <w:r>
          <w:rPr>
            <w:color w:val="231F20"/>
            <w:sz w:val="20"/>
          </w:rPr>
          <w:t>is available at: http://www.bankofengland.co.uk/</w:t>
        </w:r>
      </w:hyperlink>
    </w:p>
    <w:p>
      <w:pPr>
        <w:spacing w:after="0"/>
        <w:jc w:val="left"/>
        <w:rPr>
          <w:sz w:val="20"/>
        </w:rPr>
        <w:sectPr>
          <w:headerReference w:type="even" r:id="rId99"/>
          <w:footerReference w:type="even" r:id="rId100"/>
          <w:pgSz w:w="11900" w:h="16840"/>
          <w:pgMar w:header="0" w:footer="0" w:top="800" w:bottom="280" w:left="620" w:right="640"/>
        </w:sectPr>
      </w:pPr>
    </w:p>
    <w:p>
      <w:pPr>
        <w:pStyle w:val="BodyText"/>
        <w:rPr>
          <w:sz w:val="20"/>
        </w:rPr>
      </w:pPr>
      <w:r>
        <w:rPr/>
        <w:pict>
          <v:group style="position:absolute;margin-left:39pt;margin-top:39.669998pt;width:517pt;height:740.35pt;mso-position-horizontal-relative:page;mso-position-vertical-relative:page;z-index:-20793856" coordorigin="780,793" coordsize="10340,14807">
            <v:shape style="position:absolute;left:940;top:953;width:10020;height:14487" coordorigin="940,953" coordsize="10020,14487" path="m10960,953l5964,953,5936,953,940,953,940,8168,940,8226,940,15440,5936,15440,5964,15440,10960,15440,10960,8225,10960,8168,10960,953xe" filled="true" fillcolor="#c3e0dc" stroked="false">
              <v:path arrowok="t"/>
              <v:fill type="solid"/>
            </v:shape>
            <v:shape style="position:absolute;left:1016;top:1073;width:9867;height:14248" coordorigin="1017,1073" coordsize="9867,14248" path="m5950,1073l1017,8197,5950,15320,10883,8197,5950,1073xe" filled="true" fillcolor="#c4e1dd" stroked="false">
              <v:path arrowok="t"/>
              <v:fill type="solid"/>
            </v:shape>
            <v:shape style="position:absolute;left:1113;top:1212;width:9673;height:13968" coordorigin="1113,1213" coordsize="9673,13968" path="m5950,1213l1113,8197,5950,15180,10786,8197,5950,1213xe" filled="true" fillcolor="#c5e1dd" stroked="false">
              <v:path arrowok="t"/>
              <v:fill type="solid"/>
            </v:shape>
            <v:shape style="position:absolute;left:1210;top:1352;width:9480;height:13689" coordorigin="1210,1352" coordsize="9480,13689" path="m5950,1352l1210,8197,5950,15041,10690,8197,5950,1352xe" filled="true" fillcolor="#c6e2de" stroked="false">
              <v:path arrowok="t"/>
              <v:fill type="solid"/>
            </v:shape>
            <v:shape style="position:absolute;left:1306;top:1492;width:9286;height:13410" coordorigin="1307,1492" coordsize="9286,13410" path="m5950,1492l1307,8197,5950,14901,10593,8197,5950,1492xe" filled="true" fillcolor="#c7e2df" stroked="false">
              <v:path arrowok="t"/>
              <v:fill type="solid"/>
            </v:shape>
            <v:shape style="position:absolute;left:1403;top:1631;width:9093;height:13130" coordorigin="1404,1632" coordsize="9093,13130" path="m5950,1632l1404,8197,5950,14761,10496,8197,5950,1632xe" filled="true" fillcolor="#c8e3df" stroked="false">
              <v:path arrowok="t"/>
              <v:fill type="solid"/>
            </v:shape>
            <v:shape style="position:absolute;left:1500;top:1771;width:8900;height:12851" coordorigin="1500,1771" coordsize="8900,12851" path="m5950,1771l1500,8197,5950,14622,10399,8197,5950,1771xe" filled="true" fillcolor="#c9e3e0" stroked="false">
              <v:path arrowok="t"/>
              <v:fill type="solid"/>
            </v:shape>
            <v:shape style="position:absolute;left:1597;top:1911;width:8706;height:12571" coordorigin="1597,1911" coordsize="8706,12571" path="m5950,1911l1597,8197,5950,14482,10303,8197,5950,1911xe" filled="true" fillcolor="#cae4e0" stroked="false">
              <v:path arrowok="t"/>
              <v:fill type="solid"/>
            </v:shape>
            <v:shape style="position:absolute;left:1693;top:2050;width:8513;height:12292" coordorigin="1694,2051" coordsize="8513,12292" path="m5950,2051l1694,8197,5950,14342,10206,8197,5950,2051xe" filled="true" fillcolor="#cbe4e1" stroked="false">
              <v:path arrowok="t"/>
              <v:fill type="solid"/>
            </v:shape>
            <v:shape style="position:absolute;left:1790;top:2190;width:8319;height:12013" coordorigin="1791,2191" coordsize="8319,12013" path="m5950,2191l1791,8197,5950,14203,10109,8197,5950,2191xe" filled="true" fillcolor="#cce5e1" stroked="false">
              <v:path arrowok="t"/>
              <v:fill type="solid"/>
            </v:shape>
            <v:shape style="position:absolute;left:1887;top:2330;width:8126;height:11733" coordorigin="1887,2330" coordsize="8126,11733" path="m5950,2330l1887,8197,5950,14063,10012,8197,5950,2330xe" filled="true" fillcolor="#cde5e2" stroked="false">
              <v:path arrowok="t"/>
              <v:fill type="solid"/>
            </v:shape>
            <v:shape style="position:absolute;left:1984;top:2469;width:7932;height:11454" coordorigin="1984,2470" coordsize="7932,11454" path="m5950,2470l1984,8197,5950,13923,9916,8197,5950,2470xe" filled="true" fillcolor="#cee6e3" stroked="false">
              <v:path arrowok="t"/>
              <v:fill type="solid"/>
            </v:shape>
            <v:shape style="position:absolute;left:2080;top:2609;width:7739;height:11175" coordorigin="2081,2610" coordsize="7739,11175" path="m5950,2610l2081,8197,5950,13784,9819,8197,5950,2610xe" filled="true" fillcolor="#cfe6e3" stroked="false">
              <v:path arrowok="t"/>
              <v:fill type="solid"/>
            </v:shape>
            <v:shape style="position:absolute;left:2177;top:2749;width:7545;height:10895" coordorigin="2177,2749" coordsize="7545,10895" path="m5950,2749l2177,8197,5950,13644,9722,8197,5950,2749xe" filled="true" fillcolor="#d0e7e4" stroked="false">
              <v:path arrowok="t"/>
              <v:fill type="solid"/>
            </v:shape>
            <v:shape style="position:absolute;left:2274;top:2888;width:7352;height:10616" coordorigin="2274,2889" coordsize="7352,10616" path="m5950,2889l2274,8197,5950,13504,9626,8197,5950,2889xe" filled="true" fillcolor="#d1e7e4" stroked="false">
              <v:path arrowok="t"/>
              <v:fill type="solid"/>
            </v:shape>
            <v:shape style="position:absolute;left:2370;top:3028;width:7158;height:10337" coordorigin="2371,3029" coordsize="7158,10337" path="m5950,3029l2371,8197,5950,13365,9529,8197,5950,3029xe" filled="true" fillcolor="#d3e8e5" stroked="false">
              <v:path arrowok="t"/>
              <v:fill type="solid"/>
            </v:shape>
            <v:shape style="position:absolute;left:2467;top:3168;width:6965;height:10057" coordorigin="2468,3168" coordsize="6965,10057" path="m5950,3168l2468,8197,5950,13225,9432,8197,5950,3168xe" filled="true" fillcolor="#d4e8e5" stroked="false">
              <v:path arrowok="t"/>
              <v:fill type="solid"/>
            </v:shape>
            <v:shape style="position:absolute;left:2564;top:3307;width:6771;height:9778" coordorigin="2564,3308" coordsize="6771,9778" path="m5950,3308l2564,8197,5950,13085,9335,8197,5950,3308xe" filled="true" fillcolor="#d5e9e6" stroked="false">
              <v:path arrowok="t"/>
              <v:fill type="solid"/>
            </v:shape>
            <v:shape style="position:absolute;left:2661;top:3447;width:6578;height:9499" coordorigin="2661,3448" coordsize="6578,9499" path="m5950,3448l2661,8197,5950,12946,9239,8197,5950,3448xe" filled="true" fillcolor="#d6eae7" stroked="false">
              <v:path arrowok="t"/>
              <v:fill type="solid"/>
            </v:shape>
            <v:shape style="position:absolute;left:2757;top:3587;width:6385;height:9219" coordorigin="2758,3587" coordsize="6385,9219" path="m5950,3587l2758,8197,5950,12806,9142,8197,5950,3587xe" filled="true" fillcolor="#d7eae7" stroked="false">
              <v:path arrowok="t"/>
              <v:fill type="solid"/>
            </v:shape>
            <v:shape style="position:absolute;left:2854;top:3726;width:6191;height:8940" coordorigin="2855,3727" coordsize="6191,8940" path="m5950,3727l2855,8197,5950,12666,9045,8197,5950,3727xe" filled="true" fillcolor="#d8ebe8" stroked="false">
              <v:path arrowok="t"/>
              <v:fill type="solid"/>
            </v:shape>
            <v:shape style="position:absolute;left:2951;top:3866;width:5998;height:8660" coordorigin="2951,3867" coordsize="5998,8660" path="m5950,3867l2951,8197,5950,12527,8948,8197,5950,3867xe" filled="true" fillcolor="#d9ebe8" stroked="false">
              <v:path arrowok="t"/>
              <v:fill type="solid"/>
            </v:shape>
            <v:shape style="position:absolute;left:3048;top:4006;width:5804;height:8381" coordorigin="3048,4006" coordsize="5804,8381" path="m5950,4006l3048,8197,5950,12387,8852,8197,5950,4006xe" filled="true" fillcolor="#daece9" stroked="false">
              <v:path arrowok="t"/>
              <v:fill type="solid"/>
            </v:shape>
            <v:shape style="position:absolute;left:3144;top:4145;width:5611;height:8102" coordorigin="3145,4146" coordsize="5611,8102" path="m5950,4146l3145,8197,5950,12247,8755,8197,5950,4146xe" filled="true" fillcolor="#dbece9" stroked="false">
              <v:path arrowok="t"/>
              <v:fill type="solid"/>
            </v:shape>
            <v:shape style="position:absolute;left:3241;top:4285;width:5417;height:7822" coordorigin="3241,4286" coordsize="5417,7822" path="m5950,4286l3241,8197,5950,12108,8658,8197,5950,4286xe" filled="true" fillcolor="#dcedea" stroked="false">
              <v:path arrowok="t"/>
              <v:fill type="solid"/>
            </v:shape>
            <v:shape style="position:absolute;left:3338;top:4425;width:5224;height:7543" coordorigin="3338,4425" coordsize="5224,7543" path="m5950,4425l3338,8197,5950,11968,8562,8197,5950,4425xe" filled="true" fillcolor="#ddedeb" stroked="false">
              <v:path arrowok="t"/>
              <v:fill type="solid"/>
            </v:shape>
            <v:shape style="position:absolute;left:3434;top:4565;width:5030;height:7264" coordorigin="3435,4565" coordsize="5030,7264" path="m5950,4565l3435,8197,5950,11828,8465,8197,5950,4565xe" filled="true" fillcolor="#deeeeb" stroked="false">
              <v:path arrowok="t"/>
              <v:fill type="solid"/>
            </v:shape>
            <v:shape style="position:absolute;left:3531;top:4704;width:4837;height:6984" coordorigin="3532,4705" coordsize="4837,6984" path="m5950,4705l3532,8197,5950,11689,8368,8197,5950,4705xe" filled="true" fillcolor="#e0efec" stroked="false">
              <v:path arrowok="t"/>
              <v:fill type="solid"/>
            </v:shape>
            <v:shape style="position:absolute;left:3628;top:4844;width:4643;height:6705" coordorigin="3628,4844" coordsize="4643,6705" path="m5950,4844l3628,8197,5950,11549,8271,8197,5950,4844xe" filled="true" fillcolor="#e1efec" stroked="false">
              <v:path arrowok="t"/>
              <v:fill type="solid"/>
            </v:shape>
            <v:shape style="position:absolute;left:3725;top:4984;width:4450;height:6426" coordorigin="3725,4984" coordsize="4450,6426" path="m5950,4984l3725,8197,5950,11409,8175,8197,5950,4984xe" filled="true" fillcolor="#e2f0ed" stroked="false">
              <v:path arrowok="t"/>
              <v:fill type="solid"/>
            </v:shape>
            <v:shape style="position:absolute;left:3821;top:5123;width:4257;height:6146" coordorigin="3822,5124" coordsize="4257,6146" path="m5950,5124l3822,8197,5950,11270,8078,8197,5950,5124xe" filled="true" fillcolor="#e3f0ee" stroked="false">
              <v:path arrowok="t"/>
              <v:fill type="solid"/>
            </v:shape>
            <v:shape style="position:absolute;left:3918;top:5263;width:4063;height:5867" coordorigin="3919,5263" coordsize="4063,5867" path="m5950,5263l3919,8197,5950,11130,7981,8197,5950,5263xe" filled="true" fillcolor="#e4f1ee" stroked="false">
              <v:path arrowok="t"/>
              <v:fill type="solid"/>
            </v:shape>
            <v:shape style="position:absolute;left:4015;top:5403;width:3870;height:5588" coordorigin="4015,5403" coordsize="3870,5588" path="m5950,5403l4015,8197,5950,10990,7884,8197,5950,5403xe" filled="true" fillcolor="#e5f1ef" stroked="false">
              <v:path arrowok="t"/>
              <v:fill type="solid"/>
            </v:shape>
            <v:shape style="position:absolute;left:4112;top:5542;width:3676;height:5308" coordorigin="4112,5543" coordsize="3676,5308" path="m5950,5543l4112,8197,5950,10851,7788,8197,5950,5543xe" filled="true" fillcolor="#e6f2ef" stroked="false">
              <v:path arrowok="t"/>
              <v:fill type="solid"/>
            </v:shape>
            <v:shape style="position:absolute;left:4208;top:5682;width:3483;height:5029" coordorigin="4209,5682" coordsize="3483,5029" path="m5950,5682l4209,8197,5950,10711,7691,8197,5950,5682xe" filled="true" fillcolor="#e7f3f0" stroked="false">
              <v:path arrowok="t"/>
              <v:fill type="solid"/>
            </v:shape>
            <v:shape style="position:absolute;left:4305;top:5822;width:3289;height:4750" coordorigin="4305,5822" coordsize="3289,4750" path="m5950,5822l4305,8197,5950,10571,7594,8197,5950,5822xe" filled="true" fillcolor="#e9f3f1" stroked="false">
              <v:path arrowok="t"/>
              <v:fill type="solid"/>
            </v:shape>
            <v:shape style="position:absolute;left:4402;top:5961;width:3096;height:4470" coordorigin="4402,5962" coordsize="3096,4470" path="m5950,5962l4402,8197,5950,10431,7498,8197,5950,5962xe" filled="true" fillcolor="#eaf4f2" stroked="false">
              <v:path arrowok="t"/>
              <v:fill type="solid"/>
            </v:shape>
            <v:shape style="position:absolute;left:4498;top:6101;width:2902;height:4191" coordorigin="4499,6101" coordsize="2902,4191" path="m5950,6101l4499,8197,5950,10292,7401,8197,5950,6101xe" filled="true" fillcolor="#ebf4f2" stroked="false">
              <v:path arrowok="t"/>
              <v:fill type="solid"/>
            </v:shape>
            <v:shape style="position:absolute;left:4595;top:6241;width:2709;height:3911" coordorigin="4596,6241" coordsize="2709,3911" path="m5950,6241l4596,8197,5950,10152,7304,8197,5950,6241xe" filled="true" fillcolor="#ecf5f3" stroked="false">
              <v:path arrowok="t"/>
              <v:fill type="solid"/>
            </v:shape>
            <v:shape style="position:absolute;left:4692;top:6380;width:2515;height:3632" coordorigin="4692,6381" coordsize="2515,3632" path="m5950,6381l4692,8197,5950,10012,7207,8197,5950,6381xe" filled="true" fillcolor="#edf6f4" stroked="false">
              <v:path arrowok="t"/>
              <v:fill type="solid"/>
            </v:shape>
            <v:shape style="position:absolute;left:4789;top:6520;width:2322;height:3353" coordorigin="4789,6521" coordsize="2322,3353" path="m5950,6521l4789,8197,5950,9873,7111,8197,5950,6521xe" filled="true" fillcolor="#eff7f5" stroked="false">
              <v:path arrowok="t"/>
              <v:fill type="solid"/>
            </v:shape>
            <v:shape style="position:absolute;left:4885;top:6660;width:2129;height:3073" coordorigin="4886,6660" coordsize="2129,3073" path="m5950,6660l4886,8197,5950,9733,7014,8197,5950,6660xe" filled="true" fillcolor="#f0f7f5" stroked="false">
              <v:path arrowok="t"/>
              <v:fill type="solid"/>
            </v:shape>
            <v:shape style="position:absolute;left:4982;top:6799;width:1935;height:2794" coordorigin="4983,6800" coordsize="1935,2794" path="m5950,6800l4983,8197,5950,9593,6917,8197,5950,6800xe" filled="true" fillcolor="#f1f8f6" stroked="false">
              <v:path arrowok="t"/>
              <v:fill type="solid"/>
            </v:shape>
            <v:shape style="position:absolute;left:5079;top:6939;width:1742;height:2515" coordorigin="5079,6940" coordsize="1742,2515" path="m5950,6940l5079,8197,5950,9454,6820,8197,5950,6940xe" filled="true" fillcolor="#f2f8f7" stroked="false">
              <v:path arrowok="t"/>
              <v:fill type="solid"/>
            </v:shape>
            <v:shape style="position:absolute;left:5176;top:7079;width:1548;height:2235" coordorigin="5176,7079" coordsize="1548,2235" path="m5950,7079l5176,8197,5950,9314,6724,8197,5950,7079xe" filled="true" fillcolor="#f3f9f8" stroked="false">
              <v:path arrowok="t"/>
              <v:fill type="solid"/>
            </v:shape>
            <v:shape style="position:absolute;left:5272;top:7218;width:1355;height:1956" coordorigin="5273,7219" coordsize="1355,1956" path="m5950,7219l5273,8197,5950,9174,6627,8197,5950,7219xe" filled="true" fillcolor="#f5f9f8" stroked="false">
              <v:path arrowok="t"/>
              <v:fill type="solid"/>
            </v:shape>
            <v:shape style="position:absolute;left:5369;top:7358;width:1161;height:1677" coordorigin="5370,7359" coordsize="1161,1677" path="m5950,7359l5370,8197,5950,9035,6530,8197,5950,7359xe" filled="true" fillcolor="#f6faf9" stroked="false">
              <v:path arrowok="t"/>
              <v:fill type="solid"/>
            </v:shape>
            <v:shape style="position:absolute;left:5466;top:7498;width:968;height:1397" coordorigin="5466,7498" coordsize="968,1397" path="m5950,7498l5466,8197,5950,8895,6434,8197,5950,7498xe" filled="true" fillcolor="#f8fbfa" stroked="false">
              <v:path arrowok="t"/>
              <v:fill type="solid"/>
            </v:shape>
            <v:shape style="position:absolute;left:5562;top:7637;width:774;height:1118" coordorigin="5563,7638" coordsize="774,1118" path="m5950,7638l5563,8197,5950,8755,6337,8197,5950,7638xe" filled="true" fillcolor="#f9fcfc" stroked="false">
              <v:path arrowok="t"/>
              <v:fill type="solid"/>
            </v:shape>
            <v:shape style="position:absolute;left:5659;top:7777;width:581;height:839" coordorigin="5660,7778" coordsize="581,839" path="m5950,7778l5660,8197,5950,8616,6240,8197,5950,7778xe" filled="true" fillcolor="#fbfdfd" stroked="false">
              <v:path arrowok="t"/>
              <v:fill type="solid"/>
            </v:shape>
            <v:shape style="position:absolute;left:5756;top:7917;width:387;height:559" coordorigin="5756,7917" coordsize="387,559" path="m5950,7917l5756,8197,5950,8476,6143,8197,5950,7917xe" filled="true" fillcolor="#fdfefe" stroked="false">
              <v:path arrowok="t"/>
              <v:fill type="solid"/>
            </v:shape>
            <v:shape style="position:absolute;left:5853;top:8056;width:194;height:280" coordorigin="5853,8057" coordsize="194,280" path="m5950,8057l5853,8197,5950,8336,6047,8197,5950,8057xe" filled="true" fillcolor="#ffffff" stroked="false">
              <v:path arrowok="t"/>
              <v:fill type="solid"/>
            </v:shape>
            <v:rect style="position:absolute;left:820;top:833;width:10260;height:14727" filled="false" stroked="true" strokeweight="4pt" strokecolor="#009483">
              <v:stroke dashstyle="solid"/>
            </v:rect>
            <v:rect style="position:absolute;left:926;top:939;width:10048;height:14515" filled="false" stroked="true" strokeweight="1.37pt" strokecolor="#009483">
              <v:stroke dashstyle="solid"/>
            </v:rect>
            <v:rect style="position:absolute;left:1533;top:1473;width:8840;height:13460" filled="false" stroked="true" strokeweight="2pt" strokecolor="#009483">
              <v:stroke dashstyle="solid"/>
            </v:rect>
            <v:rect style="position:absolute;left:1587;top:1527;width:8733;height:13353" filled="false" stroked="true" strokeweight=".62pt" strokecolor="#009483">
              <v:stroke dashstyle="solid"/>
            </v:rect>
            <v:shape style="position:absolute;left:3078;top:7233;width:5863;height:5887" type="#_x0000_t75" stroked="false">
              <v:imagedata r:id="rId106" o:title=""/>
            </v:shape>
            <w10:wrap type="none"/>
          </v:group>
        </w:pict>
      </w:r>
    </w:p>
    <w:p>
      <w:pPr>
        <w:pStyle w:val="BodyText"/>
        <w:rPr>
          <w:sz w:val="20"/>
        </w:rPr>
      </w:pPr>
    </w:p>
    <w:p>
      <w:pPr>
        <w:pStyle w:val="BodyText"/>
        <w:rPr>
          <w:sz w:val="20"/>
        </w:rPr>
      </w:pPr>
    </w:p>
    <w:p>
      <w:pPr>
        <w:pStyle w:val="BodyText"/>
        <w:rPr>
          <w:sz w:val="20"/>
        </w:rPr>
      </w:pPr>
    </w:p>
    <w:p>
      <w:pPr>
        <w:pStyle w:val="BodyText"/>
        <w:rPr>
          <w:sz w:val="20"/>
        </w:rPr>
      </w:pPr>
    </w:p>
    <w:p>
      <w:pPr>
        <w:spacing w:line="665" w:lineRule="exact" w:before="212"/>
        <w:ind w:left="1294" w:right="1161" w:firstLine="0"/>
        <w:jc w:val="center"/>
        <w:rPr>
          <w:b/>
          <w:sz w:val="60"/>
        </w:rPr>
      </w:pPr>
      <w:bookmarkStart w:name="Monetary Policy Committee meeting minute" w:id="97"/>
      <w:bookmarkEnd w:id="97"/>
      <w:r>
        <w:rPr/>
      </w:r>
      <w:bookmarkStart w:name="_bookmark42" w:id="98"/>
      <w:bookmarkEnd w:id="98"/>
      <w:r>
        <w:rPr/>
      </w:r>
      <w:bookmarkStart w:name="_bookmark43" w:id="99"/>
      <w:bookmarkEnd w:id="99"/>
      <w:r>
        <w:rPr/>
      </w:r>
      <w:r>
        <w:rPr>
          <w:b/>
          <w:color w:val="231F20"/>
          <w:sz w:val="60"/>
        </w:rPr>
        <w:t>Annex:</w:t>
      </w:r>
    </w:p>
    <w:p>
      <w:pPr>
        <w:spacing w:line="223" w:lineRule="auto" w:before="15"/>
        <w:ind w:left="1995" w:right="1858" w:firstLine="0"/>
        <w:jc w:val="center"/>
        <w:rPr>
          <w:b/>
          <w:sz w:val="60"/>
        </w:rPr>
      </w:pPr>
      <w:r>
        <w:rPr>
          <w:b/>
          <w:color w:val="231F20"/>
          <w:sz w:val="60"/>
        </w:rPr>
        <w:t>Minutes and Press Notices of the monthly</w:t>
      </w:r>
    </w:p>
    <w:p>
      <w:pPr>
        <w:spacing w:line="223" w:lineRule="auto" w:before="0"/>
        <w:ind w:left="1294" w:right="1158" w:firstLine="0"/>
        <w:jc w:val="center"/>
        <w:rPr>
          <w:b/>
          <w:sz w:val="60"/>
        </w:rPr>
      </w:pPr>
      <w:r>
        <w:rPr>
          <w:b/>
          <w:color w:val="231F20"/>
          <w:sz w:val="60"/>
        </w:rPr>
        <w:t>Monetary Policy Committee meetings</w:t>
      </w:r>
    </w:p>
    <w:p>
      <w:pPr>
        <w:spacing w:after="0" w:line="223" w:lineRule="auto"/>
        <w:jc w:val="center"/>
        <w:rPr>
          <w:sz w:val="60"/>
        </w:rPr>
        <w:sectPr>
          <w:headerReference w:type="default" r:id="rId103"/>
          <w:footerReference w:type="default" r:id="rId104"/>
          <w:footerReference w:type="even" r:id="rId105"/>
          <w:pgSz w:w="11900" w:h="16840"/>
          <w:pgMar w:header="0" w:footer="597" w:top="800" w:bottom="780" w:left="620" w:right="640"/>
          <w:pgNumType w:start="55"/>
        </w:sectPr>
      </w:pPr>
    </w:p>
    <w:p>
      <w:pPr>
        <w:pStyle w:val="BodyText"/>
        <w:rPr>
          <w:b/>
          <w:sz w:val="20"/>
        </w:rPr>
      </w:pPr>
    </w:p>
    <w:p>
      <w:pPr>
        <w:pStyle w:val="BodyText"/>
        <w:rPr>
          <w:b/>
          <w:sz w:val="20"/>
        </w:rPr>
      </w:pPr>
    </w:p>
    <w:p>
      <w:pPr>
        <w:pStyle w:val="BodyText"/>
        <w:spacing w:before="2"/>
        <w:rPr>
          <w:b/>
          <w:sz w:val="20"/>
        </w:rPr>
      </w:pPr>
    </w:p>
    <w:p>
      <w:pPr>
        <w:spacing w:before="86"/>
        <w:ind w:left="190" w:right="0" w:firstLine="0"/>
        <w:jc w:val="left"/>
        <w:rPr>
          <w:b/>
          <w:sz w:val="32"/>
        </w:rPr>
      </w:pPr>
      <w:bookmarkStart w:name="May minutes" w:id="100"/>
      <w:bookmarkEnd w:id="100"/>
      <w:r>
        <w:rPr/>
      </w:r>
      <w:bookmarkStart w:name="_bookmark44" w:id="101"/>
      <w:bookmarkEnd w:id="101"/>
      <w:r>
        <w:rPr/>
      </w:r>
      <w:bookmarkStart w:name="_bookmark45" w:id="102"/>
      <w:bookmarkEnd w:id="102"/>
      <w:r>
        <w:rPr/>
      </w:r>
      <w:r>
        <w:rPr>
          <w:b/>
          <w:color w:val="009483"/>
          <w:sz w:val="32"/>
        </w:rPr>
        <w:t>Minutes of the Monetary Policy Committee meeting on 6–7 May 1998</w:t>
      </w:r>
    </w:p>
    <w:p>
      <w:pPr>
        <w:pStyle w:val="BodyText"/>
        <w:spacing w:before="1"/>
        <w:rPr>
          <w:b/>
          <w:sz w:val="28"/>
        </w:rPr>
      </w:pPr>
    </w:p>
    <w:p>
      <w:pPr>
        <w:spacing w:after="0"/>
        <w:rPr>
          <w:sz w:val="28"/>
        </w:rPr>
        <w:sectPr>
          <w:headerReference w:type="even" r:id="rId107"/>
          <w:headerReference w:type="default" r:id="rId108"/>
          <w:pgSz w:w="11900" w:h="16840"/>
          <w:pgMar w:header="566" w:footer="597" w:top="760" w:bottom="780" w:left="620" w:right="640"/>
        </w:sectPr>
      </w:pPr>
    </w:p>
    <w:p>
      <w:pPr>
        <w:pStyle w:val="ListParagraph"/>
        <w:numPr>
          <w:ilvl w:val="0"/>
          <w:numId w:val="41"/>
        </w:numPr>
        <w:tabs>
          <w:tab w:pos="659" w:val="left" w:leader="none"/>
          <w:tab w:pos="661" w:val="left" w:leader="none"/>
        </w:tabs>
        <w:spacing w:line="232" w:lineRule="auto" w:before="97" w:after="0"/>
        <w:ind w:left="180" w:right="163" w:firstLine="0"/>
        <w:jc w:val="left"/>
        <w:rPr>
          <w:sz w:val="18"/>
        </w:rPr>
      </w:pPr>
      <w:r>
        <w:rPr>
          <w:color w:val="231F20"/>
          <w:sz w:val="18"/>
        </w:rPr>
        <w:t>The Committee discussed monetary developments, </w:t>
      </w:r>
      <w:r>
        <w:rPr>
          <w:color w:val="231F20"/>
          <w:spacing w:val="-3"/>
          <w:sz w:val="18"/>
        </w:rPr>
        <w:t>demand </w:t>
      </w:r>
      <w:r>
        <w:rPr>
          <w:color w:val="231F20"/>
          <w:sz w:val="18"/>
        </w:rPr>
        <w:t>and output, and questions about the degree of labour market tightness before agreeing the May inflation forecast and turning </w:t>
      </w:r>
      <w:r>
        <w:rPr>
          <w:color w:val="231F20"/>
          <w:spacing w:val="-9"/>
          <w:sz w:val="18"/>
        </w:rPr>
        <w:t>to </w:t>
      </w:r>
      <w:r>
        <w:rPr>
          <w:color w:val="231F20"/>
          <w:sz w:val="18"/>
        </w:rPr>
        <w:t>its immediate policy decision.</w:t>
      </w:r>
    </w:p>
    <w:p>
      <w:pPr>
        <w:pStyle w:val="BodyText"/>
        <w:spacing w:before="10"/>
        <w:rPr>
          <w:sz w:val="23"/>
        </w:rPr>
      </w:pPr>
    </w:p>
    <w:p>
      <w:pPr>
        <w:spacing w:before="0"/>
        <w:ind w:left="180" w:right="0" w:firstLine="0"/>
        <w:jc w:val="left"/>
        <w:rPr>
          <w:b/>
          <w:sz w:val="22"/>
        </w:rPr>
      </w:pPr>
      <w:r>
        <w:rPr>
          <w:b/>
          <w:color w:val="009483"/>
          <w:sz w:val="22"/>
        </w:rPr>
        <w:t>Monetary developments</w:t>
      </w:r>
    </w:p>
    <w:p>
      <w:pPr>
        <w:pStyle w:val="ListParagraph"/>
        <w:numPr>
          <w:ilvl w:val="0"/>
          <w:numId w:val="41"/>
        </w:numPr>
        <w:tabs>
          <w:tab w:pos="659" w:val="left" w:leader="none"/>
          <w:tab w:pos="661" w:val="left" w:leader="none"/>
        </w:tabs>
        <w:spacing w:line="232" w:lineRule="auto" w:before="110" w:after="0"/>
        <w:ind w:left="180" w:right="87" w:firstLine="0"/>
        <w:jc w:val="left"/>
        <w:rPr>
          <w:sz w:val="18"/>
        </w:rPr>
      </w:pPr>
      <w:r>
        <w:rPr>
          <w:color w:val="231F20"/>
          <w:sz w:val="18"/>
        </w:rPr>
        <w:t>The Committee noted the continuing signs of slowing monetary growth. The twelve-month growth rate of M4 had fallen below 10% in March, having been above 11% during the middle </w:t>
      </w:r>
      <w:r>
        <w:rPr>
          <w:color w:val="231F20"/>
          <w:spacing w:val="-9"/>
          <w:sz w:val="18"/>
        </w:rPr>
        <w:t>of </w:t>
      </w:r>
      <w:r>
        <w:rPr>
          <w:color w:val="231F20"/>
          <w:sz w:val="18"/>
        </w:rPr>
        <w:t>1997; and the 3 and 6 month annualised growth rates were in a 8%–9% range. Slower growth in the narrower aggregates—M0, retail M4, Divisia—and in personal sector M4 supported this picture and suggested that, in addition to a worsening external position, past increases in official interest rates were having an effect, both indirectly via slower demand growth and directly via the greater opportunity cost of holding zero or low interest-bearing deposit accounts rather than other financial assets.</w:t>
      </w:r>
    </w:p>
    <w:p>
      <w:pPr>
        <w:pStyle w:val="BodyText"/>
        <w:spacing w:before="7"/>
        <w:rPr>
          <w:sz w:val="16"/>
        </w:rPr>
      </w:pPr>
    </w:p>
    <w:p>
      <w:pPr>
        <w:pStyle w:val="ListParagraph"/>
        <w:numPr>
          <w:ilvl w:val="0"/>
          <w:numId w:val="41"/>
        </w:numPr>
        <w:tabs>
          <w:tab w:pos="659" w:val="left" w:leader="none"/>
          <w:tab w:pos="661" w:val="left" w:leader="none"/>
        </w:tabs>
        <w:spacing w:line="232" w:lineRule="auto" w:before="0" w:after="0"/>
        <w:ind w:left="180" w:right="78" w:firstLine="0"/>
        <w:jc w:val="left"/>
        <w:rPr>
          <w:sz w:val="18"/>
        </w:rPr>
      </w:pPr>
      <w:r>
        <w:rPr>
          <w:color w:val="231F20"/>
          <w:sz w:val="18"/>
        </w:rPr>
        <w:t>However, after slowing during 1997, there had recently </w:t>
      </w:r>
      <w:r>
        <w:rPr>
          <w:color w:val="231F20"/>
          <w:spacing w:val="-5"/>
          <w:sz w:val="18"/>
        </w:rPr>
        <w:t>been </w:t>
      </w:r>
      <w:r>
        <w:rPr>
          <w:color w:val="231F20"/>
          <w:sz w:val="18"/>
        </w:rPr>
        <w:t>little change in aggregate credit growth. Annual growth in total credit to households had been steady at around 7% for over a year. While it was possible that mortgage lending had edged down, unsecured credit had if anything accelerated in recent months. Bank and building society lending to industrial and commercial companies (ICCs) had risen sharply in the first quarter. Arguably this was consistent with the past pattern of ICCs increasing borrowing following a monetary tightening. It could also be consistent with businesses in externally exposed sectors of the economy needing to make greater use of credit lines to finance working capital. But it was too early to judge whether this was the explanation or whether, alternatively, steady credit growth was a sign of continuing strength in those parts of the economy which were relatively sheltered from the effects of sterling’s appreciation and still growing at close to or above trend rates.</w:t>
      </w:r>
    </w:p>
    <w:p>
      <w:pPr>
        <w:pStyle w:val="BodyText"/>
        <w:spacing w:before="4"/>
        <w:rPr>
          <w:sz w:val="16"/>
        </w:rPr>
      </w:pPr>
    </w:p>
    <w:p>
      <w:pPr>
        <w:pStyle w:val="ListParagraph"/>
        <w:numPr>
          <w:ilvl w:val="0"/>
          <w:numId w:val="41"/>
        </w:numPr>
        <w:tabs>
          <w:tab w:pos="659" w:val="left" w:leader="none"/>
          <w:tab w:pos="661" w:val="left" w:leader="none"/>
        </w:tabs>
        <w:spacing w:line="232" w:lineRule="auto" w:before="0" w:after="0"/>
        <w:ind w:left="180" w:right="242" w:firstLine="0"/>
        <w:jc w:val="left"/>
        <w:rPr>
          <w:sz w:val="18"/>
        </w:rPr>
      </w:pPr>
      <w:r>
        <w:rPr>
          <w:color w:val="231F20"/>
          <w:sz w:val="18"/>
        </w:rPr>
        <w:t>Overall, the Committee felt that the money numbers were broadly consistent with some slowing of demand and activity </w:t>
      </w:r>
      <w:r>
        <w:rPr>
          <w:color w:val="231F20"/>
          <w:spacing w:val="-6"/>
          <w:sz w:val="18"/>
        </w:rPr>
        <w:t>but </w:t>
      </w:r>
      <w:r>
        <w:rPr>
          <w:color w:val="231F20"/>
          <w:sz w:val="18"/>
        </w:rPr>
        <w:t>that this was less evident in the recent credit data.</w:t>
      </w:r>
    </w:p>
    <w:p>
      <w:pPr>
        <w:pStyle w:val="BodyText"/>
        <w:spacing w:before="2"/>
        <w:rPr>
          <w:sz w:val="22"/>
        </w:rPr>
      </w:pPr>
    </w:p>
    <w:p>
      <w:pPr>
        <w:pStyle w:val="Heading6"/>
      </w:pPr>
      <w:r>
        <w:rPr>
          <w:color w:val="009483"/>
        </w:rPr>
        <w:t>GDP</w:t>
      </w:r>
      <w:r>
        <w:rPr>
          <w:color w:val="009483"/>
          <w:spacing w:val="-7"/>
        </w:rPr>
        <w:t> </w:t>
      </w:r>
      <w:r>
        <w:rPr>
          <w:color w:val="009483"/>
        </w:rPr>
        <w:t>growth</w:t>
      </w:r>
    </w:p>
    <w:p>
      <w:pPr>
        <w:pStyle w:val="ListParagraph"/>
        <w:numPr>
          <w:ilvl w:val="0"/>
          <w:numId w:val="41"/>
        </w:numPr>
        <w:tabs>
          <w:tab w:pos="659" w:val="left" w:leader="none"/>
          <w:tab w:pos="661" w:val="left" w:leader="none"/>
        </w:tabs>
        <w:spacing w:line="232" w:lineRule="auto" w:before="110" w:after="0"/>
        <w:ind w:left="179" w:right="38" w:firstLine="0"/>
        <w:jc w:val="left"/>
        <w:rPr>
          <w:sz w:val="18"/>
        </w:rPr>
      </w:pPr>
      <w:r>
        <w:rPr>
          <w:color w:val="231F20"/>
          <w:sz w:val="18"/>
        </w:rPr>
        <w:t>The Committee noted that the Office of National Statistics’ (ONS’s) first estimate of GDP growth in Q1—0.4%, 0.5% excluding oil and gas—was lower than expected. The level of </w:t>
      </w:r>
      <w:r>
        <w:rPr>
          <w:color w:val="231F20"/>
          <w:spacing w:val="-6"/>
          <w:sz w:val="18"/>
        </w:rPr>
        <w:t>GDP </w:t>
      </w:r>
      <w:r>
        <w:rPr>
          <w:color w:val="231F20"/>
          <w:sz w:val="18"/>
        </w:rPr>
        <w:t>was, on these estimates, about </w:t>
      </w:r>
      <w:r>
        <w:rPr>
          <w:color w:val="231F20"/>
          <w:position w:val="6"/>
          <w:sz w:val="9"/>
        </w:rPr>
        <w:t>1</w:t>
      </w:r>
      <w:r>
        <w:rPr>
          <w:color w:val="231F20"/>
          <w:sz w:val="18"/>
        </w:rPr>
        <w:t>/</w:t>
      </w:r>
      <w:r>
        <w:rPr>
          <w:color w:val="231F20"/>
          <w:sz w:val="9"/>
        </w:rPr>
        <w:t>2</w:t>
      </w:r>
      <w:r>
        <w:rPr>
          <w:color w:val="231F20"/>
          <w:sz w:val="18"/>
        </w:rPr>
        <w:t>% below the central projection in the February </w:t>
      </w:r>
      <w:r>
        <w:rPr>
          <w:i/>
          <w:color w:val="231F20"/>
          <w:sz w:val="18"/>
        </w:rPr>
        <w:t>Inflation</w:t>
      </w:r>
      <w:r>
        <w:rPr>
          <w:i/>
          <w:color w:val="231F20"/>
          <w:spacing w:val="-2"/>
          <w:sz w:val="18"/>
        </w:rPr>
        <w:t> </w:t>
      </w:r>
      <w:r>
        <w:rPr>
          <w:i/>
          <w:color w:val="231F20"/>
          <w:sz w:val="18"/>
        </w:rPr>
        <w:t>Report</w:t>
      </w:r>
      <w:r>
        <w:rPr>
          <w:color w:val="231F20"/>
          <w:sz w:val="18"/>
        </w:rPr>
        <w:t>.</w:t>
      </w:r>
    </w:p>
    <w:p>
      <w:pPr>
        <w:pStyle w:val="BodyText"/>
        <w:spacing w:before="8"/>
      </w:pPr>
    </w:p>
    <w:p>
      <w:pPr>
        <w:pStyle w:val="ListParagraph"/>
        <w:numPr>
          <w:ilvl w:val="0"/>
          <w:numId w:val="41"/>
        </w:numPr>
        <w:tabs>
          <w:tab w:pos="659" w:val="left" w:leader="none"/>
          <w:tab w:pos="661" w:val="left" w:leader="none"/>
        </w:tabs>
        <w:spacing w:line="232" w:lineRule="auto" w:before="1" w:after="0"/>
        <w:ind w:left="179" w:right="52" w:firstLine="0"/>
        <w:jc w:val="left"/>
        <w:rPr>
          <w:sz w:val="18"/>
        </w:rPr>
      </w:pPr>
      <w:r>
        <w:rPr>
          <w:color w:val="231F20"/>
          <w:sz w:val="18"/>
        </w:rPr>
        <w:t>Annual growth of total GDP had peaked in Q3 1997 at </w:t>
      </w:r>
      <w:r>
        <w:rPr>
          <w:color w:val="231F20"/>
          <w:spacing w:val="-4"/>
          <w:sz w:val="18"/>
        </w:rPr>
        <w:t>3.4%, </w:t>
      </w:r>
      <w:r>
        <w:rPr>
          <w:color w:val="231F20"/>
          <w:sz w:val="18"/>
        </w:rPr>
        <w:t>with a fall since then to 2.8% by Q1 1998; quarterly growth rates had peaked in Q2 1997. Backward-looking survey data were, however, stronger than the ONS figures. When surveys had been stronger than official estimates in the past, the tendency had been for the official data to be revised up to close part of the gap. If this pattern were repeated, the official activity data for 1997 and the first part of 1998 could be revised up. It seemed likely, however, that any such revisions would leave intact the growth profile, with the turning point in mid-1997.</w:t>
      </w:r>
    </w:p>
    <w:p>
      <w:pPr>
        <w:pStyle w:val="BodyText"/>
        <w:spacing w:before="5"/>
      </w:pPr>
    </w:p>
    <w:p>
      <w:pPr>
        <w:pStyle w:val="ListParagraph"/>
        <w:numPr>
          <w:ilvl w:val="0"/>
          <w:numId w:val="41"/>
        </w:numPr>
        <w:tabs>
          <w:tab w:pos="659" w:val="left" w:leader="none"/>
          <w:tab w:pos="661" w:val="left" w:leader="none"/>
        </w:tabs>
        <w:spacing w:line="232" w:lineRule="auto" w:before="0" w:after="0"/>
        <w:ind w:left="179" w:right="112" w:firstLine="0"/>
        <w:jc w:val="left"/>
        <w:rPr>
          <w:sz w:val="18"/>
        </w:rPr>
      </w:pPr>
      <w:r>
        <w:rPr>
          <w:color w:val="231F20"/>
          <w:sz w:val="18"/>
        </w:rPr>
        <w:t>The sectoral picture varied. Growth in the energy supply industries had been depressed by the unusually mild winter, so </w:t>
      </w:r>
      <w:r>
        <w:rPr>
          <w:color w:val="231F20"/>
          <w:spacing w:val="-5"/>
          <w:sz w:val="18"/>
        </w:rPr>
        <w:t>that </w:t>
      </w:r>
      <w:r>
        <w:rPr>
          <w:color w:val="231F20"/>
          <w:sz w:val="18"/>
        </w:rPr>
        <w:t>underlying activity growth might not have weakened as much as suggested by the headline numbers.</w:t>
      </w:r>
    </w:p>
    <w:p>
      <w:pPr>
        <w:pStyle w:val="BodyText"/>
        <w:spacing w:before="1"/>
        <w:rPr>
          <w:sz w:val="17"/>
        </w:rPr>
      </w:pPr>
    </w:p>
    <w:p>
      <w:pPr>
        <w:pStyle w:val="ListParagraph"/>
        <w:numPr>
          <w:ilvl w:val="0"/>
          <w:numId w:val="41"/>
        </w:numPr>
        <w:tabs>
          <w:tab w:pos="659" w:val="left" w:leader="none"/>
          <w:tab w:pos="661" w:val="left" w:leader="none"/>
        </w:tabs>
        <w:spacing w:line="232" w:lineRule="auto" w:before="0" w:after="0"/>
        <w:ind w:left="179" w:right="368" w:firstLine="0"/>
        <w:jc w:val="left"/>
        <w:rPr>
          <w:sz w:val="18"/>
        </w:rPr>
      </w:pPr>
      <w:r>
        <w:rPr>
          <w:color w:val="231F20"/>
          <w:sz w:val="18"/>
        </w:rPr>
        <w:t>Manufacturing was clearly slowing, and quite possibly facing recession, due to the impact of sterling’s appreciation</w:t>
      </w:r>
      <w:r>
        <w:rPr>
          <w:color w:val="231F20"/>
          <w:spacing w:val="1"/>
          <w:sz w:val="18"/>
        </w:rPr>
        <w:t> </w:t>
      </w:r>
      <w:r>
        <w:rPr>
          <w:color w:val="231F20"/>
          <w:spacing w:val="-9"/>
          <w:sz w:val="18"/>
        </w:rPr>
        <w:t>on</w:t>
      </w:r>
    </w:p>
    <w:p>
      <w:pPr>
        <w:pStyle w:val="BodyText"/>
        <w:spacing w:line="232" w:lineRule="auto" w:before="97"/>
        <w:ind w:left="179" w:right="193"/>
      </w:pPr>
      <w:r>
        <w:rPr/>
        <w:br w:type="column"/>
      </w:r>
      <w:r>
        <w:rPr>
          <w:color w:val="231F20"/>
        </w:rPr>
        <w:t>external demand and on overseas competition in home markets. </w:t>
      </w:r>
      <w:r>
        <w:rPr>
          <w:color w:val="231F20"/>
          <w:spacing w:val="-9"/>
        </w:rPr>
        <w:t>By </w:t>
      </w:r>
      <w:r>
        <w:rPr>
          <w:color w:val="231F20"/>
        </w:rPr>
        <w:t>contrast, construction seemed recently to have been buoyant, particularly on the basis of survey data and anecdotal reports from the Bank’s regional Agents and other industry contacts. It was, moreover, widely expected to remain so through 1999, supported by Millennium-related projects.</w:t>
      </w:r>
    </w:p>
    <w:p>
      <w:pPr>
        <w:pStyle w:val="BodyText"/>
        <w:spacing w:before="8"/>
      </w:pPr>
    </w:p>
    <w:p>
      <w:pPr>
        <w:pStyle w:val="ListParagraph"/>
        <w:numPr>
          <w:ilvl w:val="0"/>
          <w:numId w:val="41"/>
        </w:numPr>
        <w:tabs>
          <w:tab w:pos="659" w:val="left" w:leader="none"/>
          <w:tab w:pos="661" w:val="left" w:leader="none"/>
        </w:tabs>
        <w:spacing w:line="232" w:lineRule="auto" w:before="1" w:after="0"/>
        <w:ind w:left="179" w:right="309" w:firstLine="0"/>
        <w:jc w:val="left"/>
        <w:rPr>
          <w:sz w:val="18"/>
        </w:rPr>
      </w:pPr>
      <w:r>
        <w:rPr>
          <w:color w:val="231F20"/>
          <w:sz w:val="18"/>
        </w:rPr>
        <w:t>Recent developments and prospects in the services sector were agreed to be less clear. On the one hand, the ONS first estimate of Q1 growth was 0.8%, down from 1.2% in Q4 1997; and the service sector trade surplus had fallen. On the other </w:t>
      </w:r>
      <w:r>
        <w:rPr>
          <w:color w:val="231F20"/>
          <w:spacing w:val="-4"/>
          <w:sz w:val="18"/>
        </w:rPr>
        <w:t>hand, </w:t>
      </w:r>
      <w:r>
        <w:rPr>
          <w:color w:val="231F20"/>
          <w:sz w:val="18"/>
        </w:rPr>
        <w:t>the first estimate was not based on all the hard data that would eventually become available; and the Chartered Institute of</w:t>
      </w:r>
    </w:p>
    <w:p>
      <w:pPr>
        <w:pStyle w:val="BodyText"/>
        <w:spacing w:line="232" w:lineRule="auto"/>
        <w:ind w:left="180" w:right="161"/>
      </w:pPr>
      <w:r>
        <w:rPr>
          <w:color w:val="231F20"/>
        </w:rPr>
        <w:t>Purchasing and Supply (C</w:t>
      </w:r>
      <w:r>
        <w:rPr>
          <w:color w:val="231F20"/>
          <w:sz w:val="14"/>
        </w:rPr>
        <w:t>IPS</w:t>
      </w:r>
      <w:r>
        <w:rPr>
          <w:color w:val="231F20"/>
        </w:rPr>
        <w:t>) services survey suggested an increase in the growth rate in Q1 compared with Q4, although not all services were covered by C</w:t>
      </w:r>
      <w:r>
        <w:rPr>
          <w:color w:val="231F20"/>
          <w:sz w:val="14"/>
        </w:rPr>
        <w:t>IPS</w:t>
      </w:r>
      <w:r>
        <w:rPr>
          <w:color w:val="231F20"/>
        </w:rPr>
        <w:t>. On balance it was likely that the services sector was slowing, but that its growth rate remained above trend.</w:t>
      </w:r>
    </w:p>
    <w:p>
      <w:pPr>
        <w:pStyle w:val="BodyText"/>
        <w:spacing w:before="4"/>
        <w:rPr>
          <w:sz w:val="23"/>
        </w:rPr>
      </w:pPr>
    </w:p>
    <w:p>
      <w:pPr>
        <w:pStyle w:val="Heading6"/>
      </w:pPr>
      <w:r>
        <w:rPr>
          <w:color w:val="009483"/>
        </w:rPr>
        <w:t>Domestic demand</w:t>
      </w:r>
    </w:p>
    <w:p>
      <w:pPr>
        <w:pStyle w:val="ListParagraph"/>
        <w:numPr>
          <w:ilvl w:val="0"/>
          <w:numId w:val="41"/>
        </w:numPr>
        <w:tabs>
          <w:tab w:pos="659" w:val="left" w:leader="none"/>
          <w:tab w:pos="661" w:val="left" w:leader="none"/>
        </w:tabs>
        <w:spacing w:line="232" w:lineRule="auto" w:before="110" w:after="0"/>
        <w:ind w:left="180" w:right="228" w:firstLine="0"/>
        <w:jc w:val="left"/>
        <w:rPr>
          <w:sz w:val="18"/>
        </w:rPr>
      </w:pPr>
      <w:r>
        <w:rPr>
          <w:color w:val="231F20"/>
          <w:sz w:val="18"/>
        </w:rPr>
        <w:t>Domestic demand had grown in a 3</w:t>
      </w:r>
      <w:r>
        <w:rPr>
          <w:color w:val="231F20"/>
          <w:position w:val="6"/>
          <w:sz w:val="9"/>
        </w:rPr>
        <w:t>1</w:t>
      </w:r>
      <w:r>
        <w:rPr>
          <w:color w:val="231F20"/>
          <w:sz w:val="18"/>
        </w:rPr>
        <w:t>/</w:t>
      </w:r>
      <w:r>
        <w:rPr>
          <w:color w:val="231F20"/>
          <w:sz w:val="9"/>
        </w:rPr>
        <w:t>2</w:t>
      </w:r>
      <w:r>
        <w:rPr>
          <w:color w:val="231F20"/>
          <w:sz w:val="18"/>
        </w:rPr>
        <w:t>%–4% range for most of last year and the available data on net trade and GDP implied little if any slowdown in Q1. Domestic demand was likely to have been driven by consumption, consistent with Q1 growth of 0.9% </w:t>
      </w:r>
      <w:r>
        <w:rPr>
          <w:color w:val="231F20"/>
          <w:spacing w:val="-9"/>
          <w:sz w:val="18"/>
        </w:rPr>
        <w:t>in </w:t>
      </w:r>
      <w:r>
        <w:rPr>
          <w:color w:val="231F20"/>
          <w:sz w:val="18"/>
        </w:rPr>
        <w:t>retail sales, which was modestly slower than through 1997 but nevertheless left the annual rate at 5%. The Bank’s February forecast had not, however, expected a material slowdown in consumption growth during Q1.</w:t>
      </w:r>
    </w:p>
    <w:p>
      <w:pPr>
        <w:pStyle w:val="BodyText"/>
        <w:spacing w:before="9"/>
        <w:rPr>
          <w:sz w:val="16"/>
        </w:rPr>
      </w:pPr>
    </w:p>
    <w:p>
      <w:pPr>
        <w:pStyle w:val="ListParagraph"/>
        <w:numPr>
          <w:ilvl w:val="0"/>
          <w:numId w:val="41"/>
        </w:numPr>
        <w:tabs>
          <w:tab w:pos="659" w:val="left" w:leader="none"/>
          <w:tab w:pos="661" w:val="left" w:leader="none"/>
        </w:tabs>
        <w:spacing w:line="232" w:lineRule="auto" w:before="0" w:after="0"/>
        <w:ind w:left="180" w:right="174" w:firstLine="0"/>
        <w:jc w:val="left"/>
        <w:rPr>
          <w:sz w:val="18"/>
        </w:rPr>
      </w:pPr>
      <w:r>
        <w:rPr>
          <w:color w:val="231F20"/>
          <w:sz w:val="18"/>
        </w:rPr>
        <w:t>Looking ahead, there were opposing forces. While house price inflation was relatively modest compared with past cyclical upturns, the cumulative rise in equity prices had taken the ratio of financial wealth-to-income to its highest ever level. This was </w:t>
      </w:r>
      <w:r>
        <w:rPr>
          <w:color w:val="231F20"/>
          <w:spacing w:val="-3"/>
          <w:sz w:val="18"/>
        </w:rPr>
        <w:t>likely </w:t>
      </w:r>
      <w:r>
        <w:rPr>
          <w:color w:val="231F20"/>
          <w:sz w:val="18"/>
        </w:rPr>
        <w:t>to support continuing robust consumption growth.  But consumption demand should gradually be moderated by the past tightening of monetary and fiscal policy; and annual growth rates should fall as the effects of the initial concentration of spending out of building society windfalls in 1997 unwound. The CBI distributive Trades Survey already suggested slowing retail sales growth, taking account of the month-to-month fluctuations reflecting the timing of Easter.</w:t>
      </w:r>
    </w:p>
    <w:p>
      <w:pPr>
        <w:pStyle w:val="BodyText"/>
        <w:spacing w:before="4"/>
        <w:rPr>
          <w:sz w:val="23"/>
        </w:rPr>
      </w:pPr>
    </w:p>
    <w:p>
      <w:pPr>
        <w:pStyle w:val="Heading6"/>
      </w:pPr>
      <w:r>
        <w:rPr>
          <w:color w:val="009483"/>
        </w:rPr>
        <w:t>Net trade</w:t>
      </w:r>
    </w:p>
    <w:p>
      <w:pPr>
        <w:pStyle w:val="ListParagraph"/>
        <w:numPr>
          <w:ilvl w:val="0"/>
          <w:numId w:val="41"/>
        </w:numPr>
        <w:tabs>
          <w:tab w:pos="659" w:val="left" w:leader="none"/>
          <w:tab w:pos="661" w:val="left" w:leader="none"/>
        </w:tabs>
        <w:spacing w:line="232" w:lineRule="auto" w:before="110" w:after="0"/>
        <w:ind w:left="180" w:right="188" w:firstLine="0"/>
        <w:jc w:val="left"/>
        <w:rPr>
          <w:sz w:val="18"/>
        </w:rPr>
      </w:pPr>
      <w:r>
        <w:rPr>
          <w:color w:val="231F20"/>
          <w:sz w:val="18"/>
        </w:rPr>
        <w:t>It was clear that net exports had been weakening quite sharply, with an estimated negative contribution to Q1 GDP </w:t>
      </w:r>
      <w:r>
        <w:rPr>
          <w:color w:val="231F20"/>
          <w:spacing w:val="-3"/>
          <w:sz w:val="18"/>
        </w:rPr>
        <w:t>growth </w:t>
      </w:r>
      <w:r>
        <w:rPr>
          <w:color w:val="231F20"/>
          <w:sz w:val="18"/>
        </w:rPr>
        <w:t>of around </w:t>
      </w:r>
      <w:r>
        <w:rPr>
          <w:color w:val="231F20"/>
          <w:position w:val="6"/>
          <w:sz w:val="9"/>
        </w:rPr>
        <w:t>1</w:t>
      </w:r>
      <w:r>
        <w:rPr>
          <w:color w:val="231F20"/>
          <w:sz w:val="18"/>
        </w:rPr>
        <w:t>/</w:t>
      </w:r>
      <w:r>
        <w:rPr>
          <w:color w:val="231F20"/>
          <w:sz w:val="9"/>
        </w:rPr>
        <w:t>2</w:t>
      </w:r>
      <w:r>
        <w:rPr>
          <w:color w:val="231F20"/>
          <w:sz w:val="18"/>
        </w:rPr>
        <w:t>%. Data for 1997 had been progressively revised, bringing them more into line with what surveys had been saying at the time and with the Bank’s earlier expectations.</w:t>
      </w:r>
    </w:p>
    <w:p>
      <w:pPr>
        <w:pStyle w:val="BodyText"/>
        <w:rPr>
          <w:sz w:val="17"/>
        </w:rPr>
      </w:pPr>
    </w:p>
    <w:p>
      <w:pPr>
        <w:pStyle w:val="ListParagraph"/>
        <w:numPr>
          <w:ilvl w:val="0"/>
          <w:numId w:val="41"/>
        </w:numPr>
        <w:tabs>
          <w:tab w:pos="659" w:val="left" w:leader="none"/>
          <w:tab w:pos="661" w:val="left" w:leader="none"/>
        </w:tabs>
        <w:spacing w:line="232" w:lineRule="auto" w:before="0" w:after="0"/>
        <w:ind w:left="180" w:right="164" w:firstLine="0"/>
        <w:jc w:val="left"/>
        <w:rPr>
          <w:sz w:val="18"/>
        </w:rPr>
      </w:pPr>
      <w:r>
        <w:rPr>
          <w:color w:val="231F20"/>
          <w:sz w:val="18"/>
        </w:rPr>
        <w:t>Puzzles remained, however, about both composition and causes. The relative resilience of net exports to EU countries was difficult to understand given that sterling’s appreciation had been </w:t>
      </w:r>
      <w:r>
        <w:rPr>
          <w:color w:val="231F20"/>
          <w:spacing w:val="-9"/>
          <w:sz w:val="18"/>
        </w:rPr>
        <w:t>so </w:t>
      </w:r>
      <w:r>
        <w:rPr>
          <w:color w:val="231F20"/>
          <w:sz w:val="18"/>
        </w:rPr>
        <w:t>much greater against those currencies. The Bank’s Agents suggested that this might reflect UK exporters attaching strategic importance to retaining their position in European markets, even when profitability was low.  There had been a striking fall in exports to crisis-affected Asian countries since the autumn, but this was only a modest part of total overseas trade.</w:t>
      </w:r>
    </w:p>
    <w:p>
      <w:pPr>
        <w:pStyle w:val="BodyText"/>
        <w:spacing w:before="9"/>
        <w:rPr>
          <w:sz w:val="16"/>
        </w:rPr>
      </w:pPr>
    </w:p>
    <w:p>
      <w:pPr>
        <w:pStyle w:val="ListParagraph"/>
        <w:numPr>
          <w:ilvl w:val="0"/>
          <w:numId w:val="41"/>
        </w:numPr>
        <w:tabs>
          <w:tab w:pos="659" w:val="left" w:leader="none"/>
          <w:tab w:pos="661" w:val="left" w:leader="none"/>
        </w:tabs>
        <w:spacing w:line="232" w:lineRule="auto" w:before="0" w:after="0"/>
        <w:ind w:left="180" w:right="229" w:firstLine="0"/>
        <w:jc w:val="left"/>
        <w:rPr>
          <w:sz w:val="18"/>
        </w:rPr>
      </w:pPr>
      <w:r>
        <w:rPr>
          <w:color w:val="231F20"/>
          <w:sz w:val="18"/>
        </w:rPr>
        <w:t>A particularly important question, which the Committee had discussed on earlier occasions, was whether net exports were </w:t>
      </w:r>
      <w:r>
        <w:rPr>
          <w:color w:val="231F20"/>
          <w:spacing w:val="-4"/>
          <w:sz w:val="18"/>
        </w:rPr>
        <w:t>being </w:t>
      </w:r>
      <w:r>
        <w:rPr>
          <w:color w:val="231F20"/>
          <w:sz w:val="18"/>
        </w:rPr>
        <w:t>depressed by weakening external demand or by continuing strong domestic demand drawing in imports, which could be a sign of latent inflationary pressures. The latest surveys and data offered</w:t>
      </w:r>
    </w:p>
    <w:p>
      <w:pPr>
        <w:spacing w:after="0" w:line="232" w:lineRule="auto"/>
        <w:jc w:val="left"/>
        <w:rPr>
          <w:sz w:val="18"/>
        </w:rPr>
        <w:sectPr>
          <w:type w:val="continuous"/>
          <w:pgSz w:w="11900" w:h="16840"/>
          <w:pgMar w:top="1220" w:bottom="280" w:left="620" w:right="640"/>
          <w:cols w:num="2" w:equalWidth="0">
            <w:col w:w="5119" w:space="271"/>
            <w:col w:w="5250"/>
          </w:cols>
        </w:sectPr>
      </w:pPr>
    </w:p>
    <w:p>
      <w:pPr>
        <w:pStyle w:val="BodyText"/>
        <w:rPr>
          <w:sz w:val="20"/>
        </w:rPr>
      </w:pPr>
    </w:p>
    <w:p>
      <w:pPr>
        <w:spacing w:after="0"/>
        <w:rPr>
          <w:sz w:val="20"/>
        </w:rPr>
        <w:sectPr>
          <w:footerReference w:type="even" r:id="rId109"/>
          <w:footerReference w:type="default" r:id="rId110"/>
          <w:pgSz w:w="11900" w:h="16840"/>
          <w:pgMar w:footer="597" w:header="566" w:top="760" w:bottom="780" w:left="620" w:right="640"/>
          <w:pgNumType w:start="58"/>
        </w:sectPr>
      </w:pPr>
    </w:p>
    <w:p>
      <w:pPr>
        <w:pStyle w:val="BodyText"/>
        <w:spacing w:before="4"/>
        <w:rPr>
          <w:sz w:val="21"/>
        </w:rPr>
      </w:pPr>
    </w:p>
    <w:p>
      <w:pPr>
        <w:pStyle w:val="BodyText"/>
        <w:spacing w:line="232" w:lineRule="auto" w:before="1"/>
        <w:ind w:left="194" w:right="141"/>
      </w:pPr>
      <w:r>
        <w:rPr>
          <w:color w:val="231F20"/>
        </w:rPr>
        <w:t>some comfort that it was, at least in part, the former. That suggested that the effects of sterling’s appreciation were slower to come through than originally expected rather than the cumulative effect being materially smaller, although some members thought that this could still not be ruled out.</w:t>
      </w:r>
    </w:p>
    <w:p>
      <w:pPr>
        <w:pStyle w:val="BodyText"/>
        <w:rPr>
          <w:sz w:val="17"/>
        </w:rPr>
      </w:pPr>
    </w:p>
    <w:p>
      <w:pPr>
        <w:pStyle w:val="ListParagraph"/>
        <w:numPr>
          <w:ilvl w:val="0"/>
          <w:numId w:val="41"/>
        </w:numPr>
        <w:tabs>
          <w:tab w:pos="674" w:val="left" w:leader="none"/>
          <w:tab w:pos="675" w:val="left" w:leader="none"/>
        </w:tabs>
        <w:spacing w:line="232" w:lineRule="auto" w:before="0" w:after="0"/>
        <w:ind w:left="194" w:right="88" w:firstLine="0"/>
        <w:jc w:val="left"/>
        <w:rPr>
          <w:sz w:val="18"/>
        </w:rPr>
      </w:pPr>
      <w:r>
        <w:rPr>
          <w:color w:val="231F20"/>
          <w:sz w:val="18"/>
        </w:rPr>
        <w:t>The Committee discussed the implications of the sharp turnaround it expected in the current account, almost 3% of GDP from mid-97 to end-98. Given the forecast that the Government’s finances would be close to balance, the private sector would be expected to accumulate external debt. It started with a stronger balance sheet and thus was in a better position to do so than in some previous cycles. However there might also be a larger depreciation of sterling than in the May </w:t>
      </w:r>
      <w:r>
        <w:rPr>
          <w:i/>
          <w:color w:val="231F20"/>
          <w:sz w:val="18"/>
        </w:rPr>
        <w:t>Inflation Report </w:t>
      </w:r>
      <w:r>
        <w:rPr>
          <w:color w:val="231F20"/>
          <w:sz w:val="18"/>
        </w:rPr>
        <w:t>central projection, which assumed that sterling would fall gradually in </w:t>
      </w:r>
      <w:r>
        <w:rPr>
          <w:color w:val="231F20"/>
          <w:spacing w:val="-4"/>
          <w:sz w:val="18"/>
        </w:rPr>
        <w:t>line </w:t>
      </w:r>
      <w:r>
        <w:rPr>
          <w:color w:val="231F20"/>
          <w:sz w:val="18"/>
        </w:rPr>
        <w:t>with implied interest rate differentials. A greater depreciation </w:t>
      </w:r>
      <w:r>
        <w:rPr>
          <w:color w:val="231F20"/>
          <w:spacing w:val="-5"/>
          <w:sz w:val="18"/>
        </w:rPr>
        <w:t>was, </w:t>
      </w:r>
      <w:r>
        <w:rPr>
          <w:color w:val="231F20"/>
          <w:sz w:val="18"/>
        </w:rPr>
        <w:t>as in February, included in the forecast as a risk.</w:t>
      </w:r>
    </w:p>
    <w:p>
      <w:pPr>
        <w:pStyle w:val="BodyText"/>
        <w:spacing w:before="11"/>
        <w:rPr>
          <w:sz w:val="19"/>
        </w:rPr>
      </w:pPr>
    </w:p>
    <w:p>
      <w:pPr>
        <w:pStyle w:val="Heading6"/>
        <w:ind w:left="194"/>
      </w:pPr>
      <w:r>
        <w:rPr>
          <w:color w:val="009483"/>
        </w:rPr>
        <w:t>The labour market</w:t>
      </w:r>
    </w:p>
    <w:p>
      <w:pPr>
        <w:pStyle w:val="ListParagraph"/>
        <w:numPr>
          <w:ilvl w:val="0"/>
          <w:numId w:val="41"/>
        </w:numPr>
        <w:tabs>
          <w:tab w:pos="674" w:val="left" w:leader="none"/>
          <w:tab w:pos="675" w:val="left" w:leader="none"/>
        </w:tabs>
        <w:spacing w:line="232" w:lineRule="auto" w:before="109" w:after="0"/>
        <w:ind w:left="194" w:right="158" w:firstLine="0"/>
        <w:jc w:val="left"/>
        <w:rPr>
          <w:sz w:val="18"/>
        </w:rPr>
      </w:pPr>
      <w:r>
        <w:rPr>
          <w:color w:val="231F20"/>
          <w:sz w:val="18"/>
        </w:rPr>
        <w:t>LFS unemployment had fallen to 6.4% in February from 6.5% in January. This and most other data suggested that labour market conditions were still getting tighter. One piece of </w:t>
      </w:r>
      <w:r>
        <w:rPr>
          <w:color w:val="231F20"/>
          <w:spacing w:val="-3"/>
          <w:sz w:val="18"/>
        </w:rPr>
        <w:t>contrary </w:t>
      </w:r>
      <w:r>
        <w:rPr>
          <w:color w:val="231F20"/>
          <w:sz w:val="18"/>
        </w:rPr>
        <w:t>evidence was a recorded fall in hours worked in</w:t>
      </w:r>
    </w:p>
    <w:p>
      <w:pPr>
        <w:pStyle w:val="BodyText"/>
        <w:spacing w:line="232" w:lineRule="auto"/>
        <w:ind w:left="194"/>
      </w:pPr>
      <w:r>
        <w:rPr>
          <w:color w:val="231F20"/>
        </w:rPr>
        <w:t>December-February compared with the previous three months, but this was difficult to interpret because there had been a similar fall last year which had been followed by an increase. It was, however, clear that the pace of tightening had slowed quite markedly.</w:t>
      </w:r>
    </w:p>
    <w:p>
      <w:pPr>
        <w:pStyle w:val="BodyText"/>
        <w:spacing w:line="232" w:lineRule="auto"/>
        <w:ind w:left="194" w:right="41"/>
      </w:pPr>
      <w:r>
        <w:rPr>
          <w:color w:val="231F20"/>
        </w:rPr>
        <w:t>Surveys suggested that skill shortages were more widespread than the long-run average, but less so than during the late 1980s’ upturn.</w:t>
      </w:r>
    </w:p>
    <w:p>
      <w:pPr>
        <w:pStyle w:val="BodyText"/>
        <w:spacing w:before="8"/>
        <w:rPr>
          <w:sz w:val="16"/>
        </w:rPr>
      </w:pPr>
    </w:p>
    <w:p>
      <w:pPr>
        <w:pStyle w:val="ListParagraph"/>
        <w:numPr>
          <w:ilvl w:val="0"/>
          <w:numId w:val="41"/>
        </w:numPr>
        <w:tabs>
          <w:tab w:pos="674" w:val="left" w:leader="none"/>
          <w:tab w:pos="675" w:val="left" w:leader="none"/>
        </w:tabs>
        <w:spacing w:line="232" w:lineRule="auto" w:before="1" w:after="0"/>
        <w:ind w:left="194" w:right="38" w:firstLine="0"/>
        <w:jc w:val="left"/>
        <w:rPr>
          <w:sz w:val="18"/>
        </w:rPr>
      </w:pPr>
      <w:r>
        <w:rPr>
          <w:color w:val="231F20"/>
          <w:sz w:val="18"/>
        </w:rPr>
        <w:t>The Committee discussed how best to interpret the fall in long-term unemployment. One possibility was that current and earlier structural reforms were increasing the employability of the long-run employed, which would be helping to relieve labour market pressures. It might also be signalling a very tight market, with short-term employment having fallen as far as it could, </w:t>
      </w:r>
      <w:r>
        <w:rPr>
          <w:color w:val="231F20"/>
          <w:spacing w:val="-3"/>
          <w:sz w:val="18"/>
        </w:rPr>
        <w:t>forcing </w:t>
      </w:r>
      <w:r>
        <w:rPr>
          <w:color w:val="231F20"/>
          <w:sz w:val="18"/>
        </w:rPr>
        <w:t>firms to recruit from the long-term unemployed. Another possibility was that a higher than usual proportion of the short-run unemployed might be finding jobs in conditions of continuing strong demand and activity growth, rather than becoming long-term unemployed. It was too early to tell which of these was the main explanation.</w:t>
      </w:r>
    </w:p>
    <w:p>
      <w:pPr>
        <w:pStyle w:val="BodyText"/>
        <w:spacing w:before="6"/>
        <w:rPr>
          <w:sz w:val="16"/>
        </w:rPr>
      </w:pPr>
    </w:p>
    <w:p>
      <w:pPr>
        <w:pStyle w:val="ListParagraph"/>
        <w:numPr>
          <w:ilvl w:val="0"/>
          <w:numId w:val="41"/>
        </w:numPr>
        <w:tabs>
          <w:tab w:pos="674" w:val="left" w:leader="none"/>
          <w:tab w:pos="675" w:val="left" w:leader="none"/>
        </w:tabs>
        <w:spacing w:line="232" w:lineRule="auto" w:before="0" w:after="0"/>
        <w:ind w:left="194" w:right="103" w:firstLine="0"/>
        <w:jc w:val="left"/>
        <w:rPr>
          <w:sz w:val="18"/>
        </w:rPr>
      </w:pPr>
      <w:r>
        <w:rPr>
          <w:color w:val="231F20"/>
          <w:sz w:val="18"/>
        </w:rPr>
        <w:t>Headline average earnings growth had remained at 4.5% in February. Settlements, including the latest data covering the beginning of April, did not show signs of picking up further and had been steady since the autumn. These outturns were better </w:t>
      </w:r>
      <w:r>
        <w:rPr>
          <w:color w:val="231F20"/>
          <w:spacing w:val="-5"/>
          <w:sz w:val="18"/>
        </w:rPr>
        <w:t>than </w:t>
      </w:r>
      <w:r>
        <w:rPr>
          <w:color w:val="231F20"/>
          <w:sz w:val="18"/>
        </w:rPr>
        <w:t>feared by some a quarter ago and much better than would have been expected given the fall in unemployment and rise in employment over the past year.</w:t>
      </w:r>
    </w:p>
    <w:p>
      <w:pPr>
        <w:pStyle w:val="BodyText"/>
        <w:spacing w:before="11"/>
        <w:rPr>
          <w:sz w:val="16"/>
        </w:rPr>
      </w:pPr>
    </w:p>
    <w:p>
      <w:pPr>
        <w:pStyle w:val="ListParagraph"/>
        <w:numPr>
          <w:ilvl w:val="0"/>
          <w:numId w:val="41"/>
        </w:numPr>
        <w:tabs>
          <w:tab w:pos="674" w:val="left" w:leader="none"/>
          <w:tab w:pos="675" w:val="left" w:leader="none"/>
        </w:tabs>
        <w:spacing w:line="232" w:lineRule="auto" w:before="0" w:after="0"/>
        <w:ind w:left="194" w:right="78" w:firstLine="0"/>
        <w:jc w:val="left"/>
        <w:rPr>
          <w:sz w:val="18"/>
        </w:rPr>
      </w:pPr>
      <w:r>
        <w:rPr>
          <w:color w:val="231F20"/>
          <w:sz w:val="18"/>
        </w:rPr>
        <w:t>It was possible that this meant the trade-off between unemployment and earnings growth had improved, either via continuing labour market reforms bringing down the natural rate </w:t>
      </w:r>
      <w:r>
        <w:rPr>
          <w:color w:val="231F20"/>
          <w:spacing w:val="-9"/>
          <w:sz w:val="18"/>
        </w:rPr>
        <w:t>of </w:t>
      </w:r>
      <w:r>
        <w:rPr>
          <w:color w:val="231F20"/>
          <w:sz w:val="18"/>
        </w:rPr>
        <w:t>unemployment, or via a fall in inflation expectations reducing nominal earnings growth, or a combination of the two. It was also possible, moreover, that the forecast slowdown in output and aggregate demand growth in 1998 and 1999 would moderate wage claims and earnings growth. On a benign view, therefore, it was possible that the period of greatest risk had already passed without earnings growth rising above the rate consistent with the inflation target and trend productivity growth.</w:t>
      </w:r>
    </w:p>
    <w:p>
      <w:pPr>
        <w:pStyle w:val="BodyText"/>
        <w:spacing w:before="7"/>
        <w:rPr>
          <w:sz w:val="16"/>
        </w:rPr>
      </w:pPr>
    </w:p>
    <w:p>
      <w:pPr>
        <w:pStyle w:val="ListParagraph"/>
        <w:numPr>
          <w:ilvl w:val="0"/>
          <w:numId w:val="41"/>
        </w:numPr>
        <w:tabs>
          <w:tab w:pos="674" w:val="left" w:leader="none"/>
          <w:tab w:pos="675" w:val="left" w:leader="none"/>
        </w:tabs>
        <w:spacing w:line="232" w:lineRule="auto" w:before="0" w:after="0"/>
        <w:ind w:left="194" w:right="38" w:firstLine="0"/>
        <w:jc w:val="left"/>
        <w:rPr>
          <w:sz w:val="18"/>
        </w:rPr>
      </w:pPr>
      <w:r>
        <w:rPr>
          <w:color w:val="231F20"/>
          <w:sz w:val="18"/>
        </w:rPr>
        <w:t>The Committee agreed, however, that it would not be prudent to conclude this yet. First, there was a sharp contrast between private and public sector earnings growth. The former </w:t>
      </w:r>
      <w:r>
        <w:rPr>
          <w:color w:val="231F20"/>
          <w:spacing w:val="-6"/>
          <w:sz w:val="18"/>
        </w:rPr>
        <w:t>had </w:t>
      </w:r>
      <w:r>
        <w:rPr>
          <w:color w:val="231F20"/>
          <w:sz w:val="18"/>
        </w:rPr>
        <w:t>risen at an annual rate of over 5% in the latest period, whereas public sector earnings were reported as having grown at 2</w:t>
      </w:r>
      <w:r>
        <w:rPr>
          <w:color w:val="231F20"/>
          <w:position w:val="6"/>
          <w:sz w:val="9"/>
        </w:rPr>
        <w:t>1</w:t>
      </w:r>
      <w:r>
        <w:rPr>
          <w:color w:val="231F20"/>
          <w:sz w:val="18"/>
        </w:rPr>
        <w:t>/</w:t>
      </w:r>
      <w:r>
        <w:rPr>
          <w:color w:val="231F20"/>
          <w:sz w:val="9"/>
        </w:rPr>
        <w:t>2</w:t>
      </w:r>
      <w:r>
        <w:rPr>
          <w:color w:val="231F20"/>
          <w:sz w:val="18"/>
        </w:rPr>
        <w:t>%. There were some doubts about whether the public sector figures were accurate as it was not clear in which parts of the public</w:t>
      </w:r>
    </w:p>
    <w:p>
      <w:pPr>
        <w:pStyle w:val="BodyText"/>
        <w:spacing w:line="197" w:lineRule="exact"/>
        <w:ind w:left="194"/>
      </w:pPr>
      <w:r>
        <w:rPr>
          <w:color w:val="231F20"/>
        </w:rPr>
        <w:t>sector earnings growth had been below 2</w:t>
      </w:r>
      <w:r>
        <w:rPr>
          <w:color w:val="231F20"/>
          <w:position w:val="6"/>
          <w:sz w:val="9"/>
        </w:rPr>
        <w:t>1</w:t>
      </w:r>
      <w:r>
        <w:rPr>
          <w:color w:val="231F20"/>
        </w:rPr>
        <w:t>/</w:t>
      </w:r>
      <w:r>
        <w:rPr>
          <w:color w:val="231F20"/>
          <w:sz w:val="9"/>
        </w:rPr>
        <w:t>2</w:t>
      </w:r>
      <w:r>
        <w:rPr>
          <w:color w:val="231F20"/>
        </w:rPr>
        <w:t>%. The ratio of</w:t>
      </w:r>
    </w:p>
    <w:p>
      <w:pPr>
        <w:pStyle w:val="BodyText"/>
        <w:spacing w:before="4"/>
        <w:rPr>
          <w:sz w:val="21"/>
        </w:rPr>
      </w:pPr>
      <w:r>
        <w:rPr/>
        <w:br w:type="column"/>
      </w:r>
      <w:r>
        <w:rPr>
          <w:sz w:val="21"/>
        </w:rPr>
      </w:r>
    </w:p>
    <w:p>
      <w:pPr>
        <w:pStyle w:val="BodyText"/>
        <w:spacing w:line="232" w:lineRule="auto" w:before="1"/>
        <w:ind w:left="194" w:right="162"/>
      </w:pPr>
      <w:r>
        <w:rPr>
          <w:color w:val="231F20"/>
        </w:rPr>
        <w:t>public-to-private sector earnings had for some years been trending downwards and becoming less volatile. This might be consistent with labour market reforms, contracting out and retirement from </w:t>
      </w:r>
      <w:r>
        <w:rPr>
          <w:color w:val="231F20"/>
          <w:spacing w:val="-6"/>
        </w:rPr>
        <w:t>the </w:t>
      </w:r>
      <w:r>
        <w:rPr>
          <w:color w:val="231F20"/>
        </w:rPr>
        <w:t>public sector of older, higher paid workers, but it was not clear how much further this process had to go or whether the pattern of the past few years was merely cyclical. Some members of the Committee thought it more likely than not that the differential would close somewhat, and that this would come about mostly via a rise in public sector earnings growth. In that case, the 5% plus growth of private sector earnings was a better indicator of labour market tightness than the headline rate of 4.5%.</w:t>
      </w:r>
    </w:p>
    <w:p>
      <w:pPr>
        <w:pStyle w:val="BodyText"/>
        <w:spacing w:before="7"/>
        <w:rPr>
          <w:sz w:val="16"/>
        </w:rPr>
      </w:pPr>
    </w:p>
    <w:p>
      <w:pPr>
        <w:pStyle w:val="ListParagraph"/>
        <w:numPr>
          <w:ilvl w:val="0"/>
          <w:numId w:val="41"/>
        </w:numPr>
        <w:tabs>
          <w:tab w:pos="674" w:val="left" w:leader="none"/>
          <w:tab w:pos="675" w:val="left" w:leader="none"/>
        </w:tabs>
        <w:spacing w:line="232" w:lineRule="auto" w:before="0" w:after="0"/>
        <w:ind w:left="194" w:right="167" w:firstLine="0"/>
        <w:jc w:val="left"/>
        <w:rPr>
          <w:sz w:val="18"/>
        </w:rPr>
      </w:pPr>
      <w:r>
        <w:rPr>
          <w:color w:val="231F20"/>
          <w:sz w:val="18"/>
        </w:rPr>
        <w:t>Secondly, it was possible that the lags from a tightening labour market to rising earnings growth were longer than had been expected. This would be plausible because the moderating effect </w:t>
      </w:r>
      <w:r>
        <w:rPr>
          <w:color w:val="231F20"/>
          <w:spacing w:val="-9"/>
          <w:sz w:val="18"/>
        </w:rPr>
        <w:t>of </w:t>
      </w:r>
      <w:r>
        <w:rPr>
          <w:color w:val="231F20"/>
          <w:sz w:val="18"/>
        </w:rPr>
        <w:t>sterling’s appreciation on retail price rises had improved workers’ real wages (assessed in terms of their purchasing power over consumption goods). In that case, wage claims might have been lower than otherwise. If this was part of the explanation, the effect was unlikely to be sustainable. If, as expected, sterling stopped appreciating, and </w:t>
      </w:r>
      <w:r>
        <w:rPr>
          <w:i/>
          <w:color w:val="231F20"/>
          <w:sz w:val="18"/>
        </w:rPr>
        <w:t>a fortiori </w:t>
      </w:r>
      <w:r>
        <w:rPr>
          <w:color w:val="231F20"/>
          <w:sz w:val="18"/>
        </w:rPr>
        <w:t>if it fell back, wage claims might increase.</w:t>
      </w:r>
    </w:p>
    <w:p>
      <w:pPr>
        <w:pStyle w:val="BodyText"/>
        <w:rPr>
          <w:sz w:val="20"/>
        </w:rPr>
      </w:pPr>
    </w:p>
    <w:p>
      <w:pPr>
        <w:pStyle w:val="Heading6"/>
        <w:ind w:left="194"/>
      </w:pPr>
      <w:r>
        <w:rPr>
          <w:color w:val="009483"/>
        </w:rPr>
        <w:t>Commodity prices</w:t>
      </w:r>
    </w:p>
    <w:p>
      <w:pPr>
        <w:pStyle w:val="ListParagraph"/>
        <w:numPr>
          <w:ilvl w:val="0"/>
          <w:numId w:val="41"/>
        </w:numPr>
        <w:tabs>
          <w:tab w:pos="674" w:val="left" w:leader="none"/>
          <w:tab w:pos="675" w:val="left" w:leader="none"/>
        </w:tabs>
        <w:spacing w:line="232" w:lineRule="auto" w:before="109" w:after="0"/>
        <w:ind w:left="194" w:right="236" w:firstLine="0"/>
        <w:jc w:val="left"/>
        <w:rPr>
          <w:sz w:val="18"/>
        </w:rPr>
      </w:pPr>
      <w:r>
        <w:rPr>
          <w:color w:val="231F20"/>
          <w:sz w:val="18"/>
        </w:rPr>
        <w:t>The Committee noted that the short-run effects on inflation from commodity price changes remained very benign. Sterling oil prices had risen slightly over the latest month but remained nearly 25% lower than a year earlier. The Bank’s sterling commodity index was 14% down over the same period including oil, and </w:t>
      </w:r>
      <w:r>
        <w:rPr>
          <w:color w:val="231F20"/>
          <w:spacing w:val="-5"/>
          <w:sz w:val="18"/>
        </w:rPr>
        <w:t>9.5% </w:t>
      </w:r>
      <w:r>
        <w:rPr>
          <w:color w:val="231F20"/>
          <w:sz w:val="18"/>
        </w:rPr>
        <w:t>excluding oil. Manufacturing output prices (excluding excise duties) were flat since February and only 0.2% higher than a year ago.</w:t>
      </w:r>
    </w:p>
    <w:p>
      <w:pPr>
        <w:pStyle w:val="BodyText"/>
        <w:spacing w:before="10"/>
        <w:rPr>
          <w:sz w:val="16"/>
        </w:rPr>
      </w:pPr>
    </w:p>
    <w:p>
      <w:pPr>
        <w:pStyle w:val="ListParagraph"/>
        <w:numPr>
          <w:ilvl w:val="0"/>
          <w:numId w:val="41"/>
        </w:numPr>
        <w:tabs>
          <w:tab w:pos="674" w:val="left" w:leader="none"/>
          <w:tab w:pos="675" w:val="left" w:leader="none"/>
        </w:tabs>
        <w:spacing w:line="232" w:lineRule="auto" w:before="0" w:after="0"/>
        <w:ind w:left="194" w:right="211" w:firstLine="0"/>
        <w:jc w:val="left"/>
        <w:rPr>
          <w:sz w:val="18"/>
        </w:rPr>
      </w:pPr>
      <w:r>
        <w:rPr>
          <w:color w:val="231F20"/>
          <w:sz w:val="18"/>
        </w:rPr>
        <w:t>Together with the effect of sterling’s appreciation, these developments had made a material contribution to lower inflation over the past twelve months, offsetting higher domestically generated inflation. It could not be assumed that this would continue into the period ahead, although external price developments were expected to remain benign, partly because of the sharp fall in Asian demand for commodities and manufactured goods. However, this would partly be offset in the period ahead </w:t>
      </w:r>
      <w:r>
        <w:rPr>
          <w:color w:val="231F20"/>
          <w:spacing w:val="-9"/>
          <w:sz w:val="18"/>
        </w:rPr>
        <w:t>by </w:t>
      </w:r>
      <w:r>
        <w:rPr>
          <w:color w:val="231F20"/>
          <w:sz w:val="18"/>
        </w:rPr>
        <w:t>the expected depreciation of sterling.</w:t>
      </w:r>
    </w:p>
    <w:p>
      <w:pPr>
        <w:pStyle w:val="BodyText"/>
        <w:spacing w:before="1"/>
        <w:rPr>
          <w:sz w:val="20"/>
        </w:rPr>
      </w:pPr>
    </w:p>
    <w:p>
      <w:pPr>
        <w:pStyle w:val="Heading6"/>
        <w:ind w:left="194"/>
      </w:pPr>
      <w:r>
        <w:rPr>
          <w:color w:val="009483"/>
        </w:rPr>
        <w:t>Government finances</w:t>
      </w:r>
    </w:p>
    <w:p>
      <w:pPr>
        <w:pStyle w:val="ListParagraph"/>
        <w:numPr>
          <w:ilvl w:val="0"/>
          <w:numId w:val="41"/>
        </w:numPr>
        <w:tabs>
          <w:tab w:pos="675" w:val="left" w:leader="none"/>
        </w:tabs>
        <w:spacing w:line="232" w:lineRule="auto" w:before="109" w:after="0"/>
        <w:ind w:left="194" w:right="317" w:firstLine="0"/>
        <w:jc w:val="both"/>
        <w:rPr>
          <w:sz w:val="18"/>
        </w:rPr>
      </w:pPr>
      <w:r>
        <w:rPr>
          <w:color w:val="231F20"/>
          <w:sz w:val="18"/>
        </w:rPr>
        <w:t>The Committee noted that the 1997/98 PSBR, ignoring the effect of windfall taxes and associated spending, was £3</w:t>
      </w:r>
      <w:r>
        <w:rPr>
          <w:color w:val="231F20"/>
          <w:position w:val="6"/>
          <w:sz w:val="9"/>
        </w:rPr>
        <w:t>1</w:t>
      </w:r>
      <w:r>
        <w:rPr>
          <w:color w:val="231F20"/>
          <w:sz w:val="18"/>
        </w:rPr>
        <w:t>/</w:t>
      </w:r>
      <w:r>
        <w:rPr>
          <w:color w:val="231F20"/>
          <w:sz w:val="9"/>
        </w:rPr>
        <w:t>4 </w:t>
      </w:r>
      <w:r>
        <w:rPr>
          <w:color w:val="231F20"/>
          <w:spacing w:val="-3"/>
          <w:sz w:val="18"/>
        </w:rPr>
        <w:t>billion, </w:t>
      </w:r>
      <w:r>
        <w:rPr>
          <w:color w:val="231F20"/>
          <w:sz w:val="18"/>
        </w:rPr>
        <w:t>around £1</w:t>
      </w:r>
      <w:r>
        <w:rPr>
          <w:color w:val="231F20"/>
          <w:position w:val="6"/>
          <w:sz w:val="9"/>
        </w:rPr>
        <w:t>3</w:t>
      </w:r>
      <w:r>
        <w:rPr>
          <w:color w:val="231F20"/>
          <w:sz w:val="18"/>
        </w:rPr>
        <w:t>/</w:t>
      </w:r>
      <w:r>
        <w:rPr>
          <w:color w:val="231F20"/>
          <w:sz w:val="9"/>
        </w:rPr>
        <w:t>4 </w:t>
      </w:r>
      <w:r>
        <w:rPr>
          <w:color w:val="231F20"/>
          <w:sz w:val="18"/>
        </w:rPr>
        <w:t>billion less than forecast in the March</w:t>
      </w:r>
      <w:r>
        <w:rPr>
          <w:color w:val="231F20"/>
          <w:spacing w:val="-1"/>
          <w:sz w:val="18"/>
        </w:rPr>
        <w:t> </w:t>
      </w:r>
      <w:r>
        <w:rPr>
          <w:color w:val="231F20"/>
          <w:sz w:val="18"/>
        </w:rPr>
        <w:t>Budget.</w:t>
      </w:r>
    </w:p>
    <w:p>
      <w:pPr>
        <w:pStyle w:val="BodyText"/>
        <w:spacing w:before="2"/>
        <w:rPr>
          <w:sz w:val="17"/>
        </w:rPr>
      </w:pPr>
    </w:p>
    <w:p>
      <w:pPr>
        <w:pStyle w:val="ListParagraph"/>
        <w:numPr>
          <w:ilvl w:val="0"/>
          <w:numId w:val="41"/>
        </w:numPr>
        <w:tabs>
          <w:tab w:pos="674" w:val="left" w:leader="none"/>
          <w:tab w:pos="675" w:val="left" w:leader="none"/>
        </w:tabs>
        <w:spacing w:line="232" w:lineRule="auto" w:before="1" w:after="0"/>
        <w:ind w:left="194" w:right="167" w:firstLine="0"/>
        <w:jc w:val="left"/>
        <w:rPr>
          <w:sz w:val="18"/>
        </w:rPr>
      </w:pPr>
      <w:r>
        <w:rPr>
          <w:color w:val="231F20"/>
          <w:sz w:val="18"/>
        </w:rPr>
        <w:t>It remained unclear, however, to what extent this reflected </w:t>
      </w:r>
      <w:r>
        <w:rPr>
          <w:color w:val="231F20"/>
          <w:spacing w:val="-9"/>
          <w:sz w:val="18"/>
        </w:rPr>
        <w:t>an </w:t>
      </w:r>
      <w:r>
        <w:rPr>
          <w:color w:val="231F20"/>
          <w:sz w:val="18"/>
        </w:rPr>
        <w:t>increase in the tax base through higher than so far measured activity, and to what extent it was caused by a higher tax yield and so an effective fiscal tightening.</w:t>
      </w:r>
    </w:p>
    <w:p>
      <w:pPr>
        <w:pStyle w:val="BodyText"/>
        <w:spacing w:before="4"/>
        <w:rPr>
          <w:sz w:val="20"/>
        </w:rPr>
      </w:pPr>
    </w:p>
    <w:p>
      <w:pPr>
        <w:pStyle w:val="Heading6"/>
        <w:ind w:left="194"/>
      </w:pPr>
      <w:r>
        <w:rPr>
          <w:color w:val="009483"/>
        </w:rPr>
        <w:t>The May inflation forecast</w:t>
      </w:r>
    </w:p>
    <w:p>
      <w:pPr>
        <w:pStyle w:val="ListParagraph"/>
        <w:numPr>
          <w:ilvl w:val="0"/>
          <w:numId w:val="41"/>
        </w:numPr>
        <w:tabs>
          <w:tab w:pos="674" w:val="left" w:leader="none"/>
          <w:tab w:pos="675" w:val="left" w:leader="none"/>
        </w:tabs>
        <w:spacing w:line="232" w:lineRule="auto" w:before="110" w:after="0"/>
        <w:ind w:left="194" w:right="202" w:firstLine="0"/>
        <w:jc w:val="left"/>
        <w:rPr>
          <w:sz w:val="18"/>
        </w:rPr>
      </w:pPr>
      <w:r>
        <w:rPr>
          <w:color w:val="231F20"/>
          <w:sz w:val="18"/>
        </w:rPr>
        <w:t>The Committee reviewed and agreed the inflation forecast </w:t>
      </w:r>
      <w:r>
        <w:rPr>
          <w:color w:val="231F20"/>
          <w:spacing w:val="-9"/>
          <w:sz w:val="18"/>
        </w:rPr>
        <w:t>to </w:t>
      </w:r>
      <w:r>
        <w:rPr>
          <w:color w:val="231F20"/>
          <w:sz w:val="18"/>
        </w:rPr>
        <w:t>be published in the </w:t>
      </w:r>
      <w:r>
        <w:rPr>
          <w:i/>
          <w:color w:val="231F20"/>
          <w:sz w:val="18"/>
        </w:rPr>
        <w:t>Inflation Report </w:t>
      </w:r>
      <w:r>
        <w:rPr>
          <w:color w:val="231F20"/>
          <w:sz w:val="18"/>
        </w:rPr>
        <w:t>on Wednesday 13</w:t>
      </w:r>
      <w:r>
        <w:rPr>
          <w:color w:val="231F20"/>
          <w:spacing w:val="-1"/>
          <w:sz w:val="18"/>
        </w:rPr>
        <w:t> </w:t>
      </w:r>
      <w:r>
        <w:rPr>
          <w:color w:val="231F20"/>
          <w:sz w:val="18"/>
        </w:rPr>
        <w:t>May.</w:t>
      </w:r>
    </w:p>
    <w:p>
      <w:pPr>
        <w:pStyle w:val="BodyText"/>
        <w:spacing w:before="2"/>
        <w:rPr>
          <w:sz w:val="17"/>
        </w:rPr>
      </w:pPr>
    </w:p>
    <w:p>
      <w:pPr>
        <w:pStyle w:val="ListParagraph"/>
        <w:numPr>
          <w:ilvl w:val="0"/>
          <w:numId w:val="41"/>
        </w:numPr>
        <w:tabs>
          <w:tab w:pos="674" w:val="left" w:leader="none"/>
          <w:tab w:pos="675" w:val="left" w:leader="none"/>
        </w:tabs>
        <w:spacing w:line="232" w:lineRule="auto" w:before="0" w:after="0"/>
        <w:ind w:left="194" w:right="252" w:firstLine="0"/>
        <w:jc w:val="left"/>
        <w:rPr>
          <w:sz w:val="18"/>
        </w:rPr>
      </w:pPr>
      <w:r>
        <w:rPr>
          <w:color w:val="231F20"/>
          <w:sz w:val="18"/>
        </w:rPr>
        <w:t>The main changes to the central projection since the February forecast were fourfold.  First, the level of GDP was about half a percentage point lower throughout the forecast</w:t>
      </w:r>
      <w:r>
        <w:rPr>
          <w:color w:val="231F20"/>
          <w:spacing w:val="4"/>
          <w:sz w:val="18"/>
        </w:rPr>
        <w:t> </w:t>
      </w:r>
      <w:r>
        <w:rPr>
          <w:color w:val="231F20"/>
          <w:spacing w:val="-3"/>
          <w:sz w:val="18"/>
        </w:rPr>
        <w:t>period.</w:t>
      </w:r>
    </w:p>
    <w:p>
      <w:pPr>
        <w:pStyle w:val="BodyText"/>
        <w:spacing w:line="232" w:lineRule="auto"/>
        <w:ind w:left="194" w:right="509"/>
      </w:pPr>
      <w:r>
        <w:rPr>
          <w:color w:val="231F20"/>
        </w:rPr>
        <w:t>This reflected a lower starting point due to the -0.2% revision to the estimated Q4 1997 level and to lower than expected estimated growth in Q1; and weaker net trade and investment growth than assumed in February. This meant that forecast</w:t>
      </w:r>
    </w:p>
    <w:p>
      <w:pPr>
        <w:pStyle w:val="BodyText"/>
        <w:spacing w:line="232" w:lineRule="auto"/>
        <w:ind w:left="194" w:right="274"/>
      </w:pPr>
      <w:r>
        <w:rPr>
          <w:color w:val="231F20"/>
        </w:rPr>
        <w:t>pressures on capacity, and so on inflation, were less than expected in February.</w:t>
      </w:r>
    </w:p>
    <w:p>
      <w:pPr>
        <w:pStyle w:val="BodyText"/>
        <w:spacing w:before="9"/>
        <w:rPr>
          <w:sz w:val="16"/>
        </w:rPr>
      </w:pPr>
    </w:p>
    <w:p>
      <w:pPr>
        <w:pStyle w:val="ListParagraph"/>
        <w:numPr>
          <w:ilvl w:val="0"/>
          <w:numId w:val="41"/>
        </w:numPr>
        <w:tabs>
          <w:tab w:pos="674" w:val="left" w:leader="none"/>
          <w:tab w:pos="675" w:val="left" w:leader="none"/>
        </w:tabs>
        <w:spacing w:line="232" w:lineRule="auto" w:before="1" w:after="0"/>
        <w:ind w:left="194" w:right="501" w:firstLine="0"/>
        <w:jc w:val="left"/>
        <w:rPr>
          <w:sz w:val="18"/>
        </w:rPr>
      </w:pPr>
      <w:r>
        <w:rPr>
          <w:color w:val="231F20"/>
          <w:sz w:val="18"/>
        </w:rPr>
        <w:t>Secondly, inflation expectations, which fed into </w:t>
      </w:r>
      <w:r>
        <w:rPr>
          <w:color w:val="231F20"/>
          <w:spacing w:val="-3"/>
          <w:sz w:val="18"/>
        </w:rPr>
        <w:t>nominal </w:t>
      </w:r>
      <w:r>
        <w:rPr>
          <w:color w:val="231F20"/>
          <w:sz w:val="18"/>
        </w:rPr>
        <w:t>earnings growth, were forecast to be slightly lower than in</w:t>
      </w:r>
    </w:p>
    <w:p>
      <w:pPr>
        <w:spacing w:after="0" w:line="232" w:lineRule="auto"/>
        <w:jc w:val="left"/>
        <w:rPr>
          <w:sz w:val="18"/>
        </w:rPr>
        <w:sectPr>
          <w:type w:val="continuous"/>
          <w:pgSz w:w="11900" w:h="16840"/>
          <w:pgMar w:top="1220" w:bottom="280" w:left="620" w:right="640"/>
          <w:cols w:num="2" w:equalWidth="0">
            <w:col w:w="5119" w:space="264"/>
            <w:col w:w="5257"/>
          </w:cols>
        </w:sectPr>
      </w:pPr>
    </w:p>
    <w:p>
      <w:pPr>
        <w:pStyle w:val="BodyText"/>
        <w:rPr>
          <w:sz w:val="20"/>
        </w:rPr>
      </w:pPr>
    </w:p>
    <w:p>
      <w:pPr>
        <w:spacing w:after="0"/>
        <w:rPr>
          <w:sz w:val="20"/>
        </w:rPr>
        <w:sectPr>
          <w:pgSz w:w="11900" w:h="16840"/>
          <w:pgMar w:header="566" w:footer="597" w:top="760" w:bottom="780" w:left="620" w:right="640"/>
        </w:sectPr>
      </w:pPr>
    </w:p>
    <w:p>
      <w:pPr>
        <w:pStyle w:val="BodyText"/>
        <w:spacing w:before="6"/>
        <w:rPr>
          <w:sz w:val="20"/>
        </w:rPr>
      </w:pPr>
    </w:p>
    <w:p>
      <w:pPr>
        <w:pStyle w:val="BodyText"/>
        <w:spacing w:line="232" w:lineRule="auto"/>
        <w:ind w:left="200" w:right="75"/>
      </w:pPr>
      <w:r>
        <w:rPr>
          <w:color w:val="231F20"/>
        </w:rPr>
        <w:t>February. This was in line with the recent evidence that most measures of inflation expectations had been edging down.</w:t>
      </w:r>
    </w:p>
    <w:p>
      <w:pPr>
        <w:pStyle w:val="ListParagraph"/>
        <w:numPr>
          <w:ilvl w:val="0"/>
          <w:numId w:val="41"/>
        </w:numPr>
        <w:tabs>
          <w:tab w:pos="679" w:val="left" w:leader="none"/>
          <w:tab w:pos="681" w:val="left" w:leader="none"/>
        </w:tabs>
        <w:spacing w:line="203" w:lineRule="exact" w:before="154" w:after="0"/>
        <w:ind w:left="680" w:right="0" w:hanging="481"/>
        <w:jc w:val="left"/>
        <w:rPr>
          <w:sz w:val="18"/>
        </w:rPr>
      </w:pPr>
      <w:r>
        <w:rPr>
          <w:color w:val="231F20"/>
          <w:sz w:val="18"/>
        </w:rPr>
        <w:t>Third, February’s forecast had used the broad</w:t>
      </w:r>
    </w:p>
    <w:p>
      <w:pPr>
        <w:pStyle w:val="BodyText"/>
        <w:spacing w:line="232" w:lineRule="auto" w:before="1"/>
        <w:ind w:left="200" w:right="75"/>
      </w:pPr>
      <w:r>
        <w:rPr>
          <w:color w:val="231F20"/>
        </w:rPr>
        <w:t>non-employment rate as the measure of labour market tightness in the central projection, but added an upwards skew to earnings growth by using the LFS measure of unemployment in assessing the risks. The Committee decided that the LFS measure should be used in the central projection rather than in the skew. The May central projection therefore assumed a tighter labour market at the starting point and a further rise in earnings growth. The change added to inflationary pressure in the central projection, but reduced the upward skew.</w:t>
      </w:r>
    </w:p>
    <w:p>
      <w:pPr>
        <w:pStyle w:val="ListParagraph"/>
        <w:numPr>
          <w:ilvl w:val="0"/>
          <w:numId w:val="41"/>
        </w:numPr>
        <w:tabs>
          <w:tab w:pos="679" w:val="left" w:leader="none"/>
          <w:tab w:pos="681" w:val="left" w:leader="none"/>
        </w:tabs>
        <w:spacing w:line="232" w:lineRule="auto" w:before="153" w:after="0"/>
        <w:ind w:left="200" w:right="47" w:firstLine="0"/>
        <w:jc w:val="left"/>
        <w:rPr>
          <w:sz w:val="18"/>
        </w:rPr>
      </w:pPr>
      <w:r>
        <w:rPr>
          <w:color w:val="231F20"/>
          <w:sz w:val="18"/>
        </w:rPr>
        <w:t>Finally, the May forecast was based on a higher starting point for the sterling exchange rate  than in February.  This reflected the Committee’s practice of using the 15-day average of the sterling ERI as the starting point; it had risen from 104 to </w:t>
      </w:r>
      <w:r>
        <w:rPr>
          <w:color w:val="231F20"/>
          <w:spacing w:val="-4"/>
          <w:sz w:val="18"/>
        </w:rPr>
        <w:t>106.2 </w:t>
      </w:r>
      <w:r>
        <w:rPr>
          <w:color w:val="231F20"/>
          <w:sz w:val="18"/>
        </w:rPr>
        <w:t>since February.</w:t>
      </w:r>
    </w:p>
    <w:p>
      <w:pPr>
        <w:pStyle w:val="ListParagraph"/>
        <w:numPr>
          <w:ilvl w:val="0"/>
          <w:numId w:val="41"/>
        </w:numPr>
        <w:tabs>
          <w:tab w:pos="679" w:val="left" w:leader="none"/>
          <w:tab w:pos="681" w:val="left" w:leader="none"/>
        </w:tabs>
        <w:spacing w:line="232" w:lineRule="auto" w:before="176" w:after="0"/>
        <w:ind w:left="200" w:right="123" w:firstLine="0"/>
        <w:jc w:val="left"/>
        <w:rPr>
          <w:sz w:val="18"/>
        </w:rPr>
      </w:pPr>
      <w:r>
        <w:rPr>
          <w:color w:val="231F20"/>
          <w:sz w:val="18"/>
        </w:rPr>
        <w:t>The Committee decided not to make any assumptions about the proposed minimum wage. It needed to know the precise terms and then consider the minimum wage alongside the Government’s other labour market reforms before it could reach an assessment </w:t>
      </w:r>
      <w:r>
        <w:rPr>
          <w:color w:val="231F20"/>
          <w:spacing w:val="-9"/>
          <w:sz w:val="18"/>
        </w:rPr>
        <w:t>of </w:t>
      </w:r>
      <w:r>
        <w:rPr>
          <w:color w:val="231F20"/>
          <w:sz w:val="18"/>
        </w:rPr>
        <w:t>the implications for inflation and identify any consequent implications for policy. There was agreement, however, that the minimum wage by itself was likely to put upward pressure on inflation.</w:t>
      </w:r>
    </w:p>
    <w:p>
      <w:pPr>
        <w:pStyle w:val="ListParagraph"/>
        <w:numPr>
          <w:ilvl w:val="0"/>
          <w:numId w:val="41"/>
        </w:numPr>
        <w:tabs>
          <w:tab w:pos="679" w:val="left" w:leader="none"/>
          <w:tab w:pos="681" w:val="left" w:leader="none"/>
        </w:tabs>
        <w:spacing w:line="232" w:lineRule="auto" w:before="174" w:after="0"/>
        <w:ind w:left="200" w:right="487" w:firstLine="0"/>
        <w:jc w:val="left"/>
        <w:rPr>
          <w:sz w:val="18"/>
        </w:rPr>
      </w:pPr>
      <w:r>
        <w:rPr>
          <w:color w:val="231F20"/>
          <w:sz w:val="18"/>
        </w:rPr>
        <w:t>The Committee noted that the first three changes to </w:t>
      </w:r>
      <w:r>
        <w:rPr>
          <w:color w:val="231F20"/>
          <w:spacing w:val="-6"/>
          <w:sz w:val="18"/>
        </w:rPr>
        <w:t>the </w:t>
      </w:r>
      <w:r>
        <w:rPr>
          <w:color w:val="231F20"/>
          <w:sz w:val="18"/>
        </w:rPr>
        <w:t>assumptions identified above were broadly offsetting at the</w:t>
      </w:r>
    </w:p>
    <w:p>
      <w:pPr>
        <w:pStyle w:val="BodyText"/>
        <w:spacing w:line="232" w:lineRule="auto"/>
        <w:ind w:left="200" w:right="75"/>
      </w:pPr>
      <w:r>
        <w:rPr>
          <w:color w:val="231F20"/>
        </w:rPr>
        <w:t>2-year horizon, so that the change in the exchange rate starting point was crucial in accounting for the slight fall in the central projection since February. Sterling had, though, been falling in recent days, principally against other EU currencies, and was now close to the level used in the February forecast. This seemed to reflect the market’s reaction to EU decisions about the ECB President and Executive Board. There was a range of views about whether these latest developments would mark a turning point for sterling, triggered by reduced uncertainty about EMU. The Committee agreed that the recent movements in the exchange rate underlined its earlier view, discussed at previous meetings, that policy conclusions could not be read off the forecast in a mechanical way.</w:t>
      </w:r>
    </w:p>
    <w:p>
      <w:pPr>
        <w:pStyle w:val="ListParagraph"/>
        <w:numPr>
          <w:ilvl w:val="0"/>
          <w:numId w:val="41"/>
        </w:numPr>
        <w:tabs>
          <w:tab w:pos="679" w:val="left" w:leader="none"/>
          <w:tab w:pos="681" w:val="left" w:leader="none"/>
        </w:tabs>
        <w:spacing w:line="232" w:lineRule="auto" w:before="168" w:after="0"/>
        <w:ind w:left="200" w:right="38" w:firstLine="0"/>
        <w:jc w:val="left"/>
        <w:rPr>
          <w:sz w:val="18"/>
        </w:rPr>
      </w:pPr>
      <w:r>
        <w:rPr>
          <w:color w:val="231F20"/>
          <w:sz w:val="18"/>
        </w:rPr>
        <w:t>The Committee discussed the risks to the forecast. In the short run, the net risks to inflation were on the downside, mainly through the possibility of weaker world growth than assumed, and the risk of a significant fall in equity prices, reducing wealth and so consumption growth. Towards the end of the forecast horizon, the net risks to inflation were thought to be on the upside, largely because of the possibility of sterling depreciating more quickly </w:t>
      </w:r>
      <w:r>
        <w:rPr>
          <w:color w:val="231F20"/>
          <w:spacing w:val="-5"/>
          <w:sz w:val="18"/>
        </w:rPr>
        <w:t>than </w:t>
      </w:r>
      <w:r>
        <w:rPr>
          <w:color w:val="231F20"/>
          <w:sz w:val="18"/>
        </w:rPr>
        <w:t>implied by interest rate differentials. The Committee agreed that the inflation outturn would be affected not only by whether asset prices did depart from the paths assumed in the central projection, but also by whether they did so gradually or suddenly and, if suddenly, whether early or late in the forecast period. The Committee agreed that policy should not respond to the risk of sharp asset price movements. They would need to assess the implications for the inflation outlook if and when any such changes occurred.</w:t>
      </w:r>
    </w:p>
    <w:p>
      <w:pPr>
        <w:pStyle w:val="BodyText"/>
        <w:spacing w:before="10"/>
        <w:rPr>
          <w:sz w:val="17"/>
        </w:rPr>
      </w:pPr>
    </w:p>
    <w:p>
      <w:pPr>
        <w:pStyle w:val="Heading6"/>
        <w:ind w:left="200"/>
      </w:pPr>
      <w:r>
        <w:rPr>
          <w:color w:val="009483"/>
        </w:rPr>
        <w:t>The immediate policy decision</w:t>
      </w:r>
    </w:p>
    <w:p>
      <w:pPr>
        <w:pStyle w:val="ListParagraph"/>
        <w:numPr>
          <w:ilvl w:val="0"/>
          <w:numId w:val="41"/>
        </w:numPr>
        <w:tabs>
          <w:tab w:pos="679" w:val="left" w:leader="none"/>
          <w:tab w:pos="681" w:val="left" w:leader="none"/>
        </w:tabs>
        <w:spacing w:line="232" w:lineRule="auto" w:before="90" w:after="0"/>
        <w:ind w:left="200" w:right="77" w:firstLine="0"/>
        <w:jc w:val="left"/>
        <w:rPr>
          <w:sz w:val="18"/>
        </w:rPr>
      </w:pPr>
      <w:r>
        <w:rPr>
          <w:color w:val="231F20"/>
          <w:sz w:val="18"/>
        </w:rPr>
        <w:t>There was broad agreement that the news since February— the lower than expected level of current output, the clear evidence of a decline in net trade, still robust domestic demand growth, the stability of earnings growth, the slight fall in inflation </w:t>
      </w:r>
      <w:r>
        <w:rPr>
          <w:color w:val="231F20"/>
          <w:spacing w:val="-2"/>
          <w:sz w:val="18"/>
        </w:rPr>
        <w:t>expectations, </w:t>
      </w:r>
      <w:r>
        <w:rPr>
          <w:color w:val="231F20"/>
          <w:sz w:val="18"/>
        </w:rPr>
        <w:t>signs of slowing broad money growth—were reflected in the May forecast.</w:t>
      </w:r>
    </w:p>
    <w:p>
      <w:pPr>
        <w:pStyle w:val="ListParagraph"/>
        <w:numPr>
          <w:ilvl w:val="0"/>
          <w:numId w:val="41"/>
        </w:numPr>
        <w:tabs>
          <w:tab w:pos="679" w:val="left" w:leader="none"/>
          <w:tab w:pos="681" w:val="left" w:leader="none"/>
        </w:tabs>
        <w:spacing w:line="232" w:lineRule="auto" w:before="155" w:after="0"/>
        <w:ind w:left="200" w:right="42" w:firstLine="0"/>
        <w:jc w:val="left"/>
        <w:rPr>
          <w:sz w:val="18"/>
        </w:rPr>
      </w:pPr>
      <w:r>
        <w:rPr>
          <w:color w:val="231F20"/>
          <w:sz w:val="18"/>
        </w:rPr>
        <w:t>On one view, the inflation outlook over the forecast </w:t>
      </w:r>
      <w:r>
        <w:rPr>
          <w:color w:val="231F20"/>
          <w:spacing w:val="-3"/>
          <w:sz w:val="18"/>
        </w:rPr>
        <w:t>period— </w:t>
      </w:r>
      <w:r>
        <w:rPr>
          <w:color w:val="231F20"/>
          <w:sz w:val="18"/>
        </w:rPr>
        <w:t>out to around two years—had improved since February and, on the</w:t>
      </w:r>
    </w:p>
    <w:p>
      <w:pPr>
        <w:pStyle w:val="BodyText"/>
        <w:spacing w:before="6"/>
        <w:rPr>
          <w:sz w:val="20"/>
        </w:rPr>
      </w:pPr>
      <w:r>
        <w:rPr/>
        <w:br w:type="column"/>
      </w:r>
      <w:r>
        <w:rPr>
          <w:sz w:val="20"/>
        </w:rPr>
      </w:r>
    </w:p>
    <w:p>
      <w:pPr>
        <w:pStyle w:val="BodyText"/>
        <w:spacing w:line="232" w:lineRule="auto"/>
        <w:ind w:left="200" w:right="184"/>
      </w:pPr>
      <w:r>
        <w:rPr>
          <w:color w:val="231F20"/>
        </w:rPr>
        <w:t>May forecast, there was no longer a pressing case for an immediate rise in interest rates. The outlook was nevertheless uncomfortable. On this view, with the benefit of some hindsight, monetary policy should have been tighter during 1997 and into 1998 (although, on another view, fiscal policy should perhaps have been set more directly to reduce consumption growth). As a consequence domestically generated inflation remained high, with inflation projected to be in line, or a little below, the target over the forecast period only by virtue of the beneficial effects of sterling’s appreciation and falling world commodity prices. Given the strength of domestic demand it was likely that a further slowdown in the internationally exposed sectors was now needed to achieve the inflation target on the exchange rate profile assumed in the central projection; and economy-wide unemployment would probably have to rise to hit the target on a sustainable basis.</w:t>
      </w:r>
    </w:p>
    <w:p>
      <w:pPr>
        <w:pStyle w:val="BodyText"/>
        <w:spacing w:line="187" w:lineRule="exact"/>
        <w:ind w:left="200"/>
      </w:pPr>
      <w:r>
        <w:rPr>
          <w:color w:val="231F20"/>
        </w:rPr>
        <w:t>Monetary policy was in effect boxed in and would not be able to</w:t>
      </w:r>
    </w:p>
    <w:p>
      <w:pPr>
        <w:pStyle w:val="BodyText"/>
        <w:spacing w:line="232" w:lineRule="auto" w:before="2"/>
        <w:ind w:left="200" w:right="1283"/>
      </w:pPr>
      <w:r>
        <w:rPr>
          <w:color w:val="231F20"/>
        </w:rPr>
        <w:t>respond to any future positive shocks to inflation by accommodating their first-round effects.</w:t>
      </w:r>
    </w:p>
    <w:p>
      <w:pPr>
        <w:pStyle w:val="ListParagraph"/>
        <w:numPr>
          <w:ilvl w:val="0"/>
          <w:numId w:val="41"/>
        </w:numPr>
        <w:tabs>
          <w:tab w:pos="679" w:val="left" w:leader="none"/>
          <w:tab w:pos="681" w:val="left" w:leader="none"/>
        </w:tabs>
        <w:spacing w:line="232" w:lineRule="auto" w:before="178" w:after="0"/>
        <w:ind w:left="200" w:right="227" w:firstLine="0"/>
        <w:jc w:val="left"/>
        <w:rPr>
          <w:sz w:val="18"/>
        </w:rPr>
      </w:pPr>
      <w:r>
        <w:rPr>
          <w:color w:val="231F20"/>
          <w:sz w:val="18"/>
        </w:rPr>
        <w:t>On this first view, while interest rates did not need to increase immediately, it was still more likely than not that they would have to go up in due course (although the probability of this had fallen somewhat). This was for four reasons. First, on the assumptions in the central projection, inflation was set to rise towards and beyond the two-year horizon as domestic demand </w:t>
      </w:r>
      <w:r>
        <w:rPr>
          <w:color w:val="231F20"/>
          <w:spacing w:val="-6"/>
          <w:sz w:val="18"/>
        </w:rPr>
        <w:t>was </w:t>
      </w:r>
      <w:r>
        <w:rPr>
          <w:color w:val="231F20"/>
          <w:sz w:val="18"/>
        </w:rPr>
        <w:t>not projected to moderate sufficiently to offset the wearing off of the beneficial but temporary external influences. Second, the risks to inflation were clearly on the upside at the end of the two-year horizon, largely because sterling might fall more rapidly than assumed on the central projection. Third, in the run up to the Committee’s meeting, sterling had fallen materially below the starting point assumed in the forecast. Fourth, the forecast did not take into account the planned minimum wage; while it would be a mistake for policy to do so before its terms were clear, the implication of the minimum wage was that future policy would need to be tighter than otherwise. For those reasons, it was important that a no-change decision should not lead the market to conclude that official rates had peaked. The Overview section of the </w:t>
      </w:r>
      <w:r>
        <w:rPr>
          <w:i/>
          <w:color w:val="231F20"/>
          <w:sz w:val="18"/>
        </w:rPr>
        <w:t>Inflation Report </w:t>
      </w:r>
      <w:r>
        <w:rPr>
          <w:color w:val="231F20"/>
          <w:sz w:val="18"/>
        </w:rPr>
        <w:t>should be drafted with this in</w:t>
      </w:r>
      <w:r>
        <w:rPr>
          <w:color w:val="231F20"/>
          <w:spacing w:val="-1"/>
          <w:sz w:val="18"/>
        </w:rPr>
        <w:t> </w:t>
      </w:r>
      <w:r>
        <w:rPr>
          <w:color w:val="231F20"/>
          <w:sz w:val="18"/>
        </w:rPr>
        <w:t>mind.</w:t>
      </w:r>
    </w:p>
    <w:p>
      <w:pPr>
        <w:pStyle w:val="BodyText"/>
        <w:rPr>
          <w:sz w:val="16"/>
        </w:rPr>
      </w:pPr>
    </w:p>
    <w:p>
      <w:pPr>
        <w:pStyle w:val="ListParagraph"/>
        <w:numPr>
          <w:ilvl w:val="0"/>
          <w:numId w:val="41"/>
        </w:numPr>
        <w:tabs>
          <w:tab w:pos="679" w:val="left" w:leader="none"/>
          <w:tab w:pos="681" w:val="left" w:leader="none"/>
        </w:tabs>
        <w:spacing w:line="232" w:lineRule="auto" w:before="1" w:after="0"/>
        <w:ind w:left="200" w:right="152" w:firstLine="0"/>
        <w:jc w:val="left"/>
        <w:rPr>
          <w:sz w:val="18"/>
        </w:rPr>
      </w:pPr>
      <w:r>
        <w:rPr>
          <w:color w:val="231F20"/>
          <w:sz w:val="18"/>
        </w:rPr>
        <w:t>On a second view there had not been much news over the past month materially to change the implications for policy. Net trade had clearly been weakening, and consumption in the first quarter had been broadly in line with earlier expectations, with a few signs—for example in the money numbers—that it may moderate, as it certainly needed to. The labour market remained delicately poised; the last few months’ data had offered some encouragement but pressures clearly remained and it was therefore right that the effects on prospective inflation of using the LFS measure had been moved to the central projection. While the external influences might have taken current and prospective inflation below the inflation target had overall policy been tighter </w:t>
      </w:r>
      <w:r>
        <w:rPr>
          <w:color w:val="231F20"/>
          <w:spacing w:val="-9"/>
          <w:sz w:val="18"/>
        </w:rPr>
        <w:t>in </w:t>
      </w:r>
      <w:r>
        <w:rPr>
          <w:color w:val="231F20"/>
          <w:sz w:val="18"/>
        </w:rPr>
        <w:t>1996–97, the Committee should not conclude that it should raise interest rates now to compensate. Its job was to set policy to achieve the 2</w:t>
      </w:r>
      <w:r>
        <w:rPr>
          <w:color w:val="231F20"/>
          <w:position w:val="6"/>
          <w:sz w:val="9"/>
        </w:rPr>
        <w:t>1</w:t>
      </w:r>
      <w:r>
        <w:rPr>
          <w:color w:val="231F20"/>
          <w:sz w:val="18"/>
        </w:rPr>
        <w:t>/</w:t>
      </w:r>
      <w:r>
        <w:rPr>
          <w:color w:val="231F20"/>
          <w:sz w:val="9"/>
        </w:rPr>
        <w:t>2</w:t>
      </w:r>
      <w:r>
        <w:rPr>
          <w:color w:val="231F20"/>
          <w:sz w:val="18"/>
        </w:rPr>
        <w:t>% target; on the latest forecast, it was broadly on track to do so over the coming 2 years. Looking further ahead, the key to the outlook for inflation and policy would be the path of domestic demand. If it did not slow by more than was currently expected a further policy tightening might be needed at some point, but it was not necessary to take a firm view on that now. The outlook over the forecast horizon was sufficiently benign to give the Committee time to collect more information about developments without endangering the inflation target over the period that current policy settings could materially affect. It would in particular be a mistake to anticipate possible but highly uncertain future moves in asset markets. On this view also, while not raising rates this month, it was important that the Committee should not signal that rates had peaked.</w:t>
      </w:r>
    </w:p>
    <w:p>
      <w:pPr>
        <w:pStyle w:val="ListParagraph"/>
        <w:numPr>
          <w:ilvl w:val="0"/>
          <w:numId w:val="41"/>
        </w:numPr>
        <w:tabs>
          <w:tab w:pos="679" w:val="left" w:leader="none"/>
          <w:tab w:pos="681" w:val="left" w:leader="none"/>
        </w:tabs>
        <w:spacing w:line="232" w:lineRule="auto" w:before="178" w:after="0"/>
        <w:ind w:left="200" w:right="217" w:firstLine="0"/>
        <w:jc w:val="left"/>
        <w:rPr>
          <w:sz w:val="18"/>
        </w:rPr>
      </w:pPr>
      <w:r>
        <w:rPr>
          <w:color w:val="231F20"/>
          <w:sz w:val="18"/>
        </w:rPr>
        <w:t>A third view emphasised a need for policy to react now to the possible sources of inflationary pressure towards and through the end of the two-year forecast horizon. Four considerations</w:t>
      </w:r>
      <w:r>
        <w:rPr>
          <w:color w:val="231F20"/>
          <w:spacing w:val="2"/>
          <w:sz w:val="18"/>
        </w:rPr>
        <w:t> </w:t>
      </w:r>
      <w:r>
        <w:rPr>
          <w:color w:val="231F20"/>
          <w:spacing w:val="-5"/>
          <w:sz w:val="18"/>
        </w:rPr>
        <w:t>were</w:t>
      </w:r>
    </w:p>
    <w:p>
      <w:pPr>
        <w:spacing w:after="0" w:line="232" w:lineRule="auto"/>
        <w:jc w:val="left"/>
        <w:rPr>
          <w:sz w:val="18"/>
        </w:rPr>
        <w:sectPr>
          <w:type w:val="continuous"/>
          <w:pgSz w:w="11900" w:h="16840"/>
          <w:pgMar w:top="1220" w:bottom="280" w:left="620" w:right="640"/>
          <w:cols w:num="2" w:equalWidth="0">
            <w:col w:w="5134" w:space="253"/>
            <w:col w:w="5253"/>
          </w:cols>
        </w:sectPr>
      </w:pPr>
    </w:p>
    <w:p>
      <w:pPr>
        <w:pStyle w:val="BodyText"/>
        <w:rPr>
          <w:sz w:val="20"/>
        </w:rPr>
      </w:pPr>
    </w:p>
    <w:p>
      <w:pPr>
        <w:spacing w:after="0"/>
        <w:rPr>
          <w:sz w:val="20"/>
        </w:rPr>
        <w:sectPr>
          <w:pgSz w:w="11900" w:h="16840"/>
          <w:pgMar w:header="566" w:footer="597" w:top="760" w:bottom="780" w:left="620" w:right="640"/>
        </w:sectPr>
      </w:pPr>
    </w:p>
    <w:p>
      <w:pPr>
        <w:pStyle w:val="BodyText"/>
        <w:spacing w:before="7"/>
        <w:rPr>
          <w:sz w:val="19"/>
        </w:rPr>
      </w:pPr>
    </w:p>
    <w:p>
      <w:pPr>
        <w:pStyle w:val="BodyText"/>
        <w:spacing w:line="232" w:lineRule="auto" w:before="1"/>
        <w:ind w:left="160" w:right="59"/>
      </w:pPr>
      <w:r>
        <w:rPr>
          <w:color w:val="231F20"/>
        </w:rPr>
        <w:t>emphasised. First, it was possible that equity prices would rise faster than assumed in the central projection, putting upward pressure on consumption and investment. Second, sterling’s recent fall meant both that its starting point was lower than assumed in the central projection and also that its depreciation might be steeper as, with uncertainty about EMU reducing, it was more likely that a turning point for sterling had been reached. Third, the minimum wage was expected to put upward pressure on inflation and there was not enough leeway in the outlook for there to be no policy response at all until its terms were known. Fourth, inflation was set to be rising into the third year even on the central projection’s assumptions. On these arguments the safer stance was for policy to be tightened by a further 25 basis points immediately.</w:t>
      </w:r>
    </w:p>
    <w:p>
      <w:pPr>
        <w:pStyle w:val="BodyText"/>
        <w:spacing w:before="5"/>
        <w:rPr>
          <w:sz w:val="16"/>
        </w:rPr>
      </w:pPr>
    </w:p>
    <w:p>
      <w:pPr>
        <w:pStyle w:val="ListParagraph"/>
        <w:numPr>
          <w:ilvl w:val="0"/>
          <w:numId w:val="41"/>
        </w:numPr>
        <w:tabs>
          <w:tab w:pos="639" w:val="left" w:leader="none"/>
          <w:tab w:pos="641" w:val="left" w:leader="none"/>
        </w:tabs>
        <w:spacing w:line="232" w:lineRule="auto" w:before="1" w:after="0"/>
        <w:ind w:left="160" w:right="38" w:firstLine="0"/>
        <w:jc w:val="left"/>
        <w:rPr>
          <w:sz w:val="18"/>
        </w:rPr>
      </w:pPr>
      <w:r>
        <w:rPr>
          <w:color w:val="231F20"/>
          <w:sz w:val="18"/>
        </w:rPr>
        <w:t>A fourth view stressed the gathering evidence that the economy, including parts of the services sector, was now clearly slowing. On the new central projection, inflation was forecast to be below the target for virtually all of the forecast period. This was consistent with a soft landing—the desired rebalancing of external and domestic demand in the economy as it returned to trend </w:t>
      </w:r>
      <w:r>
        <w:rPr>
          <w:color w:val="231F20"/>
          <w:spacing w:val="-3"/>
          <w:sz w:val="18"/>
        </w:rPr>
        <w:t>growth. </w:t>
      </w:r>
      <w:r>
        <w:rPr>
          <w:color w:val="231F20"/>
          <w:sz w:val="18"/>
        </w:rPr>
        <w:t>Yet with official interest rates at their current level, the yield curve remained steeply inverted and the real short-term interest rate was probably over 4%. Policy was therefore tighter than was necessary at this stage of the cycle. While there were upside risks to inflation, there were also downside risks both to output and to inflation, including the possibility that inflation expectations could moderate further as the economy slowed and the headline rate came down in the summer, which could help to contain wage pressures. The</w:t>
      </w:r>
    </w:p>
    <w:p>
      <w:pPr>
        <w:pStyle w:val="BodyText"/>
        <w:spacing w:before="7"/>
        <w:rPr>
          <w:sz w:val="19"/>
        </w:rPr>
      </w:pPr>
      <w:r>
        <w:rPr/>
        <w:br w:type="column"/>
      </w:r>
      <w:r>
        <w:rPr>
          <w:sz w:val="19"/>
        </w:rPr>
      </w:r>
    </w:p>
    <w:p>
      <w:pPr>
        <w:pStyle w:val="BodyText"/>
        <w:spacing w:line="232" w:lineRule="auto" w:before="1"/>
        <w:ind w:left="160" w:right="187"/>
      </w:pPr>
      <w:r>
        <w:rPr>
          <w:color w:val="231F20"/>
        </w:rPr>
        <w:t>upside implications of the minimum wage would need to be assessed with the downside effects of the Government’s New </w:t>
      </w:r>
      <w:r>
        <w:rPr>
          <w:color w:val="231F20"/>
          <w:spacing w:val="-4"/>
        </w:rPr>
        <w:t>Deal. </w:t>
      </w:r>
      <w:r>
        <w:rPr>
          <w:color w:val="231F20"/>
        </w:rPr>
        <w:t>Until that was done it was hard to justify a presumption either </w:t>
      </w:r>
      <w:r>
        <w:rPr>
          <w:color w:val="231F20"/>
          <w:spacing w:val="-4"/>
        </w:rPr>
        <w:t>way. </w:t>
      </w:r>
      <w:r>
        <w:rPr>
          <w:color w:val="231F20"/>
        </w:rPr>
        <w:t>On these arguments, there was a case for reducing rates now, by</w:t>
      </w:r>
    </w:p>
    <w:p>
      <w:pPr>
        <w:pStyle w:val="BodyText"/>
        <w:spacing w:line="232" w:lineRule="auto"/>
        <w:ind w:left="160" w:right="187"/>
      </w:pPr>
      <w:r>
        <w:rPr>
          <w:color w:val="231F20"/>
        </w:rPr>
        <w:t>25 basis points, to begin the process of moving policy back to a more neutral stance, consistent with meeting the inflation</w:t>
      </w:r>
      <w:r>
        <w:rPr>
          <w:color w:val="231F20"/>
          <w:spacing w:val="3"/>
        </w:rPr>
        <w:t> </w:t>
      </w:r>
      <w:r>
        <w:rPr>
          <w:color w:val="231F20"/>
          <w:spacing w:val="-3"/>
        </w:rPr>
        <w:t>target.</w:t>
      </w:r>
    </w:p>
    <w:p>
      <w:pPr>
        <w:pStyle w:val="BodyText"/>
        <w:spacing w:before="11"/>
        <w:rPr>
          <w:sz w:val="16"/>
        </w:rPr>
      </w:pPr>
    </w:p>
    <w:p>
      <w:pPr>
        <w:pStyle w:val="ListParagraph"/>
        <w:numPr>
          <w:ilvl w:val="0"/>
          <w:numId w:val="42"/>
        </w:numPr>
        <w:tabs>
          <w:tab w:pos="639" w:val="left" w:leader="none"/>
          <w:tab w:pos="641" w:val="left" w:leader="none"/>
        </w:tabs>
        <w:spacing w:line="232" w:lineRule="auto" w:before="0" w:after="0"/>
        <w:ind w:left="160" w:right="209" w:firstLine="0"/>
        <w:jc w:val="left"/>
        <w:rPr>
          <w:sz w:val="18"/>
        </w:rPr>
      </w:pPr>
      <w:r>
        <w:rPr>
          <w:color w:val="231F20"/>
          <w:sz w:val="18"/>
        </w:rPr>
        <w:t>The Governor invited members of the Committee to vote on the proposition that the Bank’s repo rate be left unchanged this month. Six members of the Committee (the Governor, David Clementi, Alan Budd, Charles Goodhart, Mervyn King and Ian Plenderleith) voted for the proposition, and two (Willem Buiter </w:t>
      </w:r>
      <w:r>
        <w:rPr>
          <w:color w:val="231F20"/>
          <w:spacing w:val="-6"/>
          <w:sz w:val="18"/>
        </w:rPr>
        <w:t>and </w:t>
      </w:r>
      <w:r>
        <w:rPr>
          <w:color w:val="231F20"/>
          <w:sz w:val="18"/>
        </w:rPr>
        <w:t>DeAnne Julius) voted against. Willem Buiter preferred an immediate rise in interest rates and DeAnne Julius an immediate cut.</w:t>
      </w:r>
    </w:p>
    <w:p>
      <w:pPr>
        <w:pStyle w:val="ListParagraph"/>
        <w:numPr>
          <w:ilvl w:val="0"/>
          <w:numId w:val="42"/>
        </w:numPr>
        <w:tabs>
          <w:tab w:pos="639" w:val="left" w:leader="none"/>
          <w:tab w:pos="641" w:val="left" w:leader="none"/>
        </w:tabs>
        <w:spacing w:line="400" w:lineRule="exact" w:before="37" w:after="0"/>
        <w:ind w:left="160" w:right="554" w:firstLine="0"/>
        <w:jc w:val="left"/>
        <w:rPr>
          <w:sz w:val="18"/>
        </w:rPr>
      </w:pPr>
      <w:r>
        <w:rPr>
          <w:color w:val="231F20"/>
          <w:sz w:val="18"/>
        </w:rPr>
        <w:t>The following members of the Committee were </w:t>
      </w:r>
      <w:r>
        <w:rPr>
          <w:color w:val="231F20"/>
          <w:spacing w:val="-3"/>
          <w:sz w:val="18"/>
        </w:rPr>
        <w:t>present: </w:t>
      </w:r>
      <w:r>
        <w:rPr>
          <w:color w:val="231F20"/>
          <w:sz w:val="18"/>
        </w:rPr>
        <w:t>Eddie George (Governor)</w:t>
      </w:r>
    </w:p>
    <w:p>
      <w:pPr>
        <w:pStyle w:val="BodyText"/>
        <w:spacing w:line="155" w:lineRule="exact"/>
        <w:ind w:left="160"/>
      </w:pPr>
      <w:r>
        <w:rPr>
          <w:color w:val="231F20"/>
        </w:rPr>
        <w:t>David Clementi (Deputy Governor)</w:t>
      </w:r>
    </w:p>
    <w:p>
      <w:pPr>
        <w:pStyle w:val="BodyText"/>
        <w:spacing w:line="232" w:lineRule="auto" w:before="1"/>
        <w:ind w:left="160" w:right="3785"/>
      </w:pPr>
      <w:r>
        <w:rPr>
          <w:color w:val="231F20"/>
        </w:rPr>
        <w:t>Alan Budd Willem Buiter Charles Goodhart DeAnne Julius Mervyn King</w:t>
      </w:r>
    </w:p>
    <w:p>
      <w:pPr>
        <w:pStyle w:val="BodyText"/>
        <w:spacing w:line="198" w:lineRule="exact"/>
        <w:ind w:left="160"/>
      </w:pPr>
      <w:r>
        <w:rPr>
          <w:color w:val="231F20"/>
        </w:rPr>
        <w:t>Ian Plenderleith</w:t>
      </w:r>
    </w:p>
    <w:p>
      <w:pPr>
        <w:pStyle w:val="BodyText"/>
        <w:spacing w:before="9"/>
        <w:rPr>
          <w:sz w:val="16"/>
        </w:rPr>
      </w:pPr>
    </w:p>
    <w:p>
      <w:pPr>
        <w:pStyle w:val="ListParagraph"/>
        <w:numPr>
          <w:ilvl w:val="0"/>
          <w:numId w:val="42"/>
        </w:numPr>
        <w:tabs>
          <w:tab w:pos="639" w:val="left" w:leader="none"/>
          <w:tab w:pos="641" w:val="left" w:leader="none"/>
        </w:tabs>
        <w:spacing w:line="240" w:lineRule="auto" w:before="0" w:after="0"/>
        <w:ind w:left="640" w:right="0" w:hanging="481"/>
        <w:jc w:val="left"/>
        <w:rPr>
          <w:sz w:val="18"/>
        </w:rPr>
      </w:pPr>
      <w:r>
        <w:rPr>
          <w:color w:val="231F20"/>
          <w:sz w:val="18"/>
        </w:rPr>
        <w:t>Terry Burns was also present as the Treasury representative.</w:t>
      </w:r>
    </w:p>
    <w:p>
      <w:pPr>
        <w:spacing w:after="0" w:line="240" w:lineRule="auto"/>
        <w:jc w:val="left"/>
        <w:rPr>
          <w:sz w:val="18"/>
        </w:rPr>
        <w:sectPr>
          <w:type w:val="continuous"/>
          <w:pgSz w:w="11900" w:h="16840"/>
          <w:pgMar w:top="1220" w:bottom="280" w:left="620" w:right="640"/>
          <w:cols w:num="2" w:equalWidth="0">
            <w:col w:w="5109" w:space="291"/>
            <w:col w:w="5240"/>
          </w:cols>
        </w:sectPr>
      </w:pPr>
    </w:p>
    <w:p>
      <w:pPr>
        <w:pStyle w:val="BodyText"/>
        <w:rPr>
          <w:sz w:val="20"/>
        </w:rPr>
      </w:pPr>
    </w:p>
    <w:p>
      <w:pPr>
        <w:pStyle w:val="BodyText"/>
        <w:rPr>
          <w:sz w:val="20"/>
        </w:rPr>
      </w:pPr>
    </w:p>
    <w:p>
      <w:pPr>
        <w:pStyle w:val="Heading1"/>
        <w:spacing w:before="256"/>
        <w:ind w:left="189"/>
      </w:pPr>
      <w:r>
        <w:rPr>
          <w:color w:val="009483"/>
        </w:rPr>
        <w:t>Annex: Summary of data presented by Bank staff</w:t>
      </w:r>
    </w:p>
    <w:p>
      <w:pPr>
        <w:pStyle w:val="BodyText"/>
        <w:spacing w:before="5"/>
        <w:rPr>
          <w:b/>
          <w:sz w:val="26"/>
        </w:rPr>
      </w:pPr>
    </w:p>
    <w:p>
      <w:pPr>
        <w:spacing w:after="0"/>
        <w:rPr>
          <w:sz w:val="26"/>
        </w:rPr>
        <w:sectPr>
          <w:pgSz w:w="11900" w:h="16840"/>
          <w:pgMar w:header="566" w:footer="597" w:top="760" w:bottom="780" w:left="620" w:right="640"/>
        </w:sectPr>
      </w:pPr>
    </w:p>
    <w:p>
      <w:pPr>
        <w:pStyle w:val="ListParagraph"/>
        <w:numPr>
          <w:ilvl w:val="0"/>
          <w:numId w:val="43"/>
        </w:numPr>
        <w:tabs>
          <w:tab w:pos="669" w:val="left" w:leader="none"/>
          <w:tab w:pos="671" w:val="left" w:leader="none"/>
        </w:tabs>
        <w:spacing w:line="232" w:lineRule="auto" w:before="98" w:after="0"/>
        <w:ind w:left="190" w:right="77" w:firstLine="0"/>
        <w:jc w:val="left"/>
        <w:rPr>
          <w:sz w:val="18"/>
        </w:rPr>
      </w:pPr>
      <w:r>
        <w:rPr>
          <w:color w:val="231F20"/>
          <w:sz w:val="18"/>
        </w:rPr>
        <w:t>This Annex summarises the analysis presented by Bank </w:t>
      </w:r>
      <w:r>
        <w:rPr>
          <w:color w:val="231F20"/>
          <w:spacing w:val="-4"/>
          <w:sz w:val="18"/>
        </w:rPr>
        <w:t>staff </w:t>
      </w:r>
      <w:r>
        <w:rPr>
          <w:color w:val="231F20"/>
          <w:sz w:val="18"/>
        </w:rPr>
        <w:t>to the Monetary Policy Committee on 1 May 1998, in advance of its meeting. At the start of the Committee meeting itself, members were made aware of information that had subsequently become available, and that information is included in the Annex.</w:t>
      </w:r>
    </w:p>
    <w:p>
      <w:pPr>
        <w:pStyle w:val="BodyText"/>
        <w:spacing w:before="3"/>
        <w:rPr>
          <w:sz w:val="20"/>
        </w:rPr>
      </w:pPr>
    </w:p>
    <w:p>
      <w:pPr>
        <w:pStyle w:val="Heading6"/>
        <w:numPr>
          <w:ilvl w:val="0"/>
          <w:numId w:val="44"/>
        </w:numPr>
        <w:tabs>
          <w:tab w:pos="671" w:val="left" w:leader="none"/>
        </w:tabs>
        <w:spacing w:line="240" w:lineRule="auto" w:before="0" w:after="0"/>
        <w:ind w:left="670" w:right="0" w:hanging="481"/>
        <w:jc w:val="both"/>
      </w:pPr>
      <w:r>
        <w:rPr>
          <w:color w:val="009483"/>
        </w:rPr>
        <w:t>Monetary conditions</w:t>
      </w:r>
    </w:p>
    <w:p>
      <w:pPr>
        <w:pStyle w:val="ListParagraph"/>
        <w:numPr>
          <w:ilvl w:val="0"/>
          <w:numId w:val="43"/>
        </w:numPr>
        <w:tabs>
          <w:tab w:pos="671" w:val="left" w:leader="none"/>
        </w:tabs>
        <w:spacing w:line="232" w:lineRule="auto" w:before="110" w:after="0"/>
        <w:ind w:left="190" w:right="38" w:firstLine="0"/>
        <w:jc w:val="both"/>
        <w:rPr>
          <w:sz w:val="18"/>
        </w:rPr>
      </w:pPr>
      <w:r>
        <w:rPr>
          <w:color w:val="231F20"/>
          <w:sz w:val="18"/>
        </w:rPr>
        <w:t>The annual growth rate of notes and coin had slowed to </w:t>
      </w:r>
      <w:r>
        <w:rPr>
          <w:color w:val="231F20"/>
          <w:spacing w:val="-5"/>
          <w:sz w:val="18"/>
        </w:rPr>
        <w:t>6.5% </w:t>
      </w:r>
      <w:r>
        <w:rPr>
          <w:color w:val="231F20"/>
          <w:sz w:val="18"/>
        </w:rPr>
        <w:t>in April after adjusting for the effects of the introduction of the new 50p coin, which was still adding 0.1 percentage points to the</w:t>
      </w:r>
    </w:p>
    <w:p>
      <w:pPr>
        <w:pStyle w:val="BodyText"/>
        <w:spacing w:line="200" w:lineRule="exact"/>
        <w:ind w:left="190"/>
        <w:jc w:val="both"/>
      </w:pPr>
      <w:r>
        <w:rPr>
          <w:color w:val="231F20"/>
        </w:rPr>
        <w:t>twelve-month growth rate.</w:t>
      </w:r>
    </w:p>
    <w:p>
      <w:pPr>
        <w:pStyle w:val="BodyText"/>
        <w:spacing w:before="2"/>
        <w:rPr>
          <w:sz w:val="17"/>
        </w:rPr>
      </w:pPr>
    </w:p>
    <w:p>
      <w:pPr>
        <w:pStyle w:val="ListParagraph"/>
        <w:numPr>
          <w:ilvl w:val="0"/>
          <w:numId w:val="43"/>
        </w:numPr>
        <w:tabs>
          <w:tab w:pos="669" w:val="left" w:leader="none"/>
          <w:tab w:pos="671" w:val="left" w:leader="none"/>
        </w:tabs>
        <w:spacing w:line="232" w:lineRule="auto" w:before="0" w:after="0"/>
        <w:ind w:left="190" w:right="233" w:firstLine="0"/>
        <w:jc w:val="left"/>
        <w:rPr>
          <w:sz w:val="18"/>
        </w:rPr>
      </w:pPr>
      <w:r>
        <w:rPr>
          <w:color w:val="231F20"/>
          <w:sz w:val="18"/>
        </w:rPr>
        <w:t>The growth of other ‘narrow’ measures of money was </w:t>
      </w:r>
      <w:r>
        <w:rPr>
          <w:color w:val="231F20"/>
          <w:spacing w:val="-5"/>
          <w:sz w:val="18"/>
        </w:rPr>
        <w:t>also </w:t>
      </w:r>
      <w:r>
        <w:rPr>
          <w:color w:val="231F20"/>
          <w:sz w:val="18"/>
        </w:rPr>
        <w:t>slower in March. The £1.1 billion inflow into retail M4 deposits had been the smallest monthly flow since April 1997, and the twelve-month growth rate had fallen to 6.5% from 7.0% in February. However, the March inflow might have been distorted by two factors. First, February had ended at a weekend, so</w:t>
      </w:r>
    </w:p>
    <w:p>
      <w:pPr>
        <w:pStyle w:val="BodyText"/>
        <w:spacing w:line="232" w:lineRule="auto"/>
        <w:ind w:left="190" w:right="120"/>
      </w:pPr>
      <w:r>
        <w:rPr>
          <w:color w:val="231F20"/>
        </w:rPr>
        <w:t>end-February direct debit payments would have been held over to be paid in March; second, retail inflows to unit trusts had been very strong in the wake of Budget announcements about the future of personal equity plans (PEPs).</w:t>
      </w:r>
    </w:p>
    <w:p>
      <w:pPr>
        <w:pStyle w:val="BodyText"/>
        <w:spacing w:before="8"/>
        <w:rPr>
          <w:sz w:val="16"/>
        </w:rPr>
      </w:pPr>
    </w:p>
    <w:p>
      <w:pPr>
        <w:pStyle w:val="ListParagraph"/>
        <w:numPr>
          <w:ilvl w:val="0"/>
          <w:numId w:val="43"/>
        </w:numPr>
        <w:tabs>
          <w:tab w:pos="669" w:val="left" w:leader="none"/>
          <w:tab w:pos="671" w:val="left" w:leader="none"/>
        </w:tabs>
        <w:spacing w:line="232" w:lineRule="auto" w:before="1" w:after="0"/>
        <w:ind w:left="190" w:right="42" w:firstLine="0"/>
        <w:jc w:val="left"/>
        <w:rPr>
          <w:sz w:val="18"/>
        </w:rPr>
      </w:pPr>
      <w:r>
        <w:rPr>
          <w:color w:val="231F20"/>
          <w:sz w:val="18"/>
        </w:rPr>
        <w:t>Divisia money growth had also fallen sharply. Growth in </w:t>
      </w:r>
      <w:r>
        <w:rPr>
          <w:color w:val="231F20"/>
          <w:spacing w:val="-6"/>
          <w:sz w:val="18"/>
        </w:rPr>
        <w:t>the </w:t>
      </w:r>
      <w:r>
        <w:rPr>
          <w:color w:val="231F20"/>
          <w:sz w:val="18"/>
        </w:rPr>
        <w:t>four quarters to Q1 was 8.5%, down from 10.8% in Q4. The fall in one-quarter-annualised rates was sharper, coming down from 11.5% to 3.6%. The fall had largely been accounted for by the personal sector, where the four-quarter growth rate was 6.6%, down from 9.4% in Q4, while the one-quarter-annualised growth rate had fallen to 0.8%. This partly reflected a move out of</w:t>
      </w:r>
    </w:p>
    <w:p>
      <w:pPr>
        <w:pStyle w:val="BodyText"/>
        <w:spacing w:line="197" w:lineRule="exact"/>
        <w:ind w:left="190"/>
      </w:pPr>
      <w:r>
        <w:rPr>
          <w:color w:val="231F20"/>
        </w:rPr>
        <w:t>non-interest-bearing deposits in 1998 Q1.</w:t>
      </w:r>
    </w:p>
    <w:p>
      <w:pPr>
        <w:pStyle w:val="BodyText"/>
        <w:spacing w:before="2"/>
        <w:rPr>
          <w:sz w:val="17"/>
        </w:rPr>
      </w:pPr>
    </w:p>
    <w:p>
      <w:pPr>
        <w:pStyle w:val="ListParagraph"/>
        <w:numPr>
          <w:ilvl w:val="0"/>
          <w:numId w:val="43"/>
        </w:numPr>
        <w:tabs>
          <w:tab w:pos="669" w:val="left" w:leader="none"/>
          <w:tab w:pos="671" w:val="left" w:leader="none"/>
        </w:tabs>
        <w:spacing w:line="232" w:lineRule="auto" w:before="0" w:after="0"/>
        <w:ind w:left="190" w:right="63" w:firstLine="0"/>
        <w:jc w:val="left"/>
        <w:rPr>
          <w:sz w:val="18"/>
        </w:rPr>
      </w:pPr>
      <w:r>
        <w:rPr>
          <w:color w:val="231F20"/>
          <w:sz w:val="18"/>
        </w:rPr>
        <w:t>Aggregate M4 growth had slowed in March, but annual growth rates from December to February had been revised up by </w:t>
      </w:r>
      <w:r>
        <w:rPr>
          <w:color w:val="231F20"/>
          <w:spacing w:val="-9"/>
          <w:sz w:val="18"/>
        </w:rPr>
        <w:t>an </w:t>
      </w:r>
      <w:r>
        <w:rPr>
          <w:color w:val="231F20"/>
          <w:sz w:val="18"/>
        </w:rPr>
        <w:t>average of 0.3 percentage points in each month. The twelve-month growth rate had fallen below 10% in March, to 9.8%, and the</w:t>
      </w:r>
    </w:p>
    <w:p>
      <w:pPr>
        <w:pStyle w:val="BodyText"/>
        <w:spacing w:line="232" w:lineRule="auto"/>
        <w:ind w:left="190" w:right="225"/>
      </w:pPr>
      <w:r>
        <w:rPr>
          <w:color w:val="231F20"/>
        </w:rPr>
        <w:t>six-month and three-month annualised growth rates were slightly lower than this.</w:t>
      </w:r>
    </w:p>
    <w:p>
      <w:pPr>
        <w:pStyle w:val="BodyText"/>
        <w:rPr>
          <w:sz w:val="17"/>
        </w:rPr>
      </w:pPr>
    </w:p>
    <w:p>
      <w:pPr>
        <w:pStyle w:val="ListParagraph"/>
        <w:numPr>
          <w:ilvl w:val="0"/>
          <w:numId w:val="43"/>
        </w:numPr>
        <w:tabs>
          <w:tab w:pos="669" w:val="left" w:leader="none"/>
          <w:tab w:pos="671" w:val="left" w:leader="none"/>
        </w:tabs>
        <w:spacing w:line="232" w:lineRule="auto" w:before="0" w:after="0"/>
        <w:ind w:left="190" w:right="87" w:firstLine="0"/>
        <w:jc w:val="left"/>
        <w:rPr>
          <w:sz w:val="18"/>
        </w:rPr>
      </w:pPr>
      <w:r>
        <w:rPr>
          <w:color w:val="231F20"/>
          <w:sz w:val="18"/>
        </w:rPr>
        <w:t>Personal sector M4 growth had weakened in Q1, with the twelve-month growth rate falling from 8.3% to 6.3%. This was </w:t>
      </w:r>
      <w:r>
        <w:rPr>
          <w:color w:val="231F20"/>
          <w:spacing w:val="-6"/>
          <w:sz w:val="18"/>
        </w:rPr>
        <w:t>the </w:t>
      </w:r>
      <w:r>
        <w:rPr>
          <w:color w:val="231F20"/>
          <w:sz w:val="18"/>
        </w:rPr>
        <w:t>first quarter since 1996 Q4 not to have been affected by</w:t>
      </w:r>
    </w:p>
    <w:p>
      <w:pPr>
        <w:pStyle w:val="BodyText"/>
        <w:spacing w:line="232" w:lineRule="auto"/>
        <w:ind w:left="190" w:right="45"/>
      </w:pPr>
      <w:r>
        <w:rPr>
          <w:color w:val="231F20"/>
        </w:rPr>
        <w:t>windfall-related flows, and self-assessment tax receipts had been some £5 billion higher than in 1997 Q1. In addition, the figure would have been affected by large flows into PEPs at the end of the quarter.</w:t>
      </w:r>
    </w:p>
    <w:p>
      <w:pPr>
        <w:pStyle w:val="BodyText"/>
        <w:spacing w:before="10"/>
        <w:rPr>
          <w:sz w:val="16"/>
        </w:rPr>
      </w:pPr>
    </w:p>
    <w:p>
      <w:pPr>
        <w:pStyle w:val="ListParagraph"/>
        <w:numPr>
          <w:ilvl w:val="0"/>
          <w:numId w:val="43"/>
        </w:numPr>
        <w:tabs>
          <w:tab w:pos="669" w:val="left" w:leader="none"/>
          <w:tab w:pos="671" w:val="left" w:leader="none"/>
        </w:tabs>
        <w:spacing w:line="232" w:lineRule="auto" w:before="1" w:after="0"/>
        <w:ind w:left="190" w:right="292" w:firstLine="0"/>
        <w:jc w:val="left"/>
        <w:rPr>
          <w:sz w:val="18"/>
        </w:rPr>
      </w:pPr>
      <w:r>
        <w:rPr>
          <w:color w:val="231F20"/>
          <w:sz w:val="18"/>
        </w:rPr>
        <w:t>ICCs’ M4 deposits rose sharply in March; the one-month growth rate had been 3.0%. The rise in Q1, at 2.4%, was the largest since 1996 Q2. Much of the March inflow had been into sight deposits, and in Q1 as a whole there was a large rise in deposits placed by the legal, accountancy and consultancy</w:t>
      </w:r>
    </w:p>
    <w:p>
      <w:pPr>
        <w:pStyle w:val="BodyText"/>
        <w:spacing w:line="198" w:lineRule="exact"/>
        <w:ind w:left="190"/>
      </w:pPr>
      <w:r>
        <w:rPr>
          <w:color w:val="231F20"/>
        </w:rPr>
        <w:t>sub-sector.</w:t>
      </w:r>
    </w:p>
    <w:p>
      <w:pPr>
        <w:pStyle w:val="BodyText"/>
        <w:spacing w:before="2"/>
        <w:rPr>
          <w:sz w:val="17"/>
        </w:rPr>
      </w:pPr>
    </w:p>
    <w:p>
      <w:pPr>
        <w:pStyle w:val="ListParagraph"/>
        <w:numPr>
          <w:ilvl w:val="0"/>
          <w:numId w:val="43"/>
        </w:numPr>
        <w:tabs>
          <w:tab w:pos="669" w:val="left" w:leader="none"/>
          <w:tab w:pos="671" w:val="left" w:leader="none"/>
        </w:tabs>
        <w:spacing w:line="232" w:lineRule="auto" w:before="0" w:after="0"/>
        <w:ind w:left="190" w:right="337" w:firstLine="0"/>
        <w:jc w:val="left"/>
        <w:rPr>
          <w:sz w:val="18"/>
        </w:rPr>
      </w:pPr>
      <w:r>
        <w:rPr>
          <w:color w:val="231F20"/>
          <w:sz w:val="18"/>
        </w:rPr>
        <w:t>OFIs’ annual M4 growth was 21.8% in Q1, down from 26.1% in Q4. The six-month annualised rate, which was not distorted by the strong rise in repo transactions in 1997 Q1, </w:t>
      </w:r>
      <w:r>
        <w:rPr>
          <w:color w:val="231F20"/>
          <w:spacing w:val="-6"/>
          <w:sz w:val="18"/>
        </w:rPr>
        <w:t>was </w:t>
      </w:r>
      <w:r>
        <w:rPr>
          <w:color w:val="231F20"/>
          <w:sz w:val="18"/>
        </w:rPr>
        <w:t>still above 20%.</w:t>
      </w:r>
    </w:p>
    <w:p>
      <w:pPr>
        <w:pStyle w:val="BodyText"/>
        <w:spacing w:before="1"/>
        <w:rPr>
          <w:sz w:val="17"/>
        </w:rPr>
      </w:pPr>
    </w:p>
    <w:p>
      <w:pPr>
        <w:pStyle w:val="ListParagraph"/>
        <w:numPr>
          <w:ilvl w:val="0"/>
          <w:numId w:val="43"/>
        </w:numPr>
        <w:tabs>
          <w:tab w:pos="669" w:val="left" w:leader="none"/>
          <w:tab w:pos="671" w:val="left" w:leader="none"/>
        </w:tabs>
        <w:spacing w:line="232" w:lineRule="auto" w:before="1" w:after="0"/>
        <w:ind w:left="190" w:right="128" w:firstLine="0"/>
        <w:jc w:val="left"/>
        <w:rPr>
          <w:sz w:val="18"/>
        </w:rPr>
      </w:pPr>
      <w:r>
        <w:rPr>
          <w:color w:val="231F20"/>
          <w:sz w:val="18"/>
        </w:rPr>
        <w:t>M4 lending had risen 0.3% on the previous month and by 8.4% on a year earlier, compared with 1.2% and 8.9% </w:t>
      </w:r>
      <w:r>
        <w:rPr>
          <w:color w:val="231F20"/>
          <w:spacing w:val="-2"/>
          <w:sz w:val="18"/>
        </w:rPr>
        <w:t>respectively </w:t>
      </w:r>
      <w:r>
        <w:rPr>
          <w:color w:val="231F20"/>
          <w:sz w:val="18"/>
        </w:rPr>
        <w:t>in February.</w:t>
      </w:r>
    </w:p>
    <w:p>
      <w:pPr>
        <w:pStyle w:val="BodyText"/>
        <w:spacing w:before="2"/>
        <w:rPr>
          <w:sz w:val="17"/>
        </w:rPr>
      </w:pPr>
    </w:p>
    <w:p>
      <w:pPr>
        <w:pStyle w:val="ListParagraph"/>
        <w:numPr>
          <w:ilvl w:val="0"/>
          <w:numId w:val="43"/>
        </w:numPr>
        <w:tabs>
          <w:tab w:pos="669" w:val="left" w:leader="none"/>
          <w:tab w:pos="671" w:val="left" w:leader="none"/>
        </w:tabs>
        <w:spacing w:line="232" w:lineRule="auto" w:before="0" w:after="0"/>
        <w:ind w:left="190" w:right="153" w:firstLine="0"/>
        <w:jc w:val="left"/>
        <w:rPr>
          <w:sz w:val="18"/>
        </w:rPr>
      </w:pPr>
      <w:r>
        <w:rPr>
          <w:color w:val="231F20"/>
          <w:sz w:val="18"/>
        </w:rPr>
        <w:t>Lending to individuals had remained steady at 7.5% in March. There had been further signs of a modest slowdown in secured lending, in line with some indicators of activity and </w:t>
      </w:r>
      <w:r>
        <w:rPr>
          <w:color w:val="231F20"/>
          <w:spacing w:val="-3"/>
          <w:sz w:val="18"/>
        </w:rPr>
        <w:t>prices</w:t>
      </w:r>
    </w:p>
    <w:p>
      <w:pPr>
        <w:pStyle w:val="BodyText"/>
        <w:spacing w:line="232" w:lineRule="auto" w:before="97"/>
        <w:ind w:left="190" w:right="168"/>
      </w:pPr>
      <w:r>
        <w:rPr/>
        <w:br w:type="column"/>
      </w:r>
      <w:r>
        <w:rPr>
          <w:color w:val="231F20"/>
        </w:rPr>
        <w:t>in the housing market. Although mortgage approvals were rising strongly in volume and value terms, this could be consistent with a rise in remortgaging activity, of which there was some evidence in figures released by the Council of Mortgage Lenders and estimates by Bank staff. Growth in total unsecured lending to individuals </w:t>
      </w:r>
      <w:r>
        <w:rPr>
          <w:color w:val="231F20"/>
          <w:spacing w:val="-6"/>
        </w:rPr>
        <w:t>had </w:t>
      </w:r>
      <w:r>
        <w:rPr>
          <w:color w:val="231F20"/>
        </w:rPr>
        <w:t>continued to rise strongly, with the twelve-month growth rate rising to 16.6% in March; credit card lending—around 20% of the stock of unsecured credit—had been growing particularly strongly at 23.5%.</w:t>
      </w:r>
    </w:p>
    <w:p>
      <w:pPr>
        <w:pStyle w:val="BodyText"/>
        <w:spacing w:before="9"/>
        <w:rPr>
          <w:sz w:val="16"/>
        </w:rPr>
      </w:pPr>
    </w:p>
    <w:p>
      <w:pPr>
        <w:pStyle w:val="ListParagraph"/>
        <w:numPr>
          <w:ilvl w:val="0"/>
          <w:numId w:val="43"/>
        </w:numPr>
        <w:tabs>
          <w:tab w:pos="669" w:val="left" w:leader="none"/>
          <w:tab w:pos="671" w:val="left" w:leader="none"/>
        </w:tabs>
        <w:spacing w:line="232" w:lineRule="auto" w:before="1" w:after="0"/>
        <w:ind w:left="190" w:right="189" w:firstLine="0"/>
        <w:jc w:val="left"/>
        <w:rPr>
          <w:sz w:val="18"/>
        </w:rPr>
      </w:pPr>
      <w:r>
        <w:rPr>
          <w:color w:val="231F20"/>
          <w:sz w:val="18"/>
        </w:rPr>
        <w:t>Lending to ICCs had fallen by 0.1% in March. Growth in Q1, however, had risen to 2.3% from 0.6% in Q4, reflecting the strength in January and February. The twelve-month growth rate had risen from 3.2% to 5.6%. ICCs’ total external finance, including sterling and foreign currency capital issues, had also </w:t>
      </w:r>
      <w:r>
        <w:rPr>
          <w:color w:val="231F20"/>
          <w:spacing w:val="-5"/>
          <w:sz w:val="18"/>
        </w:rPr>
        <w:t>been </w:t>
      </w:r>
      <w:r>
        <w:rPr>
          <w:color w:val="231F20"/>
          <w:sz w:val="18"/>
        </w:rPr>
        <w:t>strong in Q1.</w:t>
      </w:r>
    </w:p>
    <w:p>
      <w:pPr>
        <w:pStyle w:val="BodyText"/>
        <w:spacing w:before="11"/>
        <w:rPr>
          <w:sz w:val="16"/>
        </w:rPr>
      </w:pPr>
    </w:p>
    <w:p>
      <w:pPr>
        <w:pStyle w:val="ListParagraph"/>
        <w:numPr>
          <w:ilvl w:val="0"/>
          <w:numId w:val="43"/>
        </w:numPr>
        <w:tabs>
          <w:tab w:pos="669" w:val="left" w:leader="none"/>
          <w:tab w:pos="671" w:val="left" w:leader="none"/>
        </w:tabs>
        <w:spacing w:line="232" w:lineRule="auto" w:before="0" w:after="0"/>
        <w:ind w:left="190" w:right="274" w:firstLine="0"/>
        <w:jc w:val="left"/>
        <w:rPr>
          <w:sz w:val="18"/>
        </w:rPr>
      </w:pPr>
      <w:r>
        <w:rPr>
          <w:color w:val="231F20"/>
          <w:sz w:val="18"/>
        </w:rPr>
        <w:t>The counterparts to M4 were affected by the PSBR having been overfunded by around £8</w:t>
      </w:r>
      <w:r>
        <w:rPr>
          <w:color w:val="231F20"/>
          <w:position w:val="6"/>
          <w:sz w:val="9"/>
        </w:rPr>
        <w:t>1</w:t>
      </w:r>
      <w:r>
        <w:rPr>
          <w:color w:val="231F20"/>
          <w:sz w:val="18"/>
        </w:rPr>
        <w:t>/</w:t>
      </w:r>
      <w:r>
        <w:rPr>
          <w:color w:val="231F20"/>
          <w:sz w:val="9"/>
        </w:rPr>
        <w:t>2 </w:t>
      </w:r>
      <w:r>
        <w:rPr>
          <w:color w:val="231F20"/>
          <w:sz w:val="18"/>
        </w:rPr>
        <w:t>billion in 1997/98. Assuming no behavioural offsets, the overfunding would have reduced M4 growth by 1.2 percentage points in the year to March 1998. HMG had announced that the overfinancing of the CGBR would be carried forward into 1998/99, reducing the size of planned gilt issuance. Again assuming no behavioural effects, this could </w:t>
      </w:r>
      <w:r>
        <w:rPr>
          <w:color w:val="231F20"/>
          <w:spacing w:val="-3"/>
          <w:sz w:val="18"/>
        </w:rPr>
        <w:t>result </w:t>
      </w:r>
      <w:r>
        <w:rPr>
          <w:color w:val="231F20"/>
          <w:sz w:val="18"/>
        </w:rPr>
        <w:t>in a net boost to M4 growth in 1998/99.</w:t>
      </w:r>
    </w:p>
    <w:p>
      <w:pPr>
        <w:pStyle w:val="BodyText"/>
        <w:spacing w:before="10"/>
        <w:rPr>
          <w:sz w:val="16"/>
        </w:rPr>
      </w:pPr>
    </w:p>
    <w:p>
      <w:pPr>
        <w:pStyle w:val="ListParagraph"/>
        <w:numPr>
          <w:ilvl w:val="0"/>
          <w:numId w:val="43"/>
        </w:numPr>
        <w:tabs>
          <w:tab w:pos="669" w:val="left" w:leader="none"/>
          <w:tab w:pos="671" w:val="left" w:leader="none"/>
        </w:tabs>
        <w:spacing w:line="232" w:lineRule="auto" w:before="0" w:after="0"/>
        <w:ind w:left="190" w:right="294" w:firstLine="0"/>
        <w:jc w:val="left"/>
        <w:rPr>
          <w:sz w:val="18"/>
        </w:rPr>
      </w:pPr>
      <w:r>
        <w:rPr>
          <w:color w:val="231F20"/>
          <w:sz w:val="18"/>
        </w:rPr>
        <w:t>Turning to financial price developments, unsecured </w:t>
      </w:r>
      <w:r>
        <w:rPr>
          <w:color w:val="231F20"/>
          <w:spacing w:val="-3"/>
          <w:sz w:val="18"/>
        </w:rPr>
        <w:t>lending </w:t>
      </w:r>
      <w:r>
        <w:rPr>
          <w:color w:val="231F20"/>
          <w:sz w:val="18"/>
        </w:rPr>
        <w:t>rates had fallen slightly along with those on secured fixed-rate loans, continuing the trend of 1997. In the money markets, there had been little net change in April in expected three-month interbank rates implied by short sterling futures.</w:t>
      </w:r>
    </w:p>
    <w:p>
      <w:pPr>
        <w:pStyle w:val="BodyText"/>
        <w:rPr>
          <w:sz w:val="17"/>
        </w:rPr>
      </w:pPr>
    </w:p>
    <w:p>
      <w:pPr>
        <w:pStyle w:val="ListParagraph"/>
        <w:numPr>
          <w:ilvl w:val="0"/>
          <w:numId w:val="43"/>
        </w:numPr>
        <w:tabs>
          <w:tab w:pos="669" w:val="left" w:leader="none"/>
          <w:tab w:pos="671" w:val="left" w:leader="none"/>
        </w:tabs>
        <w:spacing w:line="232" w:lineRule="auto" w:before="0" w:after="0"/>
        <w:ind w:left="190" w:right="204" w:firstLine="0"/>
        <w:jc w:val="left"/>
        <w:rPr>
          <w:sz w:val="18"/>
        </w:rPr>
      </w:pPr>
      <w:r>
        <w:rPr>
          <w:color w:val="231F20"/>
          <w:sz w:val="18"/>
        </w:rPr>
        <w:t>Short-term inflation expectations, as measured by the survey of professional forecasters carried out by Consensus Economics, had changed very little since the start of the year, with the April survey showing RPIX inflation expected to average 2.7% and </w:t>
      </w:r>
      <w:r>
        <w:rPr>
          <w:color w:val="231F20"/>
          <w:spacing w:val="-5"/>
          <w:sz w:val="18"/>
        </w:rPr>
        <w:t>2.8% </w:t>
      </w:r>
      <w:r>
        <w:rPr>
          <w:color w:val="231F20"/>
          <w:sz w:val="18"/>
        </w:rPr>
        <w:t>in 1998 and 1999 respectively.</w:t>
      </w:r>
    </w:p>
    <w:p>
      <w:pPr>
        <w:pStyle w:val="BodyText"/>
        <w:spacing w:before="1"/>
        <w:rPr>
          <w:sz w:val="17"/>
        </w:rPr>
      </w:pPr>
    </w:p>
    <w:p>
      <w:pPr>
        <w:pStyle w:val="ListParagraph"/>
        <w:numPr>
          <w:ilvl w:val="0"/>
          <w:numId w:val="43"/>
        </w:numPr>
        <w:tabs>
          <w:tab w:pos="669" w:val="left" w:leader="none"/>
          <w:tab w:pos="671" w:val="left" w:leader="none"/>
        </w:tabs>
        <w:spacing w:line="232" w:lineRule="auto" w:before="0" w:after="0"/>
        <w:ind w:left="190" w:right="179" w:firstLine="0"/>
        <w:jc w:val="left"/>
        <w:rPr>
          <w:sz w:val="18"/>
        </w:rPr>
      </w:pPr>
      <w:r>
        <w:rPr>
          <w:color w:val="231F20"/>
          <w:sz w:val="18"/>
        </w:rPr>
        <w:t>The six-monthly Consensus survey of forecasts of average inflation between 5 and 10 years ahead showed a fall of 10 basis points to 2.6% between October 1997 and April. This compared with a 28 basis point fall in the measure derived from the gilt-edged market over the same period.</w:t>
      </w:r>
    </w:p>
    <w:p>
      <w:pPr>
        <w:pStyle w:val="BodyText"/>
        <w:spacing w:before="1"/>
        <w:rPr>
          <w:sz w:val="17"/>
        </w:rPr>
      </w:pPr>
    </w:p>
    <w:p>
      <w:pPr>
        <w:pStyle w:val="ListParagraph"/>
        <w:numPr>
          <w:ilvl w:val="0"/>
          <w:numId w:val="43"/>
        </w:numPr>
        <w:tabs>
          <w:tab w:pos="669" w:val="left" w:leader="none"/>
          <w:tab w:pos="671" w:val="left" w:leader="none"/>
        </w:tabs>
        <w:spacing w:line="232" w:lineRule="auto" w:before="0" w:after="0"/>
        <w:ind w:left="190" w:right="204" w:firstLine="0"/>
        <w:jc w:val="left"/>
        <w:rPr>
          <w:sz w:val="18"/>
        </w:rPr>
      </w:pPr>
      <w:r>
        <w:rPr>
          <w:color w:val="231F20"/>
          <w:sz w:val="18"/>
        </w:rPr>
        <w:t>Since October 1996, the Consensus survey of long-term inflation expectations in a number of other major industrialised countries had also fallen. This had accompanied an even greater fall in long-term nominal forward interest rates. Estimates of long maturity real rates, constructed from wholesale market nominal rates and the Consensus inflation surveys, had fallen materially over the past year. This was consistent with the fall in yields on long-maturity index-linked bonds. In some cases—for example, in the United Kingdom and Italy—a fall in the survey-based </w:t>
      </w:r>
      <w:r>
        <w:rPr>
          <w:color w:val="231F20"/>
          <w:spacing w:val="-3"/>
          <w:sz w:val="18"/>
        </w:rPr>
        <w:t>measures </w:t>
      </w:r>
      <w:r>
        <w:rPr>
          <w:color w:val="231F20"/>
          <w:sz w:val="18"/>
        </w:rPr>
        <w:t>of real yields might be partly attributable to a fall in the inflation risk premium, given institutional changes or planned changes in monetary arrangements. Current and prospective fiscal consolidation across a number of countries was also a plausible explanation for a common fall in long-term real rates. This could have implications for underlying shorter-maturity real interest rates in due course.</w:t>
      </w:r>
    </w:p>
    <w:p>
      <w:pPr>
        <w:pStyle w:val="BodyText"/>
        <w:spacing w:before="3"/>
        <w:rPr>
          <w:sz w:val="16"/>
        </w:rPr>
      </w:pPr>
    </w:p>
    <w:p>
      <w:pPr>
        <w:pStyle w:val="ListParagraph"/>
        <w:numPr>
          <w:ilvl w:val="0"/>
          <w:numId w:val="43"/>
        </w:numPr>
        <w:tabs>
          <w:tab w:pos="669" w:val="left" w:leader="none"/>
          <w:tab w:pos="671" w:val="left" w:leader="none"/>
        </w:tabs>
        <w:spacing w:line="232" w:lineRule="auto" w:before="0" w:after="0"/>
        <w:ind w:left="190" w:right="319" w:firstLine="0"/>
        <w:jc w:val="left"/>
        <w:rPr>
          <w:sz w:val="18"/>
        </w:rPr>
      </w:pPr>
      <w:r>
        <w:rPr>
          <w:color w:val="231F20"/>
          <w:sz w:val="18"/>
        </w:rPr>
        <w:t>The sterling ERI had fallen by 0.8% since the last </w:t>
      </w:r>
      <w:r>
        <w:rPr>
          <w:i/>
          <w:color w:val="231F20"/>
          <w:sz w:val="18"/>
        </w:rPr>
        <w:t>Inflation </w:t>
      </w:r>
      <w:r>
        <w:rPr>
          <w:i/>
          <w:color w:val="231F20"/>
          <w:sz w:val="18"/>
        </w:rPr>
        <w:t>Report</w:t>
      </w:r>
      <w:r>
        <w:rPr>
          <w:color w:val="231F20"/>
          <w:sz w:val="18"/>
        </w:rPr>
        <w:t>, while the broader measure, incorporating 49 currencies, had fallen by 0.6%. The forward path of the ERI implied by uncovered interest parity had fallen since the April MPC </w:t>
      </w:r>
      <w:r>
        <w:rPr>
          <w:color w:val="231F20"/>
          <w:spacing w:val="-3"/>
          <w:sz w:val="18"/>
        </w:rPr>
        <w:t>meeting, </w:t>
      </w:r>
      <w:r>
        <w:rPr>
          <w:color w:val="231F20"/>
          <w:sz w:val="18"/>
        </w:rPr>
        <w:t>but remained above the profile incorporated in the February </w:t>
      </w:r>
      <w:r>
        <w:rPr>
          <w:i/>
          <w:color w:val="231F20"/>
          <w:sz w:val="18"/>
        </w:rPr>
        <w:t>Inflation Report</w:t>
      </w:r>
      <w:r>
        <w:rPr>
          <w:color w:val="231F20"/>
          <w:sz w:val="18"/>
        </w:rPr>
        <w:t>. UK and overseas forward interest rates</w:t>
      </w:r>
      <w:r>
        <w:rPr>
          <w:color w:val="231F20"/>
          <w:spacing w:val="-1"/>
          <w:sz w:val="18"/>
        </w:rPr>
        <w:t> </w:t>
      </w:r>
      <w:r>
        <w:rPr>
          <w:color w:val="231F20"/>
          <w:sz w:val="18"/>
        </w:rPr>
        <w:t>had</w:t>
      </w:r>
    </w:p>
    <w:p>
      <w:pPr>
        <w:spacing w:after="0" w:line="232" w:lineRule="auto"/>
        <w:jc w:val="left"/>
        <w:rPr>
          <w:sz w:val="18"/>
        </w:rPr>
        <w:sectPr>
          <w:type w:val="continuous"/>
          <w:pgSz w:w="11900" w:h="16840"/>
          <w:pgMar w:top="1220" w:bottom="280" w:left="620" w:right="640"/>
          <w:cols w:num="2" w:equalWidth="0">
            <w:col w:w="5129" w:space="251"/>
            <w:col w:w="5260"/>
          </w:cols>
        </w:sectPr>
      </w:pPr>
    </w:p>
    <w:p>
      <w:pPr>
        <w:pStyle w:val="BodyText"/>
        <w:rPr>
          <w:sz w:val="20"/>
        </w:rPr>
      </w:pPr>
    </w:p>
    <w:p>
      <w:pPr>
        <w:spacing w:after="0"/>
        <w:rPr>
          <w:sz w:val="20"/>
        </w:rPr>
        <w:sectPr>
          <w:pgSz w:w="11900" w:h="16840"/>
          <w:pgMar w:header="566" w:footer="597" w:top="760" w:bottom="780" w:left="620" w:right="640"/>
        </w:sectPr>
      </w:pPr>
    </w:p>
    <w:p>
      <w:pPr>
        <w:pStyle w:val="BodyText"/>
        <w:spacing w:before="4"/>
        <w:rPr>
          <w:sz w:val="21"/>
        </w:rPr>
      </w:pPr>
    </w:p>
    <w:p>
      <w:pPr>
        <w:pStyle w:val="BodyText"/>
        <w:spacing w:line="232" w:lineRule="auto" w:before="1"/>
        <w:ind w:left="185" w:right="91"/>
      </w:pPr>
      <w:r>
        <w:rPr>
          <w:color w:val="231F20"/>
        </w:rPr>
        <w:t>broadly moved together during April, implying that there was little net monetary news during the month. The cumulative relative monetary news since the </w:t>
      </w:r>
      <w:r>
        <w:rPr>
          <w:i/>
          <w:color w:val="231F20"/>
        </w:rPr>
        <w:t>Inflation Report </w:t>
      </w:r>
      <w:r>
        <w:rPr>
          <w:color w:val="231F20"/>
        </w:rPr>
        <w:t>implied a small depreciation.</w:t>
      </w:r>
    </w:p>
    <w:p>
      <w:pPr>
        <w:pStyle w:val="BodyText"/>
        <w:spacing w:before="4"/>
        <w:rPr>
          <w:sz w:val="20"/>
        </w:rPr>
      </w:pPr>
    </w:p>
    <w:p>
      <w:pPr>
        <w:pStyle w:val="Heading6"/>
        <w:numPr>
          <w:ilvl w:val="0"/>
          <w:numId w:val="44"/>
        </w:numPr>
        <w:tabs>
          <w:tab w:pos="665" w:val="left" w:leader="none"/>
          <w:tab w:pos="666" w:val="left" w:leader="none"/>
        </w:tabs>
        <w:spacing w:line="240" w:lineRule="auto" w:before="0" w:after="0"/>
        <w:ind w:left="665" w:right="0" w:hanging="481"/>
        <w:jc w:val="left"/>
      </w:pPr>
      <w:r>
        <w:rPr>
          <w:color w:val="009483"/>
        </w:rPr>
        <w:t>Demand and output</w:t>
      </w:r>
    </w:p>
    <w:p>
      <w:pPr>
        <w:pStyle w:val="ListParagraph"/>
        <w:numPr>
          <w:ilvl w:val="0"/>
          <w:numId w:val="43"/>
        </w:numPr>
        <w:tabs>
          <w:tab w:pos="665" w:val="left" w:leader="none"/>
          <w:tab w:pos="666" w:val="left" w:leader="none"/>
        </w:tabs>
        <w:spacing w:line="232" w:lineRule="auto" w:before="110" w:after="0"/>
        <w:ind w:left="185" w:right="232" w:firstLine="0"/>
        <w:jc w:val="left"/>
        <w:rPr>
          <w:sz w:val="18"/>
        </w:rPr>
      </w:pPr>
      <w:r>
        <w:rPr>
          <w:color w:val="231F20"/>
          <w:sz w:val="18"/>
        </w:rPr>
        <w:t>GDP had provisionally been estimated to have grown by 0.4% in 1998 Q1—the lowest quarterly rate of growth since 1995 Q2</w:t>
      </w:r>
      <w:r>
        <w:rPr>
          <w:i/>
          <w:color w:val="231F20"/>
          <w:sz w:val="18"/>
        </w:rPr>
        <w:t>, </w:t>
      </w:r>
      <w:r>
        <w:rPr>
          <w:color w:val="231F20"/>
          <w:sz w:val="18"/>
        </w:rPr>
        <w:t>and slightly weaker than that embodied in the</w:t>
      </w:r>
      <w:r>
        <w:rPr>
          <w:color w:val="231F20"/>
          <w:spacing w:val="-16"/>
          <w:sz w:val="18"/>
        </w:rPr>
        <w:t> </w:t>
      </w:r>
      <w:r>
        <w:rPr>
          <w:color w:val="231F20"/>
          <w:sz w:val="18"/>
        </w:rPr>
        <w:t>February</w:t>
      </w:r>
    </w:p>
    <w:p>
      <w:pPr>
        <w:pStyle w:val="BodyText"/>
        <w:spacing w:line="232" w:lineRule="auto"/>
        <w:ind w:left="185" w:right="63"/>
      </w:pPr>
      <w:r>
        <w:rPr>
          <w:i/>
          <w:color w:val="231F20"/>
        </w:rPr>
        <w:t>Inflation Report </w:t>
      </w:r>
      <w:r>
        <w:rPr>
          <w:color w:val="231F20"/>
        </w:rPr>
        <w:t>forecast. Although a detailed breakdown had not yet been released, the news appeared to have been concentrated in the service sector growth rate, which had fallen to 0.8% from the 1.2% recorded in the final quarter of 1997. There had not been any indication from a variety of surveys of a significant slowdown in the pace of service sector activity. There had been an acceleration in activity in 1998 Q1 compared with 1997 Q4, according to the (C</w:t>
      </w:r>
      <w:r>
        <w:rPr>
          <w:color w:val="231F20"/>
          <w:sz w:val="14"/>
        </w:rPr>
        <w:t>IPS</w:t>
      </w:r>
      <w:r>
        <w:rPr>
          <w:color w:val="231F20"/>
        </w:rPr>
        <w:t>) service sector survey, the (CBI) Financial Services survey, and the Chartered Institute of Marketing survey. However, there had been a slight moderation in non-manufacturing turnover, according to the 3i survey. And the BCC survey had shown a marked weakening in service sector export orders. The BCC survey had also reported a slight rise in service sector capacity utilisation in 1998 Q1, though it remained lower than a year</w:t>
      </w:r>
      <w:r>
        <w:rPr>
          <w:color w:val="231F20"/>
          <w:spacing w:val="6"/>
        </w:rPr>
        <w:t> </w:t>
      </w:r>
      <w:r>
        <w:rPr>
          <w:color w:val="231F20"/>
          <w:spacing w:val="-3"/>
        </w:rPr>
        <w:t>earlier.</w:t>
      </w:r>
    </w:p>
    <w:p>
      <w:pPr>
        <w:pStyle w:val="BodyText"/>
        <w:spacing w:before="2"/>
        <w:rPr>
          <w:sz w:val="16"/>
        </w:rPr>
      </w:pPr>
    </w:p>
    <w:p>
      <w:pPr>
        <w:pStyle w:val="ListParagraph"/>
        <w:numPr>
          <w:ilvl w:val="0"/>
          <w:numId w:val="43"/>
        </w:numPr>
        <w:tabs>
          <w:tab w:pos="665" w:val="left" w:leader="none"/>
          <w:tab w:pos="666" w:val="left" w:leader="none"/>
        </w:tabs>
        <w:spacing w:line="232" w:lineRule="auto" w:before="0" w:after="0"/>
        <w:ind w:left="185" w:right="67" w:firstLine="0"/>
        <w:jc w:val="left"/>
        <w:rPr>
          <w:sz w:val="18"/>
        </w:rPr>
      </w:pPr>
      <w:r>
        <w:rPr>
          <w:color w:val="231F20"/>
          <w:sz w:val="18"/>
        </w:rPr>
        <w:t>Service sector growth had contributed 0.5 percentage points to GDP growth in 1998 Q1. That implied a net contraction in </w:t>
      </w:r>
      <w:r>
        <w:rPr>
          <w:color w:val="231F20"/>
          <w:spacing w:val="-4"/>
          <w:sz w:val="18"/>
        </w:rPr>
        <w:t>other </w:t>
      </w:r>
      <w:r>
        <w:rPr>
          <w:color w:val="231F20"/>
          <w:sz w:val="18"/>
        </w:rPr>
        <w:t>sectors of the economy. The Office for National Statistics had indicated that manufacturing output growth had been flat in</w:t>
      </w:r>
    </w:p>
    <w:p>
      <w:pPr>
        <w:pStyle w:val="BodyText"/>
        <w:spacing w:line="232" w:lineRule="auto"/>
        <w:ind w:left="185" w:right="71"/>
      </w:pPr>
      <w:r>
        <w:rPr>
          <w:color w:val="231F20"/>
        </w:rPr>
        <w:t>1998 Q1, but further falls in energy output had led to another quarterly decline in overall industrial production. The April CBI Quarterly Industrial Trends Survey had shown a fall in the balance of manufacturers reporting a rise in output during the previous four months, principally due to a further weakening in export orders.</w:t>
      </w:r>
    </w:p>
    <w:p>
      <w:pPr>
        <w:pStyle w:val="BodyText"/>
        <w:spacing w:line="232" w:lineRule="auto"/>
        <w:ind w:left="185" w:right="53"/>
      </w:pPr>
      <w:r>
        <w:rPr>
          <w:color w:val="231F20"/>
        </w:rPr>
        <w:t>The April C</w:t>
      </w:r>
      <w:r>
        <w:rPr>
          <w:color w:val="231F20"/>
          <w:sz w:val="14"/>
        </w:rPr>
        <w:t>IPS </w:t>
      </w:r>
      <w:r>
        <w:rPr>
          <w:color w:val="231F20"/>
        </w:rPr>
        <w:t>survey had shown a similar split between domestic and external demand, with export orders falling further while domestic production, particularly of consumer goods, had </w:t>
      </w:r>
      <w:r>
        <w:rPr>
          <w:color w:val="231F20"/>
          <w:spacing w:val="-3"/>
        </w:rPr>
        <w:t>remained </w:t>
      </w:r>
      <w:r>
        <w:rPr>
          <w:color w:val="231F20"/>
        </w:rPr>
        <w:t>buoyant.  Construction output was expected to have made a positive contribution to GDP growth in 1998</w:t>
      </w:r>
      <w:r>
        <w:rPr>
          <w:color w:val="231F20"/>
          <w:spacing w:val="-1"/>
        </w:rPr>
        <w:t> </w:t>
      </w:r>
      <w:r>
        <w:rPr>
          <w:color w:val="231F20"/>
        </w:rPr>
        <w:t>Q1.</w:t>
      </w:r>
    </w:p>
    <w:p>
      <w:pPr>
        <w:pStyle w:val="BodyText"/>
        <w:spacing w:before="5"/>
        <w:rPr>
          <w:sz w:val="16"/>
        </w:rPr>
      </w:pPr>
    </w:p>
    <w:p>
      <w:pPr>
        <w:pStyle w:val="ListParagraph"/>
        <w:numPr>
          <w:ilvl w:val="0"/>
          <w:numId w:val="43"/>
        </w:numPr>
        <w:tabs>
          <w:tab w:pos="665" w:val="left" w:leader="none"/>
          <w:tab w:pos="666" w:val="left" w:leader="none"/>
        </w:tabs>
        <w:spacing w:line="232" w:lineRule="auto" w:before="1" w:after="0"/>
        <w:ind w:left="185" w:right="68" w:firstLine="0"/>
        <w:jc w:val="left"/>
        <w:rPr>
          <w:sz w:val="18"/>
        </w:rPr>
      </w:pPr>
      <w:r>
        <w:rPr>
          <w:color w:val="231F20"/>
          <w:sz w:val="18"/>
        </w:rPr>
        <w:t>The total UK trade deficit in goods had widened sharply in February to £2.2 billion, compared with £1.1 billion in January. The widening of the trade deficit had largely reflected lower export growth to countries outside the European Union (EU), probably partly due to lower demand from East Asia. But at least half of the total deterioration in the trade deficit had been due to oil and erratics.  The services surplus had also fallen in the first two months of 1998, in line with survey evidence of weakening service sector export growth. There had been a small bounceback in </w:t>
      </w:r>
      <w:r>
        <w:rPr>
          <w:color w:val="231F20"/>
          <w:spacing w:val="-4"/>
          <w:sz w:val="18"/>
        </w:rPr>
        <w:t>goods </w:t>
      </w:r>
      <w:r>
        <w:rPr>
          <w:color w:val="231F20"/>
          <w:sz w:val="18"/>
        </w:rPr>
        <w:t>export volume growth in the three months to February, and despite strong monthly growth in February, import volume growth was almost flat compared with the previous three months. </w:t>
      </w:r>
      <w:r>
        <w:rPr>
          <w:color w:val="231F20"/>
          <w:spacing w:val="-2"/>
          <w:sz w:val="18"/>
        </w:rPr>
        <w:t>Nonetheless, </w:t>
      </w:r>
      <w:r>
        <w:rPr>
          <w:color w:val="231F20"/>
          <w:sz w:val="18"/>
        </w:rPr>
        <w:t>net trade in goods and services might have contributed around</w:t>
      </w:r>
    </w:p>
    <w:p>
      <w:pPr>
        <w:pStyle w:val="BodyText"/>
        <w:spacing w:line="232" w:lineRule="auto"/>
        <w:ind w:left="185" w:right="41"/>
      </w:pPr>
      <w:r>
        <w:rPr>
          <w:color w:val="231F20"/>
        </w:rPr>
        <w:t>-0.5 percentage points to real GDP growth in 1998 Q1. The slowdown in import volume growth from non-EU countries was probably affected by erratic swings in the December and January data.  However, the weakness of growth in import volumes from the EU (-2.0% in the three months to February compared with the previous three months) was more surprising. There was still no clear evidence of a deterioration in the UK trade balance with the EU, despite sterling’s greater trade-weighted appreciation against those currencies and the relatively high UK domestic demand growth. The UK balance of trade in goods with the EU had been stable since 1992. Quarterly UK trade volume growth with the EU had been quite volatile, but the underlying trend in growth had </w:t>
      </w:r>
      <w:r>
        <w:rPr>
          <w:color w:val="231F20"/>
          <w:spacing w:val="-5"/>
        </w:rPr>
        <w:t>been </w:t>
      </w:r>
      <w:r>
        <w:rPr>
          <w:color w:val="231F20"/>
        </w:rPr>
        <w:t>fairly stable. In contrast, growth in the value of UK trade with the EU had been declining since the beginning of 1995. International data broadly supported the picture of flat trade trends evident in the UK data. For example, the share of EU countries’ exports to, and imports from the United Kingdom, had remained fairly constant since 1994.  And US data showed that the trade balance with the EU excluding the UK had also remained stable.</w:t>
      </w:r>
    </w:p>
    <w:p>
      <w:pPr>
        <w:pStyle w:val="BodyText"/>
        <w:spacing w:before="4"/>
        <w:rPr>
          <w:sz w:val="21"/>
        </w:rPr>
      </w:pPr>
      <w:r>
        <w:rPr/>
        <w:br w:type="column"/>
      </w:r>
      <w:r>
        <w:rPr>
          <w:sz w:val="21"/>
        </w:rPr>
      </w:r>
    </w:p>
    <w:p>
      <w:pPr>
        <w:pStyle w:val="ListParagraph"/>
        <w:numPr>
          <w:ilvl w:val="0"/>
          <w:numId w:val="43"/>
        </w:numPr>
        <w:tabs>
          <w:tab w:pos="665" w:val="left" w:leader="none"/>
          <w:tab w:pos="666" w:val="left" w:leader="none"/>
        </w:tabs>
        <w:spacing w:line="232" w:lineRule="auto" w:before="1" w:after="0"/>
        <w:ind w:left="185" w:right="183" w:firstLine="0"/>
        <w:jc w:val="left"/>
        <w:rPr>
          <w:sz w:val="18"/>
        </w:rPr>
      </w:pPr>
      <w:r>
        <w:rPr>
          <w:color w:val="231F20"/>
          <w:sz w:val="18"/>
        </w:rPr>
        <w:t>Explanations for the stability of UK trade patterns with the EU depended on expectations about the persistence of the relative strengths of sterling and UK domestic demand. In addition, the robustness of EU trade might have been reflecting strategic decisions taken by UK-based firms committed to the European market. A further possibility was that there had been a shift in European preferences towards UK goods, perhaps reflecting an improvement in their non-price competitiveness. However, the difficulty of establishing bilateral trade balances was highlighted </w:t>
      </w:r>
      <w:r>
        <w:rPr>
          <w:color w:val="231F20"/>
          <w:spacing w:val="-9"/>
          <w:sz w:val="18"/>
        </w:rPr>
        <w:t>by </w:t>
      </w:r>
      <w:r>
        <w:rPr>
          <w:color w:val="231F20"/>
          <w:sz w:val="18"/>
        </w:rPr>
        <w:t>the size and change in the discrepancy in IMF estimates of the whole-world trade deficit.</w:t>
      </w:r>
    </w:p>
    <w:p>
      <w:pPr>
        <w:pStyle w:val="BodyText"/>
        <w:spacing w:before="7"/>
        <w:rPr>
          <w:sz w:val="16"/>
        </w:rPr>
      </w:pPr>
    </w:p>
    <w:p>
      <w:pPr>
        <w:pStyle w:val="ListParagraph"/>
        <w:numPr>
          <w:ilvl w:val="0"/>
          <w:numId w:val="43"/>
        </w:numPr>
        <w:tabs>
          <w:tab w:pos="665" w:val="left" w:leader="none"/>
          <w:tab w:pos="666" w:val="left" w:leader="none"/>
        </w:tabs>
        <w:spacing w:line="232" w:lineRule="auto" w:before="0" w:after="0"/>
        <w:ind w:left="185" w:right="203" w:firstLine="0"/>
        <w:jc w:val="left"/>
        <w:rPr>
          <w:sz w:val="18"/>
        </w:rPr>
      </w:pPr>
      <w:r>
        <w:rPr>
          <w:color w:val="231F20"/>
          <w:sz w:val="18"/>
        </w:rPr>
        <w:t>The Bank’s Agents had undertaken a survey of contacts involved in external trade. It had found little evidence to support the view that there had been a marked difference in the behaviour of trade flows to and from the EU and the rest of the world, during the past year. But, there was some evidence that UK-based firms were more likely to reduce prices in order to maintain market share in European markets than in more peripheral markets in the rest of the world. A number of contacts had reported that rising domestic demand growth in major continental economies was also a factor </w:t>
      </w:r>
      <w:r>
        <w:rPr>
          <w:color w:val="231F20"/>
          <w:spacing w:val="-9"/>
          <w:sz w:val="18"/>
        </w:rPr>
        <w:t>in </w:t>
      </w:r>
      <w:r>
        <w:rPr>
          <w:color w:val="231F20"/>
          <w:sz w:val="18"/>
        </w:rPr>
        <w:t>sustaining demand for UK goods.</w:t>
      </w:r>
    </w:p>
    <w:p>
      <w:pPr>
        <w:pStyle w:val="BodyText"/>
        <w:spacing w:before="8"/>
        <w:rPr>
          <w:sz w:val="16"/>
        </w:rPr>
      </w:pPr>
    </w:p>
    <w:p>
      <w:pPr>
        <w:pStyle w:val="ListParagraph"/>
        <w:numPr>
          <w:ilvl w:val="0"/>
          <w:numId w:val="43"/>
        </w:numPr>
        <w:tabs>
          <w:tab w:pos="665" w:val="left" w:leader="none"/>
          <w:tab w:pos="666" w:val="left" w:leader="none"/>
        </w:tabs>
        <w:spacing w:line="232" w:lineRule="auto" w:before="0" w:after="0"/>
        <w:ind w:left="185" w:right="178" w:firstLine="0"/>
        <w:jc w:val="left"/>
        <w:rPr>
          <w:sz w:val="18"/>
        </w:rPr>
      </w:pPr>
      <w:r>
        <w:rPr>
          <w:color w:val="231F20"/>
          <w:sz w:val="18"/>
        </w:rPr>
        <w:t>UK domestic demand and, in particular consumption, </w:t>
      </w:r>
      <w:r>
        <w:rPr>
          <w:color w:val="231F20"/>
          <w:spacing w:val="-3"/>
          <w:sz w:val="18"/>
        </w:rPr>
        <w:t>growth </w:t>
      </w:r>
      <w:r>
        <w:rPr>
          <w:color w:val="231F20"/>
          <w:sz w:val="18"/>
        </w:rPr>
        <w:t>was likely to have remained robust in 1998 Q1. Retail sales volumes had risen by 0.9%. Private car registrations and sales of commercial vehicles had both been very strong in the first quarter, boosting consumption and investment levels respectively.  The GFK and Mori survey measures of consumer confidence had both risen in April.</w:t>
      </w:r>
    </w:p>
    <w:p>
      <w:pPr>
        <w:pStyle w:val="BodyText"/>
        <w:spacing w:before="11"/>
        <w:rPr>
          <w:sz w:val="16"/>
        </w:rPr>
      </w:pPr>
    </w:p>
    <w:p>
      <w:pPr>
        <w:pStyle w:val="ListParagraph"/>
        <w:numPr>
          <w:ilvl w:val="0"/>
          <w:numId w:val="43"/>
        </w:numPr>
        <w:tabs>
          <w:tab w:pos="665" w:val="left" w:leader="none"/>
          <w:tab w:pos="666" w:val="left" w:leader="none"/>
        </w:tabs>
        <w:spacing w:line="232" w:lineRule="auto" w:before="0" w:after="0"/>
        <w:ind w:left="185" w:right="183" w:firstLine="0"/>
        <w:jc w:val="left"/>
        <w:rPr>
          <w:sz w:val="18"/>
        </w:rPr>
      </w:pPr>
      <w:r>
        <w:rPr>
          <w:color w:val="231F20"/>
          <w:sz w:val="18"/>
        </w:rPr>
        <w:t>Demand for housing had also remained strong, alongside falling annual house price inflation. The gap between the Nationwide and Halifax indices had narrowed slightly in March; and both showed moderating annual inflation. A regional split had shown that the divergence between the two measures was still concentrated in the north of England and Scotland.  The R</w:t>
      </w:r>
      <w:r>
        <w:rPr>
          <w:color w:val="231F20"/>
          <w:sz w:val="14"/>
        </w:rPr>
        <w:t>ICS </w:t>
      </w:r>
      <w:r>
        <w:rPr>
          <w:color w:val="231F20"/>
          <w:sz w:val="18"/>
        </w:rPr>
        <w:t>survey had been flat in March, and the downward trend had continued. Particulars delivered rose in March, but activity remained weak compared with the previous three months. There had been a strong rise in gross lending secured on housing, but a fall in net lending, indicating a rise in re-mortgaging activity. However, loan approvals for house purchases had also risen </w:t>
      </w:r>
      <w:r>
        <w:rPr>
          <w:color w:val="231F20"/>
          <w:spacing w:val="-3"/>
          <w:sz w:val="18"/>
        </w:rPr>
        <w:t>sharply </w:t>
      </w:r>
      <w:r>
        <w:rPr>
          <w:color w:val="231F20"/>
          <w:sz w:val="18"/>
        </w:rPr>
        <w:t>in March, leaving the index 31% higher than a year ago.</w:t>
      </w:r>
    </w:p>
    <w:p>
      <w:pPr>
        <w:pStyle w:val="BodyText"/>
        <w:spacing w:before="1"/>
        <w:rPr>
          <w:sz w:val="16"/>
        </w:rPr>
      </w:pPr>
    </w:p>
    <w:p>
      <w:pPr>
        <w:pStyle w:val="ListParagraph"/>
        <w:numPr>
          <w:ilvl w:val="0"/>
          <w:numId w:val="43"/>
        </w:numPr>
        <w:tabs>
          <w:tab w:pos="665" w:val="left" w:leader="none"/>
          <w:tab w:pos="666" w:val="left" w:leader="none"/>
        </w:tabs>
        <w:spacing w:line="203" w:lineRule="exact" w:before="0" w:after="0"/>
        <w:ind w:left="665" w:right="0" w:hanging="481"/>
        <w:jc w:val="left"/>
        <w:rPr>
          <w:sz w:val="18"/>
        </w:rPr>
      </w:pPr>
      <w:r>
        <w:rPr>
          <w:color w:val="231F20"/>
          <w:sz w:val="18"/>
        </w:rPr>
        <w:t>The cumulative PSBR for 1997/1998 was £0.9 billion,</w:t>
      </w:r>
    </w:p>
    <w:p>
      <w:pPr>
        <w:pStyle w:val="BodyText"/>
        <w:spacing w:line="232" w:lineRule="auto" w:before="1"/>
        <w:ind w:left="185" w:right="231"/>
      </w:pPr>
      <w:r>
        <w:rPr>
          <w:color w:val="231F20"/>
        </w:rPr>
        <w:t>£1.7 billion lower than the March Budget forecast, and £7.6 billion lower than the November Green Budget forecast. The undershoot had reflected both lower central government spending and</w:t>
      </w:r>
    </w:p>
    <w:p>
      <w:pPr>
        <w:pStyle w:val="BodyText"/>
        <w:spacing w:line="200" w:lineRule="exact"/>
        <w:ind w:left="185"/>
      </w:pPr>
      <w:r>
        <w:rPr>
          <w:color w:val="231F20"/>
        </w:rPr>
        <w:t>higher-than-expected tax receipts.</w:t>
      </w:r>
    </w:p>
    <w:p>
      <w:pPr>
        <w:pStyle w:val="BodyText"/>
        <w:spacing w:before="3"/>
        <w:rPr>
          <w:sz w:val="17"/>
        </w:rPr>
      </w:pPr>
    </w:p>
    <w:p>
      <w:pPr>
        <w:pStyle w:val="ListParagraph"/>
        <w:numPr>
          <w:ilvl w:val="0"/>
          <w:numId w:val="43"/>
        </w:numPr>
        <w:tabs>
          <w:tab w:pos="665" w:val="left" w:leader="none"/>
          <w:tab w:pos="666" w:val="left" w:leader="none"/>
        </w:tabs>
        <w:spacing w:line="232" w:lineRule="auto" w:before="0" w:after="0"/>
        <w:ind w:left="185" w:right="208" w:firstLine="0"/>
        <w:jc w:val="left"/>
        <w:rPr>
          <w:sz w:val="18"/>
        </w:rPr>
      </w:pPr>
      <w:r>
        <w:rPr>
          <w:color w:val="231F20"/>
          <w:sz w:val="18"/>
        </w:rPr>
        <w:t>Survey evidence on investment intentions had been mixed. The BCC survey had shown that manufacturing investment intentions had held up. But the balance of manufacturers expecting to increase investment was the most negative since October 1992 according to the CBI. Service sector investment intentions had remained buoyant, according to the BCC survey.</w:t>
      </w:r>
    </w:p>
    <w:p>
      <w:pPr>
        <w:pStyle w:val="BodyText"/>
        <w:rPr>
          <w:sz w:val="17"/>
        </w:rPr>
      </w:pPr>
    </w:p>
    <w:p>
      <w:pPr>
        <w:pStyle w:val="ListParagraph"/>
        <w:numPr>
          <w:ilvl w:val="0"/>
          <w:numId w:val="43"/>
        </w:numPr>
        <w:tabs>
          <w:tab w:pos="665" w:val="left" w:leader="none"/>
          <w:tab w:pos="666" w:val="left" w:leader="none"/>
        </w:tabs>
        <w:spacing w:line="232" w:lineRule="auto" w:before="0" w:after="0"/>
        <w:ind w:left="185" w:right="184" w:firstLine="0"/>
        <w:jc w:val="left"/>
        <w:rPr>
          <w:sz w:val="18"/>
        </w:rPr>
      </w:pPr>
      <w:r>
        <w:rPr>
          <w:color w:val="231F20"/>
          <w:sz w:val="18"/>
        </w:rPr>
        <w:t>The latest O</w:t>
      </w:r>
      <w:r>
        <w:rPr>
          <w:color w:val="231F20"/>
          <w:sz w:val="14"/>
        </w:rPr>
        <w:t>ECD </w:t>
      </w:r>
      <w:r>
        <w:rPr>
          <w:color w:val="231F20"/>
          <w:sz w:val="18"/>
        </w:rPr>
        <w:t>and IMF forecasts had shown that growth in France, Italy and the United States was expected to be stronger </w:t>
      </w:r>
      <w:r>
        <w:rPr>
          <w:color w:val="231F20"/>
          <w:spacing w:val="-5"/>
          <w:sz w:val="18"/>
        </w:rPr>
        <w:t>than </w:t>
      </w:r>
      <w:r>
        <w:rPr>
          <w:color w:val="231F20"/>
          <w:sz w:val="18"/>
        </w:rPr>
        <w:t>had previously been the case, but Japanese growth prospects had been revised down again. However, these forecasts had been made before the announcement of the Japanese Supplementary Budget </w:t>
      </w:r>
      <w:r>
        <w:rPr>
          <w:color w:val="231F20"/>
          <w:spacing w:val="-9"/>
          <w:sz w:val="18"/>
        </w:rPr>
        <w:t>on </w:t>
      </w:r>
      <w:r>
        <w:rPr>
          <w:color w:val="231F20"/>
          <w:sz w:val="18"/>
        </w:rPr>
        <w:t>24 April. The financial package was equivalent to 3.3% of nominal GDP.  The extent to which the measures announced by the Japanese government would boost demand would depend on consumers’ responses to the tax cuts announced, and the knock-on boost to private sector activity of the public works programmes. The latest data had shown that industrial production continued to rise strongly in the EU3 (France, Germany, Italy). In the case of Germany, rising manufacturing output growth was yet to feed through into higher domestic demand. This was despite a rise in</w:t>
      </w:r>
    </w:p>
    <w:p>
      <w:pPr>
        <w:spacing w:after="0" w:line="232" w:lineRule="auto"/>
        <w:jc w:val="left"/>
        <w:rPr>
          <w:sz w:val="18"/>
        </w:rPr>
        <w:sectPr>
          <w:type w:val="continuous"/>
          <w:pgSz w:w="11900" w:h="16840"/>
          <w:pgMar w:top="1220" w:bottom="280" w:left="620" w:right="640"/>
          <w:cols w:num="2" w:equalWidth="0">
            <w:col w:w="5115" w:space="265"/>
            <w:col w:w="5260"/>
          </w:cols>
        </w:sectPr>
      </w:pPr>
    </w:p>
    <w:p>
      <w:pPr>
        <w:pStyle w:val="BodyText"/>
        <w:rPr>
          <w:sz w:val="20"/>
        </w:rPr>
      </w:pPr>
    </w:p>
    <w:p>
      <w:pPr>
        <w:spacing w:after="0"/>
        <w:rPr>
          <w:sz w:val="20"/>
        </w:rPr>
        <w:sectPr>
          <w:pgSz w:w="11900" w:h="16840"/>
          <w:pgMar w:header="566" w:footer="597" w:top="760" w:bottom="780" w:left="620" w:right="640"/>
        </w:sectPr>
      </w:pPr>
    </w:p>
    <w:p>
      <w:pPr>
        <w:pStyle w:val="BodyText"/>
        <w:spacing w:before="4"/>
        <w:rPr>
          <w:sz w:val="21"/>
        </w:rPr>
      </w:pPr>
    </w:p>
    <w:p>
      <w:pPr>
        <w:pStyle w:val="BodyText"/>
        <w:spacing w:line="232" w:lineRule="auto" w:before="1"/>
        <w:ind w:left="194" w:right="493"/>
      </w:pPr>
      <w:r>
        <w:rPr>
          <w:color w:val="231F20"/>
        </w:rPr>
        <w:t>consumer confidence to its highest level in ten years. The first-quarter advance estimate for US GDP growth had shown</w:t>
      </w:r>
    </w:p>
    <w:p>
      <w:pPr>
        <w:pStyle w:val="BodyText"/>
        <w:spacing w:line="232" w:lineRule="auto"/>
        <w:ind w:left="194" w:right="161"/>
      </w:pPr>
      <w:r>
        <w:rPr>
          <w:color w:val="231F20"/>
        </w:rPr>
        <w:t>growth of 1.0% on the previous quarter, with domestic demand contributing around 1.6 percentage points to growth, and net trade detracting around 0.6 percentage points.</w:t>
      </w:r>
    </w:p>
    <w:p>
      <w:pPr>
        <w:pStyle w:val="BodyText"/>
        <w:spacing w:before="3"/>
        <w:rPr>
          <w:sz w:val="20"/>
        </w:rPr>
      </w:pPr>
    </w:p>
    <w:p>
      <w:pPr>
        <w:pStyle w:val="Heading6"/>
        <w:numPr>
          <w:ilvl w:val="0"/>
          <w:numId w:val="44"/>
        </w:numPr>
        <w:tabs>
          <w:tab w:pos="674" w:val="left" w:leader="none"/>
          <w:tab w:pos="675" w:val="left" w:leader="none"/>
        </w:tabs>
        <w:spacing w:line="240" w:lineRule="auto" w:before="0" w:after="0"/>
        <w:ind w:left="674" w:right="0" w:hanging="481"/>
        <w:jc w:val="left"/>
      </w:pPr>
      <w:r>
        <w:rPr>
          <w:color w:val="009483"/>
        </w:rPr>
        <w:t>Labour</w:t>
      </w:r>
      <w:r>
        <w:rPr>
          <w:color w:val="009483"/>
          <w:spacing w:val="-1"/>
        </w:rPr>
        <w:t> </w:t>
      </w:r>
      <w:r>
        <w:rPr>
          <w:color w:val="009483"/>
        </w:rPr>
        <w:t>market</w:t>
      </w:r>
    </w:p>
    <w:p>
      <w:pPr>
        <w:pStyle w:val="ListParagraph"/>
        <w:numPr>
          <w:ilvl w:val="0"/>
          <w:numId w:val="43"/>
        </w:numPr>
        <w:tabs>
          <w:tab w:pos="674" w:val="left" w:leader="none"/>
          <w:tab w:pos="675" w:val="left" w:leader="none"/>
        </w:tabs>
        <w:spacing w:line="232" w:lineRule="auto" w:before="110" w:after="0"/>
        <w:ind w:left="194" w:right="57" w:firstLine="0"/>
        <w:jc w:val="left"/>
        <w:rPr>
          <w:sz w:val="18"/>
        </w:rPr>
      </w:pPr>
      <w:r>
        <w:rPr>
          <w:color w:val="231F20"/>
          <w:sz w:val="18"/>
        </w:rPr>
        <w:t>Indicators of labour demand suggested that the pace of growth had slowed, although the evidence remained uneven. Labour Force Survey (LFS) employment rose by 41,000 (0.2%) in the three months to February 1998. This was slower than growth </w:t>
      </w:r>
      <w:r>
        <w:rPr>
          <w:color w:val="231F20"/>
          <w:spacing w:val="-9"/>
          <w:sz w:val="18"/>
        </w:rPr>
        <w:t>in </w:t>
      </w:r>
      <w:r>
        <w:rPr>
          <w:color w:val="231F20"/>
          <w:sz w:val="18"/>
        </w:rPr>
        <w:t>the three months to November 1997 (107,000) and than the average growth per quarter in the twelve months to February (88,000). All of the net new jobs were full-time. The Workforce in Employment series had changed to Workforce Jobs, which adds in an estimate </w:t>
      </w:r>
      <w:r>
        <w:rPr>
          <w:color w:val="231F20"/>
          <w:spacing w:val="-6"/>
          <w:sz w:val="18"/>
        </w:rPr>
        <w:t>of </w:t>
      </w:r>
      <w:r>
        <w:rPr>
          <w:color w:val="231F20"/>
          <w:sz w:val="18"/>
        </w:rPr>
        <w:t>self-employed second jobs. The new measure of employment implied that the number of jobs was higher by around 250,000 as a result, with a commensurate downward revision in the level of measured productivity per job, reflecting a fall in the number of self-employed second jobs in 1997 Q4. The growth in Workforce Jobs was revised down from 150,000 to 121,000. Workforce Jobs were growing faster than employment measured by the LFS, although the surveys only had one month of overlap, which made comparison difficult.</w:t>
      </w:r>
    </w:p>
    <w:p>
      <w:pPr>
        <w:pStyle w:val="BodyText"/>
        <w:spacing w:before="2"/>
        <w:rPr>
          <w:sz w:val="16"/>
        </w:rPr>
      </w:pPr>
    </w:p>
    <w:p>
      <w:pPr>
        <w:pStyle w:val="ListParagraph"/>
        <w:numPr>
          <w:ilvl w:val="0"/>
          <w:numId w:val="43"/>
        </w:numPr>
        <w:tabs>
          <w:tab w:pos="674" w:val="left" w:leader="none"/>
          <w:tab w:pos="675" w:val="left" w:leader="none"/>
        </w:tabs>
        <w:spacing w:line="232" w:lineRule="auto" w:before="1" w:after="0"/>
        <w:ind w:left="194" w:right="84" w:firstLine="0"/>
        <w:jc w:val="left"/>
        <w:rPr>
          <w:sz w:val="18"/>
        </w:rPr>
      </w:pPr>
      <w:r>
        <w:rPr>
          <w:color w:val="231F20"/>
          <w:sz w:val="18"/>
        </w:rPr>
        <w:t>LFS total hours worked had (surprisingly) fallen by 0.7% in the three months to February 1998. That may have partly reflected lower overtime and hours worked in the energy sector, due to the unusually mild winter. And hours worked fell unexpectedly </w:t>
      </w:r>
      <w:r>
        <w:rPr>
          <w:color w:val="231F20"/>
          <w:spacing w:val="-4"/>
          <w:sz w:val="18"/>
        </w:rPr>
        <w:t>during </w:t>
      </w:r>
      <w:r>
        <w:rPr>
          <w:color w:val="231F20"/>
          <w:sz w:val="18"/>
        </w:rPr>
        <w:t>the same months in the previous year, but were followed by strong growth in the subsequent three months. This could indicate that seasonal adjustment of hours worked is particularly difficult during the winter months.</w:t>
      </w:r>
    </w:p>
    <w:p>
      <w:pPr>
        <w:pStyle w:val="BodyText"/>
        <w:spacing w:before="9"/>
        <w:rPr>
          <w:sz w:val="16"/>
        </w:rPr>
      </w:pPr>
    </w:p>
    <w:p>
      <w:pPr>
        <w:pStyle w:val="ListParagraph"/>
        <w:numPr>
          <w:ilvl w:val="0"/>
          <w:numId w:val="43"/>
        </w:numPr>
        <w:tabs>
          <w:tab w:pos="674" w:val="left" w:leader="none"/>
          <w:tab w:pos="675" w:val="left" w:leader="none"/>
        </w:tabs>
        <w:spacing w:line="232" w:lineRule="auto" w:before="0" w:after="0"/>
        <w:ind w:left="194" w:right="138" w:firstLine="0"/>
        <w:jc w:val="left"/>
        <w:rPr>
          <w:sz w:val="18"/>
        </w:rPr>
      </w:pPr>
      <w:r>
        <w:rPr>
          <w:color w:val="231F20"/>
          <w:sz w:val="18"/>
        </w:rPr>
        <w:t>The C</w:t>
      </w:r>
      <w:r>
        <w:rPr>
          <w:color w:val="231F20"/>
          <w:sz w:val="14"/>
        </w:rPr>
        <w:t>IPS </w:t>
      </w:r>
      <w:r>
        <w:rPr>
          <w:color w:val="231F20"/>
          <w:sz w:val="18"/>
        </w:rPr>
        <w:t>report on services suggested that service sector employment rose strongly again in April. Although the rate of increase slowed slightly, C</w:t>
      </w:r>
      <w:r>
        <w:rPr>
          <w:color w:val="231F20"/>
          <w:sz w:val="14"/>
        </w:rPr>
        <w:t>IPS </w:t>
      </w:r>
      <w:r>
        <w:rPr>
          <w:color w:val="231F20"/>
          <w:sz w:val="18"/>
        </w:rPr>
        <w:t>reported that employment growth was constrained by continued skill shortages and difficulties in replacing staff. Manufacturing employment fell for the second consecutive month in April, reflecting rationalisation and weaker demand in that sector. Recruitment intentions in the service </w:t>
      </w:r>
      <w:r>
        <w:rPr>
          <w:color w:val="231F20"/>
          <w:spacing w:val="-3"/>
          <w:sz w:val="18"/>
        </w:rPr>
        <w:t>sector </w:t>
      </w:r>
      <w:r>
        <w:rPr>
          <w:color w:val="231F20"/>
          <w:sz w:val="18"/>
        </w:rPr>
        <w:t>remained buoyant, according to the BCC survey that looked ahead to the second quarter of 1998. That supported previous evidence from the Manpower survey. But clear signs of weakening were apparent in manufacturing, from both the CBI and BCC surveys.</w:t>
      </w:r>
    </w:p>
    <w:p>
      <w:pPr>
        <w:pStyle w:val="BodyText"/>
        <w:spacing w:before="8"/>
        <w:rPr>
          <w:sz w:val="16"/>
        </w:rPr>
      </w:pPr>
    </w:p>
    <w:p>
      <w:pPr>
        <w:pStyle w:val="ListParagraph"/>
        <w:numPr>
          <w:ilvl w:val="0"/>
          <w:numId w:val="43"/>
        </w:numPr>
        <w:tabs>
          <w:tab w:pos="674" w:val="left" w:leader="none"/>
          <w:tab w:pos="675" w:val="left" w:leader="none"/>
        </w:tabs>
        <w:spacing w:line="232" w:lineRule="auto" w:before="0" w:after="0"/>
        <w:ind w:left="194" w:right="77" w:firstLine="0"/>
        <w:jc w:val="left"/>
        <w:rPr>
          <w:sz w:val="18"/>
        </w:rPr>
      </w:pPr>
      <w:r>
        <w:rPr>
          <w:color w:val="231F20"/>
          <w:sz w:val="18"/>
        </w:rPr>
        <w:t>LFS unemployment fell by 52,000 in the three months to February, to 6.4%. That was smaller than the 129,000 fall in the three months to November and less than the average quarterly fall in the twelve months to February (80,000). So the pace of decline in LFS unemployment had fallen. The entire fall was due to fewer people unemployed for more than twelve months, which may be consistent with tightness in the labour market. Inactivity of people aged over 16 rose by 50,000 during the latest three months. Claimant unemployment fell by 6,400 in March, still at 4.9%. </w:t>
      </w:r>
      <w:r>
        <w:rPr>
          <w:color w:val="231F20"/>
          <w:spacing w:val="-5"/>
          <w:sz w:val="18"/>
        </w:rPr>
        <w:t>That </w:t>
      </w:r>
      <w:r>
        <w:rPr>
          <w:color w:val="231F20"/>
          <w:sz w:val="18"/>
        </w:rPr>
        <w:t>was the smallest monthly fall for two years. And claimant unemployment fell by only 27,000 in 1998 Q1, compared with 76,000 in 1997 Q4.</w:t>
      </w:r>
    </w:p>
    <w:p>
      <w:pPr>
        <w:pStyle w:val="BodyText"/>
        <w:spacing w:before="7"/>
        <w:rPr>
          <w:sz w:val="16"/>
        </w:rPr>
      </w:pPr>
    </w:p>
    <w:p>
      <w:pPr>
        <w:pStyle w:val="ListParagraph"/>
        <w:numPr>
          <w:ilvl w:val="0"/>
          <w:numId w:val="43"/>
        </w:numPr>
        <w:tabs>
          <w:tab w:pos="674" w:val="left" w:leader="none"/>
          <w:tab w:pos="675" w:val="left" w:leader="none"/>
        </w:tabs>
        <w:spacing w:line="232" w:lineRule="auto" w:before="0" w:after="0"/>
        <w:ind w:left="194" w:right="93" w:firstLine="0"/>
        <w:jc w:val="left"/>
        <w:rPr>
          <w:sz w:val="18"/>
        </w:rPr>
      </w:pPr>
      <w:r>
        <w:rPr>
          <w:color w:val="231F20"/>
          <w:sz w:val="18"/>
        </w:rPr>
        <w:t>Vacancies rose by 3,000 in March. The trend in recent months suggested that vacancies had stopped increasing, but this had been distorted by adjustments to allow for the over-count of vacancies. The best estimate of the underlying trend showed vacancies continuing to rise. Notifications of new vacancies increased by 1,600 to 224,000. This was a similar rate to the level observed in 1997 H2, in contrast with the slowdown in the </w:t>
      </w:r>
      <w:r>
        <w:rPr>
          <w:color w:val="231F20"/>
          <w:spacing w:val="-3"/>
          <w:sz w:val="18"/>
        </w:rPr>
        <w:t>increase </w:t>
      </w:r>
      <w:r>
        <w:rPr>
          <w:color w:val="231F20"/>
          <w:sz w:val="18"/>
        </w:rPr>
        <w:t>in unemployment during this period.</w:t>
      </w:r>
    </w:p>
    <w:p>
      <w:pPr>
        <w:pStyle w:val="BodyText"/>
        <w:spacing w:before="9"/>
        <w:rPr>
          <w:sz w:val="16"/>
        </w:rPr>
      </w:pPr>
    </w:p>
    <w:p>
      <w:pPr>
        <w:pStyle w:val="ListParagraph"/>
        <w:numPr>
          <w:ilvl w:val="0"/>
          <w:numId w:val="43"/>
        </w:numPr>
        <w:tabs>
          <w:tab w:pos="674" w:val="left" w:leader="none"/>
          <w:tab w:pos="675" w:val="left" w:leader="none"/>
        </w:tabs>
        <w:spacing w:line="232" w:lineRule="auto" w:before="1" w:after="0"/>
        <w:ind w:left="194" w:right="38" w:firstLine="0"/>
        <w:jc w:val="left"/>
        <w:rPr>
          <w:sz w:val="18"/>
        </w:rPr>
      </w:pPr>
      <w:r>
        <w:rPr>
          <w:color w:val="231F20"/>
          <w:sz w:val="18"/>
        </w:rPr>
        <w:t>Some analysis was presented on the usefulness of the ratio of vacancies to unemployment as a measure of labour market tightness. This ratio was higher using the latest data than during </w:t>
      </w:r>
      <w:r>
        <w:rPr>
          <w:color w:val="231F20"/>
          <w:spacing w:val="-6"/>
          <w:sz w:val="18"/>
        </w:rPr>
        <w:t>the</w:t>
      </w:r>
    </w:p>
    <w:p>
      <w:pPr>
        <w:pStyle w:val="BodyText"/>
        <w:spacing w:before="4"/>
        <w:rPr>
          <w:sz w:val="21"/>
        </w:rPr>
      </w:pPr>
      <w:r>
        <w:rPr/>
        <w:br w:type="column"/>
      </w:r>
      <w:r>
        <w:rPr>
          <w:sz w:val="21"/>
        </w:rPr>
      </w:r>
    </w:p>
    <w:p>
      <w:pPr>
        <w:pStyle w:val="BodyText"/>
        <w:spacing w:line="232" w:lineRule="auto" w:before="1"/>
        <w:ind w:left="194" w:right="157"/>
      </w:pPr>
      <w:r>
        <w:rPr>
          <w:color w:val="231F20"/>
        </w:rPr>
        <w:t>1980s boom, using both the claimant count and LFS measures of unemployment. But the ratio of vacancies to unemployment may rise without signifying a tightening in the labour market, if matching vacancies and the unemployed becomes easier. Empirical evidence suggested that structural improvements in the labour market had increased the ratio, reducing the value of the indicator as a measure of labour market tightness. But this measure is based on the standard model which assumes that all of the unemployed can match with all of the vacant jobs. In practice, this may not be the case if the newly unemployed can search for the available vacancies quite quickly and fill vacancies that have been viewed and rejected by the existing unemployed workers. Newly created vacancies may be filled by any unemployed workers. New measures of tightness based on these ideas implied that the labour market was not as tight as the simple vacancies to unemployment ratio suggested, but they appeared to be less affected by structural improvements in the labour market. On balance, the indicators suggested that the labour market was as tight as during the 1980s boom.</w:t>
      </w:r>
    </w:p>
    <w:p>
      <w:pPr>
        <w:pStyle w:val="BodyText"/>
        <w:spacing w:before="1"/>
        <w:rPr>
          <w:sz w:val="16"/>
        </w:rPr>
      </w:pPr>
    </w:p>
    <w:p>
      <w:pPr>
        <w:pStyle w:val="ListParagraph"/>
        <w:numPr>
          <w:ilvl w:val="0"/>
          <w:numId w:val="43"/>
        </w:numPr>
        <w:tabs>
          <w:tab w:pos="674" w:val="left" w:leader="none"/>
          <w:tab w:pos="675" w:val="left" w:leader="none"/>
        </w:tabs>
        <w:spacing w:line="232" w:lineRule="auto" w:before="0" w:after="0"/>
        <w:ind w:left="194" w:right="289" w:firstLine="0"/>
        <w:jc w:val="left"/>
        <w:rPr>
          <w:sz w:val="18"/>
        </w:rPr>
      </w:pPr>
      <w:r>
        <w:rPr>
          <w:color w:val="231F20"/>
          <w:sz w:val="18"/>
        </w:rPr>
        <w:t>Other indicators suggest a different picture. Skill shortages in the manufacturing sector were lower than during the 1980s boom, according to the CBI. The balance edged up from +14 to</w:t>
      </w:r>
    </w:p>
    <w:p>
      <w:pPr>
        <w:pStyle w:val="BodyText"/>
        <w:spacing w:line="232" w:lineRule="auto"/>
        <w:ind w:left="194" w:right="150"/>
      </w:pPr>
      <w:r>
        <w:rPr>
          <w:color w:val="231F20"/>
        </w:rPr>
        <w:t>+15 in March. But the balance of firms constrained by a shortage of unskilled labour fell from +5 to +2, though recruitment difficulties were as high as the late 1980s level, according to the BCC survey. Reported difficulties may be peaking in the manufacturing sector, but strong demand in the service sector had led to a further rise in the rate in the past three months.</w:t>
      </w:r>
    </w:p>
    <w:p>
      <w:pPr>
        <w:pStyle w:val="BodyText"/>
        <w:spacing w:before="9"/>
        <w:rPr>
          <w:sz w:val="16"/>
        </w:rPr>
      </w:pPr>
    </w:p>
    <w:p>
      <w:pPr>
        <w:pStyle w:val="ListParagraph"/>
        <w:numPr>
          <w:ilvl w:val="0"/>
          <w:numId w:val="43"/>
        </w:numPr>
        <w:tabs>
          <w:tab w:pos="674" w:val="left" w:leader="none"/>
          <w:tab w:pos="675" w:val="left" w:leader="none"/>
        </w:tabs>
        <w:spacing w:line="232" w:lineRule="auto" w:before="0" w:after="0"/>
        <w:ind w:left="194" w:right="169" w:firstLine="0"/>
        <w:jc w:val="left"/>
        <w:rPr>
          <w:sz w:val="18"/>
        </w:rPr>
      </w:pPr>
      <w:r>
        <w:rPr>
          <w:color w:val="231F20"/>
          <w:sz w:val="18"/>
        </w:rPr>
        <w:t>Headline underlying earnings growth remained at 4.5% in January, although growth in the service sector rose to 4.8% from 4.6% in December. Growth in the manufacturing sector remained at 4.6%, while production sector growth continued at 4.2% because of the weak contribution from utilities and mining. The more volatile monthly twelve-month growth rate for the whole economy increased from 4.3% to 4.8% in February. Headline private sector earnings growth, published for the first time this month, rose to the highest level since August 1992 (5.2%). Earnings growth </w:t>
      </w:r>
      <w:r>
        <w:rPr>
          <w:color w:val="231F20"/>
          <w:spacing w:val="-3"/>
          <w:sz w:val="18"/>
        </w:rPr>
        <w:t>remained </w:t>
      </w:r>
      <w:r>
        <w:rPr>
          <w:color w:val="231F20"/>
          <w:sz w:val="18"/>
        </w:rPr>
        <w:t>high in the financial intermediation sector, though this was probably distorted by high bonuses. This contrasted with subdued growth in the public sector, unchanged at 2.4%. The seasonally unadjusted twelve-month growth rate in education, health and social work was only 1.3% in February. Productivity growth per workforce job in the year to 1997 Q4 was revised up to 1.5%, from 1.3%. This caused a downward revision in unit wage costs, which were up by 3.6% in 1997 Q4.</w:t>
      </w:r>
    </w:p>
    <w:p>
      <w:pPr>
        <w:pStyle w:val="BodyText"/>
        <w:spacing w:before="3"/>
        <w:rPr>
          <w:sz w:val="16"/>
        </w:rPr>
      </w:pPr>
    </w:p>
    <w:p>
      <w:pPr>
        <w:pStyle w:val="ListParagraph"/>
        <w:numPr>
          <w:ilvl w:val="0"/>
          <w:numId w:val="43"/>
        </w:numPr>
        <w:tabs>
          <w:tab w:pos="675" w:val="left" w:leader="none"/>
        </w:tabs>
        <w:spacing w:line="232" w:lineRule="auto" w:before="0" w:after="0"/>
        <w:ind w:left="194" w:right="260" w:firstLine="0"/>
        <w:jc w:val="both"/>
        <w:rPr>
          <w:sz w:val="18"/>
        </w:rPr>
      </w:pPr>
      <w:r>
        <w:rPr>
          <w:color w:val="231F20"/>
          <w:sz w:val="18"/>
        </w:rPr>
        <w:t>There was relatively little change in the Bank’s measures </w:t>
      </w:r>
      <w:r>
        <w:rPr>
          <w:color w:val="231F20"/>
          <w:spacing w:val="-9"/>
          <w:sz w:val="18"/>
        </w:rPr>
        <w:t>of </w:t>
      </w:r>
      <w:r>
        <w:rPr>
          <w:color w:val="231F20"/>
          <w:sz w:val="18"/>
        </w:rPr>
        <w:t>wage settlements, which had stabilised at around </w:t>
      </w:r>
      <w:r>
        <w:rPr>
          <w:color w:val="231F20"/>
          <w:position w:val="6"/>
          <w:sz w:val="9"/>
        </w:rPr>
        <w:t>1</w:t>
      </w:r>
      <w:r>
        <w:rPr>
          <w:color w:val="231F20"/>
          <w:sz w:val="18"/>
        </w:rPr>
        <w:t>/</w:t>
      </w:r>
      <w:r>
        <w:rPr>
          <w:color w:val="231F20"/>
          <w:sz w:val="9"/>
        </w:rPr>
        <w:t>2</w:t>
      </w:r>
      <w:r>
        <w:rPr>
          <w:color w:val="231F20"/>
          <w:sz w:val="18"/>
        </w:rPr>
        <w:t>–</w:t>
      </w:r>
      <w:r>
        <w:rPr>
          <w:color w:val="231F20"/>
          <w:position w:val="6"/>
          <w:sz w:val="9"/>
        </w:rPr>
        <w:t>3</w:t>
      </w:r>
      <w:r>
        <w:rPr>
          <w:color w:val="231F20"/>
          <w:sz w:val="18"/>
        </w:rPr>
        <w:t>/</w:t>
      </w:r>
      <w:r>
        <w:rPr>
          <w:color w:val="231F20"/>
          <w:sz w:val="9"/>
        </w:rPr>
        <w:t>4 </w:t>
      </w:r>
      <w:r>
        <w:rPr>
          <w:color w:val="231F20"/>
          <w:sz w:val="18"/>
        </w:rPr>
        <w:t>percentage point higher than a year ago. The three-month</w:t>
      </w:r>
    </w:p>
    <w:p>
      <w:pPr>
        <w:pStyle w:val="BodyText"/>
        <w:spacing w:line="232" w:lineRule="auto"/>
        <w:ind w:left="194" w:right="161"/>
      </w:pPr>
      <w:r>
        <w:rPr>
          <w:color w:val="231F20"/>
        </w:rPr>
        <w:t>employment-weighted median remained unchanged at 3.6% in March, and the mean was 4%. There were tentative signs that some manufacturing firms were achieving lower settlements, but these were insufficient to affect the aggregate measures.</w:t>
      </w:r>
    </w:p>
    <w:p>
      <w:pPr>
        <w:pStyle w:val="BodyText"/>
        <w:spacing w:before="2"/>
        <w:rPr>
          <w:sz w:val="20"/>
        </w:rPr>
      </w:pPr>
    </w:p>
    <w:p>
      <w:pPr>
        <w:pStyle w:val="Heading6"/>
        <w:numPr>
          <w:ilvl w:val="0"/>
          <w:numId w:val="44"/>
        </w:numPr>
        <w:tabs>
          <w:tab w:pos="674" w:val="left" w:leader="none"/>
          <w:tab w:pos="675" w:val="left" w:leader="none"/>
        </w:tabs>
        <w:spacing w:line="240" w:lineRule="auto" w:before="0" w:after="0"/>
        <w:ind w:left="674" w:right="0" w:hanging="481"/>
        <w:jc w:val="left"/>
      </w:pPr>
      <w:r>
        <w:rPr>
          <w:color w:val="009483"/>
        </w:rPr>
        <w:t>Prices</w:t>
      </w:r>
    </w:p>
    <w:p>
      <w:pPr>
        <w:pStyle w:val="ListParagraph"/>
        <w:numPr>
          <w:ilvl w:val="0"/>
          <w:numId w:val="43"/>
        </w:numPr>
        <w:tabs>
          <w:tab w:pos="674" w:val="left" w:leader="none"/>
          <w:tab w:pos="675" w:val="left" w:leader="none"/>
        </w:tabs>
        <w:spacing w:line="232" w:lineRule="auto" w:before="110" w:after="0"/>
        <w:ind w:left="194" w:right="150" w:firstLine="0"/>
        <w:jc w:val="left"/>
        <w:rPr>
          <w:sz w:val="18"/>
        </w:rPr>
      </w:pPr>
      <w:r>
        <w:rPr>
          <w:color w:val="231F20"/>
          <w:sz w:val="18"/>
        </w:rPr>
        <w:t>Commodity and manufacturers’ input prices continued to fall in March. The Bank’s commodity price index fell by 1.3% during the month. This mainly reflected the sharp fall in the oil price. Commodity prices excluding oil fell by 0.1% during the month. Metal prices were flat, having fallen in each month since September last year. The annual rate of deflation in commodity prices in the first quarter of 1998—at 13.7%—was the largest ever recorded by the Bank’s series (which began in 1986). The fall in the oil price had also contributed to a 1% fall in manufacturers’ input prices in March, keeping the annual rate of deflation at around 10%. The price of some imported material prices had also fallen (textiles, rubber, pulp), reflecting both sterling’s appreciation and the situation in East Asia. The C</w:t>
      </w:r>
      <w:r>
        <w:rPr>
          <w:color w:val="231F20"/>
          <w:sz w:val="14"/>
        </w:rPr>
        <w:t>IPS </w:t>
      </w:r>
      <w:r>
        <w:rPr>
          <w:color w:val="231F20"/>
          <w:sz w:val="18"/>
        </w:rPr>
        <w:t>report on manufacturing suggested a further fall in input prices in April.</w:t>
      </w:r>
    </w:p>
    <w:p>
      <w:pPr>
        <w:spacing w:after="0" w:line="232" w:lineRule="auto"/>
        <w:jc w:val="left"/>
        <w:rPr>
          <w:sz w:val="18"/>
        </w:rPr>
        <w:sectPr>
          <w:type w:val="continuous"/>
          <w:pgSz w:w="11900" w:h="16840"/>
          <w:pgMar w:top="1220" w:bottom="280" w:left="620" w:right="640"/>
          <w:cols w:num="2" w:equalWidth="0">
            <w:col w:w="5139" w:space="251"/>
            <w:col w:w="5250"/>
          </w:cols>
        </w:sectPr>
      </w:pPr>
    </w:p>
    <w:p>
      <w:pPr>
        <w:pStyle w:val="BodyText"/>
        <w:rPr>
          <w:sz w:val="20"/>
        </w:rPr>
      </w:pPr>
    </w:p>
    <w:p>
      <w:pPr>
        <w:spacing w:after="0"/>
        <w:rPr>
          <w:sz w:val="20"/>
        </w:rPr>
        <w:sectPr>
          <w:pgSz w:w="11900" w:h="16840"/>
          <w:pgMar w:header="566" w:footer="597" w:top="760" w:bottom="780" w:left="620" w:right="640"/>
        </w:sectPr>
      </w:pPr>
    </w:p>
    <w:p>
      <w:pPr>
        <w:pStyle w:val="BodyText"/>
        <w:spacing w:before="4"/>
        <w:rPr>
          <w:sz w:val="21"/>
        </w:rPr>
      </w:pPr>
    </w:p>
    <w:p>
      <w:pPr>
        <w:pStyle w:val="ListParagraph"/>
        <w:numPr>
          <w:ilvl w:val="0"/>
          <w:numId w:val="43"/>
        </w:numPr>
        <w:tabs>
          <w:tab w:pos="645" w:val="left" w:leader="none"/>
          <w:tab w:pos="646" w:val="left" w:leader="none"/>
        </w:tabs>
        <w:spacing w:line="232" w:lineRule="auto" w:before="1" w:after="0"/>
        <w:ind w:left="165" w:right="38" w:firstLine="0"/>
        <w:jc w:val="left"/>
        <w:rPr>
          <w:sz w:val="18"/>
        </w:rPr>
      </w:pPr>
      <w:r>
        <w:rPr>
          <w:color w:val="231F20"/>
          <w:sz w:val="18"/>
        </w:rPr>
        <w:t>The oil price had risen slightly in April, following agreements by O</w:t>
      </w:r>
      <w:r>
        <w:rPr>
          <w:color w:val="231F20"/>
          <w:sz w:val="14"/>
        </w:rPr>
        <w:t>PEC </w:t>
      </w:r>
      <w:r>
        <w:rPr>
          <w:color w:val="231F20"/>
          <w:sz w:val="18"/>
        </w:rPr>
        <w:t>and non-O</w:t>
      </w:r>
      <w:r>
        <w:rPr>
          <w:color w:val="231F20"/>
          <w:sz w:val="14"/>
        </w:rPr>
        <w:t>PEC </w:t>
      </w:r>
      <w:r>
        <w:rPr>
          <w:color w:val="231F20"/>
          <w:sz w:val="18"/>
        </w:rPr>
        <w:t>producers to cut output levels. But there appeared to be little upward pressure on the spot price, as supply remained high relative to demand. The price level was around $6 per barrel below its level in mid October 1997. The significance of this fall for the economy as a whole was thought likely to be relatively small compared with previous oil shocks. This reflected a number of factors. First, there had been a sustained fall in the oil intensity of total production since the 1970s. Second, the real oil price (deflated by consumer price inflation) was historically low, and the recent fall in the real price had been relatively small. And third, although the United Kingdom is a net exporter of oil, net exports had declined considerably from their peak in the mid 1980s.  Some direct effects of the lower oil price on retail petrol prices had been evident since the autumn of 1997. But the total direct impact on retail price inflation is likely to be small.</w:t>
      </w:r>
    </w:p>
    <w:p>
      <w:pPr>
        <w:pStyle w:val="BodyText"/>
        <w:spacing w:before="2"/>
        <w:rPr>
          <w:sz w:val="16"/>
        </w:rPr>
      </w:pPr>
    </w:p>
    <w:p>
      <w:pPr>
        <w:pStyle w:val="ListParagraph"/>
        <w:numPr>
          <w:ilvl w:val="0"/>
          <w:numId w:val="43"/>
        </w:numPr>
        <w:tabs>
          <w:tab w:pos="645" w:val="left" w:leader="none"/>
          <w:tab w:pos="646" w:val="left" w:leader="none"/>
        </w:tabs>
        <w:spacing w:line="232" w:lineRule="auto" w:before="0" w:after="0"/>
        <w:ind w:left="165" w:right="52" w:firstLine="0"/>
        <w:jc w:val="left"/>
        <w:rPr>
          <w:sz w:val="18"/>
        </w:rPr>
      </w:pPr>
      <w:r>
        <w:rPr>
          <w:color w:val="231F20"/>
          <w:sz w:val="18"/>
        </w:rPr>
        <w:t>Manufacturing output price inflation had remained subdued in March. Excluding changes in excise duties, output prices were unchanged on the month, rising by 0.2% during the year to March. Higher petrol duties announced in the Budget increased total </w:t>
      </w:r>
      <w:r>
        <w:rPr>
          <w:color w:val="231F20"/>
          <w:spacing w:val="-3"/>
          <w:sz w:val="18"/>
        </w:rPr>
        <w:t>output </w:t>
      </w:r>
      <w:r>
        <w:rPr>
          <w:color w:val="231F20"/>
          <w:sz w:val="18"/>
        </w:rPr>
        <w:t>prices to 1% above their level a year earlier. The CBI Industrial Trends Survey had recorded its lowest-ever balance for reported prices in the April survey; and the balance for price expectations had remained negative (-5, seasonally adjusted). Indications from the latest C</w:t>
      </w:r>
      <w:r>
        <w:rPr>
          <w:color w:val="231F20"/>
          <w:sz w:val="14"/>
        </w:rPr>
        <w:t>IPS </w:t>
      </w:r>
      <w:r>
        <w:rPr>
          <w:color w:val="231F20"/>
          <w:sz w:val="18"/>
        </w:rPr>
        <w:t>report on services suggested that cost pressures facing service sector firms had continued to rise in April, mainly owing to rising wage and salary costs: the seasonally adjusted balance was 58.9 in April, compared with 58.2 in March. Average prices charged by respondents had also risen again, though the balance had fallen from 52.5 to 51.7 (seasonally adjusted). So fewer firms had reported higher prices than higher costs.</w:t>
      </w:r>
    </w:p>
    <w:p>
      <w:pPr>
        <w:pStyle w:val="BodyText"/>
        <w:spacing w:before="5"/>
        <w:rPr>
          <w:sz w:val="16"/>
        </w:rPr>
      </w:pPr>
    </w:p>
    <w:p>
      <w:pPr>
        <w:pStyle w:val="ListParagraph"/>
        <w:numPr>
          <w:ilvl w:val="0"/>
          <w:numId w:val="43"/>
        </w:numPr>
        <w:tabs>
          <w:tab w:pos="645" w:val="left" w:leader="none"/>
          <w:tab w:pos="646" w:val="left" w:leader="none"/>
        </w:tabs>
        <w:spacing w:line="232" w:lineRule="auto" w:before="0" w:after="0"/>
        <w:ind w:left="165" w:right="98" w:firstLine="0"/>
        <w:jc w:val="left"/>
        <w:rPr>
          <w:sz w:val="18"/>
        </w:rPr>
      </w:pPr>
      <w:r>
        <w:rPr>
          <w:color w:val="231F20"/>
          <w:sz w:val="18"/>
        </w:rPr>
        <w:t>Non-oil export prices were unchanged in February, while import prices had fallen by 0.3% (seasonally adjusted), leaving annual rates of change at -3.4% and -3.7% respectively. The </w:t>
      </w:r>
      <w:r>
        <w:rPr>
          <w:color w:val="231F20"/>
          <w:spacing w:val="-4"/>
          <w:sz w:val="18"/>
        </w:rPr>
        <w:t>terms </w:t>
      </w:r>
      <w:r>
        <w:rPr>
          <w:color w:val="231F20"/>
          <w:sz w:val="18"/>
        </w:rPr>
        <w:t>of trade for goods (non-oil) had changed little since the beginning of 1997, and the overall change since the start of sterling’s appreciation was small by historical standards. Bank estimates of manufacturers’ margins on export sales had continued to be lower in 1998 Q1 than a year earlier, reflecting the fall in export prices. And margins on domestic sales were also lower, as rising unit labour costs had more than offset falling material costs.</w:t>
      </w:r>
    </w:p>
    <w:p>
      <w:pPr>
        <w:pStyle w:val="BodyText"/>
        <w:spacing w:before="8"/>
        <w:rPr>
          <w:sz w:val="16"/>
        </w:rPr>
      </w:pPr>
    </w:p>
    <w:p>
      <w:pPr>
        <w:pStyle w:val="ListParagraph"/>
        <w:numPr>
          <w:ilvl w:val="0"/>
          <w:numId w:val="43"/>
        </w:numPr>
        <w:tabs>
          <w:tab w:pos="645" w:val="left" w:leader="none"/>
          <w:tab w:pos="646" w:val="left" w:leader="none"/>
        </w:tabs>
        <w:spacing w:line="232" w:lineRule="auto" w:before="0" w:after="0"/>
        <w:ind w:left="165" w:right="62" w:firstLine="0"/>
        <w:jc w:val="left"/>
        <w:rPr>
          <w:sz w:val="18"/>
        </w:rPr>
      </w:pPr>
      <w:r>
        <w:rPr>
          <w:color w:val="231F20"/>
          <w:sz w:val="18"/>
        </w:rPr>
        <w:t>Annual RPIX inflation was unchanged in March at 2.6%. Services price inflation had risen by 0.1 percentage points to 2.9%; goods price inflation was unchanged at 2.0%. Annual RPIX inflation averaged 2.6% in 1998 Q1, as projected in the February </w:t>
      </w:r>
      <w:r>
        <w:rPr>
          <w:i/>
          <w:color w:val="231F20"/>
          <w:sz w:val="18"/>
        </w:rPr>
        <w:t>Inflation Report</w:t>
      </w:r>
      <w:r>
        <w:rPr>
          <w:color w:val="231F20"/>
          <w:sz w:val="18"/>
        </w:rPr>
        <w:t>, compared with 2.8% in 1997 Q4. Services price inflation had fallen by 0.1 percentage points to 2.9% in 1998 Q1, </w:t>
      </w:r>
      <w:r>
        <w:rPr>
          <w:color w:val="231F20"/>
          <w:spacing w:val="-9"/>
          <w:sz w:val="18"/>
        </w:rPr>
        <w:t>in </w:t>
      </w:r>
      <w:r>
        <w:rPr>
          <w:color w:val="231F20"/>
          <w:sz w:val="18"/>
        </w:rPr>
        <w:t>part owing to lower foreign holiday prices. And goods price inflation had fallen by 0.3 percentage points to 1.9%. The record price discounting in January had not been fully unwound in February and March, consistent with a further impact on retail prices from sterling’s appreciation, alongside slower sales growth than in 1997. There was also some evidence of an impact from the East Asian situation: leisure goods prices, particularly for</w:t>
      </w:r>
    </w:p>
    <w:p>
      <w:pPr>
        <w:pStyle w:val="BodyText"/>
        <w:spacing w:line="232" w:lineRule="auto"/>
        <w:ind w:left="165" w:right="5"/>
      </w:pPr>
      <w:r>
        <w:rPr>
          <w:color w:val="231F20"/>
        </w:rPr>
        <w:t>audio-visual goods, had fallen sharply during the first quarter. On the basis of national measures of inflation, UK RPIX inflation remained above inflation in the main EU3 economies (France, Germany, Italy). But on an EU-harmonised basis, UK inflation at 1.6% in March was around the EU average rate (data up to February).</w:t>
      </w:r>
    </w:p>
    <w:p>
      <w:pPr>
        <w:pStyle w:val="BodyText"/>
        <w:spacing w:before="1"/>
        <w:rPr>
          <w:sz w:val="16"/>
        </w:rPr>
      </w:pPr>
    </w:p>
    <w:p>
      <w:pPr>
        <w:pStyle w:val="ListParagraph"/>
        <w:numPr>
          <w:ilvl w:val="0"/>
          <w:numId w:val="43"/>
        </w:numPr>
        <w:tabs>
          <w:tab w:pos="645" w:val="left" w:leader="none"/>
          <w:tab w:pos="646" w:val="left" w:leader="none"/>
        </w:tabs>
        <w:spacing w:line="232" w:lineRule="auto" w:before="0" w:after="0"/>
        <w:ind w:left="165" w:right="121" w:firstLine="0"/>
        <w:jc w:val="left"/>
        <w:rPr>
          <w:sz w:val="18"/>
        </w:rPr>
      </w:pPr>
      <w:r>
        <w:rPr>
          <w:color w:val="231F20"/>
          <w:sz w:val="18"/>
        </w:rPr>
        <w:t>Annual RPIX inflation was likely to rise sharply in April, </w:t>
      </w:r>
      <w:r>
        <w:rPr>
          <w:color w:val="231F20"/>
          <w:spacing w:val="-9"/>
          <w:sz w:val="18"/>
        </w:rPr>
        <w:t>to </w:t>
      </w:r>
      <w:r>
        <w:rPr>
          <w:color w:val="231F20"/>
          <w:sz w:val="18"/>
        </w:rPr>
        <w:t>around 2.9%, as the increase in petrol duties announced in the March Budget fed through. This upward effect was likely to be reversed in July, as last year’s increase in duties drops out of the twelve-month rate. Consequently, RPIY inflation would probably provide a better guide to the trend in inflation in the coming months.</w:t>
      </w:r>
    </w:p>
    <w:p>
      <w:pPr>
        <w:pStyle w:val="BodyText"/>
        <w:spacing w:before="2"/>
        <w:rPr>
          <w:sz w:val="20"/>
        </w:rPr>
      </w:pPr>
      <w:r>
        <w:rPr/>
        <w:br w:type="column"/>
      </w:r>
      <w:r>
        <w:rPr>
          <w:sz w:val="20"/>
        </w:rPr>
      </w:r>
    </w:p>
    <w:p>
      <w:pPr>
        <w:pStyle w:val="Heading6"/>
        <w:numPr>
          <w:ilvl w:val="0"/>
          <w:numId w:val="44"/>
        </w:numPr>
        <w:tabs>
          <w:tab w:pos="645" w:val="left" w:leader="none"/>
          <w:tab w:pos="646" w:val="left" w:leader="none"/>
        </w:tabs>
        <w:spacing w:line="240" w:lineRule="auto" w:before="0" w:after="0"/>
        <w:ind w:left="645" w:right="0" w:hanging="481"/>
        <w:jc w:val="left"/>
      </w:pPr>
      <w:r>
        <w:rPr>
          <w:color w:val="009483"/>
        </w:rPr>
        <w:t>Financial</w:t>
      </w:r>
      <w:r>
        <w:rPr>
          <w:color w:val="009483"/>
          <w:spacing w:val="-1"/>
        </w:rPr>
        <w:t> </w:t>
      </w:r>
      <w:r>
        <w:rPr>
          <w:color w:val="009483"/>
        </w:rPr>
        <w:t>markets</w:t>
      </w:r>
    </w:p>
    <w:p>
      <w:pPr>
        <w:spacing w:before="104"/>
        <w:ind w:left="165" w:right="0" w:firstLine="0"/>
        <w:jc w:val="left"/>
        <w:rPr>
          <w:i/>
          <w:sz w:val="18"/>
        </w:rPr>
      </w:pPr>
      <w:r>
        <w:rPr>
          <w:i/>
          <w:color w:val="009483"/>
          <w:sz w:val="18"/>
        </w:rPr>
        <w:t>Foreign exchange</w:t>
      </w:r>
    </w:p>
    <w:p>
      <w:pPr>
        <w:pStyle w:val="ListParagraph"/>
        <w:numPr>
          <w:ilvl w:val="0"/>
          <w:numId w:val="43"/>
        </w:numPr>
        <w:tabs>
          <w:tab w:pos="645" w:val="left" w:leader="none"/>
          <w:tab w:pos="646" w:val="left" w:leader="none"/>
        </w:tabs>
        <w:spacing w:line="232" w:lineRule="auto" w:before="118" w:after="0"/>
        <w:ind w:left="165" w:right="201" w:firstLine="0"/>
        <w:jc w:val="left"/>
        <w:rPr>
          <w:sz w:val="18"/>
        </w:rPr>
      </w:pPr>
      <w:r>
        <w:rPr>
          <w:color w:val="231F20"/>
          <w:sz w:val="18"/>
        </w:rPr>
        <w:t>Sterling had fallen back a little against the Deutsche Mark during April, but was largely unchanged against the dollar. UK news had little immediate effect on the market, the most significant being earnings figures released on 21 April, which coincided with </w:t>
      </w:r>
      <w:r>
        <w:rPr>
          <w:color w:val="231F20"/>
          <w:spacing w:val="-17"/>
          <w:sz w:val="18"/>
        </w:rPr>
        <w:t>a </w:t>
      </w:r>
      <w:r>
        <w:rPr>
          <w:color w:val="231F20"/>
          <w:sz w:val="18"/>
        </w:rPr>
        <w:t>fall in sterling. A few days earlier sterling had failed to break through 1.70 against the dollar, and this triggered a sell-off on technical grounds.</w:t>
      </w:r>
    </w:p>
    <w:p>
      <w:pPr>
        <w:pStyle w:val="BodyText"/>
        <w:spacing w:before="11"/>
        <w:rPr>
          <w:sz w:val="16"/>
        </w:rPr>
      </w:pPr>
    </w:p>
    <w:p>
      <w:pPr>
        <w:pStyle w:val="ListParagraph"/>
        <w:numPr>
          <w:ilvl w:val="0"/>
          <w:numId w:val="43"/>
        </w:numPr>
        <w:tabs>
          <w:tab w:pos="645" w:val="left" w:leader="none"/>
          <w:tab w:pos="646" w:val="left" w:leader="none"/>
        </w:tabs>
        <w:spacing w:line="232" w:lineRule="auto" w:before="0" w:after="0"/>
        <w:ind w:left="165" w:right="246" w:firstLine="0"/>
        <w:jc w:val="left"/>
        <w:rPr>
          <w:sz w:val="18"/>
        </w:rPr>
      </w:pPr>
      <w:r>
        <w:rPr>
          <w:color w:val="231F20"/>
          <w:sz w:val="18"/>
        </w:rPr>
        <w:t>The German ERI was flat during the month, reflecting the stability of the Deutsche Mark against fellow euro-candidate currencies, which have large weights within the German ERI. But the Deutsche Mark appreciated against both sterling and the </w:t>
      </w:r>
      <w:r>
        <w:rPr>
          <w:color w:val="231F20"/>
          <w:spacing w:val="-3"/>
          <w:sz w:val="18"/>
        </w:rPr>
        <w:t>dollar. </w:t>
      </w:r>
      <w:r>
        <w:rPr>
          <w:color w:val="231F20"/>
          <w:sz w:val="18"/>
        </w:rPr>
        <w:t>This reflected a more positive view on German activity, supported by stronger-than-expected M3 figures on April 21, and a feeling that uncertainty about the euro might soon diminish. A negative skew in expectations about future £/DM rates suggested that the market sees potential for a significant move down in sterling against the Deutsche Mark if technical support levels are broken.</w:t>
      </w:r>
    </w:p>
    <w:p>
      <w:pPr>
        <w:pStyle w:val="BodyText"/>
        <w:spacing w:before="8"/>
        <w:rPr>
          <w:sz w:val="16"/>
        </w:rPr>
      </w:pPr>
    </w:p>
    <w:p>
      <w:pPr>
        <w:pStyle w:val="ListParagraph"/>
        <w:numPr>
          <w:ilvl w:val="0"/>
          <w:numId w:val="43"/>
        </w:numPr>
        <w:tabs>
          <w:tab w:pos="645" w:val="left" w:leader="none"/>
          <w:tab w:pos="646" w:val="left" w:leader="none"/>
        </w:tabs>
        <w:spacing w:line="232" w:lineRule="auto" w:before="0" w:after="0"/>
        <w:ind w:left="165" w:right="496" w:firstLine="0"/>
        <w:jc w:val="left"/>
        <w:rPr>
          <w:sz w:val="18"/>
        </w:rPr>
      </w:pPr>
      <w:r>
        <w:rPr>
          <w:color w:val="231F20"/>
          <w:sz w:val="18"/>
        </w:rPr>
        <w:t>The yen had remained weak, despite temporary gains following intervention by the Bank of Japan just before Easter. Details of the Japanese fiscal package on 24 April had failed to strengthen the yen, and $/Yen continued to trade at around</w:t>
      </w:r>
      <w:r>
        <w:rPr>
          <w:color w:val="231F20"/>
          <w:spacing w:val="2"/>
          <w:sz w:val="18"/>
        </w:rPr>
        <w:t> </w:t>
      </w:r>
      <w:r>
        <w:rPr>
          <w:color w:val="231F20"/>
          <w:spacing w:val="-5"/>
          <w:sz w:val="18"/>
        </w:rPr>
        <w:t>133.</w:t>
      </w:r>
    </w:p>
    <w:p>
      <w:pPr>
        <w:pStyle w:val="BodyText"/>
        <w:spacing w:before="8"/>
        <w:rPr>
          <w:sz w:val="16"/>
        </w:rPr>
      </w:pPr>
    </w:p>
    <w:p>
      <w:pPr>
        <w:spacing w:before="0"/>
        <w:ind w:left="165" w:right="0" w:firstLine="0"/>
        <w:jc w:val="left"/>
        <w:rPr>
          <w:i/>
          <w:sz w:val="18"/>
        </w:rPr>
      </w:pPr>
      <w:r>
        <w:rPr>
          <w:i/>
          <w:color w:val="009483"/>
          <w:sz w:val="18"/>
        </w:rPr>
        <w:t>Bond and money markets</w:t>
      </w:r>
    </w:p>
    <w:p>
      <w:pPr>
        <w:pStyle w:val="BodyText"/>
        <w:spacing w:before="2"/>
        <w:rPr>
          <w:i/>
          <w:sz w:val="17"/>
        </w:rPr>
      </w:pPr>
    </w:p>
    <w:p>
      <w:pPr>
        <w:pStyle w:val="ListParagraph"/>
        <w:numPr>
          <w:ilvl w:val="0"/>
          <w:numId w:val="43"/>
        </w:numPr>
        <w:tabs>
          <w:tab w:pos="645" w:val="left" w:leader="none"/>
          <w:tab w:pos="646" w:val="left" w:leader="none"/>
        </w:tabs>
        <w:spacing w:line="232" w:lineRule="auto" w:before="0" w:after="0"/>
        <w:ind w:left="165" w:right="271" w:firstLine="0"/>
        <w:jc w:val="left"/>
        <w:rPr>
          <w:sz w:val="18"/>
        </w:rPr>
      </w:pPr>
      <w:r>
        <w:rPr>
          <w:color w:val="231F20"/>
          <w:sz w:val="18"/>
        </w:rPr>
        <w:t>In the United Kingdom short-term interest rate expectations had eased since the last MPC, in contrast with the United States. The UK market was stable during the month, responding more to speculation about monetary policy than to economic news, which was seen as largely in line with expectations or benign. There </w:t>
      </w:r>
      <w:r>
        <w:rPr>
          <w:color w:val="231F20"/>
          <w:spacing w:val="-6"/>
          <w:sz w:val="18"/>
        </w:rPr>
        <w:t>was </w:t>
      </w:r>
      <w:r>
        <w:rPr>
          <w:color w:val="231F20"/>
          <w:sz w:val="18"/>
        </w:rPr>
        <w:t>now little market expectation of an immediate rise in the repo </w:t>
      </w:r>
      <w:r>
        <w:rPr>
          <w:color w:val="231F20"/>
          <w:spacing w:val="-3"/>
          <w:sz w:val="18"/>
        </w:rPr>
        <w:t>rate, </w:t>
      </w:r>
      <w:r>
        <w:rPr>
          <w:color w:val="231F20"/>
          <w:sz w:val="18"/>
        </w:rPr>
        <w:t>and the market expected a fall later in the year. Options on</w:t>
      </w:r>
    </w:p>
    <w:p>
      <w:pPr>
        <w:pStyle w:val="BodyText"/>
        <w:spacing w:line="232" w:lineRule="auto"/>
        <w:ind w:left="165" w:right="207"/>
      </w:pPr>
      <w:r>
        <w:rPr>
          <w:color w:val="231F20"/>
        </w:rPr>
        <w:t>three-month contracts showed that since the last MPC, the market has reduced its probability of UK rates staying the same. German three-month options reveal a significant upward skew, possibly because of uncertainty about the path of the upturn in European economic performance and about the likely rate the ECB will set (a consequence of the current diversity of short rates across the eleven expected members of EMU). Expectations about future US</w:t>
      </w:r>
    </w:p>
    <w:p>
      <w:pPr>
        <w:pStyle w:val="BodyText"/>
        <w:spacing w:line="197" w:lineRule="exact"/>
        <w:ind w:left="165"/>
      </w:pPr>
      <w:r>
        <w:rPr>
          <w:color w:val="231F20"/>
        </w:rPr>
        <w:t>three-month rates are more symmetric.</w:t>
      </w:r>
    </w:p>
    <w:p>
      <w:pPr>
        <w:pStyle w:val="BodyText"/>
        <w:spacing w:before="9"/>
        <w:rPr>
          <w:sz w:val="16"/>
        </w:rPr>
      </w:pPr>
    </w:p>
    <w:p>
      <w:pPr>
        <w:pStyle w:val="ListParagraph"/>
        <w:numPr>
          <w:ilvl w:val="0"/>
          <w:numId w:val="43"/>
        </w:numPr>
        <w:tabs>
          <w:tab w:pos="645" w:val="left" w:leader="none"/>
          <w:tab w:pos="646" w:val="left" w:leader="none"/>
        </w:tabs>
        <w:spacing w:line="232" w:lineRule="auto" w:before="0" w:after="0"/>
        <w:ind w:left="165" w:right="321" w:firstLine="0"/>
        <w:jc w:val="left"/>
        <w:rPr>
          <w:sz w:val="18"/>
        </w:rPr>
      </w:pPr>
      <w:r>
        <w:rPr>
          <w:color w:val="231F20"/>
          <w:sz w:val="18"/>
        </w:rPr>
        <w:t>There was some steepening in the UK yield curve during April. The three-year spot rate fell by 5 basis points, while the ten-year spot rate rose by 12 basis points. Ten-year spot rates </w:t>
      </w:r>
      <w:r>
        <w:rPr>
          <w:color w:val="231F20"/>
          <w:spacing w:val="-6"/>
          <w:sz w:val="18"/>
        </w:rPr>
        <w:t>had </w:t>
      </w:r>
      <w:r>
        <w:rPr>
          <w:color w:val="231F20"/>
          <w:sz w:val="18"/>
        </w:rPr>
        <w:t>risen by more in most international markets, reducing the UK differential over other markets. The one exception was Japan, where the fall in rates may have reflected disappointment at the fiscal package, and legal changes making Japanese government bonds more attractive to life companies.</w:t>
      </w:r>
    </w:p>
    <w:p>
      <w:pPr>
        <w:pStyle w:val="BodyText"/>
        <w:spacing w:before="5"/>
        <w:rPr>
          <w:sz w:val="16"/>
        </w:rPr>
      </w:pPr>
    </w:p>
    <w:p>
      <w:pPr>
        <w:spacing w:before="0"/>
        <w:ind w:left="165" w:right="0" w:firstLine="0"/>
        <w:jc w:val="left"/>
        <w:rPr>
          <w:i/>
          <w:sz w:val="18"/>
        </w:rPr>
      </w:pPr>
      <w:r>
        <w:rPr>
          <w:i/>
          <w:color w:val="009483"/>
          <w:sz w:val="18"/>
        </w:rPr>
        <w:t>Equity markets</w:t>
      </w:r>
    </w:p>
    <w:p>
      <w:pPr>
        <w:pStyle w:val="ListParagraph"/>
        <w:numPr>
          <w:ilvl w:val="0"/>
          <w:numId w:val="43"/>
        </w:numPr>
        <w:tabs>
          <w:tab w:pos="645" w:val="left" w:leader="none"/>
          <w:tab w:pos="646" w:val="left" w:leader="none"/>
        </w:tabs>
        <w:spacing w:line="232" w:lineRule="auto" w:before="118" w:after="0"/>
        <w:ind w:left="165" w:right="161" w:firstLine="0"/>
        <w:jc w:val="left"/>
        <w:rPr>
          <w:sz w:val="18"/>
        </w:rPr>
      </w:pPr>
      <w:r>
        <w:rPr>
          <w:color w:val="231F20"/>
          <w:sz w:val="18"/>
        </w:rPr>
        <w:t>In April, the Dow Jones had risen, while there had been a fall in Japanese and European indices (the F</w:t>
      </w:r>
      <w:r>
        <w:rPr>
          <w:color w:val="231F20"/>
          <w:sz w:val="14"/>
        </w:rPr>
        <w:t>T-SE </w:t>
      </w:r>
      <w:r>
        <w:rPr>
          <w:color w:val="231F20"/>
          <w:sz w:val="18"/>
        </w:rPr>
        <w:t>100 was down by </w:t>
      </w:r>
      <w:r>
        <w:rPr>
          <w:color w:val="231F20"/>
          <w:spacing w:val="-4"/>
          <w:sz w:val="18"/>
        </w:rPr>
        <w:t>0.7% </w:t>
      </w:r>
      <w:r>
        <w:rPr>
          <w:color w:val="231F20"/>
          <w:sz w:val="18"/>
        </w:rPr>
        <w:t>since the last MPC announcement).  Volatility in equity markets had increased in April, although it remained below the levels seen in November. Weakness in equity markets had not resulted in a ‘flight to quality’: bond yields had risen as equity markets had fallen, and the reverse had happened as equities recovered. The negative skewness in the F</w:t>
      </w:r>
      <w:r>
        <w:rPr>
          <w:color w:val="231F20"/>
          <w:sz w:val="14"/>
        </w:rPr>
        <w:t>T-SE </w:t>
      </w:r>
      <w:r>
        <w:rPr>
          <w:color w:val="231F20"/>
          <w:sz w:val="18"/>
        </w:rPr>
        <w:t>probability density functions had increased recently, reflecting a greater probability attached to a sharp fall.</w:t>
      </w:r>
    </w:p>
    <w:p>
      <w:pPr>
        <w:pStyle w:val="BodyText"/>
        <w:spacing w:before="8"/>
        <w:rPr>
          <w:sz w:val="16"/>
        </w:rPr>
      </w:pPr>
    </w:p>
    <w:p>
      <w:pPr>
        <w:pStyle w:val="ListParagraph"/>
        <w:numPr>
          <w:ilvl w:val="0"/>
          <w:numId w:val="43"/>
        </w:numPr>
        <w:tabs>
          <w:tab w:pos="645" w:val="left" w:leader="none"/>
          <w:tab w:pos="646" w:val="left" w:leader="none"/>
        </w:tabs>
        <w:spacing w:line="232" w:lineRule="auto" w:before="0" w:after="0"/>
        <w:ind w:left="165" w:right="186" w:firstLine="0"/>
        <w:jc w:val="left"/>
        <w:rPr>
          <w:sz w:val="18"/>
        </w:rPr>
      </w:pPr>
      <w:r>
        <w:rPr>
          <w:color w:val="231F20"/>
          <w:sz w:val="18"/>
        </w:rPr>
        <w:t>In the United Kingdom, moves in the sub-index covering the shares of financial institutions could account for a disproportionate share of the moves in the All-Share index since the start of the </w:t>
      </w:r>
      <w:r>
        <w:rPr>
          <w:color w:val="231F20"/>
          <w:spacing w:val="-4"/>
          <w:sz w:val="18"/>
        </w:rPr>
        <w:t>year. </w:t>
      </w:r>
      <w:r>
        <w:rPr>
          <w:color w:val="231F20"/>
          <w:sz w:val="18"/>
        </w:rPr>
        <w:t>Up to 14 April, the All-Share index had risen by 18%, while the Financials index had risen by 25%; since then, the All-Share had</w:t>
      </w:r>
    </w:p>
    <w:p>
      <w:pPr>
        <w:spacing w:after="0" w:line="232" w:lineRule="auto"/>
        <w:jc w:val="left"/>
        <w:rPr>
          <w:sz w:val="18"/>
        </w:rPr>
        <w:sectPr>
          <w:type w:val="continuous"/>
          <w:pgSz w:w="11900" w:h="16840"/>
          <w:pgMar w:top="1220" w:bottom="280" w:left="620" w:right="640"/>
          <w:cols w:num="2" w:equalWidth="0">
            <w:col w:w="5094" w:space="303"/>
            <w:col w:w="5243"/>
          </w:cols>
        </w:sectPr>
      </w:pPr>
    </w:p>
    <w:p>
      <w:pPr>
        <w:pStyle w:val="BodyText"/>
        <w:rPr>
          <w:sz w:val="20"/>
        </w:rPr>
      </w:pPr>
    </w:p>
    <w:p>
      <w:pPr>
        <w:pStyle w:val="BodyText"/>
        <w:spacing w:before="7"/>
        <w:rPr>
          <w:sz w:val="19"/>
        </w:rPr>
      </w:pPr>
    </w:p>
    <w:p>
      <w:pPr>
        <w:pStyle w:val="BodyText"/>
        <w:spacing w:line="232" w:lineRule="auto" w:before="1"/>
        <w:ind w:left="194" w:right="5562"/>
      </w:pPr>
      <w:r>
        <w:rPr>
          <w:color w:val="231F20"/>
        </w:rPr>
        <w:t>fallen by 0.8%, coinciding with a fall in the Financials index of 6.2%. One explanation for the rises in the first quarter of 1998 could be a number of overseas merger announcements affecting the financial sector. Indeed, price rises for UK bank shares, relative to the overall market, were closely linked to the merger announcements. There had been no news relating to earnings’ forecasts that could explain these rises. Instead the fluctuations in UK Financials appeared to reflect changing views about the likelihood that UK banks will be involved in future merger activity. If true, this explanation suggests the need for caution in inferring changes in market beliefs about the general economic environment from such moves in the All-Share index.</w:t>
      </w:r>
    </w:p>
    <w:p>
      <w:pPr>
        <w:spacing w:after="0" w:line="232" w:lineRule="auto"/>
        <w:sectPr>
          <w:pgSz w:w="11900" w:h="16840"/>
          <w:pgMar w:header="566" w:footer="597" w:top="760" w:bottom="780" w:left="620" w:right="640"/>
        </w:sectPr>
      </w:pPr>
    </w:p>
    <w:p>
      <w:pPr>
        <w:pStyle w:val="BodyText"/>
        <w:rPr>
          <w:sz w:val="20"/>
        </w:rPr>
      </w:pPr>
    </w:p>
    <w:p>
      <w:pPr>
        <w:pStyle w:val="BodyText"/>
        <w:rPr>
          <w:sz w:val="20"/>
        </w:rPr>
      </w:pPr>
    </w:p>
    <w:p>
      <w:pPr>
        <w:pStyle w:val="BodyText"/>
        <w:rPr>
          <w:sz w:val="21"/>
        </w:rPr>
      </w:pPr>
    </w:p>
    <w:p>
      <w:pPr>
        <w:pStyle w:val="Heading1"/>
        <w:spacing w:before="87"/>
        <w:ind w:left="175"/>
      </w:pPr>
      <w:bookmarkStart w:name="June minutes" w:id="103"/>
      <w:bookmarkEnd w:id="103"/>
      <w:r>
        <w:rPr>
          <w:b w:val="0"/>
        </w:rPr>
      </w:r>
      <w:bookmarkStart w:name="_bookmark46" w:id="104"/>
      <w:bookmarkEnd w:id="104"/>
      <w:r>
        <w:rPr>
          <w:b w:val="0"/>
        </w:rPr>
      </w:r>
      <w:bookmarkStart w:name="_bookmark47" w:id="105"/>
      <w:bookmarkEnd w:id="105"/>
      <w:r>
        <w:rPr>
          <w:b w:val="0"/>
        </w:rPr>
      </w:r>
      <w:r>
        <w:rPr>
          <w:color w:val="009483"/>
        </w:rPr>
        <w:t>Minutes of the Monetary Policy Committee meeting on 3–4 June 1998</w:t>
      </w:r>
    </w:p>
    <w:p>
      <w:pPr>
        <w:pStyle w:val="BodyText"/>
        <w:spacing w:before="9"/>
        <w:rPr>
          <w:b/>
          <w:sz w:val="29"/>
        </w:rPr>
      </w:pPr>
    </w:p>
    <w:p>
      <w:pPr>
        <w:spacing w:after="0"/>
        <w:rPr>
          <w:sz w:val="29"/>
        </w:rPr>
        <w:sectPr>
          <w:pgSz w:w="11900" w:h="16840"/>
          <w:pgMar w:header="566" w:footer="597" w:top="760" w:bottom="780" w:left="620" w:right="640"/>
        </w:sectPr>
      </w:pPr>
    </w:p>
    <w:p>
      <w:pPr>
        <w:pStyle w:val="ListParagraph"/>
        <w:numPr>
          <w:ilvl w:val="0"/>
          <w:numId w:val="45"/>
        </w:numPr>
        <w:tabs>
          <w:tab w:pos="659" w:val="left" w:leader="none"/>
          <w:tab w:pos="661" w:val="left" w:leader="none"/>
        </w:tabs>
        <w:spacing w:line="232" w:lineRule="auto" w:before="97" w:after="0"/>
        <w:ind w:left="180" w:right="197" w:firstLine="0"/>
        <w:jc w:val="left"/>
        <w:rPr>
          <w:sz w:val="18"/>
        </w:rPr>
      </w:pPr>
      <w:r>
        <w:rPr>
          <w:color w:val="231F20"/>
          <w:sz w:val="18"/>
        </w:rPr>
        <w:t>At the start of the meeting on 4th June, the Committee formally acknowledged receipt of a letter from the Chancellor (attached as an Annex) setting out the inflation target at which </w:t>
      </w:r>
      <w:r>
        <w:rPr>
          <w:color w:val="231F20"/>
          <w:spacing w:val="-6"/>
          <w:sz w:val="18"/>
        </w:rPr>
        <w:t>the </w:t>
      </w:r>
      <w:r>
        <w:rPr>
          <w:color w:val="231F20"/>
          <w:sz w:val="18"/>
        </w:rPr>
        <w:t>Committee should aim in accordance with Section 12 of the Bank of England Act 1998.</w:t>
      </w:r>
    </w:p>
    <w:p>
      <w:pPr>
        <w:pStyle w:val="BodyText"/>
        <w:spacing w:before="1"/>
        <w:rPr>
          <w:sz w:val="17"/>
        </w:rPr>
      </w:pPr>
    </w:p>
    <w:p>
      <w:pPr>
        <w:pStyle w:val="ListParagraph"/>
        <w:numPr>
          <w:ilvl w:val="0"/>
          <w:numId w:val="45"/>
        </w:numPr>
        <w:tabs>
          <w:tab w:pos="659" w:val="left" w:leader="none"/>
          <w:tab w:pos="661" w:val="left" w:leader="none"/>
        </w:tabs>
        <w:spacing w:line="232" w:lineRule="auto" w:before="0" w:after="0"/>
        <w:ind w:left="180" w:right="38" w:firstLine="0"/>
        <w:jc w:val="left"/>
        <w:rPr>
          <w:sz w:val="18"/>
        </w:rPr>
      </w:pPr>
      <w:r>
        <w:rPr>
          <w:color w:val="231F20"/>
          <w:sz w:val="18"/>
        </w:rPr>
        <w:t>Before considering the implications of the latest data for its immediate policy decision, the Committee discussed the external environment and the exchange rate; evidence on the pace of </w:t>
      </w:r>
      <w:r>
        <w:rPr>
          <w:color w:val="231F20"/>
          <w:spacing w:val="-3"/>
          <w:sz w:val="18"/>
        </w:rPr>
        <w:t>growth </w:t>
      </w:r>
      <w:r>
        <w:rPr>
          <w:color w:val="231F20"/>
          <w:sz w:val="18"/>
        </w:rPr>
        <w:t>in domestic demand and activity; asset prices and monetary developments; and indicators of price and cost pressures, particularly in the labour market.</w:t>
      </w:r>
    </w:p>
    <w:p>
      <w:pPr>
        <w:pStyle w:val="BodyText"/>
        <w:spacing w:before="3"/>
        <w:rPr>
          <w:sz w:val="20"/>
        </w:rPr>
      </w:pPr>
    </w:p>
    <w:p>
      <w:pPr>
        <w:pStyle w:val="Heading6"/>
      </w:pPr>
      <w:r>
        <w:rPr>
          <w:color w:val="009483"/>
        </w:rPr>
        <w:t>The world economy and the exchange rate</w:t>
      </w:r>
    </w:p>
    <w:p>
      <w:pPr>
        <w:pStyle w:val="ListParagraph"/>
        <w:numPr>
          <w:ilvl w:val="0"/>
          <w:numId w:val="45"/>
        </w:numPr>
        <w:tabs>
          <w:tab w:pos="659" w:val="left" w:leader="none"/>
          <w:tab w:pos="661" w:val="left" w:leader="none"/>
        </w:tabs>
        <w:spacing w:line="232" w:lineRule="auto" w:before="109" w:after="0"/>
        <w:ind w:left="180" w:right="38" w:firstLine="0"/>
        <w:jc w:val="left"/>
        <w:rPr>
          <w:sz w:val="18"/>
        </w:rPr>
      </w:pPr>
      <w:r>
        <w:rPr>
          <w:color w:val="231F20"/>
          <w:sz w:val="18"/>
        </w:rPr>
        <w:t>The Committee examined recent developments in the world economy. For the UK’s major export markets, there appeared to be little evidence to change the central projection of external demand embodied in the May </w:t>
      </w:r>
      <w:r>
        <w:rPr>
          <w:i/>
          <w:color w:val="231F20"/>
          <w:sz w:val="18"/>
        </w:rPr>
        <w:t>Inflation Report</w:t>
      </w:r>
      <w:r>
        <w:rPr>
          <w:color w:val="231F20"/>
          <w:sz w:val="18"/>
        </w:rPr>
        <w:t>. The outlook for Japan had probably deteriorated further but there was continuing evidence of a recovery in the major continental European economies, while </w:t>
      </w:r>
      <w:r>
        <w:rPr>
          <w:color w:val="231F20"/>
          <w:spacing w:val="-3"/>
          <w:sz w:val="18"/>
        </w:rPr>
        <w:t>recent </w:t>
      </w:r>
      <w:r>
        <w:rPr>
          <w:color w:val="231F20"/>
          <w:sz w:val="18"/>
        </w:rPr>
        <w:t>data for GDP growth in the United States had been revised upwards. While a number of countries in the world were facing financial and other economic difficulties those countries, even in aggregate, were not directly very important for UK exports.</w:t>
      </w:r>
    </w:p>
    <w:p>
      <w:pPr>
        <w:pStyle w:val="BodyText"/>
        <w:spacing w:before="8"/>
        <w:rPr>
          <w:sz w:val="16"/>
        </w:rPr>
      </w:pPr>
    </w:p>
    <w:p>
      <w:pPr>
        <w:pStyle w:val="ListParagraph"/>
        <w:numPr>
          <w:ilvl w:val="0"/>
          <w:numId w:val="45"/>
        </w:numPr>
        <w:tabs>
          <w:tab w:pos="659" w:val="left" w:leader="none"/>
          <w:tab w:pos="661" w:val="left" w:leader="none"/>
        </w:tabs>
        <w:spacing w:line="232" w:lineRule="auto" w:before="1" w:after="0"/>
        <w:ind w:left="180" w:right="122" w:firstLine="0"/>
        <w:jc w:val="left"/>
        <w:rPr>
          <w:sz w:val="18"/>
        </w:rPr>
      </w:pPr>
      <w:r>
        <w:rPr>
          <w:color w:val="231F20"/>
          <w:sz w:val="18"/>
        </w:rPr>
        <w:t>Macroeconomic conditions in Japan remained adverse, but there were signs that difficult policy and reform decisions were being addressed. The situation elsewhere in Asia also remained unsettled, particularly in Indonesia. There had been a growing recognition that the necessary structural reforms in Asian countries would take a long time to implement and have the desired effects, but the immediate situation was not obviously deteriorating.</w:t>
      </w:r>
    </w:p>
    <w:p>
      <w:pPr>
        <w:pStyle w:val="BodyText"/>
        <w:spacing w:before="10"/>
        <w:rPr>
          <w:sz w:val="16"/>
        </w:rPr>
      </w:pPr>
    </w:p>
    <w:p>
      <w:pPr>
        <w:pStyle w:val="ListParagraph"/>
        <w:numPr>
          <w:ilvl w:val="0"/>
          <w:numId w:val="45"/>
        </w:numPr>
        <w:tabs>
          <w:tab w:pos="659" w:val="left" w:leader="none"/>
          <w:tab w:pos="661" w:val="left" w:leader="none"/>
        </w:tabs>
        <w:spacing w:line="232" w:lineRule="auto" w:before="0" w:after="0"/>
        <w:ind w:left="180" w:right="111" w:firstLine="0"/>
        <w:jc w:val="left"/>
        <w:rPr>
          <w:sz w:val="18"/>
        </w:rPr>
      </w:pPr>
      <w:r>
        <w:rPr>
          <w:color w:val="231F20"/>
          <w:sz w:val="18"/>
        </w:rPr>
        <w:t>The situation in Russia was discussed. The pressures on the Rouble appeared mostly to have reflected domestic concerns, in particular the difficulty of raising government revenue, rather than contagion from other countries. The Russian economy was relatively small (around 2% of world GDP) and relatively closed. In 1996, only 1.1% of EU exports and 0.6% of UK exports went to Russia. Nevertheless it was possible that adverse developments in Russia could have knock-on effects elsewhere in the world. The main consequences for Western Europe would probably come indirectly via those East European countries with a large share of exports going to Russia: the Baltic States, Belarus and the </w:t>
      </w:r>
      <w:r>
        <w:rPr>
          <w:color w:val="231F20"/>
          <w:spacing w:val="-3"/>
          <w:sz w:val="18"/>
        </w:rPr>
        <w:t>Ukraine </w:t>
      </w:r>
      <w:r>
        <w:rPr>
          <w:color w:val="231F20"/>
          <w:sz w:val="18"/>
        </w:rPr>
        <w:t>were the most exposed.</w:t>
      </w:r>
    </w:p>
    <w:p>
      <w:pPr>
        <w:pStyle w:val="BodyText"/>
        <w:spacing w:before="7"/>
        <w:rPr>
          <w:sz w:val="16"/>
        </w:rPr>
      </w:pPr>
    </w:p>
    <w:p>
      <w:pPr>
        <w:pStyle w:val="ListParagraph"/>
        <w:numPr>
          <w:ilvl w:val="0"/>
          <w:numId w:val="45"/>
        </w:numPr>
        <w:tabs>
          <w:tab w:pos="659" w:val="left" w:leader="none"/>
          <w:tab w:pos="661" w:val="left" w:leader="none"/>
        </w:tabs>
        <w:spacing w:line="232" w:lineRule="auto" w:before="0" w:after="0"/>
        <w:ind w:left="179" w:right="77" w:firstLine="0"/>
        <w:jc w:val="left"/>
        <w:rPr>
          <w:sz w:val="18"/>
        </w:rPr>
      </w:pPr>
      <w:r>
        <w:rPr>
          <w:color w:val="231F20"/>
          <w:sz w:val="18"/>
        </w:rPr>
        <w:t>Taking these developments together the Committee concluded that the outlook for the world economy as a whole </w:t>
      </w:r>
      <w:r>
        <w:rPr>
          <w:color w:val="231F20"/>
          <w:spacing w:val="-4"/>
          <w:sz w:val="18"/>
        </w:rPr>
        <w:t>might </w:t>
      </w:r>
      <w:r>
        <w:rPr>
          <w:color w:val="231F20"/>
          <w:sz w:val="18"/>
        </w:rPr>
        <w:t>be marginally worse than a month earlier and the downside risks to external demand had increased. These risks were reflected in some of the scenario analysis in the newly published O</w:t>
      </w:r>
      <w:r>
        <w:rPr>
          <w:color w:val="231F20"/>
          <w:sz w:val="14"/>
        </w:rPr>
        <w:t>ECD </w:t>
      </w:r>
      <w:r>
        <w:rPr>
          <w:color w:val="231F20"/>
          <w:sz w:val="18"/>
        </w:rPr>
        <w:t>Economic Outlook. The most significant risk was of a more widespread financial and exchange rate crisis, but that could not be anticipated; policy would need to react if and when such a crisis were to occur.</w:t>
      </w:r>
    </w:p>
    <w:p>
      <w:pPr>
        <w:pStyle w:val="BodyText"/>
        <w:spacing w:before="10"/>
        <w:rPr>
          <w:sz w:val="16"/>
        </w:rPr>
      </w:pPr>
    </w:p>
    <w:p>
      <w:pPr>
        <w:pStyle w:val="ListParagraph"/>
        <w:numPr>
          <w:ilvl w:val="0"/>
          <w:numId w:val="45"/>
        </w:numPr>
        <w:tabs>
          <w:tab w:pos="659" w:val="left" w:leader="none"/>
          <w:tab w:pos="661" w:val="left" w:leader="none"/>
        </w:tabs>
        <w:spacing w:line="232" w:lineRule="auto" w:before="0" w:after="0"/>
        <w:ind w:left="179" w:right="87" w:firstLine="0"/>
        <w:jc w:val="left"/>
        <w:rPr>
          <w:sz w:val="18"/>
        </w:rPr>
      </w:pPr>
      <w:r>
        <w:rPr>
          <w:color w:val="231F20"/>
          <w:sz w:val="18"/>
        </w:rPr>
        <w:t>In conjunction with external developments, the Committee considered movements in the sterling exchange rate. The effective rate had fallen by around 2% a few days before the May meeting </w:t>
      </w:r>
      <w:r>
        <w:rPr>
          <w:color w:val="231F20"/>
          <w:spacing w:val="-9"/>
          <w:sz w:val="18"/>
        </w:rPr>
        <w:t>of </w:t>
      </w:r>
      <w:r>
        <w:rPr>
          <w:color w:val="231F20"/>
          <w:sz w:val="18"/>
        </w:rPr>
        <w:t>the Committee and had since fallen slightly further. It stood at</w:t>
      </w:r>
    </w:p>
    <w:p>
      <w:pPr>
        <w:pStyle w:val="BodyText"/>
        <w:spacing w:line="232" w:lineRule="auto"/>
        <w:ind w:left="179" w:right="75"/>
      </w:pPr>
      <w:r>
        <w:rPr>
          <w:color w:val="231F20"/>
        </w:rPr>
        <w:t>103.6 at close of business on the first day of the June meeting compared with 104.4 on the first day of the May meeting. The sustained lower rate had implications for the central projection </w:t>
      </w:r>
      <w:r>
        <w:rPr>
          <w:color w:val="231F20"/>
          <w:spacing w:val="-9"/>
        </w:rPr>
        <w:t>of </w:t>
      </w:r>
      <w:r>
        <w:rPr>
          <w:color w:val="231F20"/>
        </w:rPr>
        <w:t>inflation published in the May </w:t>
      </w:r>
      <w:r>
        <w:rPr>
          <w:i/>
          <w:color w:val="231F20"/>
        </w:rPr>
        <w:t>Inflation Report</w:t>
      </w:r>
      <w:r>
        <w:rPr>
          <w:color w:val="231F20"/>
        </w:rPr>
        <w:t>, which had been based on a starting rate of 106.2: the 15-day average prior to the Committee’s May meeting. Taken in isolation and applied</w:t>
      </w:r>
    </w:p>
    <w:p>
      <w:pPr>
        <w:pStyle w:val="BodyText"/>
        <w:spacing w:line="232" w:lineRule="auto" w:before="97"/>
        <w:ind w:left="180" w:right="241"/>
        <w:jc w:val="both"/>
      </w:pPr>
      <w:r>
        <w:rPr/>
        <w:br w:type="column"/>
      </w:r>
      <w:r>
        <w:rPr>
          <w:color w:val="231F20"/>
        </w:rPr>
        <w:t>mechanically, the step down in the exchange rate would be enough to raise the central projection back to around the level published in the February </w:t>
      </w:r>
      <w:r>
        <w:rPr>
          <w:i/>
          <w:color w:val="231F20"/>
        </w:rPr>
        <w:t>Inflation Report</w:t>
      </w:r>
      <w:r>
        <w:rPr>
          <w:color w:val="231F20"/>
        </w:rPr>
        <w:t>.</w:t>
      </w:r>
    </w:p>
    <w:p>
      <w:pPr>
        <w:pStyle w:val="BodyText"/>
        <w:spacing w:before="2"/>
        <w:rPr>
          <w:sz w:val="17"/>
        </w:rPr>
      </w:pPr>
    </w:p>
    <w:p>
      <w:pPr>
        <w:pStyle w:val="ListParagraph"/>
        <w:numPr>
          <w:ilvl w:val="0"/>
          <w:numId w:val="45"/>
        </w:numPr>
        <w:tabs>
          <w:tab w:pos="659" w:val="left" w:leader="none"/>
          <w:tab w:pos="661" w:val="left" w:leader="none"/>
        </w:tabs>
        <w:spacing w:line="232" w:lineRule="auto" w:before="0" w:after="0"/>
        <w:ind w:left="179" w:right="606" w:firstLine="0"/>
        <w:jc w:val="left"/>
        <w:rPr>
          <w:sz w:val="18"/>
        </w:rPr>
      </w:pPr>
      <w:r>
        <w:rPr>
          <w:color w:val="231F20"/>
          <w:sz w:val="18"/>
        </w:rPr>
        <w:t>The external trade data for the first quarter of 1998 had shown the largest deficit since 1990, making a contribution</w:t>
      </w:r>
      <w:r>
        <w:rPr>
          <w:color w:val="231F20"/>
          <w:spacing w:val="1"/>
          <w:sz w:val="18"/>
        </w:rPr>
        <w:t> </w:t>
      </w:r>
      <w:r>
        <w:rPr>
          <w:color w:val="231F20"/>
          <w:spacing w:val="-9"/>
          <w:sz w:val="18"/>
        </w:rPr>
        <w:t>of</w:t>
      </w:r>
    </w:p>
    <w:p>
      <w:pPr>
        <w:pStyle w:val="BodyText"/>
        <w:spacing w:line="232" w:lineRule="auto"/>
        <w:ind w:left="179" w:right="199"/>
      </w:pPr>
      <w:r>
        <w:rPr>
          <w:color w:val="231F20"/>
        </w:rPr>
        <w:t>-0.6 percentage points to GDP growth, a negative contribution for the third successive quarter. In aggregate this was in line with the May central projection, but the geographical composition remained puzzling. It was not clear why net exports to the EU countries remained stronger than net exports to the non-EU countries. It was also somewhat surprising that import growth had been weak in the first quarter, given the apparent strength of both final demand and stockbuilding. However, the breakdown of imports by commodity suggested that growth in imports of consumption goods remained strong. Since a considerable proportion of other imports were subsequently embodied in exports, it was possible that weaker imports in part simply reflected weaker exports.</w:t>
      </w:r>
    </w:p>
    <w:p>
      <w:pPr>
        <w:pStyle w:val="BodyText"/>
        <w:spacing w:before="5"/>
        <w:rPr>
          <w:sz w:val="16"/>
        </w:rPr>
      </w:pPr>
    </w:p>
    <w:p>
      <w:pPr>
        <w:pStyle w:val="ListParagraph"/>
        <w:numPr>
          <w:ilvl w:val="0"/>
          <w:numId w:val="45"/>
        </w:numPr>
        <w:tabs>
          <w:tab w:pos="659" w:val="left" w:leader="none"/>
          <w:tab w:pos="661" w:val="left" w:leader="none"/>
        </w:tabs>
        <w:spacing w:line="232" w:lineRule="auto" w:before="1" w:after="0"/>
        <w:ind w:left="179" w:right="166" w:firstLine="0"/>
        <w:jc w:val="left"/>
        <w:rPr>
          <w:sz w:val="18"/>
        </w:rPr>
      </w:pPr>
      <w:r>
        <w:rPr>
          <w:color w:val="231F20"/>
          <w:sz w:val="18"/>
        </w:rPr>
        <w:t>Taking the world economy and the exchange rate together, one view was that the net change in the external environment compared with the May </w:t>
      </w:r>
      <w:r>
        <w:rPr>
          <w:i/>
          <w:color w:val="231F20"/>
          <w:sz w:val="18"/>
        </w:rPr>
        <w:t>Inflation Report </w:t>
      </w:r>
      <w:r>
        <w:rPr>
          <w:color w:val="231F20"/>
          <w:sz w:val="18"/>
        </w:rPr>
        <w:t>assumptions was adverse for UK inflation, with the effects of the sustained lower exchange rate more than offsetting developments in the world economy, although the downside risks to world demand had increased. An alternative view placed more emphasis on the deterioration of the external environment, and noted that the magnitude of the exchange rate depreciation since the latest </w:t>
      </w:r>
      <w:r>
        <w:rPr>
          <w:i/>
          <w:color w:val="231F20"/>
          <w:sz w:val="18"/>
        </w:rPr>
        <w:t>Inflation Report </w:t>
      </w:r>
      <w:r>
        <w:rPr>
          <w:color w:val="231F20"/>
          <w:sz w:val="18"/>
        </w:rPr>
        <w:t>was commensurate with the magnitude of the exchange rate appreciation in the month following previous </w:t>
      </w:r>
      <w:r>
        <w:rPr>
          <w:i/>
          <w:color w:val="231F20"/>
          <w:sz w:val="18"/>
        </w:rPr>
        <w:t>Inflation</w:t>
      </w:r>
      <w:r>
        <w:rPr>
          <w:i/>
          <w:color w:val="231F20"/>
          <w:spacing w:val="-2"/>
          <w:sz w:val="18"/>
        </w:rPr>
        <w:t> </w:t>
      </w:r>
      <w:r>
        <w:rPr>
          <w:i/>
          <w:color w:val="231F20"/>
          <w:sz w:val="18"/>
        </w:rPr>
        <w:t>Reports</w:t>
      </w:r>
      <w:r>
        <w:rPr>
          <w:color w:val="231F20"/>
          <w:sz w:val="18"/>
        </w:rPr>
        <w:t>.</w:t>
      </w:r>
    </w:p>
    <w:p>
      <w:pPr>
        <w:pStyle w:val="BodyText"/>
        <w:spacing w:before="10"/>
        <w:rPr>
          <w:sz w:val="19"/>
        </w:rPr>
      </w:pPr>
    </w:p>
    <w:p>
      <w:pPr>
        <w:pStyle w:val="Heading6"/>
      </w:pPr>
      <w:r>
        <w:rPr>
          <w:color w:val="009483"/>
        </w:rPr>
        <w:t>The pace of domestic demand and output growth</w:t>
      </w:r>
    </w:p>
    <w:p>
      <w:pPr>
        <w:pStyle w:val="ListParagraph"/>
        <w:numPr>
          <w:ilvl w:val="0"/>
          <w:numId w:val="45"/>
        </w:numPr>
        <w:tabs>
          <w:tab w:pos="659" w:val="left" w:leader="none"/>
          <w:tab w:pos="661" w:val="left" w:leader="none"/>
        </w:tabs>
        <w:spacing w:line="232" w:lineRule="auto" w:before="110" w:after="0"/>
        <w:ind w:left="180" w:right="356" w:firstLine="0"/>
        <w:jc w:val="left"/>
        <w:rPr>
          <w:sz w:val="18"/>
        </w:rPr>
      </w:pPr>
      <w:r>
        <w:rPr>
          <w:color w:val="231F20"/>
          <w:sz w:val="18"/>
        </w:rPr>
        <w:t>The May </w:t>
      </w:r>
      <w:r>
        <w:rPr>
          <w:i/>
          <w:color w:val="231F20"/>
          <w:sz w:val="18"/>
        </w:rPr>
        <w:t>Inflation Report </w:t>
      </w:r>
      <w:r>
        <w:rPr>
          <w:color w:val="231F20"/>
          <w:sz w:val="18"/>
        </w:rPr>
        <w:t>had projected strong demand growth in the first quarter of the year, with a slowdown in subsequent quarters. Domestic demand growth had </w:t>
      </w:r>
      <w:r>
        <w:rPr>
          <w:color w:val="231F20"/>
          <w:spacing w:val="-2"/>
          <w:sz w:val="18"/>
        </w:rPr>
        <w:t>subsequently </w:t>
      </w:r>
      <w:r>
        <w:rPr>
          <w:color w:val="231F20"/>
          <w:sz w:val="18"/>
        </w:rPr>
        <w:t>been estimated at 1.5% in the first quarter, but this included a large contribution from stockbuilding. Excluding stockbuilding, final domestic demand growth had been estimated at 0.8% in</w:t>
      </w:r>
    </w:p>
    <w:p>
      <w:pPr>
        <w:pStyle w:val="BodyText"/>
        <w:spacing w:line="232" w:lineRule="auto"/>
        <w:ind w:left="180" w:right="436"/>
      </w:pPr>
      <w:r>
        <w:rPr>
          <w:color w:val="231F20"/>
        </w:rPr>
        <w:t>the first quarter, (and growth of 4.0% since 1997 Q1) and was in line with the May central projection. Within the expenditure total, consumption growth of 1.0% had been marginally stronger than expected and investment growth of 1.3% had </w:t>
      </w:r>
      <w:r>
        <w:rPr>
          <w:color w:val="231F20"/>
          <w:spacing w:val="-5"/>
        </w:rPr>
        <w:t>been </w:t>
      </w:r>
      <w:r>
        <w:rPr>
          <w:color w:val="231F20"/>
        </w:rPr>
        <w:t>weaker.</w:t>
      </w:r>
    </w:p>
    <w:p>
      <w:pPr>
        <w:pStyle w:val="BodyText"/>
        <w:spacing w:before="7"/>
        <w:rPr>
          <w:sz w:val="16"/>
        </w:rPr>
      </w:pPr>
    </w:p>
    <w:p>
      <w:pPr>
        <w:pStyle w:val="ListParagraph"/>
        <w:numPr>
          <w:ilvl w:val="0"/>
          <w:numId w:val="45"/>
        </w:numPr>
        <w:tabs>
          <w:tab w:pos="659" w:val="left" w:leader="none"/>
          <w:tab w:pos="661" w:val="left" w:leader="none"/>
        </w:tabs>
        <w:spacing w:line="232" w:lineRule="auto" w:before="0" w:after="0"/>
        <w:ind w:left="180" w:right="151" w:firstLine="0"/>
        <w:jc w:val="left"/>
        <w:rPr>
          <w:sz w:val="18"/>
        </w:rPr>
      </w:pPr>
      <w:r>
        <w:rPr>
          <w:color w:val="231F20"/>
          <w:sz w:val="18"/>
        </w:rPr>
        <w:t>As yet there were few data to confirm or contradict the Committee’s projection that demand growth would slow in the second quarter. The retail sales data for the three months to April did show a significant slowdown: to the slowest three-month growth rate (0.2%) since November 1995.  However, it was possible that the April figure had been depressed by unusually wet weather and the March figure might have been affected by the timing of Easter. The Confederation of British Industry (CBI) Distributive Trades survey for May confirmed a weakening over </w:t>
      </w:r>
      <w:r>
        <w:rPr>
          <w:color w:val="231F20"/>
          <w:spacing w:val="-6"/>
          <w:sz w:val="18"/>
        </w:rPr>
        <w:t>the </w:t>
      </w:r>
      <w:r>
        <w:rPr>
          <w:color w:val="231F20"/>
          <w:sz w:val="18"/>
        </w:rPr>
        <w:t>previous three months, but both the reported and expected balances had picked up slightly since a low point in March and were now at similar levels to August and September 1997. The reports of the Bank’s regional Agents had been mixed, but with a majority indicating some weakening in sales growth.  In contrast, survey data showed increasing consumer confidence, with consumers indicating strongly that this remained a good time to make a major purchase.</w:t>
      </w:r>
    </w:p>
    <w:p>
      <w:pPr>
        <w:pStyle w:val="BodyText"/>
        <w:spacing w:before="3"/>
        <w:rPr>
          <w:sz w:val="16"/>
        </w:rPr>
      </w:pPr>
    </w:p>
    <w:p>
      <w:pPr>
        <w:pStyle w:val="ListParagraph"/>
        <w:numPr>
          <w:ilvl w:val="0"/>
          <w:numId w:val="45"/>
        </w:numPr>
        <w:tabs>
          <w:tab w:pos="661" w:val="left" w:leader="none"/>
        </w:tabs>
        <w:spacing w:line="232" w:lineRule="auto" w:before="0" w:after="0"/>
        <w:ind w:left="180" w:right="183" w:firstLine="0"/>
        <w:jc w:val="both"/>
        <w:rPr>
          <w:sz w:val="18"/>
        </w:rPr>
      </w:pPr>
      <w:r>
        <w:rPr>
          <w:color w:val="231F20"/>
          <w:sz w:val="18"/>
        </w:rPr>
        <w:t>Other indicators of personal sector demand were also mixed. The Halifax and Nationwide measures of house price inflation </w:t>
      </w:r>
      <w:r>
        <w:rPr>
          <w:color w:val="231F20"/>
          <w:spacing w:val="-5"/>
          <w:sz w:val="18"/>
        </w:rPr>
        <w:t>were </w:t>
      </w:r>
      <w:r>
        <w:rPr>
          <w:color w:val="231F20"/>
          <w:sz w:val="18"/>
        </w:rPr>
        <w:t>still divergent (5.0% and 11.9% respectively in the twelve months</w:t>
      </w:r>
    </w:p>
    <w:p>
      <w:pPr>
        <w:spacing w:after="0" w:line="232" w:lineRule="auto"/>
        <w:jc w:val="both"/>
        <w:rPr>
          <w:sz w:val="18"/>
        </w:rPr>
        <w:sectPr>
          <w:type w:val="continuous"/>
          <w:pgSz w:w="11900" w:h="16840"/>
          <w:pgMar w:top="1220" w:bottom="280" w:left="620" w:right="640"/>
          <w:cols w:num="2" w:equalWidth="0">
            <w:col w:w="5134" w:space="259"/>
            <w:col w:w="5247"/>
          </w:cols>
        </w:sectPr>
      </w:pPr>
    </w:p>
    <w:p>
      <w:pPr>
        <w:pStyle w:val="BodyText"/>
        <w:rPr>
          <w:sz w:val="20"/>
        </w:rPr>
      </w:pPr>
    </w:p>
    <w:p>
      <w:pPr>
        <w:spacing w:after="0"/>
        <w:rPr>
          <w:sz w:val="20"/>
        </w:rPr>
        <w:sectPr>
          <w:pgSz w:w="11900" w:h="16840"/>
          <w:pgMar w:header="566" w:footer="597" w:top="760" w:bottom="780" w:left="620" w:right="640"/>
        </w:sectPr>
      </w:pPr>
    </w:p>
    <w:p>
      <w:pPr>
        <w:pStyle w:val="BodyText"/>
        <w:spacing w:before="4"/>
        <w:rPr>
          <w:sz w:val="21"/>
        </w:rPr>
      </w:pPr>
    </w:p>
    <w:p>
      <w:pPr>
        <w:pStyle w:val="BodyText"/>
        <w:spacing w:line="232" w:lineRule="auto" w:before="1"/>
        <w:ind w:left="199" w:right="31"/>
      </w:pPr>
      <w:r>
        <w:rPr>
          <w:color w:val="231F20"/>
        </w:rPr>
        <w:t>to May), although both showed signs of moderating. The Department of the Environment, Transport and the Regions (D</w:t>
      </w:r>
      <w:r>
        <w:rPr>
          <w:color w:val="231F20"/>
          <w:sz w:val="14"/>
        </w:rPr>
        <w:t>ETR</w:t>
      </w:r>
      <w:r>
        <w:rPr>
          <w:color w:val="231F20"/>
        </w:rPr>
        <w:t>) produced a quarterly series which estimated house price inflation of 9.1% in the year to Q1. The D</w:t>
      </w:r>
      <w:r>
        <w:rPr>
          <w:color w:val="231F20"/>
          <w:sz w:val="14"/>
        </w:rPr>
        <w:t>ETR </w:t>
      </w:r>
      <w:r>
        <w:rPr>
          <w:color w:val="231F20"/>
        </w:rPr>
        <w:t>figure seemed consistent with earlier Bank estimates based on Land Registry data, showing an inflation rate roughly midway between the Halifax and Nationwide estimates. Some activity measures of the housing market were slowing but net mortgage lending had risen in April. The rate of consumer credit growth remained high and personal sector money growth was still robust.</w:t>
      </w:r>
    </w:p>
    <w:p>
      <w:pPr>
        <w:pStyle w:val="BodyText"/>
        <w:spacing w:before="5"/>
      </w:pPr>
    </w:p>
    <w:p>
      <w:pPr>
        <w:pStyle w:val="ListParagraph"/>
        <w:numPr>
          <w:ilvl w:val="0"/>
          <w:numId w:val="45"/>
        </w:numPr>
        <w:tabs>
          <w:tab w:pos="679" w:val="left" w:leader="none"/>
          <w:tab w:pos="681" w:val="left" w:leader="none"/>
        </w:tabs>
        <w:spacing w:line="232" w:lineRule="auto" w:before="0" w:after="0"/>
        <w:ind w:left="199" w:right="77" w:firstLine="0"/>
        <w:jc w:val="left"/>
        <w:rPr>
          <w:sz w:val="18"/>
        </w:rPr>
      </w:pPr>
      <w:r>
        <w:rPr>
          <w:color w:val="231F20"/>
          <w:sz w:val="18"/>
        </w:rPr>
        <w:t>Given the mixed data, there was no clear confirmation yet </w:t>
      </w:r>
      <w:r>
        <w:rPr>
          <w:color w:val="231F20"/>
          <w:spacing w:val="-9"/>
          <w:sz w:val="18"/>
        </w:rPr>
        <w:t>as </w:t>
      </w:r>
      <w:r>
        <w:rPr>
          <w:color w:val="231F20"/>
          <w:sz w:val="18"/>
        </w:rPr>
        <w:t>to whether personal sector demand growth was slowing as the Committee had projected, although the data could be interpreted as being broadly consistent with that projection.</w:t>
      </w:r>
    </w:p>
    <w:p>
      <w:pPr>
        <w:pStyle w:val="BodyText"/>
        <w:spacing w:before="10"/>
      </w:pPr>
    </w:p>
    <w:p>
      <w:pPr>
        <w:pStyle w:val="ListParagraph"/>
        <w:numPr>
          <w:ilvl w:val="0"/>
          <w:numId w:val="45"/>
        </w:numPr>
        <w:tabs>
          <w:tab w:pos="679" w:val="left" w:leader="none"/>
          <w:tab w:pos="681" w:val="left" w:leader="none"/>
        </w:tabs>
        <w:spacing w:line="232" w:lineRule="auto" w:before="0" w:after="0"/>
        <w:ind w:left="199" w:right="42" w:firstLine="0"/>
        <w:jc w:val="left"/>
        <w:rPr>
          <w:sz w:val="18"/>
        </w:rPr>
      </w:pPr>
      <w:r>
        <w:rPr>
          <w:color w:val="231F20"/>
          <w:sz w:val="18"/>
        </w:rPr>
        <w:t>The investment data for Q1 were weaker than assumed in </w:t>
      </w:r>
      <w:r>
        <w:rPr>
          <w:color w:val="231F20"/>
          <w:spacing w:val="-6"/>
          <w:sz w:val="18"/>
        </w:rPr>
        <w:t>the </w:t>
      </w:r>
      <w:r>
        <w:rPr>
          <w:color w:val="231F20"/>
          <w:sz w:val="18"/>
        </w:rPr>
        <w:t>May </w:t>
      </w:r>
      <w:r>
        <w:rPr>
          <w:i/>
          <w:color w:val="231F20"/>
          <w:sz w:val="18"/>
        </w:rPr>
        <w:t>Inflation Report </w:t>
      </w:r>
      <w:r>
        <w:rPr>
          <w:color w:val="231F20"/>
          <w:sz w:val="18"/>
        </w:rPr>
        <w:t>central projection, but this appeared to be accounted for by weaker-than-expected public sector investment (government consumption had been stronger than expected). Evidence from the Bank’s regional Agents suggested that strong borrowing figures for Industrial and Commercial Companies reflected a variety of reasons including some need for working capital and continuing strong investment programmes, with</w:t>
      </w:r>
    </w:p>
    <w:p>
      <w:pPr>
        <w:pStyle w:val="BodyText"/>
        <w:spacing w:line="232" w:lineRule="auto"/>
        <w:ind w:left="199" w:right="306"/>
      </w:pPr>
      <w:r>
        <w:rPr>
          <w:color w:val="231F20"/>
        </w:rPr>
        <w:t>little evidence of borrowing because of financial distress. However, in the agricultural sector, the Agents’ inquiries about borrowing confirmed output and income data in showing severe difficulties.</w:t>
      </w:r>
    </w:p>
    <w:p>
      <w:pPr>
        <w:pStyle w:val="BodyText"/>
        <w:spacing w:before="3"/>
      </w:pPr>
    </w:p>
    <w:p>
      <w:pPr>
        <w:pStyle w:val="ListParagraph"/>
        <w:numPr>
          <w:ilvl w:val="0"/>
          <w:numId w:val="45"/>
        </w:numPr>
        <w:tabs>
          <w:tab w:pos="679" w:val="left" w:leader="none"/>
          <w:tab w:pos="681" w:val="left" w:leader="none"/>
        </w:tabs>
        <w:spacing w:line="232" w:lineRule="auto" w:before="1" w:after="0"/>
        <w:ind w:left="199" w:right="88" w:firstLine="0"/>
        <w:jc w:val="left"/>
        <w:rPr>
          <w:sz w:val="18"/>
        </w:rPr>
      </w:pPr>
      <w:r>
        <w:rPr>
          <w:color w:val="231F20"/>
          <w:sz w:val="18"/>
        </w:rPr>
        <w:t>In April, the public sector debt repayment had again been larger than generally expected, reflecting both higher revenues and lower outlays. Some of this was simply a timing effect but it now appeared more likely that self-assessment of income tax had generated a higher level of tax receipts which would carry </w:t>
      </w:r>
      <w:r>
        <w:rPr>
          <w:color w:val="231F20"/>
          <w:spacing w:val="-3"/>
          <w:sz w:val="18"/>
        </w:rPr>
        <w:t>forward. </w:t>
      </w:r>
      <w:r>
        <w:rPr>
          <w:color w:val="231F20"/>
          <w:sz w:val="18"/>
        </w:rPr>
        <w:t>It seemed possible that the strong tax receipts in the 1997/98 financial year would cause the Office for National Statistics (ONS) to revise upwards the level of income for that period.</w:t>
      </w:r>
    </w:p>
    <w:p>
      <w:pPr>
        <w:pStyle w:val="BodyText"/>
        <w:spacing w:before="6"/>
      </w:pPr>
    </w:p>
    <w:p>
      <w:pPr>
        <w:pStyle w:val="ListParagraph"/>
        <w:numPr>
          <w:ilvl w:val="0"/>
          <w:numId w:val="45"/>
        </w:numPr>
        <w:tabs>
          <w:tab w:pos="679" w:val="left" w:leader="none"/>
          <w:tab w:pos="681" w:val="left" w:leader="none"/>
        </w:tabs>
        <w:spacing w:line="232" w:lineRule="auto" w:before="0" w:after="0"/>
        <w:ind w:left="199" w:right="57" w:firstLine="0"/>
        <w:jc w:val="left"/>
        <w:rPr>
          <w:sz w:val="18"/>
        </w:rPr>
      </w:pPr>
      <w:r>
        <w:rPr>
          <w:color w:val="231F20"/>
          <w:sz w:val="18"/>
        </w:rPr>
        <w:t>GDP growth for Q1 had been revised up slightly to 0.5%, in line with the May </w:t>
      </w:r>
      <w:r>
        <w:rPr>
          <w:i/>
          <w:color w:val="231F20"/>
          <w:sz w:val="18"/>
        </w:rPr>
        <w:t>Inflation Report </w:t>
      </w:r>
      <w:r>
        <w:rPr>
          <w:color w:val="231F20"/>
          <w:sz w:val="18"/>
        </w:rPr>
        <w:t>projection. The official data suggested that manufacturing output remained weak, with a small fall in the level of output in Q1.  Looking backwards, staff estimates based on survey data suggested that the true level of manufacturing output could be higher than officially recorded. It was unclear what implications this would have for inflation </w:t>
      </w:r>
      <w:r>
        <w:rPr>
          <w:color w:val="231F20"/>
          <w:spacing w:val="-3"/>
          <w:sz w:val="18"/>
        </w:rPr>
        <w:t>without </w:t>
      </w:r>
      <w:r>
        <w:rPr>
          <w:color w:val="231F20"/>
          <w:sz w:val="18"/>
        </w:rPr>
        <w:t>knowing what had happened to trend growth, but it would help explain the unusual weakness in recorded manufacturing productivity growth, and the high rate of increase in manufacturing unit labour costs.</w:t>
      </w:r>
    </w:p>
    <w:p>
      <w:pPr>
        <w:pStyle w:val="BodyText"/>
        <w:spacing w:before="5"/>
      </w:pPr>
    </w:p>
    <w:p>
      <w:pPr>
        <w:pStyle w:val="ListParagraph"/>
        <w:numPr>
          <w:ilvl w:val="0"/>
          <w:numId w:val="45"/>
        </w:numPr>
        <w:tabs>
          <w:tab w:pos="679" w:val="left" w:leader="none"/>
          <w:tab w:pos="681" w:val="left" w:leader="none"/>
        </w:tabs>
        <w:spacing w:line="232" w:lineRule="auto" w:before="0" w:after="0"/>
        <w:ind w:left="199" w:right="38" w:firstLine="0"/>
        <w:jc w:val="left"/>
        <w:rPr>
          <w:sz w:val="18"/>
        </w:rPr>
      </w:pPr>
      <w:r>
        <w:rPr>
          <w:color w:val="231F20"/>
          <w:sz w:val="18"/>
        </w:rPr>
        <w:t>Looking ahead, surveys of manufacturing output continued to show a deterioration in output and orders, with the CBI survey much more pessimistic than the Chartered Institute of Purchasing and Supply (C</w:t>
      </w:r>
      <w:r>
        <w:rPr>
          <w:color w:val="231F20"/>
          <w:sz w:val="14"/>
        </w:rPr>
        <w:t>IPS</w:t>
      </w:r>
      <w:r>
        <w:rPr>
          <w:color w:val="231F20"/>
          <w:sz w:val="18"/>
        </w:rPr>
        <w:t>) survey. The former showed a declining total orders balance (down to -17 in May) whereas the latter showed </w:t>
      </w:r>
      <w:r>
        <w:rPr>
          <w:color w:val="231F20"/>
          <w:spacing w:val="-6"/>
          <w:sz w:val="18"/>
        </w:rPr>
        <w:t>new </w:t>
      </w:r>
      <w:r>
        <w:rPr>
          <w:color w:val="231F20"/>
          <w:sz w:val="18"/>
        </w:rPr>
        <w:t>orders close to flat (an index level of 49.0, just below the neutral 50 level). The Bank’s regional Agents reported a broadly flat level of manufacturing output overall.</w:t>
      </w:r>
    </w:p>
    <w:p>
      <w:pPr>
        <w:pStyle w:val="BodyText"/>
        <w:spacing w:before="7"/>
        <w:rPr>
          <w:sz w:val="23"/>
        </w:rPr>
      </w:pPr>
    </w:p>
    <w:p>
      <w:pPr>
        <w:pStyle w:val="Heading6"/>
        <w:ind w:left="200"/>
      </w:pPr>
      <w:r>
        <w:rPr>
          <w:color w:val="009483"/>
        </w:rPr>
        <w:t>Monetary developments and asset prices</w:t>
      </w:r>
    </w:p>
    <w:p>
      <w:pPr>
        <w:pStyle w:val="ListParagraph"/>
        <w:numPr>
          <w:ilvl w:val="0"/>
          <w:numId w:val="45"/>
        </w:numPr>
        <w:tabs>
          <w:tab w:pos="679" w:val="left" w:leader="none"/>
          <w:tab w:pos="681" w:val="left" w:leader="none"/>
        </w:tabs>
        <w:spacing w:line="232" w:lineRule="auto" w:before="109" w:after="0"/>
        <w:ind w:left="200" w:right="177" w:firstLine="0"/>
        <w:jc w:val="left"/>
        <w:rPr>
          <w:sz w:val="18"/>
        </w:rPr>
      </w:pPr>
      <w:r>
        <w:rPr>
          <w:color w:val="231F20"/>
          <w:sz w:val="18"/>
        </w:rPr>
        <w:t>The Committee noted that, having fallen from growth rates of 11%–12% in the summer of 1997, aggregate broad money growth had since remained stubbornly robust, growing at a rate </w:t>
      </w:r>
      <w:r>
        <w:rPr>
          <w:color w:val="231F20"/>
          <w:spacing w:val="-9"/>
          <w:sz w:val="18"/>
        </w:rPr>
        <w:t>of </w:t>
      </w:r>
      <w:r>
        <w:rPr>
          <w:color w:val="231F20"/>
          <w:sz w:val="18"/>
        </w:rPr>
        <w:t>10.2% in the twelve months to April. Retail and personal sector M4 growth had both increased on a twelve-month basis but three- and six-month annualised rates were showing slower growth.</w:t>
      </w:r>
    </w:p>
    <w:p>
      <w:pPr>
        <w:pStyle w:val="BodyText"/>
        <w:rPr>
          <w:sz w:val="17"/>
        </w:rPr>
      </w:pPr>
    </w:p>
    <w:p>
      <w:pPr>
        <w:pStyle w:val="ListParagraph"/>
        <w:numPr>
          <w:ilvl w:val="0"/>
          <w:numId w:val="45"/>
        </w:numPr>
        <w:tabs>
          <w:tab w:pos="679" w:val="left" w:leader="none"/>
          <w:tab w:pos="681" w:val="left" w:leader="none"/>
        </w:tabs>
        <w:spacing w:line="232" w:lineRule="auto" w:before="0" w:after="0"/>
        <w:ind w:left="200" w:right="77" w:firstLine="0"/>
        <w:jc w:val="left"/>
        <w:rPr>
          <w:sz w:val="18"/>
        </w:rPr>
      </w:pPr>
      <w:r>
        <w:rPr>
          <w:color w:val="231F20"/>
          <w:sz w:val="18"/>
        </w:rPr>
        <w:t>Credit growth was stronger, largely on account of a rising rate of ICCs’ borrowing. In contrast, narrow money growth was weakening slightly, perhaps in line with weaker retail sales</w:t>
      </w:r>
      <w:r>
        <w:rPr>
          <w:color w:val="231F20"/>
          <w:spacing w:val="3"/>
          <w:sz w:val="18"/>
        </w:rPr>
        <w:t> </w:t>
      </w:r>
      <w:r>
        <w:rPr>
          <w:color w:val="231F20"/>
          <w:spacing w:val="-3"/>
          <w:sz w:val="18"/>
        </w:rPr>
        <w:t>growth.</w:t>
      </w:r>
    </w:p>
    <w:p>
      <w:pPr>
        <w:pStyle w:val="BodyText"/>
        <w:spacing w:before="4"/>
        <w:rPr>
          <w:sz w:val="21"/>
        </w:rPr>
      </w:pPr>
      <w:r>
        <w:rPr/>
        <w:br w:type="column"/>
      </w:r>
      <w:r>
        <w:rPr>
          <w:sz w:val="21"/>
        </w:rPr>
      </w:r>
    </w:p>
    <w:p>
      <w:pPr>
        <w:pStyle w:val="ListParagraph"/>
        <w:numPr>
          <w:ilvl w:val="0"/>
          <w:numId w:val="45"/>
        </w:numPr>
        <w:tabs>
          <w:tab w:pos="679" w:val="left" w:leader="none"/>
          <w:tab w:pos="681" w:val="left" w:leader="none"/>
        </w:tabs>
        <w:spacing w:line="232" w:lineRule="auto" w:before="1" w:after="0"/>
        <w:ind w:left="200" w:right="209" w:firstLine="0"/>
        <w:jc w:val="left"/>
        <w:rPr>
          <w:sz w:val="18"/>
        </w:rPr>
      </w:pPr>
      <w:r>
        <w:rPr>
          <w:color w:val="231F20"/>
          <w:sz w:val="18"/>
        </w:rPr>
        <w:t>The already inverted yield curve had steepened further; its level and shape contrasted sharply with that of other countries. </w:t>
      </w:r>
      <w:r>
        <w:rPr>
          <w:color w:val="231F20"/>
          <w:spacing w:val="-6"/>
          <w:sz w:val="18"/>
        </w:rPr>
        <w:t>For </w:t>
      </w:r>
      <w:r>
        <w:rPr>
          <w:color w:val="231F20"/>
          <w:sz w:val="18"/>
        </w:rPr>
        <w:t>some time, markets had been expecting domestic interest rates to fall over the next two years, but the timing of the expected fall was being pushed slowly further out, most recently in response to the earnings data.</w:t>
      </w:r>
    </w:p>
    <w:p>
      <w:pPr>
        <w:pStyle w:val="BodyText"/>
        <w:spacing w:before="8"/>
      </w:pPr>
    </w:p>
    <w:p>
      <w:pPr>
        <w:pStyle w:val="ListParagraph"/>
        <w:numPr>
          <w:ilvl w:val="0"/>
          <w:numId w:val="45"/>
        </w:numPr>
        <w:tabs>
          <w:tab w:pos="679" w:val="left" w:leader="none"/>
          <w:tab w:pos="681" w:val="left" w:leader="none"/>
        </w:tabs>
        <w:spacing w:line="232" w:lineRule="auto" w:before="0" w:after="0"/>
        <w:ind w:left="200" w:right="168" w:firstLine="0"/>
        <w:jc w:val="left"/>
        <w:rPr>
          <w:sz w:val="18"/>
        </w:rPr>
      </w:pPr>
      <w:r>
        <w:rPr>
          <w:color w:val="231F20"/>
          <w:sz w:val="18"/>
        </w:rPr>
        <w:t>The F</w:t>
      </w:r>
      <w:r>
        <w:rPr>
          <w:color w:val="231F20"/>
          <w:sz w:val="14"/>
        </w:rPr>
        <w:t>T-SE </w:t>
      </w:r>
      <w:r>
        <w:rPr>
          <w:color w:val="231F20"/>
          <w:sz w:val="18"/>
        </w:rPr>
        <w:t>100 index of equity prices had fallen slightly during May, although the F</w:t>
      </w:r>
      <w:r>
        <w:rPr>
          <w:color w:val="231F20"/>
          <w:sz w:val="14"/>
        </w:rPr>
        <w:t>T-SE </w:t>
      </w:r>
      <w:r>
        <w:rPr>
          <w:color w:val="231F20"/>
          <w:sz w:val="18"/>
        </w:rPr>
        <w:t>250 index had continued to rise. Movements in the F</w:t>
      </w:r>
      <w:r>
        <w:rPr>
          <w:color w:val="231F20"/>
          <w:sz w:val="14"/>
        </w:rPr>
        <w:t>T-SE </w:t>
      </w:r>
      <w:r>
        <w:rPr>
          <w:color w:val="231F20"/>
          <w:sz w:val="18"/>
        </w:rPr>
        <w:t>100 were likely to have been influenced </w:t>
      </w:r>
      <w:r>
        <w:rPr>
          <w:color w:val="231F20"/>
          <w:spacing w:val="-8"/>
          <w:sz w:val="18"/>
        </w:rPr>
        <w:t>by </w:t>
      </w:r>
      <w:r>
        <w:rPr>
          <w:color w:val="231F20"/>
          <w:sz w:val="18"/>
        </w:rPr>
        <w:t>international factors, given that multi-national companies were some of the largest in the index.</w:t>
      </w:r>
    </w:p>
    <w:p>
      <w:pPr>
        <w:pStyle w:val="BodyText"/>
        <w:spacing w:before="9"/>
      </w:pPr>
    </w:p>
    <w:p>
      <w:pPr>
        <w:pStyle w:val="ListParagraph"/>
        <w:numPr>
          <w:ilvl w:val="0"/>
          <w:numId w:val="45"/>
        </w:numPr>
        <w:tabs>
          <w:tab w:pos="679" w:val="left" w:leader="none"/>
          <w:tab w:pos="681" w:val="left" w:leader="none"/>
        </w:tabs>
        <w:spacing w:line="232" w:lineRule="auto" w:before="0" w:after="0"/>
        <w:ind w:left="199" w:right="274" w:firstLine="0"/>
        <w:jc w:val="left"/>
        <w:rPr>
          <w:sz w:val="18"/>
        </w:rPr>
      </w:pPr>
      <w:r>
        <w:rPr>
          <w:color w:val="231F20"/>
          <w:sz w:val="18"/>
        </w:rPr>
        <w:t>These financial indicators were slightly weaker overall </w:t>
      </w:r>
      <w:r>
        <w:rPr>
          <w:color w:val="231F20"/>
          <w:spacing w:val="-5"/>
          <w:sz w:val="18"/>
        </w:rPr>
        <w:t>than </w:t>
      </w:r>
      <w:r>
        <w:rPr>
          <w:color w:val="231F20"/>
          <w:sz w:val="18"/>
        </w:rPr>
        <w:t>envisaged in the May </w:t>
      </w:r>
      <w:r>
        <w:rPr>
          <w:i/>
          <w:color w:val="231F20"/>
          <w:sz w:val="18"/>
        </w:rPr>
        <w:t>Inflation Report</w:t>
      </w:r>
      <w:r>
        <w:rPr>
          <w:color w:val="231F20"/>
          <w:sz w:val="18"/>
        </w:rPr>
        <w:t>, but neither they, nor the latest developments in the monetary data, were sufficient in the Committee’s view to alter the outlook for inflation.</w:t>
      </w:r>
    </w:p>
    <w:p>
      <w:pPr>
        <w:pStyle w:val="BodyText"/>
        <w:spacing w:before="10"/>
        <w:rPr>
          <w:sz w:val="23"/>
        </w:rPr>
      </w:pPr>
    </w:p>
    <w:p>
      <w:pPr>
        <w:pStyle w:val="Heading6"/>
        <w:ind w:left="200"/>
      </w:pPr>
      <w:r>
        <w:rPr>
          <w:color w:val="009483"/>
        </w:rPr>
        <w:t>Prices and earnings</w:t>
      </w:r>
    </w:p>
    <w:p>
      <w:pPr>
        <w:pStyle w:val="ListParagraph"/>
        <w:numPr>
          <w:ilvl w:val="0"/>
          <w:numId w:val="45"/>
        </w:numPr>
        <w:tabs>
          <w:tab w:pos="679" w:val="left" w:leader="none"/>
          <w:tab w:pos="681" w:val="left" w:leader="none"/>
        </w:tabs>
        <w:spacing w:line="232" w:lineRule="auto" w:before="110" w:after="0"/>
        <w:ind w:left="200" w:right="324" w:firstLine="0"/>
        <w:jc w:val="left"/>
        <w:rPr>
          <w:sz w:val="18"/>
        </w:rPr>
      </w:pPr>
      <w:r>
        <w:rPr>
          <w:color w:val="231F20"/>
          <w:sz w:val="18"/>
        </w:rPr>
        <w:t>Price indicators for commodities, imports, manufacturing inputs and outputs all continued to show remarkably benign conditions for retail goods price inflation. And Bank estimates </w:t>
      </w:r>
      <w:r>
        <w:rPr>
          <w:color w:val="231F20"/>
          <w:spacing w:val="-9"/>
          <w:sz w:val="18"/>
        </w:rPr>
        <w:t>of </w:t>
      </w:r>
      <w:r>
        <w:rPr>
          <w:color w:val="231F20"/>
          <w:sz w:val="18"/>
        </w:rPr>
        <w:t>retail margins in the first quarter of 1998 had fallen back to their 10-year average. These downwards pressures on retail price inflation had been offset by rising service sector price inflation, perhaps reflecting strong domestically generated inflation. This was most clearly seen in the stable level of RPIY inflation (the Retail Prices Index excluding mortgage interest payments and indirect taxes).</w:t>
      </w:r>
    </w:p>
    <w:p>
      <w:pPr>
        <w:pStyle w:val="BodyText"/>
        <w:spacing w:before="5"/>
      </w:pPr>
    </w:p>
    <w:p>
      <w:pPr>
        <w:pStyle w:val="ListParagraph"/>
        <w:numPr>
          <w:ilvl w:val="0"/>
          <w:numId w:val="45"/>
        </w:numPr>
        <w:tabs>
          <w:tab w:pos="679" w:val="left" w:leader="none"/>
          <w:tab w:pos="681" w:val="left" w:leader="none"/>
        </w:tabs>
        <w:spacing w:line="232" w:lineRule="auto" w:before="0" w:after="0"/>
        <w:ind w:left="200" w:right="199" w:firstLine="0"/>
        <w:jc w:val="left"/>
        <w:rPr>
          <w:sz w:val="18"/>
        </w:rPr>
      </w:pPr>
      <w:r>
        <w:rPr>
          <w:color w:val="231F20"/>
          <w:sz w:val="18"/>
        </w:rPr>
        <w:t>The labour market data released the week after the Committee’s May meeting had confirmed that unemployment was still falling, but at a slower rate than in 1997. The main news had been a significant rise in headline earnings growth in the three months centred on February to an aggregate figure of 4.9% higher than the same period a year earlier (from an upwardly revised </w:t>
      </w:r>
      <w:r>
        <w:rPr>
          <w:color w:val="231F20"/>
          <w:spacing w:val="-5"/>
          <w:sz w:val="18"/>
        </w:rPr>
        <w:t>4.6% </w:t>
      </w:r>
      <w:r>
        <w:rPr>
          <w:color w:val="231F20"/>
          <w:sz w:val="18"/>
        </w:rPr>
        <w:t>in the three months centred on January). Surprisingly, the rise was bigger in manufacturing (to 5.3%, from a revised 4.7%) than in services (to 5% from 4.8%). Actual earnings growth in the twelve months to March was even stronger: 6.1% in manufacturing and 5.4% in services. The strength was almost entirely in the private sector for which the headline rate reached 5.6% in the three </w:t>
      </w:r>
      <w:r>
        <w:rPr>
          <w:color w:val="231F20"/>
          <w:spacing w:val="-3"/>
          <w:sz w:val="18"/>
        </w:rPr>
        <w:t>months </w:t>
      </w:r>
      <w:r>
        <w:rPr>
          <w:color w:val="231F20"/>
          <w:sz w:val="18"/>
        </w:rPr>
        <w:t>centred on February (6.5% in the twelve months to March). A potential pick-up in earnings growth had been signalled previously by some industrial contacts; on one view it was surprising that it had not happened sooner.</w:t>
      </w:r>
    </w:p>
    <w:p>
      <w:pPr>
        <w:pStyle w:val="BodyText"/>
      </w:pPr>
    </w:p>
    <w:p>
      <w:pPr>
        <w:pStyle w:val="ListParagraph"/>
        <w:numPr>
          <w:ilvl w:val="0"/>
          <w:numId w:val="45"/>
        </w:numPr>
        <w:tabs>
          <w:tab w:pos="679" w:val="left" w:leader="none"/>
          <w:tab w:pos="681" w:val="left" w:leader="none"/>
        </w:tabs>
        <w:spacing w:line="232" w:lineRule="auto" w:before="0" w:after="0"/>
        <w:ind w:left="200" w:right="394" w:firstLine="0"/>
        <w:jc w:val="left"/>
        <w:rPr>
          <w:sz w:val="18"/>
        </w:rPr>
      </w:pPr>
      <w:r>
        <w:rPr>
          <w:color w:val="231F20"/>
          <w:sz w:val="18"/>
        </w:rPr>
        <w:t>The Committee considered the impact and implications </w:t>
      </w:r>
      <w:r>
        <w:rPr>
          <w:color w:val="231F20"/>
          <w:spacing w:val="-9"/>
          <w:sz w:val="18"/>
        </w:rPr>
        <w:t>of </w:t>
      </w:r>
      <w:r>
        <w:rPr>
          <w:color w:val="231F20"/>
          <w:sz w:val="18"/>
        </w:rPr>
        <w:t>bonus payments on the latest earnings data. The ONS had produced estimates of the impact of bonuses based on a survey question about whether bonuses, performance-related or</w:t>
      </w:r>
    </w:p>
    <w:p>
      <w:pPr>
        <w:pStyle w:val="BodyText"/>
        <w:spacing w:line="232" w:lineRule="auto"/>
        <w:ind w:left="200" w:right="209"/>
      </w:pPr>
      <w:r>
        <w:rPr>
          <w:color w:val="231F20"/>
        </w:rPr>
        <w:t>profit-related pay had been a significant element of the total pay bill that month. There was no direct evidence on the size of bonuses paid by all firms. The ONS had confirmed that there might also be an upward bias induced by the box-ticking survey procedure on the size of the effect. Despite these doubts about the magnitude, it was clear that there was an upward effect on average earnings growth which was likely to boost the headline rate for at least another two months before dropping out of the calculation. After that point earnings growth was likely to fall back. But it was misleading to focus on earnings growth excluding bonuses. Bonus payments might be backward looking, reflecting earlier profits, but on the other hand they could be an indication of a tightening </w:t>
      </w:r>
      <w:r>
        <w:rPr>
          <w:color w:val="231F20"/>
          <w:spacing w:val="-3"/>
        </w:rPr>
        <w:t>labour </w:t>
      </w:r>
      <w:r>
        <w:rPr>
          <w:color w:val="231F20"/>
        </w:rPr>
        <w:t>market. Total wage drift—the difference between earnings and settlements—did not seem historically high.</w:t>
      </w:r>
    </w:p>
    <w:p>
      <w:pPr>
        <w:pStyle w:val="BodyText"/>
        <w:spacing w:before="11"/>
        <w:rPr>
          <w:sz w:val="17"/>
        </w:rPr>
      </w:pPr>
    </w:p>
    <w:p>
      <w:pPr>
        <w:pStyle w:val="ListParagraph"/>
        <w:numPr>
          <w:ilvl w:val="0"/>
          <w:numId w:val="45"/>
        </w:numPr>
        <w:tabs>
          <w:tab w:pos="679" w:val="left" w:leader="none"/>
          <w:tab w:pos="681" w:val="left" w:leader="none"/>
        </w:tabs>
        <w:spacing w:line="232" w:lineRule="auto" w:before="0" w:after="0"/>
        <w:ind w:left="200" w:right="164" w:firstLine="0"/>
        <w:jc w:val="left"/>
        <w:rPr>
          <w:sz w:val="18"/>
        </w:rPr>
      </w:pPr>
      <w:r>
        <w:rPr>
          <w:color w:val="231F20"/>
          <w:sz w:val="18"/>
        </w:rPr>
        <w:t>Not wishing to place too much weight on the latest numbers, the Committee considered the underlying trend in the labour </w:t>
      </w:r>
      <w:r>
        <w:rPr>
          <w:color w:val="231F20"/>
          <w:spacing w:val="-3"/>
          <w:sz w:val="18"/>
        </w:rPr>
        <w:t>market </w:t>
      </w:r>
      <w:r>
        <w:rPr>
          <w:color w:val="231F20"/>
          <w:sz w:val="18"/>
        </w:rPr>
        <w:t>over the previous two years. Private sector earnings growth had been drifting up over that period to reach a rate that was disturbing</w:t>
      </w:r>
    </w:p>
    <w:p>
      <w:pPr>
        <w:spacing w:after="0" w:line="232" w:lineRule="auto"/>
        <w:jc w:val="left"/>
        <w:rPr>
          <w:sz w:val="18"/>
        </w:rPr>
        <w:sectPr>
          <w:type w:val="continuous"/>
          <w:pgSz w:w="11900" w:h="16840"/>
          <w:pgMar w:top="1220" w:bottom="280" w:left="620" w:right="640"/>
          <w:cols w:num="2" w:equalWidth="0">
            <w:col w:w="5134" w:space="246"/>
            <w:col w:w="5260"/>
          </w:cols>
        </w:sectPr>
      </w:pPr>
    </w:p>
    <w:p>
      <w:pPr>
        <w:pStyle w:val="BodyText"/>
        <w:rPr>
          <w:sz w:val="20"/>
        </w:rPr>
      </w:pPr>
    </w:p>
    <w:p>
      <w:pPr>
        <w:spacing w:after="0"/>
        <w:rPr>
          <w:sz w:val="20"/>
        </w:rPr>
        <w:sectPr>
          <w:pgSz w:w="11900" w:h="16840"/>
          <w:pgMar w:header="566" w:footer="597" w:top="760" w:bottom="780" w:left="620" w:right="640"/>
        </w:sectPr>
      </w:pPr>
    </w:p>
    <w:p>
      <w:pPr>
        <w:pStyle w:val="BodyText"/>
        <w:spacing w:before="7"/>
        <w:rPr>
          <w:sz w:val="19"/>
        </w:rPr>
      </w:pPr>
    </w:p>
    <w:p>
      <w:pPr>
        <w:pStyle w:val="BodyText"/>
        <w:spacing w:line="232" w:lineRule="auto" w:before="1"/>
        <w:ind w:left="180" w:right="62"/>
      </w:pPr>
      <w:r>
        <w:rPr>
          <w:color w:val="231F20"/>
        </w:rPr>
        <w:t>in relation to the inflation target. Notwithstanding the problems of measuring and interpreting bonus payments, the earnings data suggested that it was more likely that unemployment was below </w:t>
      </w:r>
      <w:r>
        <w:rPr>
          <w:color w:val="231F20"/>
          <w:spacing w:val="-6"/>
        </w:rPr>
        <w:t>the </w:t>
      </w:r>
      <w:r>
        <w:rPr>
          <w:color w:val="231F20"/>
        </w:rPr>
        <w:t>rate compatible with stable inflation. In that case, it was probable that unemployment would have to rise to hit the inflation target on a sustainable basis.</w:t>
      </w:r>
    </w:p>
    <w:p>
      <w:pPr>
        <w:pStyle w:val="BodyText"/>
        <w:spacing w:before="11"/>
        <w:rPr>
          <w:sz w:val="16"/>
        </w:rPr>
      </w:pPr>
    </w:p>
    <w:p>
      <w:pPr>
        <w:pStyle w:val="ListParagraph"/>
        <w:numPr>
          <w:ilvl w:val="0"/>
          <w:numId w:val="45"/>
        </w:numPr>
        <w:tabs>
          <w:tab w:pos="659" w:val="left" w:leader="none"/>
          <w:tab w:pos="661" w:val="left" w:leader="none"/>
        </w:tabs>
        <w:spacing w:line="232" w:lineRule="auto" w:before="0" w:after="0"/>
        <w:ind w:left="180" w:right="67" w:firstLine="0"/>
        <w:jc w:val="left"/>
        <w:rPr>
          <w:sz w:val="18"/>
        </w:rPr>
      </w:pPr>
      <w:r>
        <w:rPr>
          <w:color w:val="231F20"/>
          <w:sz w:val="18"/>
        </w:rPr>
        <w:t>The prospects for a significant fall-back in earnings growth were not particularly encouraging: the rise in inflation on the headline Retail Prices Index to 4% pa—reflecting higher taxes and last year’s interest rate increases—could have the effect of increasing pay demands and possibly settlements. And the low </w:t>
      </w:r>
      <w:r>
        <w:rPr>
          <w:color w:val="231F20"/>
          <w:spacing w:val="-5"/>
          <w:sz w:val="18"/>
        </w:rPr>
        <w:t>rate </w:t>
      </w:r>
      <w:r>
        <w:rPr>
          <w:color w:val="231F20"/>
          <w:sz w:val="18"/>
        </w:rPr>
        <w:t>of public sector earnings growth was not considered to be especially comforting, as it was unlikely to be sustainable indefinitely if the labour market remained tight.</w:t>
      </w:r>
    </w:p>
    <w:p>
      <w:pPr>
        <w:pStyle w:val="BodyText"/>
        <w:spacing w:before="10"/>
        <w:rPr>
          <w:sz w:val="16"/>
        </w:rPr>
      </w:pPr>
    </w:p>
    <w:p>
      <w:pPr>
        <w:pStyle w:val="ListParagraph"/>
        <w:numPr>
          <w:ilvl w:val="0"/>
          <w:numId w:val="45"/>
        </w:numPr>
        <w:tabs>
          <w:tab w:pos="659" w:val="left" w:leader="none"/>
          <w:tab w:pos="661" w:val="left" w:leader="none"/>
        </w:tabs>
        <w:spacing w:line="232" w:lineRule="auto" w:before="0" w:after="0"/>
        <w:ind w:left="180" w:right="63" w:firstLine="0"/>
        <w:jc w:val="left"/>
        <w:rPr>
          <w:sz w:val="18"/>
        </w:rPr>
      </w:pPr>
      <w:r>
        <w:rPr>
          <w:color w:val="231F20"/>
          <w:sz w:val="18"/>
        </w:rPr>
        <w:t>The Government had not yet announced its decision on the rates and coverage of the National Minimum Wage. The Committee would consider the minimum wage in due course, in conjunction with the Government’s other policies on the New</w:t>
      </w:r>
      <w:r>
        <w:rPr>
          <w:color w:val="231F20"/>
          <w:spacing w:val="1"/>
          <w:sz w:val="18"/>
        </w:rPr>
        <w:t> </w:t>
      </w:r>
      <w:r>
        <w:rPr>
          <w:color w:val="231F20"/>
          <w:spacing w:val="-4"/>
          <w:sz w:val="18"/>
        </w:rPr>
        <w:t>Deal.</w:t>
      </w:r>
    </w:p>
    <w:p>
      <w:pPr>
        <w:pStyle w:val="BodyText"/>
        <w:spacing w:before="4"/>
        <w:rPr>
          <w:sz w:val="20"/>
        </w:rPr>
      </w:pPr>
    </w:p>
    <w:p>
      <w:pPr>
        <w:pStyle w:val="Heading6"/>
      </w:pPr>
      <w:r>
        <w:rPr>
          <w:color w:val="009483"/>
        </w:rPr>
        <w:t>The immediate policy decision</w:t>
      </w:r>
    </w:p>
    <w:p>
      <w:pPr>
        <w:pStyle w:val="ListParagraph"/>
        <w:numPr>
          <w:ilvl w:val="0"/>
          <w:numId w:val="45"/>
        </w:numPr>
        <w:tabs>
          <w:tab w:pos="659" w:val="left" w:leader="none"/>
          <w:tab w:pos="661" w:val="left" w:leader="none"/>
        </w:tabs>
        <w:spacing w:line="232" w:lineRule="auto" w:before="110" w:after="0"/>
        <w:ind w:left="180" w:right="43" w:firstLine="0"/>
        <w:jc w:val="left"/>
        <w:rPr>
          <w:sz w:val="18"/>
        </w:rPr>
      </w:pPr>
      <w:r>
        <w:rPr>
          <w:color w:val="231F20"/>
          <w:sz w:val="18"/>
        </w:rPr>
        <w:t>The Committee discussed its immediate policy decision in the context of the balance between external and domestic pressures on inflation. On the one hand, output and prices were both being depressed by the earlier appreciation of the exchange rate, falls in world commodity prices and the weakening of the Asian economies. The restraining effects of these influences on inflation were expected to be temporary—prices, exports and imports would eventually adjust to new levels. On the other hand, domestic demand had been growing significantly faster than trend and would need to slow down if the inflation target was to be achieved. The issue was whether domestic demand would slow sufficiently quickly to bring down domestically generated inflation before the temporary restraining effects of external pressures on inflation </w:t>
      </w:r>
      <w:r>
        <w:rPr>
          <w:color w:val="231F20"/>
          <w:spacing w:val="-5"/>
          <w:sz w:val="18"/>
        </w:rPr>
        <w:t>wore </w:t>
      </w:r>
      <w:r>
        <w:rPr>
          <w:color w:val="231F20"/>
          <w:sz w:val="18"/>
        </w:rPr>
        <w:t>off.</w:t>
      </w:r>
    </w:p>
    <w:p>
      <w:pPr>
        <w:pStyle w:val="BodyText"/>
        <w:spacing w:before="5"/>
        <w:rPr>
          <w:sz w:val="16"/>
        </w:rPr>
      </w:pPr>
    </w:p>
    <w:p>
      <w:pPr>
        <w:pStyle w:val="ListParagraph"/>
        <w:numPr>
          <w:ilvl w:val="0"/>
          <w:numId w:val="45"/>
        </w:numPr>
        <w:tabs>
          <w:tab w:pos="659" w:val="left" w:leader="none"/>
          <w:tab w:pos="661" w:val="left" w:leader="none"/>
        </w:tabs>
        <w:spacing w:line="232" w:lineRule="auto" w:before="0" w:after="0"/>
        <w:ind w:left="180" w:right="132" w:firstLine="0"/>
        <w:jc w:val="left"/>
        <w:rPr>
          <w:sz w:val="18"/>
        </w:rPr>
      </w:pPr>
      <w:r>
        <w:rPr>
          <w:color w:val="231F20"/>
          <w:sz w:val="18"/>
        </w:rPr>
        <w:t>Committee members agreed that the demand and output indicators for recent months showed the economy to be broadly </w:t>
      </w:r>
      <w:r>
        <w:rPr>
          <w:color w:val="231F20"/>
          <w:spacing w:val="-9"/>
          <w:sz w:val="18"/>
        </w:rPr>
        <w:t>on </w:t>
      </w:r>
      <w:r>
        <w:rPr>
          <w:color w:val="231F20"/>
          <w:sz w:val="18"/>
        </w:rPr>
        <w:t>track with the May </w:t>
      </w:r>
      <w:r>
        <w:rPr>
          <w:i/>
          <w:color w:val="231F20"/>
          <w:sz w:val="18"/>
        </w:rPr>
        <w:t>Inflation Report </w:t>
      </w:r>
      <w:r>
        <w:rPr>
          <w:color w:val="231F20"/>
          <w:sz w:val="18"/>
        </w:rPr>
        <w:t>central projection. A range of views was discussed as to whether domestic demand might be slowing slightly more than expected or slightly less: the data </w:t>
      </w:r>
      <w:r>
        <w:rPr>
          <w:color w:val="231F20"/>
          <w:spacing w:val="-4"/>
          <w:sz w:val="18"/>
        </w:rPr>
        <w:t>were </w:t>
      </w:r>
      <w:r>
        <w:rPr>
          <w:color w:val="231F20"/>
          <w:sz w:val="18"/>
        </w:rPr>
        <w:t>not convincing in either direction.</w:t>
      </w:r>
    </w:p>
    <w:p>
      <w:pPr>
        <w:pStyle w:val="BodyText"/>
        <w:rPr>
          <w:sz w:val="17"/>
        </w:rPr>
      </w:pPr>
    </w:p>
    <w:p>
      <w:pPr>
        <w:pStyle w:val="ListParagraph"/>
        <w:numPr>
          <w:ilvl w:val="0"/>
          <w:numId w:val="45"/>
        </w:numPr>
        <w:tabs>
          <w:tab w:pos="659" w:val="left" w:leader="none"/>
          <w:tab w:pos="661" w:val="left" w:leader="none"/>
        </w:tabs>
        <w:spacing w:line="232" w:lineRule="auto" w:before="0" w:after="0"/>
        <w:ind w:left="180" w:right="62" w:firstLine="0"/>
        <w:jc w:val="left"/>
        <w:rPr>
          <w:sz w:val="18"/>
        </w:rPr>
      </w:pPr>
      <w:r>
        <w:rPr>
          <w:color w:val="231F20"/>
          <w:sz w:val="18"/>
        </w:rPr>
        <w:t>Committee members agreed that although the latest news </w:t>
      </w:r>
      <w:r>
        <w:rPr>
          <w:color w:val="231F20"/>
          <w:spacing w:val="-6"/>
          <w:sz w:val="18"/>
        </w:rPr>
        <w:t>did </w:t>
      </w:r>
      <w:r>
        <w:rPr>
          <w:color w:val="231F20"/>
          <w:sz w:val="18"/>
        </w:rPr>
        <w:t>not obviously warrant a change to the assumption for growth in </w:t>
      </w:r>
      <w:r>
        <w:rPr>
          <w:color w:val="231F20"/>
          <w:spacing w:val="-7"/>
          <w:sz w:val="18"/>
        </w:rPr>
        <w:t>UK </w:t>
      </w:r>
      <w:r>
        <w:rPr>
          <w:color w:val="231F20"/>
          <w:sz w:val="18"/>
        </w:rPr>
        <w:t>export markets made in the May central projection, the downside risks to the world economy had become greater since the May meeting. The most significant risk, though with a low probability attached, was of a more widespread financial crisis. As it had discussed at previous meetings, the Committee agreed that policy should not anticipate such a development.</w:t>
      </w:r>
    </w:p>
    <w:p>
      <w:pPr>
        <w:pStyle w:val="BodyText"/>
        <w:spacing w:before="9"/>
        <w:rPr>
          <w:sz w:val="16"/>
        </w:rPr>
      </w:pPr>
    </w:p>
    <w:p>
      <w:pPr>
        <w:pStyle w:val="ListParagraph"/>
        <w:numPr>
          <w:ilvl w:val="0"/>
          <w:numId w:val="45"/>
        </w:numPr>
        <w:tabs>
          <w:tab w:pos="659" w:val="left" w:leader="none"/>
          <w:tab w:pos="661" w:val="left" w:leader="none"/>
        </w:tabs>
        <w:spacing w:line="232" w:lineRule="auto" w:before="1" w:after="0"/>
        <w:ind w:left="180" w:right="38" w:firstLine="0"/>
        <w:jc w:val="left"/>
        <w:rPr>
          <w:sz w:val="18"/>
        </w:rPr>
      </w:pPr>
      <w:r>
        <w:rPr>
          <w:color w:val="231F20"/>
          <w:sz w:val="18"/>
        </w:rPr>
        <w:t>One view was that the increased downside risks to inflation from the external environment were more than offset by the fact that the exchange rate fall had been sustained so that, other things being equal, the central projection for inflation published in the May </w:t>
      </w:r>
      <w:r>
        <w:rPr>
          <w:i/>
          <w:color w:val="231F20"/>
          <w:sz w:val="18"/>
        </w:rPr>
        <w:t>Inflation Report </w:t>
      </w:r>
      <w:r>
        <w:rPr>
          <w:color w:val="231F20"/>
          <w:sz w:val="18"/>
        </w:rPr>
        <w:t>was too low. An alternative view was that </w:t>
      </w:r>
      <w:r>
        <w:rPr>
          <w:color w:val="231F20"/>
          <w:spacing w:val="-6"/>
          <w:sz w:val="18"/>
        </w:rPr>
        <w:t>the </w:t>
      </w:r>
      <w:r>
        <w:rPr>
          <w:color w:val="231F20"/>
          <w:sz w:val="18"/>
        </w:rPr>
        <w:t>exchange rate movement since last month should not be assumed to be permanent and, in any case, was unlikely to dominate the effects from weakening world demand, especially given the long lags in price effects from the exchange rate.</w:t>
      </w:r>
    </w:p>
    <w:p>
      <w:pPr>
        <w:pStyle w:val="BodyText"/>
        <w:spacing w:before="8"/>
        <w:rPr>
          <w:sz w:val="16"/>
        </w:rPr>
      </w:pPr>
    </w:p>
    <w:p>
      <w:pPr>
        <w:pStyle w:val="ListParagraph"/>
        <w:numPr>
          <w:ilvl w:val="0"/>
          <w:numId w:val="45"/>
        </w:numPr>
        <w:tabs>
          <w:tab w:pos="659" w:val="left" w:leader="none"/>
          <w:tab w:pos="661" w:val="left" w:leader="none"/>
        </w:tabs>
        <w:spacing w:line="232" w:lineRule="auto" w:before="1" w:after="0"/>
        <w:ind w:left="180" w:right="358" w:firstLine="0"/>
        <w:jc w:val="left"/>
        <w:rPr>
          <w:sz w:val="18"/>
        </w:rPr>
      </w:pPr>
      <w:r>
        <w:rPr>
          <w:color w:val="231F20"/>
          <w:sz w:val="18"/>
        </w:rPr>
        <w:t>Members agreed that the recent earnings data heightened concern about inflationary pressures in the labour market. The trend in earnings over the previous two years had been clearly</w:t>
      </w:r>
    </w:p>
    <w:p>
      <w:pPr>
        <w:pStyle w:val="BodyText"/>
        <w:spacing w:before="7"/>
        <w:rPr>
          <w:sz w:val="19"/>
        </w:rPr>
      </w:pPr>
      <w:r>
        <w:rPr/>
        <w:br w:type="column"/>
      </w:r>
      <w:r>
        <w:rPr>
          <w:sz w:val="19"/>
        </w:rPr>
      </w:r>
    </w:p>
    <w:p>
      <w:pPr>
        <w:pStyle w:val="BodyText"/>
        <w:spacing w:line="232" w:lineRule="auto" w:before="1"/>
        <w:ind w:left="180" w:right="156"/>
      </w:pPr>
      <w:r>
        <w:rPr>
          <w:color w:val="231F20"/>
        </w:rPr>
        <w:t>upwards and the latest release had to be interpreted in the context of a cumulative tightening of the labour market. The earnings data showed that domestic inflationary pressures were stronger than previously thought and so the need for domestic demand growth to slow down became more pressing.</w:t>
      </w:r>
    </w:p>
    <w:p>
      <w:pPr>
        <w:pStyle w:val="BodyText"/>
        <w:rPr>
          <w:sz w:val="17"/>
        </w:rPr>
      </w:pPr>
    </w:p>
    <w:p>
      <w:pPr>
        <w:pStyle w:val="ListParagraph"/>
        <w:numPr>
          <w:ilvl w:val="0"/>
          <w:numId w:val="45"/>
        </w:numPr>
        <w:tabs>
          <w:tab w:pos="659" w:val="left" w:leader="none"/>
          <w:tab w:pos="661" w:val="left" w:leader="none"/>
        </w:tabs>
        <w:spacing w:line="232" w:lineRule="auto" w:before="0" w:after="0"/>
        <w:ind w:left="180" w:right="204" w:firstLine="0"/>
        <w:jc w:val="left"/>
        <w:rPr>
          <w:sz w:val="18"/>
        </w:rPr>
      </w:pPr>
      <w:r>
        <w:rPr>
          <w:color w:val="231F20"/>
          <w:sz w:val="18"/>
        </w:rPr>
        <w:t>On one view it was necessary for interest rates to rise in order to bring this about and to curb rising domestically generated inflationary pressures. The data over the past month meant that it would be imprudent to delay and that rates should therefore rise immediately. The question was raised as to whether a quarter </w:t>
      </w:r>
      <w:r>
        <w:rPr>
          <w:color w:val="231F20"/>
          <w:spacing w:val="-4"/>
          <w:sz w:val="18"/>
        </w:rPr>
        <w:t>point </w:t>
      </w:r>
      <w:r>
        <w:rPr>
          <w:color w:val="231F20"/>
          <w:sz w:val="18"/>
        </w:rPr>
        <w:t>rise in rates would prove sufficient, particularly if the spike in headline RPI inflation fed through to earnings growth. But no member of the Committee wished to press that case this month.</w:t>
      </w:r>
    </w:p>
    <w:p>
      <w:pPr>
        <w:pStyle w:val="BodyText"/>
        <w:spacing w:before="10"/>
        <w:rPr>
          <w:sz w:val="16"/>
        </w:rPr>
      </w:pPr>
    </w:p>
    <w:p>
      <w:pPr>
        <w:pStyle w:val="ListParagraph"/>
        <w:numPr>
          <w:ilvl w:val="0"/>
          <w:numId w:val="45"/>
        </w:numPr>
        <w:tabs>
          <w:tab w:pos="659" w:val="left" w:leader="none"/>
          <w:tab w:pos="661" w:val="left" w:leader="none"/>
        </w:tabs>
        <w:spacing w:line="232" w:lineRule="auto" w:before="0" w:after="0"/>
        <w:ind w:left="180" w:right="194" w:firstLine="0"/>
        <w:jc w:val="left"/>
        <w:rPr>
          <w:sz w:val="18"/>
        </w:rPr>
      </w:pPr>
      <w:r>
        <w:rPr>
          <w:color w:val="231F20"/>
          <w:sz w:val="18"/>
        </w:rPr>
        <w:t>On another view, although the earnings data were worrying, they did not outweigh the other evidence on the domestic </w:t>
      </w:r>
      <w:r>
        <w:rPr>
          <w:color w:val="231F20"/>
          <w:spacing w:val="-3"/>
          <w:sz w:val="18"/>
        </w:rPr>
        <w:t>economy: </w:t>
      </w:r>
      <w:r>
        <w:rPr>
          <w:color w:val="231F20"/>
          <w:sz w:val="18"/>
        </w:rPr>
        <w:t>sharply falling orders for manufacturing output, slowing retail sales growth, falling import volumes, rising inventories and a more steeply inverted yield curve. And to the extent that the recent earnings data reflected bonuses stemming from earlier profits growth, they were a misleading signal of current and future inflationary pressure. Quantity measures of the labour market suggested that it was no longer tightening. The peak of the economic growth cycle was now six months past and the international environment was fragile. Yet real short-term interest rates remained high and the yield curve signalled a tight monetary stance. On this view, a modest cut in interest rates towards a more neutral stance was still the prudent and appropriate move consistent with achievement of the inflation target.</w:t>
      </w:r>
    </w:p>
    <w:p>
      <w:pPr>
        <w:pStyle w:val="BodyText"/>
        <w:spacing w:before="4"/>
        <w:rPr>
          <w:sz w:val="16"/>
        </w:rPr>
      </w:pPr>
    </w:p>
    <w:p>
      <w:pPr>
        <w:pStyle w:val="ListParagraph"/>
        <w:numPr>
          <w:ilvl w:val="0"/>
          <w:numId w:val="45"/>
        </w:numPr>
        <w:tabs>
          <w:tab w:pos="659" w:val="left" w:leader="none"/>
          <w:tab w:pos="661" w:val="left" w:leader="none"/>
        </w:tabs>
        <w:spacing w:line="232" w:lineRule="auto" w:before="0" w:after="0"/>
        <w:ind w:left="180" w:right="169" w:firstLine="0"/>
        <w:jc w:val="left"/>
        <w:rPr>
          <w:sz w:val="18"/>
        </w:rPr>
      </w:pPr>
      <w:r>
        <w:rPr>
          <w:color w:val="231F20"/>
          <w:sz w:val="18"/>
        </w:rPr>
        <w:t>The Committee discussed the possible market impact of an immediate change in rates, given that markets and commentators generally appeared to be expecting no further rise in rates and indeed, a gradual decline over the next two years. It seemed likely that the markets would raise their expected short-run path of official rates. It was judged unlikely that a 25 basis point move would, in itself, have a major impact on the equity market. It was possible that there would be an exchange rate reaction, but the upward pressure on sterling appeared to have moderated recently. Some Committee members felt that raising rates against such a background ran fewer risks than in previous months of </w:t>
      </w:r>
      <w:r>
        <w:rPr>
          <w:color w:val="231F20"/>
          <w:spacing w:val="-2"/>
          <w:sz w:val="18"/>
        </w:rPr>
        <w:t>exacerbating </w:t>
      </w:r>
      <w:r>
        <w:rPr>
          <w:color w:val="231F20"/>
          <w:sz w:val="18"/>
        </w:rPr>
        <w:t>the imbalances in the economy.</w:t>
      </w:r>
    </w:p>
    <w:p>
      <w:pPr>
        <w:pStyle w:val="BodyText"/>
        <w:spacing w:before="7"/>
        <w:rPr>
          <w:sz w:val="16"/>
        </w:rPr>
      </w:pPr>
    </w:p>
    <w:p>
      <w:pPr>
        <w:pStyle w:val="ListParagraph"/>
        <w:numPr>
          <w:ilvl w:val="0"/>
          <w:numId w:val="45"/>
        </w:numPr>
        <w:tabs>
          <w:tab w:pos="659" w:val="left" w:leader="none"/>
          <w:tab w:pos="661" w:val="left" w:leader="none"/>
        </w:tabs>
        <w:spacing w:line="232" w:lineRule="auto" w:before="0" w:after="0"/>
        <w:ind w:left="180" w:right="229" w:firstLine="0"/>
        <w:jc w:val="left"/>
        <w:rPr>
          <w:sz w:val="18"/>
        </w:rPr>
      </w:pPr>
      <w:r>
        <w:rPr>
          <w:color w:val="231F20"/>
          <w:sz w:val="18"/>
        </w:rPr>
        <w:t>The Governor invited members of the Committee to vote on the proposition that the Bank’s repo rate be increased by 25 basis points, the change to be announced immediately. Eight Committee members (The Governor, Mervyn King, David Clementi, Alan Budd, Willem Buiter, Charles Goodhart, Ian Plenderleith and John Vickers) voted for the proposition. One member (DeAnne Julius) voted against, preferring an immediate cut.</w:t>
      </w:r>
    </w:p>
    <w:p>
      <w:pPr>
        <w:pStyle w:val="ListParagraph"/>
        <w:numPr>
          <w:ilvl w:val="0"/>
          <w:numId w:val="45"/>
        </w:numPr>
        <w:tabs>
          <w:tab w:pos="659" w:val="left" w:leader="none"/>
          <w:tab w:pos="661" w:val="left" w:leader="none"/>
        </w:tabs>
        <w:spacing w:line="400" w:lineRule="exact" w:before="38" w:after="0"/>
        <w:ind w:left="180" w:right="549" w:firstLine="0"/>
        <w:jc w:val="left"/>
        <w:rPr>
          <w:sz w:val="18"/>
        </w:rPr>
      </w:pPr>
      <w:r>
        <w:rPr>
          <w:color w:val="231F20"/>
          <w:sz w:val="18"/>
        </w:rPr>
        <w:t>The following members of the Committee were </w:t>
      </w:r>
      <w:r>
        <w:rPr>
          <w:color w:val="231F20"/>
          <w:spacing w:val="-3"/>
          <w:sz w:val="18"/>
        </w:rPr>
        <w:t>present: </w:t>
      </w:r>
      <w:r>
        <w:rPr>
          <w:color w:val="231F20"/>
          <w:sz w:val="18"/>
        </w:rPr>
        <w:t>Eddie George, Governor</w:t>
      </w:r>
    </w:p>
    <w:p>
      <w:pPr>
        <w:pStyle w:val="BodyText"/>
        <w:spacing w:line="155" w:lineRule="exact"/>
        <w:ind w:left="180"/>
      </w:pPr>
      <w:r>
        <w:rPr>
          <w:color w:val="231F20"/>
        </w:rPr>
        <w:t>Mervyn King, Deputy Governor responsible for monetary policy</w:t>
      </w:r>
    </w:p>
    <w:p>
      <w:pPr>
        <w:pStyle w:val="BodyText"/>
        <w:spacing w:line="232" w:lineRule="auto" w:before="1"/>
        <w:ind w:left="180" w:right="761"/>
      </w:pPr>
      <w:r>
        <w:rPr>
          <w:color w:val="231F20"/>
        </w:rPr>
        <w:t>David Clementi, Deputy Governor responsible for financial stability</w:t>
      </w:r>
    </w:p>
    <w:p>
      <w:pPr>
        <w:pStyle w:val="BodyText"/>
        <w:spacing w:line="232" w:lineRule="auto"/>
        <w:ind w:left="180" w:right="3780"/>
      </w:pPr>
      <w:r>
        <w:rPr>
          <w:color w:val="231F20"/>
        </w:rPr>
        <w:t>Alan Budd Willem Buiter Charles Goodhart DeAnne Julius Ian Plenderleith John Vickers</w:t>
      </w:r>
    </w:p>
    <w:p>
      <w:pPr>
        <w:pStyle w:val="BodyText"/>
        <w:spacing w:before="10"/>
        <w:rPr>
          <w:sz w:val="16"/>
        </w:rPr>
      </w:pPr>
    </w:p>
    <w:p>
      <w:pPr>
        <w:pStyle w:val="ListParagraph"/>
        <w:numPr>
          <w:ilvl w:val="0"/>
          <w:numId w:val="45"/>
        </w:numPr>
        <w:tabs>
          <w:tab w:pos="659" w:val="left" w:leader="none"/>
          <w:tab w:pos="661" w:val="left" w:leader="none"/>
        </w:tabs>
        <w:spacing w:line="232" w:lineRule="auto" w:before="0" w:after="0"/>
        <w:ind w:left="180" w:right="1118" w:firstLine="0"/>
        <w:jc w:val="left"/>
        <w:rPr>
          <w:sz w:val="18"/>
        </w:rPr>
      </w:pPr>
      <w:r>
        <w:rPr>
          <w:color w:val="231F20"/>
          <w:sz w:val="18"/>
        </w:rPr>
        <w:t>Gus O’Donnell was also present as the Treasury representative.</w:t>
      </w:r>
    </w:p>
    <w:p>
      <w:pPr>
        <w:spacing w:after="0" w:line="232" w:lineRule="auto"/>
        <w:jc w:val="left"/>
        <w:rPr>
          <w:sz w:val="18"/>
        </w:rPr>
        <w:sectPr>
          <w:type w:val="continuous"/>
          <w:pgSz w:w="11900" w:h="16840"/>
          <w:pgMar w:top="1220" w:bottom="280" w:left="620" w:right="640"/>
          <w:cols w:num="2" w:equalWidth="0">
            <w:col w:w="5124" w:space="261"/>
            <w:col w:w="5255"/>
          </w:cols>
        </w:sectPr>
      </w:pPr>
    </w:p>
    <w:p>
      <w:pPr>
        <w:pStyle w:val="BodyText"/>
        <w:rPr>
          <w:sz w:val="20"/>
        </w:rPr>
      </w:pPr>
    </w:p>
    <w:p>
      <w:pPr>
        <w:pStyle w:val="BodyText"/>
        <w:rPr>
          <w:sz w:val="20"/>
        </w:rPr>
      </w:pPr>
    </w:p>
    <w:p>
      <w:pPr>
        <w:pStyle w:val="BodyText"/>
        <w:spacing w:before="1"/>
        <w:rPr>
          <w:sz w:val="16"/>
        </w:rPr>
      </w:pPr>
    </w:p>
    <w:p>
      <w:pPr>
        <w:pStyle w:val="Heading1"/>
      </w:pPr>
      <w:r>
        <w:rPr>
          <w:color w:val="009483"/>
        </w:rPr>
        <w:t>Annex: Summary of data presented by Bank staff</w:t>
      </w:r>
    </w:p>
    <w:p>
      <w:pPr>
        <w:pStyle w:val="BodyText"/>
        <w:spacing w:before="9"/>
        <w:rPr>
          <w:b/>
          <w:sz w:val="27"/>
        </w:rPr>
      </w:pPr>
    </w:p>
    <w:p>
      <w:pPr>
        <w:spacing w:after="0"/>
        <w:rPr>
          <w:sz w:val="27"/>
        </w:rPr>
        <w:sectPr>
          <w:pgSz w:w="11900" w:h="16840"/>
          <w:pgMar w:header="566" w:footer="597" w:top="760" w:bottom="780" w:left="620" w:right="640"/>
        </w:sectPr>
      </w:pPr>
    </w:p>
    <w:p>
      <w:pPr>
        <w:pStyle w:val="ListParagraph"/>
        <w:numPr>
          <w:ilvl w:val="0"/>
          <w:numId w:val="46"/>
        </w:numPr>
        <w:tabs>
          <w:tab w:pos="674" w:val="left" w:leader="none"/>
          <w:tab w:pos="675" w:val="left" w:leader="none"/>
        </w:tabs>
        <w:spacing w:line="232" w:lineRule="auto" w:before="98" w:after="0"/>
        <w:ind w:left="194" w:right="82" w:firstLine="0"/>
        <w:jc w:val="left"/>
        <w:rPr>
          <w:sz w:val="18"/>
        </w:rPr>
      </w:pPr>
      <w:r>
        <w:rPr>
          <w:color w:val="231F20"/>
          <w:sz w:val="18"/>
        </w:rPr>
        <w:t>This Annex summarises the analysis presented by Bank </w:t>
      </w:r>
      <w:r>
        <w:rPr>
          <w:color w:val="231F20"/>
          <w:spacing w:val="-4"/>
          <w:sz w:val="18"/>
        </w:rPr>
        <w:t>staff </w:t>
      </w:r>
      <w:r>
        <w:rPr>
          <w:color w:val="231F20"/>
          <w:sz w:val="18"/>
        </w:rPr>
        <w:t>to the Monetary Policy Committee on 29 May 1998, in advance of its meeting. At the start of the Committee meeting itself, members were made aware of information that had subsequently become available, and that information is included in the Annex.</w:t>
      </w:r>
    </w:p>
    <w:p>
      <w:pPr>
        <w:pStyle w:val="BodyText"/>
        <w:spacing w:before="9"/>
        <w:rPr>
          <w:sz w:val="23"/>
        </w:rPr>
      </w:pPr>
    </w:p>
    <w:p>
      <w:pPr>
        <w:pStyle w:val="Heading6"/>
        <w:numPr>
          <w:ilvl w:val="0"/>
          <w:numId w:val="47"/>
        </w:numPr>
        <w:tabs>
          <w:tab w:pos="675" w:val="left" w:leader="none"/>
        </w:tabs>
        <w:spacing w:line="240" w:lineRule="auto" w:before="0" w:after="0"/>
        <w:ind w:left="674" w:right="0" w:hanging="481"/>
        <w:jc w:val="both"/>
      </w:pPr>
      <w:r>
        <w:rPr>
          <w:color w:val="009483"/>
        </w:rPr>
        <w:t>Monetary conditions</w:t>
      </w:r>
    </w:p>
    <w:p>
      <w:pPr>
        <w:pStyle w:val="ListParagraph"/>
        <w:numPr>
          <w:ilvl w:val="0"/>
          <w:numId w:val="46"/>
        </w:numPr>
        <w:tabs>
          <w:tab w:pos="675" w:val="left" w:leader="none"/>
        </w:tabs>
        <w:spacing w:line="232" w:lineRule="auto" w:before="129" w:after="0"/>
        <w:ind w:left="194" w:right="38" w:firstLine="0"/>
        <w:jc w:val="both"/>
        <w:rPr>
          <w:sz w:val="18"/>
        </w:rPr>
      </w:pPr>
      <w:r>
        <w:rPr>
          <w:color w:val="231F20"/>
          <w:sz w:val="18"/>
        </w:rPr>
        <w:t>Growth in the very narrow measures of money had continued to fall. Notes and coin rose by 0.4% in May. Annual growth fell to 6.2%, from 6.7% at the start of the year; and the three- and</w:t>
      </w:r>
    </w:p>
    <w:p>
      <w:pPr>
        <w:pStyle w:val="BodyText"/>
        <w:spacing w:line="200" w:lineRule="exact"/>
        <w:ind w:left="194"/>
        <w:jc w:val="both"/>
      </w:pPr>
      <w:r>
        <w:rPr>
          <w:color w:val="231F20"/>
        </w:rPr>
        <w:t>six-month annualised rates were 5.0% and 5.8%.</w:t>
      </w:r>
    </w:p>
    <w:p>
      <w:pPr>
        <w:pStyle w:val="BodyText"/>
        <w:spacing w:before="8"/>
        <w:rPr>
          <w:sz w:val="20"/>
        </w:rPr>
      </w:pPr>
    </w:p>
    <w:p>
      <w:pPr>
        <w:pStyle w:val="ListParagraph"/>
        <w:numPr>
          <w:ilvl w:val="0"/>
          <w:numId w:val="46"/>
        </w:numPr>
        <w:tabs>
          <w:tab w:pos="674" w:val="left" w:leader="none"/>
          <w:tab w:pos="675" w:val="left" w:leader="none"/>
        </w:tabs>
        <w:spacing w:line="232" w:lineRule="auto" w:before="0" w:after="0"/>
        <w:ind w:left="194" w:right="502" w:firstLine="0"/>
        <w:jc w:val="left"/>
        <w:rPr>
          <w:sz w:val="18"/>
        </w:rPr>
      </w:pPr>
      <w:r>
        <w:rPr>
          <w:color w:val="231F20"/>
          <w:sz w:val="18"/>
        </w:rPr>
        <w:t>Growth in the non-interest-bearing component of </w:t>
      </w:r>
      <w:r>
        <w:rPr>
          <w:color w:val="231F20"/>
          <w:spacing w:val="-3"/>
          <w:sz w:val="18"/>
        </w:rPr>
        <w:t>retail </w:t>
      </w:r>
      <w:r>
        <w:rPr>
          <w:color w:val="231F20"/>
          <w:sz w:val="18"/>
        </w:rPr>
        <w:t>deposits had remained low. Average monthly flows into</w:t>
      </w:r>
    </w:p>
    <w:p>
      <w:pPr>
        <w:pStyle w:val="BodyText"/>
        <w:spacing w:line="197" w:lineRule="exact"/>
        <w:ind w:left="194"/>
      </w:pPr>
      <w:r>
        <w:rPr>
          <w:color w:val="231F20"/>
        </w:rPr>
        <w:t>non-interest-bearing money (including notes and coin) had been</w:t>
      </w:r>
    </w:p>
    <w:p>
      <w:pPr>
        <w:pStyle w:val="BodyText"/>
        <w:spacing w:line="232" w:lineRule="auto" w:before="2"/>
        <w:ind w:left="194"/>
      </w:pPr>
      <w:r>
        <w:rPr>
          <w:color w:val="231F20"/>
        </w:rPr>
        <w:t>£0.2 billion during 1998 so far, in comparison with an average monthly flow of £0.5 billion during 1997. Current account deposits might have been used to finance PEP purchases by persons, which had again been strong in April.</w:t>
      </w:r>
    </w:p>
    <w:p>
      <w:pPr>
        <w:pStyle w:val="BodyText"/>
        <w:spacing w:before="7"/>
        <w:rPr>
          <w:sz w:val="20"/>
        </w:rPr>
      </w:pPr>
    </w:p>
    <w:p>
      <w:pPr>
        <w:pStyle w:val="ListParagraph"/>
        <w:numPr>
          <w:ilvl w:val="0"/>
          <w:numId w:val="46"/>
        </w:numPr>
        <w:tabs>
          <w:tab w:pos="674" w:val="left" w:leader="none"/>
          <w:tab w:pos="675" w:val="left" w:leader="none"/>
        </w:tabs>
        <w:spacing w:line="232" w:lineRule="auto" w:before="0" w:after="0"/>
        <w:ind w:left="194" w:right="168" w:firstLine="0"/>
        <w:jc w:val="left"/>
        <w:rPr>
          <w:sz w:val="18"/>
        </w:rPr>
      </w:pPr>
      <w:r>
        <w:rPr>
          <w:color w:val="231F20"/>
          <w:sz w:val="18"/>
        </w:rPr>
        <w:t>Both retail and personal sector M4 rose more strongly in April, by 0.8% and 1.0% respectively, than in March, having </w:t>
      </w:r>
      <w:r>
        <w:rPr>
          <w:color w:val="231F20"/>
          <w:spacing w:val="-5"/>
          <w:sz w:val="18"/>
        </w:rPr>
        <w:t>been </w:t>
      </w:r>
      <w:r>
        <w:rPr>
          <w:color w:val="231F20"/>
          <w:sz w:val="18"/>
        </w:rPr>
        <w:t>depressed in the first quarter by </w:t>
      </w:r>
      <w:r>
        <w:rPr>
          <w:i/>
          <w:color w:val="231F20"/>
          <w:sz w:val="18"/>
        </w:rPr>
        <w:t>inter alia</w:t>
      </w:r>
      <w:r>
        <w:rPr>
          <w:color w:val="231F20"/>
          <w:sz w:val="18"/>
        </w:rPr>
        <w:t>, higher self-assessment tax payments.</w:t>
      </w:r>
    </w:p>
    <w:p>
      <w:pPr>
        <w:pStyle w:val="BodyText"/>
        <w:spacing w:before="7"/>
        <w:rPr>
          <w:sz w:val="20"/>
        </w:rPr>
      </w:pPr>
    </w:p>
    <w:p>
      <w:pPr>
        <w:pStyle w:val="ListParagraph"/>
        <w:numPr>
          <w:ilvl w:val="0"/>
          <w:numId w:val="46"/>
        </w:numPr>
        <w:tabs>
          <w:tab w:pos="674" w:val="left" w:leader="none"/>
          <w:tab w:pos="675" w:val="left" w:leader="none"/>
        </w:tabs>
        <w:spacing w:line="232" w:lineRule="auto" w:before="0" w:after="0"/>
        <w:ind w:left="194" w:right="282" w:firstLine="0"/>
        <w:jc w:val="left"/>
        <w:rPr>
          <w:sz w:val="18"/>
        </w:rPr>
      </w:pPr>
      <w:r>
        <w:rPr>
          <w:color w:val="231F20"/>
          <w:sz w:val="18"/>
        </w:rPr>
        <w:t>ICCs’ M4 rose by only 0.1% in April, with annual </w:t>
      </w:r>
      <w:r>
        <w:rPr>
          <w:color w:val="231F20"/>
          <w:spacing w:val="-3"/>
          <w:sz w:val="18"/>
        </w:rPr>
        <w:t>growth </w:t>
      </w:r>
      <w:r>
        <w:rPr>
          <w:color w:val="231F20"/>
          <w:sz w:val="18"/>
        </w:rPr>
        <w:t>falling to 6.3%. The pattern of ICCs’ deposits remained volatile month to month, but the underlying picture suggested a gradual slowing in annual growth to around 5%–6%. By contrast, OFIs’ M4 remained buoyant, rising by 1.2% in April, with annual and period growth rates all around 22%–23%.</w:t>
      </w:r>
    </w:p>
    <w:p>
      <w:pPr>
        <w:pStyle w:val="BodyText"/>
        <w:spacing w:before="5"/>
        <w:rPr>
          <w:sz w:val="20"/>
        </w:rPr>
      </w:pPr>
    </w:p>
    <w:p>
      <w:pPr>
        <w:pStyle w:val="ListParagraph"/>
        <w:numPr>
          <w:ilvl w:val="0"/>
          <w:numId w:val="46"/>
        </w:numPr>
        <w:tabs>
          <w:tab w:pos="674" w:val="left" w:leader="none"/>
          <w:tab w:pos="675" w:val="left" w:leader="none"/>
        </w:tabs>
        <w:spacing w:line="232" w:lineRule="auto" w:before="0" w:after="0"/>
        <w:ind w:left="194" w:right="343" w:firstLine="0"/>
        <w:jc w:val="left"/>
        <w:rPr>
          <w:sz w:val="18"/>
        </w:rPr>
      </w:pPr>
      <w:r>
        <w:rPr>
          <w:color w:val="231F20"/>
          <w:sz w:val="18"/>
        </w:rPr>
        <w:t>Aggregate M4 rose by a robust 0.9% in April. Annual growth in April had nudged back above 10%, in part because </w:t>
      </w:r>
      <w:r>
        <w:rPr>
          <w:color w:val="231F20"/>
          <w:spacing w:val="-9"/>
          <w:sz w:val="18"/>
        </w:rPr>
        <w:t>of </w:t>
      </w:r>
      <w:r>
        <w:rPr>
          <w:color w:val="231F20"/>
          <w:sz w:val="18"/>
        </w:rPr>
        <w:t>weak M4 growth in April 1997.</w:t>
      </w:r>
    </w:p>
    <w:p>
      <w:pPr>
        <w:pStyle w:val="BodyText"/>
        <w:spacing w:before="8"/>
        <w:rPr>
          <w:sz w:val="20"/>
        </w:rPr>
      </w:pPr>
    </w:p>
    <w:p>
      <w:pPr>
        <w:pStyle w:val="ListParagraph"/>
        <w:numPr>
          <w:ilvl w:val="0"/>
          <w:numId w:val="46"/>
        </w:numPr>
        <w:tabs>
          <w:tab w:pos="674" w:val="left" w:leader="none"/>
          <w:tab w:pos="675" w:val="left" w:leader="none"/>
        </w:tabs>
        <w:spacing w:line="232" w:lineRule="auto" w:before="0" w:after="0"/>
        <w:ind w:left="194" w:right="62" w:firstLine="0"/>
        <w:jc w:val="left"/>
        <w:rPr>
          <w:sz w:val="18"/>
        </w:rPr>
      </w:pPr>
      <w:r>
        <w:rPr>
          <w:color w:val="231F20"/>
          <w:sz w:val="18"/>
        </w:rPr>
        <w:t>Looking at the counterparts to M4, overfunding of the public sector deficit might, in an accounting sense, have reduced M4 by </w:t>
      </w:r>
      <w:r>
        <w:rPr>
          <w:color w:val="231F20"/>
          <w:spacing w:val="-6"/>
          <w:sz w:val="18"/>
        </w:rPr>
        <w:t>as </w:t>
      </w:r>
      <w:r>
        <w:rPr>
          <w:color w:val="231F20"/>
          <w:sz w:val="18"/>
        </w:rPr>
        <w:t>much as £8.5 billion during FY 1997/98. This negative influence on M4 had continued during April (£1.3 billion). However, it was likely that the true effect on M4 was smaller than this, because of offsetting movements in the other M4 counterparts. For example, although higher tax payments by ICCs and persons at the end of </w:t>
      </w:r>
      <w:r>
        <w:rPr>
          <w:color w:val="231F20"/>
          <w:spacing w:val="-6"/>
          <w:sz w:val="18"/>
        </w:rPr>
        <w:t>the </w:t>
      </w:r>
      <w:r>
        <w:rPr>
          <w:color w:val="231F20"/>
          <w:sz w:val="18"/>
        </w:rPr>
        <w:t>financial year might have been financed by running down deposits, these payments could, alternatively, have been financed by higher borrowing, leaving M4 unaffected.</w:t>
      </w:r>
    </w:p>
    <w:p>
      <w:pPr>
        <w:pStyle w:val="BodyText"/>
        <w:spacing w:before="2"/>
        <w:rPr>
          <w:sz w:val="20"/>
        </w:rPr>
      </w:pPr>
    </w:p>
    <w:p>
      <w:pPr>
        <w:pStyle w:val="ListParagraph"/>
        <w:numPr>
          <w:ilvl w:val="0"/>
          <w:numId w:val="46"/>
        </w:numPr>
        <w:tabs>
          <w:tab w:pos="674" w:val="left" w:leader="none"/>
          <w:tab w:pos="675" w:val="left" w:leader="none"/>
        </w:tabs>
        <w:spacing w:line="232" w:lineRule="auto" w:before="0" w:after="0"/>
        <w:ind w:left="194" w:right="357" w:firstLine="0"/>
        <w:jc w:val="left"/>
        <w:rPr>
          <w:sz w:val="18"/>
        </w:rPr>
      </w:pPr>
      <w:r>
        <w:rPr>
          <w:color w:val="231F20"/>
          <w:sz w:val="18"/>
        </w:rPr>
        <w:t>Aggregate M4 lending rose strongly in April, by 0.9%. Annual growth picked up to 8.8%, with period rates at or </w:t>
      </w:r>
      <w:r>
        <w:rPr>
          <w:color w:val="231F20"/>
          <w:spacing w:val="-4"/>
          <w:sz w:val="18"/>
        </w:rPr>
        <w:t>above </w:t>
      </w:r>
      <w:r>
        <w:rPr>
          <w:color w:val="231F20"/>
          <w:sz w:val="18"/>
        </w:rPr>
        <w:t>10%.</w:t>
      </w:r>
    </w:p>
    <w:p>
      <w:pPr>
        <w:pStyle w:val="BodyText"/>
        <w:spacing w:before="8"/>
        <w:rPr>
          <w:sz w:val="20"/>
        </w:rPr>
      </w:pPr>
    </w:p>
    <w:p>
      <w:pPr>
        <w:pStyle w:val="ListParagraph"/>
        <w:numPr>
          <w:ilvl w:val="0"/>
          <w:numId w:val="46"/>
        </w:numPr>
        <w:tabs>
          <w:tab w:pos="674" w:val="left" w:leader="none"/>
          <w:tab w:pos="675" w:val="left" w:leader="none"/>
        </w:tabs>
        <w:spacing w:line="232" w:lineRule="auto" w:before="0" w:after="0"/>
        <w:ind w:left="194" w:right="62" w:firstLine="0"/>
        <w:jc w:val="left"/>
        <w:rPr>
          <w:sz w:val="18"/>
        </w:rPr>
      </w:pPr>
      <w:r>
        <w:rPr>
          <w:color w:val="231F20"/>
          <w:sz w:val="18"/>
        </w:rPr>
        <w:t>Personal sector borrowing rose by 0.6% in April, in line </w:t>
      </w:r>
      <w:r>
        <w:rPr>
          <w:color w:val="231F20"/>
          <w:spacing w:val="-5"/>
          <w:sz w:val="18"/>
        </w:rPr>
        <w:t>with </w:t>
      </w:r>
      <w:r>
        <w:rPr>
          <w:color w:val="231F20"/>
          <w:sz w:val="18"/>
        </w:rPr>
        <w:t>monthly growth in the past two years. Annual growth remained around 7%. Within this, however, there was a slightly different split of borrowing from in the recent past, with annual growth in secured lending picking up to 5.8%, while annual growth in unsecured lending edged back to 16.2%. But credit card borrowing (around 20%–25% of the stock of unsecured lending and 4% of total personal sector lending) remained strong, rising by more than 20% in the year to April.</w:t>
      </w:r>
    </w:p>
    <w:p>
      <w:pPr>
        <w:pStyle w:val="BodyText"/>
        <w:spacing w:before="6"/>
      </w:pPr>
    </w:p>
    <w:p>
      <w:pPr>
        <w:pStyle w:val="ListParagraph"/>
        <w:numPr>
          <w:ilvl w:val="0"/>
          <w:numId w:val="46"/>
        </w:numPr>
        <w:tabs>
          <w:tab w:pos="675" w:val="left" w:leader="none"/>
        </w:tabs>
        <w:spacing w:line="232" w:lineRule="auto" w:before="0" w:after="0"/>
        <w:ind w:left="194" w:right="302" w:firstLine="0"/>
        <w:jc w:val="both"/>
        <w:rPr>
          <w:sz w:val="18"/>
        </w:rPr>
      </w:pPr>
      <w:r>
        <w:rPr>
          <w:color w:val="231F20"/>
          <w:sz w:val="18"/>
        </w:rPr>
        <w:t>OFIs’ borrowing rose strongly in April, by 2.2%. </w:t>
      </w:r>
      <w:r>
        <w:rPr>
          <w:color w:val="231F20"/>
          <w:spacing w:val="-3"/>
          <w:sz w:val="18"/>
        </w:rPr>
        <w:t>Annual </w:t>
      </w:r>
      <w:r>
        <w:rPr>
          <w:color w:val="231F20"/>
          <w:sz w:val="18"/>
        </w:rPr>
        <w:t>growth rate remained high, at 19.3%, with three- and six-month annualised rates above 20%.</w:t>
      </w:r>
    </w:p>
    <w:p>
      <w:pPr>
        <w:pStyle w:val="ListParagraph"/>
        <w:numPr>
          <w:ilvl w:val="0"/>
          <w:numId w:val="46"/>
        </w:numPr>
        <w:tabs>
          <w:tab w:pos="674" w:val="left" w:leader="none"/>
          <w:tab w:pos="675" w:val="left" w:leader="none"/>
        </w:tabs>
        <w:spacing w:line="203" w:lineRule="exact" w:before="93" w:after="0"/>
        <w:ind w:left="674" w:right="0" w:hanging="481"/>
        <w:jc w:val="left"/>
        <w:rPr>
          <w:sz w:val="18"/>
        </w:rPr>
      </w:pPr>
      <w:r>
        <w:rPr>
          <w:color w:val="231F20"/>
          <w:sz w:val="18"/>
        </w:rPr>
        <w:br w:type="column"/>
        <w:t>ICCs’ borrowing rose by 0.5% in April. Three- and</w:t>
      </w:r>
    </w:p>
    <w:p>
      <w:pPr>
        <w:pStyle w:val="BodyText"/>
        <w:spacing w:line="232" w:lineRule="auto" w:before="1"/>
        <w:ind w:left="194" w:right="199"/>
      </w:pPr>
      <w:r>
        <w:rPr>
          <w:color w:val="231F20"/>
        </w:rPr>
        <w:t>six-month annualised growth rates were above the twelve month rate of 5.2%. An industrial breakdown of this borrowing indicated that the pick-up was reasonably widely spread across different industries. For example, growth had recently picked up strongly in the construction and agriculture sectors. However, this probably signalled very different patterns in activity in the two sectors, with construction output growing but the agricultural sector slowing.</w:t>
      </w:r>
    </w:p>
    <w:p>
      <w:pPr>
        <w:pStyle w:val="BodyText"/>
        <w:spacing w:before="4"/>
        <w:rPr>
          <w:sz w:val="20"/>
        </w:rPr>
      </w:pPr>
    </w:p>
    <w:p>
      <w:pPr>
        <w:pStyle w:val="ListParagraph"/>
        <w:numPr>
          <w:ilvl w:val="0"/>
          <w:numId w:val="46"/>
        </w:numPr>
        <w:tabs>
          <w:tab w:pos="674" w:val="left" w:leader="none"/>
          <w:tab w:pos="675" w:val="left" w:leader="none"/>
        </w:tabs>
        <w:spacing w:line="232" w:lineRule="auto" w:before="1" w:after="0"/>
        <w:ind w:left="194" w:right="157" w:firstLine="0"/>
        <w:jc w:val="left"/>
        <w:rPr>
          <w:sz w:val="18"/>
        </w:rPr>
      </w:pPr>
      <w:r>
        <w:rPr>
          <w:color w:val="231F20"/>
          <w:sz w:val="18"/>
        </w:rPr>
        <w:t>In May, the Agents undertook a special survey on the factors behind the rise in ICCs’ borrowing. The survey covered 111 firms from the manufacturing, (non financial) services, agricultural and construction sectors, as well as 33 contacts at bank branches. The overall message across the whole economy from both firms and banks was that the reasons for increased borrowing had generally been positive, for example to finance fixed investment or acquisitions. The main exception was the agricultural sector, </w:t>
      </w:r>
      <w:r>
        <w:rPr>
          <w:color w:val="231F20"/>
          <w:spacing w:val="-4"/>
          <w:sz w:val="18"/>
        </w:rPr>
        <w:t>where </w:t>
      </w:r>
      <w:r>
        <w:rPr>
          <w:color w:val="231F20"/>
          <w:sz w:val="18"/>
        </w:rPr>
        <w:t>there were severe problems, largely on account of sterling’s appreciation being reflected in the green pound. In this sector, much borrowing had been in response to a worsening financial situation. Some manufacturers also suggested that lower margins and turnover were factors behind increased borrowing. Typically, these were firms facing intense international competition in home or export markets, such as textiles; a number were fearing for their survival, but would tend to seek alternative solutions to increasing bank debt.</w:t>
      </w:r>
    </w:p>
    <w:p>
      <w:pPr>
        <w:pStyle w:val="BodyText"/>
        <w:spacing w:before="8"/>
        <w:rPr>
          <w:sz w:val="19"/>
        </w:rPr>
      </w:pPr>
    </w:p>
    <w:p>
      <w:pPr>
        <w:pStyle w:val="ListParagraph"/>
        <w:numPr>
          <w:ilvl w:val="0"/>
          <w:numId w:val="46"/>
        </w:numPr>
        <w:tabs>
          <w:tab w:pos="674" w:val="left" w:leader="none"/>
          <w:tab w:pos="675" w:val="left" w:leader="none"/>
        </w:tabs>
        <w:spacing w:line="232" w:lineRule="auto" w:before="0" w:after="0"/>
        <w:ind w:left="194" w:right="227" w:firstLine="0"/>
        <w:jc w:val="left"/>
        <w:rPr>
          <w:sz w:val="18"/>
        </w:rPr>
      </w:pPr>
      <w:r>
        <w:rPr>
          <w:color w:val="231F20"/>
          <w:sz w:val="18"/>
        </w:rPr>
        <w:t>On price developments, there had been little change on the month in bank savings and loan rates. But some building societies had cut rates on fixed rate mortgages (eg, the Nationwide reduced their rate on five-year mortgages by 20 bp). And more lenders </w:t>
      </w:r>
      <w:r>
        <w:rPr>
          <w:color w:val="231F20"/>
          <w:spacing w:val="-6"/>
          <w:sz w:val="18"/>
        </w:rPr>
        <w:t>had </w:t>
      </w:r>
      <w:r>
        <w:rPr>
          <w:color w:val="231F20"/>
          <w:sz w:val="18"/>
        </w:rPr>
        <w:t>abolished mortgage indemnity guarantees for mortgages of up to 90% of the purchase price, following a similar move by a number of banks and building societies earlier in the year. This provided what was in effect a discount on the first year of mortgage payments. Overall, it appeared that competition in the mortgage market remains intense.</w:t>
      </w:r>
    </w:p>
    <w:p>
      <w:pPr>
        <w:pStyle w:val="BodyText"/>
        <w:spacing w:before="2"/>
        <w:rPr>
          <w:sz w:val="20"/>
        </w:rPr>
      </w:pPr>
    </w:p>
    <w:p>
      <w:pPr>
        <w:pStyle w:val="ListParagraph"/>
        <w:numPr>
          <w:ilvl w:val="0"/>
          <w:numId w:val="46"/>
        </w:numPr>
        <w:tabs>
          <w:tab w:pos="674" w:val="left" w:leader="none"/>
          <w:tab w:pos="675" w:val="left" w:leader="none"/>
        </w:tabs>
        <w:spacing w:line="232" w:lineRule="auto" w:before="0" w:after="0"/>
        <w:ind w:left="194" w:right="207" w:firstLine="0"/>
        <w:jc w:val="left"/>
        <w:rPr>
          <w:sz w:val="18"/>
        </w:rPr>
      </w:pPr>
      <w:r>
        <w:rPr>
          <w:color w:val="231F20"/>
          <w:sz w:val="18"/>
        </w:rPr>
        <w:t>There was little new survey evidence on inflation expectations during the month. The Merrill Lynch Survey of UK fund managers’ inflation expectations for the twelve months to end 1998 and end 1999 had both fallen by 10 bp, to 2.9% and 2.7% respectively, while the public’s inflation forecast for the next year as implied by the GFK survey had fallen by 20 bp to 3.4%. The Merrill’s survey was carried out before the publication of the </w:t>
      </w:r>
      <w:r>
        <w:rPr>
          <w:i/>
          <w:color w:val="231F20"/>
          <w:sz w:val="18"/>
        </w:rPr>
        <w:t>Inflation Report </w:t>
      </w:r>
      <w:r>
        <w:rPr>
          <w:color w:val="231F20"/>
          <w:sz w:val="18"/>
        </w:rPr>
        <w:t>and recent data, eg, February’s average earnings and April’s retail sales. The survey period for the GFK survey </w:t>
      </w:r>
      <w:r>
        <w:rPr>
          <w:color w:val="231F20"/>
          <w:spacing w:val="-6"/>
          <w:sz w:val="18"/>
        </w:rPr>
        <w:t>was </w:t>
      </w:r>
      <w:r>
        <w:rPr>
          <w:color w:val="231F20"/>
          <w:sz w:val="18"/>
        </w:rPr>
        <w:t>1–14 May.</w:t>
      </w:r>
    </w:p>
    <w:p>
      <w:pPr>
        <w:pStyle w:val="BodyText"/>
        <w:spacing w:before="5"/>
      </w:pPr>
    </w:p>
    <w:p>
      <w:pPr>
        <w:pStyle w:val="ListParagraph"/>
        <w:numPr>
          <w:ilvl w:val="0"/>
          <w:numId w:val="46"/>
        </w:numPr>
        <w:tabs>
          <w:tab w:pos="674" w:val="left" w:leader="none"/>
          <w:tab w:pos="675" w:val="left" w:leader="none"/>
        </w:tabs>
        <w:spacing w:line="232" w:lineRule="auto" w:before="1" w:after="0"/>
        <w:ind w:left="194" w:right="242" w:firstLine="0"/>
        <w:jc w:val="left"/>
        <w:rPr>
          <w:sz w:val="18"/>
        </w:rPr>
      </w:pPr>
      <w:r>
        <w:rPr>
          <w:color w:val="231F20"/>
          <w:sz w:val="18"/>
        </w:rPr>
        <w:t>In the money markets, expected three-month interbank </w:t>
      </w:r>
      <w:r>
        <w:rPr>
          <w:color w:val="231F20"/>
          <w:spacing w:val="-4"/>
          <w:sz w:val="18"/>
        </w:rPr>
        <w:t>rates </w:t>
      </w:r>
      <w:r>
        <w:rPr>
          <w:color w:val="231F20"/>
          <w:sz w:val="18"/>
        </w:rPr>
        <w:t>implied by sterling futures contracts rose slightly—by around</w:t>
      </w:r>
    </w:p>
    <w:p>
      <w:pPr>
        <w:pStyle w:val="BodyText"/>
        <w:spacing w:line="232" w:lineRule="auto"/>
        <w:ind w:left="194" w:right="199"/>
      </w:pPr>
      <w:r>
        <w:rPr>
          <w:color w:val="231F20"/>
        </w:rPr>
        <w:t>7 bp—to June 2000, and were broadly unchanged at longer maturities. 15-year forward rates derived from nominal bonds had fallen by 19 bp over the month; this was more than accounted for by a 27 bp fall in the real forward rates derived from index-linked bonds.</w:t>
      </w:r>
    </w:p>
    <w:p>
      <w:pPr>
        <w:pStyle w:val="BodyText"/>
        <w:spacing w:before="7"/>
      </w:pPr>
    </w:p>
    <w:p>
      <w:pPr>
        <w:pStyle w:val="ListParagraph"/>
        <w:numPr>
          <w:ilvl w:val="0"/>
          <w:numId w:val="48"/>
        </w:numPr>
        <w:tabs>
          <w:tab w:pos="674" w:val="left" w:leader="none"/>
          <w:tab w:pos="675" w:val="left" w:leader="none"/>
        </w:tabs>
        <w:spacing w:line="232" w:lineRule="auto" w:before="0" w:after="0"/>
        <w:ind w:left="194" w:right="192" w:firstLine="0"/>
        <w:jc w:val="left"/>
        <w:rPr>
          <w:sz w:val="18"/>
        </w:rPr>
      </w:pPr>
      <w:r>
        <w:rPr>
          <w:color w:val="231F20"/>
          <w:sz w:val="18"/>
        </w:rPr>
        <w:t>The effective exchange rate had depreciated during the month, by 0.8% since the MPC’s 6–7 May meeting and by 2.4% compared with the starting point used in the </w:t>
      </w:r>
      <w:r>
        <w:rPr>
          <w:i/>
          <w:color w:val="231F20"/>
          <w:sz w:val="18"/>
        </w:rPr>
        <w:t>Inflation Report </w:t>
      </w:r>
      <w:r>
        <w:rPr>
          <w:color w:val="231F20"/>
          <w:sz w:val="18"/>
        </w:rPr>
        <w:t>projection. Thus the current value of sterling was already significantly below the central projection embodied in the </w:t>
      </w:r>
      <w:r>
        <w:rPr>
          <w:i/>
          <w:color w:val="231F20"/>
          <w:sz w:val="18"/>
        </w:rPr>
        <w:t>Report. </w:t>
      </w:r>
      <w:r>
        <w:rPr>
          <w:color w:val="231F20"/>
          <w:sz w:val="18"/>
        </w:rPr>
        <w:t>A faster depreciation was identified as a specific risk in the </w:t>
      </w:r>
      <w:r>
        <w:rPr>
          <w:i/>
          <w:color w:val="231F20"/>
          <w:sz w:val="18"/>
        </w:rPr>
        <w:t>Report</w:t>
      </w:r>
      <w:r>
        <w:rPr>
          <w:color w:val="231F20"/>
          <w:sz w:val="18"/>
        </w:rPr>
        <w:t>, and the current rate implied by interest rate differentials for </w:t>
      </w:r>
      <w:r>
        <w:rPr>
          <w:color w:val="231F20"/>
          <w:spacing w:val="-3"/>
          <w:sz w:val="18"/>
        </w:rPr>
        <w:t>sterling </w:t>
      </w:r>
      <w:r>
        <w:rPr>
          <w:color w:val="231F20"/>
          <w:sz w:val="18"/>
        </w:rPr>
        <w:t>in June 2000 lay between the central and mean projections for sterling.</w:t>
      </w:r>
    </w:p>
    <w:p>
      <w:pPr>
        <w:spacing w:after="0" w:line="232" w:lineRule="auto"/>
        <w:jc w:val="left"/>
        <w:rPr>
          <w:sz w:val="18"/>
        </w:rPr>
        <w:sectPr>
          <w:type w:val="continuous"/>
          <w:pgSz w:w="11900" w:h="16840"/>
          <w:pgMar w:top="1220" w:bottom="280" w:left="620" w:right="640"/>
          <w:cols w:num="2" w:equalWidth="0">
            <w:col w:w="5139" w:space="254"/>
            <w:col w:w="5247"/>
          </w:cols>
        </w:sectPr>
      </w:pPr>
    </w:p>
    <w:p>
      <w:pPr>
        <w:pStyle w:val="BodyText"/>
        <w:rPr>
          <w:sz w:val="20"/>
        </w:rPr>
      </w:pPr>
    </w:p>
    <w:p>
      <w:pPr>
        <w:spacing w:after="0"/>
        <w:rPr>
          <w:sz w:val="20"/>
        </w:rPr>
        <w:sectPr>
          <w:pgSz w:w="11900" w:h="16840"/>
          <w:pgMar w:header="566" w:footer="597" w:top="760" w:bottom="780" w:left="620" w:right="640"/>
        </w:sectPr>
      </w:pPr>
    </w:p>
    <w:p>
      <w:pPr>
        <w:pStyle w:val="BodyText"/>
        <w:spacing w:before="4"/>
        <w:rPr>
          <w:sz w:val="21"/>
        </w:rPr>
      </w:pPr>
    </w:p>
    <w:p>
      <w:pPr>
        <w:pStyle w:val="ListParagraph"/>
        <w:numPr>
          <w:ilvl w:val="0"/>
          <w:numId w:val="48"/>
        </w:numPr>
        <w:tabs>
          <w:tab w:pos="665" w:val="left" w:leader="none"/>
          <w:tab w:pos="666" w:val="left" w:leader="none"/>
        </w:tabs>
        <w:spacing w:line="232" w:lineRule="auto" w:before="1" w:after="0"/>
        <w:ind w:left="185" w:right="58" w:firstLine="0"/>
        <w:jc w:val="left"/>
        <w:rPr>
          <w:sz w:val="18"/>
        </w:rPr>
      </w:pPr>
      <w:r>
        <w:rPr>
          <w:color w:val="231F20"/>
          <w:sz w:val="18"/>
        </w:rPr>
        <w:t>Sterling’s effective exchange rate had reached a closing </w:t>
      </w:r>
      <w:r>
        <w:rPr>
          <w:color w:val="231F20"/>
          <w:spacing w:val="-5"/>
          <w:sz w:val="18"/>
        </w:rPr>
        <w:t>peak </w:t>
      </w:r>
      <w:r>
        <w:rPr>
          <w:color w:val="231F20"/>
          <w:sz w:val="18"/>
        </w:rPr>
        <w:t>on 1 April. During April, movements in yield curves in the United Kingdom and the rest of the G7 were consistent with a depreciation, suggesting that news about monetary policy prospects had initially contributed to sterling’s fall. But since the start of May, UK interest rates had risen slightly compared with the rest of the G7. An alternative explanation could be that the required ‘excess return’ on sterling compared with overseas assets had changed. This excess return can be defined as the difference between the expected depreciation of sterling over a given period and interest rate differentials. By using Consensus survey data of forecasts of sterling’s future value, Bank staff had inferred the expected change in sterling (between end 1998 and end 2002) at specific dates over the past two years on the assumption that the surveys reported the expectations of price-setters in the bond market. The surveys suggest that sterling was expected to depreciate by around 2% over that period in June 1996, but by April 1998 the expected depreciation had increased to just over 10%. Conversely, expected interest rate differentials with the M6 for 1998–2002 had not varied much: expected UK rates remained cumulatively about 6–8 pp higher than overseas in the four-year window. This suggested that the required excess return on sterling in June 1996 was positive, at around 4%, but was negative, at around -5%, in April 1998. The change in required excess return was most obvious for sterling against continental European currencies, rather than the US dollar. Possible explanations included growing uncertainty about the monetary prospects for the EMU area, and a portfolio shift out of prospective ‘EMU currencies’ into sterling in order to diversify portfolios.</w:t>
      </w:r>
    </w:p>
    <w:p>
      <w:pPr>
        <w:pStyle w:val="ListParagraph"/>
        <w:numPr>
          <w:ilvl w:val="0"/>
          <w:numId w:val="48"/>
        </w:numPr>
        <w:tabs>
          <w:tab w:pos="665" w:val="left" w:leader="none"/>
          <w:tab w:pos="666" w:val="left" w:leader="none"/>
        </w:tabs>
        <w:spacing w:line="232" w:lineRule="auto" w:before="177" w:after="0"/>
        <w:ind w:left="185" w:right="72" w:firstLine="0"/>
        <w:jc w:val="left"/>
        <w:rPr>
          <w:sz w:val="18"/>
        </w:rPr>
      </w:pPr>
      <w:r>
        <w:rPr>
          <w:color w:val="231F20"/>
          <w:sz w:val="18"/>
        </w:rPr>
        <w:t>Turning to the more recent fall in sterling’s effective rate, shorter-term surveys suggest that the (negative) required excess returns on sterling over the next two years had decreased by </w:t>
      </w:r>
      <w:r>
        <w:rPr>
          <w:color w:val="231F20"/>
          <w:spacing w:val="-3"/>
          <w:sz w:val="18"/>
        </w:rPr>
        <w:t>around </w:t>
      </w:r>
      <w:r>
        <w:rPr>
          <w:color w:val="231F20"/>
          <w:sz w:val="18"/>
        </w:rPr>
        <w:t>3 pp between mid April and mid May. A possible explanation was that the ‘Euro-weekend’ on 2–3 May had reduced uncertainties about the prospects for ECB policy.</w:t>
      </w:r>
    </w:p>
    <w:p>
      <w:pPr>
        <w:pStyle w:val="BodyText"/>
        <w:rPr>
          <w:sz w:val="17"/>
        </w:rPr>
      </w:pPr>
    </w:p>
    <w:p>
      <w:pPr>
        <w:pStyle w:val="ListParagraph"/>
        <w:numPr>
          <w:ilvl w:val="0"/>
          <w:numId w:val="48"/>
        </w:numPr>
        <w:tabs>
          <w:tab w:pos="665" w:val="left" w:leader="none"/>
          <w:tab w:pos="666" w:val="left" w:leader="none"/>
        </w:tabs>
        <w:spacing w:line="232" w:lineRule="auto" w:before="0" w:after="0"/>
        <w:ind w:left="185" w:right="187" w:firstLine="0"/>
        <w:jc w:val="left"/>
        <w:rPr>
          <w:sz w:val="18"/>
        </w:rPr>
      </w:pPr>
      <w:r>
        <w:rPr>
          <w:color w:val="231F20"/>
          <w:sz w:val="18"/>
        </w:rPr>
        <w:t>Despite the uncertainties about its causes, sterling’s recent fall was likely to put potential upward pressure on the inflation projection—directly via higher import prices, and indirectly by relieving some of the pressure on net trade from sterling’s cumulative appreciation, which was now 24% since August </w:t>
      </w:r>
      <w:r>
        <w:rPr>
          <w:color w:val="231F20"/>
          <w:spacing w:val="-4"/>
          <w:sz w:val="18"/>
        </w:rPr>
        <w:t>1996, </w:t>
      </w:r>
      <w:r>
        <w:rPr>
          <w:color w:val="231F20"/>
          <w:sz w:val="18"/>
        </w:rPr>
        <w:t>rather than nearly 30% as at April 1.</w:t>
      </w:r>
    </w:p>
    <w:p>
      <w:pPr>
        <w:pStyle w:val="BodyText"/>
        <w:spacing w:before="3"/>
        <w:rPr>
          <w:sz w:val="20"/>
        </w:rPr>
      </w:pPr>
    </w:p>
    <w:p>
      <w:pPr>
        <w:pStyle w:val="Heading6"/>
        <w:numPr>
          <w:ilvl w:val="0"/>
          <w:numId w:val="47"/>
        </w:numPr>
        <w:tabs>
          <w:tab w:pos="665" w:val="left" w:leader="none"/>
          <w:tab w:pos="666" w:val="left" w:leader="none"/>
        </w:tabs>
        <w:spacing w:line="240" w:lineRule="auto" w:before="0" w:after="0"/>
        <w:ind w:left="665" w:right="0" w:hanging="481"/>
        <w:jc w:val="left"/>
      </w:pPr>
      <w:r>
        <w:rPr>
          <w:color w:val="009483"/>
        </w:rPr>
        <w:t>Demand and output</w:t>
      </w:r>
    </w:p>
    <w:p>
      <w:pPr>
        <w:pStyle w:val="ListParagraph"/>
        <w:numPr>
          <w:ilvl w:val="0"/>
          <w:numId w:val="48"/>
        </w:numPr>
        <w:tabs>
          <w:tab w:pos="665" w:val="left" w:leader="none"/>
          <w:tab w:pos="666" w:val="left" w:leader="none"/>
        </w:tabs>
        <w:spacing w:line="203" w:lineRule="exact" w:before="104" w:after="0"/>
        <w:ind w:left="665" w:right="0" w:hanging="481"/>
        <w:jc w:val="left"/>
        <w:rPr>
          <w:sz w:val="18"/>
        </w:rPr>
      </w:pPr>
      <w:r>
        <w:rPr>
          <w:color w:val="231F20"/>
          <w:sz w:val="18"/>
        </w:rPr>
        <w:t>GDP growth in 1998 Q1 had been revised up by</w:t>
      </w:r>
    </w:p>
    <w:p>
      <w:pPr>
        <w:pStyle w:val="BodyText"/>
        <w:spacing w:line="232" w:lineRule="auto" w:before="2"/>
        <w:ind w:left="185" w:right="92"/>
      </w:pPr>
      <w:r>
        <w:rPr>
          <w:color w:val="231F20"/>
        </w:rPr>
        <w:t>0.1 percentage points to 0.5% on the previous quarter, in line with the May </w:t>
      </w:r>
      <w:r>
        <w:rPr>
          <w:i/>
          <w:color w:val="231F20"/>
        </w:rPr>
        <w:t>Inflation Report </w:t>
      </w:r>
      <w:r>
        <w:rPr>
          <w:color w:val="231F20"/>
        </w:rPr>
        <w:t>forecast. The upward revision had partly been due to higher than previously recorded energy output. The contributions to growth from final domestic demand (domestic demand excluding stockbuilding) and net trade were consistent with the May </w:t>
      </w:r>
      <w:r>
        <w:rPr>
          <w:i/>
          <w:color w:val="231F20"/>
        </w:rPr>
        <w:t>Inflation Report </w:t>
      </w:r>
      <w:r>
        <w:rPr>
          <w:color w:val="231F20"/>
        </w:rPr>
        <w:t>forecast. However, domestic demand growth, at 1.5% on the previous quarter, had been considerably stronger than expected, due primarily to a £1.4 </w:t>
      </w:r>
      <w:r>
        <w:rPr>
          <w:color w:val="231F20"/>
          <w:spacing w:val="-3"/>
        </w:rPr>
        <w:t>billion </w:t>
      </w:r>
      <w:r>
        <w:rPr>
          <w:color w:val="231F20"/>
        </w:rPr>
        <w:t>rise in stockbuilding. Although the rise in stockbuilding had been widespread, it had included a rise of £450 million in the stock of silver. The factor cost adjustment, which extracts taxes (less subsidies) from GDP at market prices in order to bring the expenditure measure of GDP into line with the income and output measures of GDP, had also been considerably larger than might have been expected given the rest of the expenditure data. The 4.3% rise in the factor cost adjustment between the last quarter of 1997 and the first quarter of 1998 had led to a marked divergence in the recorded rate of growth between GDP at market prices (1.0%) and GDP at factor cost (0.5%). That had reversed the pattern in 1997 Q4, when GDP at market prices had risen by only 0.3%, while GDP at factor cost had risen by 0.6%.</w:t>
      </w:r>
    </w:p>
    <w:p>
      <w:pPr>
        <w:pStyle w:val="BodyText"/>
        <w:rPr>
          <w:sz w:val="16"/>
        </w:rPr>
      </w:pPr>
    </w:p>
    <w:p>
      <w:pPr>
        <w:pStyle w:val="ListParagraph"/>
        <w:numPr>
          <w:ilvl w:val="0"/>
          <w:numId w:val="48"/>
        </w:numPr>
        <w:tabs>
          <w:tab w:pos="665" w:val="left" w:leader="none"/>
          <w:tab w:pos="666" w:val="left" w:leader="none"/>
        </w:tabs>
        <w:spacing w:line="232" w:lineRule="auto" w:before="0" w:after="0"/>
        <w:ind w:left="185" w:right="38" w:firstLine="0"/>
        <w:jc w:val="left"/>
        <w:rPr>
          <w:sz w:val="18"/>
        </w:rPr>
      </w:pPr>
      <w:r>
        <w:rPr>
          <w:color w:val="231F20"/>
          <w:sz w:val="18"/>
        </w:rPr>
        <w:t>Real consumer expenditure had risen by 1.0% in 1998 Q1 from the previous quarter. Increased spending on durables, and in particular on vehicles, had driven the rise. However, the increase </w:t>
      </w:r>
      <w:r>
        <w:rPr>
          <w:color w:val="231F20"/>
          <w:spacing w:val="-9"/>
          <w:sz w:val="18"/>
        </w:rPr>
        <w:t>in</w:t>
      </w:r>
    </w:p>
    <w:p>
      <w:pPr>
        <w:pStyle w:val="BodyText"/>
        <w:spacing w:before="4"/>
        <w:rPr>
          <w:sz w:val="21"/>
        </w:rPr>
      </w:pPr>
      <w:r>
        <w:rPr/>
        <w:br w:type="column"/>
      </w:r>
      <w:r>
        <w:rPr>
          <w:sz w:val="21"/>
        </w:rPr>
      </w:r>
    </w:p>
    <w:p>
      <w:pPr>
        <w:pStyle w:val="BodyText"/>
        <w:spacing w:line="232" w:lineRule="auto" w:before="1"/>
        <w:ind w:left="185" w:right="221"/>
      </w:pPr>
      <w:r>
        <w:rPr>
          <w:color w:val="231F20"/>
        </w:rPr>
        <w:t>spending had been more than matched by a 1.7% rise in income from employment (60% of income before tax). The consumption:labour income ratio had been rising since 1990, and had reached a historical high by the end of 1997. By contrast, the consumption:real personal disposable income ratio was below its historical average and had fallen back since the early 1990s. That implied that the rise in consumer spending in the present recovery has been supported by increases in financial wealth and investment income.</w:t>
      </w:r>
    </w:p>
    <w:p>
      <w:pPr>
        <w:pStyle w:val="BodyText"/>
        <w:spacing w:before="8"/>
        <w:rPr>
          <w:sz w:val="16"/>
        </w:rPr>
      </w:pPr>
    </w:p>
    <w:p>
      <w:pPr>
        <w:pStyle w:val="ListParagraph"/>
        <w:numPr>
          <w:ilvl w:val="0"/>
          <w:numId w:val="48"/>
        </w:numPr>
        <w:tabs>
          <w:tab w:pos="665" w:val="left" w:leader="none"/>
          <w:tab w:pos="666" w:val="left" w:leader="none"/>
        </w:tabs>
        <w:spacing w:line="232" w:lineRule="auto" w:before="1" w:after="0"/>
        <w:ind w:left="185" w:right="203" w:firstLine="0"/>
        <w:jc w:val="left"/>
        <w:rPr>
          <w:sz w:val="18"/>
        </w:rPr>
      </w:pPr>
      <w:r>
        <w:rPr>
          <w:color w:val="231F20"/>
          <w:sz w:val="18"/>
        </w:rPr>
        <w:t>More recent data on retail sales volumes had shown a rise of only 0.1% in April, reducing the three-month growth rate to 0.2%—the lowest rate of growth since November 1995. Moreover, the annual rate of increase in sales volumes had also fallen back in the three months to April, and was expected to continue to do so as the windfall-boosted increases of last year dropped out of the calculation. Nonetheless, the GFK consumer confidence indicator had risen in May for the second successive month, to 6.7%. The balance of respondents saying that it was a good time to make a major purchase had also remained high, at 18%, compared an average balance of 8.5% for the recovery as a whole. It was possible that the optimism regarding major purchases had been related to the recent appreciation of sterling, which had made some imported durable goods cheaper. Private car registrations had been around 20% higher in the first quarter than a year earlier, and import penetration of the UK car market was at a record high.</w:t>
      </w:r>
    </w:p>
    <w:p>
      <w:pPr>
        <w:pStyle w:val="BodyText"/>
        <w:spacing w:before="3"/>
        <w:rPr>
          <w:sz w:val="16"/>
        </w:rPr>
      </w:pPr>
    </w:p>
    <w:p>
      <w:pPr>
        <w:pStyle w:val="ListParagraph"/>
        <w:numPr>
          <w:ilvl w:val="0"/>
          <w:numId w:val="48"/>
        </w:numPr>
        <w:tabs>
          <w:tab w:pos="665" w:val="left" w:leader="none"/>
          <w:tab w:pos="666" w:val="left" w:leader="none"/>
        </w:tabs>
        <w:spacing w:line="232" w:lineRule="auto" w:before="0" w:after="0"/>
        <w:ind w:left="185" w:right="180" w:firstLine="0"/>
        <w:jc w:val="left"/>
        <w:rPr>
          <w:sz w:val="18"/>
        </w:rPr>
      </w:pPr>
      <w:r>
        <w:rPr>
          <w:color w:val="231F20"/>
          <w:sz w:val="18"/>
        </w:rPr>
        <w:t>The gap between the Nationwide and Halifax measures of annual rates of house price inflation had begun to widen again. </w:t>
      </w:r>
      <w:r>
        <w:rPr>
          <w:color w:val="231F20"/>
          <w:spacing w:val="-7"/>
          <w:sz w:val="18"/>
        </w:rPr>
        <w:t>The </w:t>
      </w:r>
      <w:r>
        <w:rPr>
          <w:color w:val="231F20"/>
          <w:sz w:val="18"/>
        </w:rPr>
        <w:t>Nationwide index rose by 1.2% in May compared with April, though the annual rate of inflation moderated slightly to 11.9%. The Halifax measure of annual inflation had risen to 5.6% in April, but fell back to 5.0% in May, following a monthly rise of only 0.3% in May compared with April. The number of particulars delivered had been falling since mid 1997 and had weakened further in April. But net lending secured on dwellings had risen by</w:t>
      </w:r>
    </w:p>
    <w:p>
      <w:pPr>
        <w:pStyle w:val="BodyText"/>
        <w:spacing w:line="232" w:lineRule="auto"/>
        <w:ind w:left="185" w:right="415"/>
      </w:pPr>
      <w:r>
        <w:rPr>
          <w:color w:val="231F20"/>
        </w:rPr>
        <w:t>£0.5 billion in April to £2.3 billion, suggesting that the rise in approvals in the previous two months had begun to feed through into higher activity.</w:t>
      </w:r>
    </w:p>
    <w:p>
      <w:pPr>
        <w:pStyle w:val="BodyText"/>
        <w:spacing w:before="7"/>
        <w:rPr>
          <w:sz w:val="16"/>
        </w:rPr>
      </w:pPr>
    </w:p>
    <w:p>
      <w:pPr>
        <w:pStyle w:val="ListParagraph"/>
        <w:numPr>
          <w:ilvl w:val="0"/>
          <w:numId w:val="48"/>
        </w:numPr>
        <w:tabs>
          <w:tab w:pos="665" w:val="left" w:leader="none"/>
          <w:tab w:pos="666" w:val="left" w:leader="none"/>
        </w:tabs>
        <w:spacing w:line="232" w:lineRule="auto" w:before="0" w:after="0"/>
        <w:ind w:left="185" w:right="274" w:firstLine="0"/>
        <w:jc w:val="left"/>
        <w:rPr>
          <w:sz w:val="18"/>
        </w:rPr>
      </w:pPr>
      <w:r>
        <w:rPr>
          <w:color w:val="231F20"/>
          <w:sz w:val="18"/>
        </w:rPr>
        <w:t>The PSBR had continued to undershoot expectations in the first month of FY 1998/99. The net repayment of £3.4 billion in April was significantly larger than most commentators had expected. The undershoot had been due to a combination of </w:t>
      </w:r>
      <w:r>
        <w:rPr>
          <w:color w:val="231F20"/>
          <w:spacing w:val="-4"/>
          <w:sz w:val="18"/>
        </w:rPr>
        <w:t>lower </w:t>
      </w:r>
      <w:r>
        <w:rPr>
          <w:color w:val="231F20"/>
          <w:sz w:val="18"/>
        </w:rPr>
        <w:t>spending, particularly by public corporations, and higher tax receipts. It now seemed likely that the introduction of</w:t>
      </w:r>
    </w:p>
    <w:p>
      <w:pPr>
        <w:pStyle w:val="BodyText"/>
        <w:spacing w:line="197" w:lineRule="exact"/>
        <w:ind w:left="185"/>
      </w:pPr>
      <w:r>
        <w:rPr>
          <w:color w:val="231F20"/>
        </w:rPr>
        <w:t>self-assessment had led to greater compliance.</w:t>
      </w:r>
    </w:p>
    <w:p>
      <w:pPr>
        <w:pStyle w:val="BodyText"/>
        <w:spacing w:before="2"/>
        <w:rPr>
          <w:sz w:val="17"/>
        </w:rPr>
      </w:pPr>
    </w:p>
    <w:p>
      <w:pPr>
        <w:pStyle w:val="ListParagraph"/>
        <w:numPr>
          <w:ilvl w:val="0"/>
          <w:numId w:val="48"/>
        </w:numPr>
        <w:tabs>
          <w:tab w:pos="665" w:val="left" w:leader="none"/>
          <w:tab w:pos="666" w:val="left" w:leader="none"/>
        </w:tabs>
        <w:spacing w:line="232" w:lineRule="auto" w:before="1" w:after="0"/>
        <w:ind w:left="185" w:right="178" w:firstLine="0"/>
        <w:jc w:val="left"/>
        <w:rPr>
          <w:sz w:val="18"/>
        </w:rPr>
      </w:pPr>
      <w:r>
        <w:rPr>
          <w:color w:val="231F20"/>
          <w:sz w:val="18"/>
        </w:rPr>
        <w:t>Total investment had risen by 1.3% on the previous quarter. Business investment had risen by 1.5%, implying a small negative contribution from public sector investment. The rise in business investment had been due to a 13% rise in investment by utilities and oil companies, which had more than offset a 0.5% fall in investment by private service sector firms. Manufacturing investment rose slightly on the quarter. By asset, investment in vehicles, ships and (in particular) aircraft had accounted for around one third of the rise in total investment, in line with the </w:t>
      </w:r>
      <w:r>
        <w:rPr>
          <w:color w:val="231F20"/>
          <w:spacing w:val="-2"/>
          <w:sz w:val="18"/>
        </w:rPr>
        <w:t>contribution </w:t>
      </w:r>
      <w:r>
        <w:rPr>
          <w:color w:val="231F20"/>
          <w:sz w:val="18"/>
        </w:rPr>
        <w:t>such investment had made during 1997 as a whole. Dwellings investment and investment in plant and machinery had also risen </w:t>
      </w:r>
      <w:r>
        <w:rPr>
          <w:color w:val="231F20"/>
          <w:spacing w:val="-6"/>
          <w:sz w:val="18"/>
        </w:rPr>
        <w:t>on </w:t>
      </w:r>
      <w:r>
        <w:rPr>
          <w:color w:val="231F20"/>
          <w:sz w:val="18"/>
        </w:rPr>
        <w:t>the quarter.</w:t>
      </w:r>
    </w:p>
    <w:p>
      <w:pPr>
        <w:pStyle w:val="BodyText"/>
        <w:spacing w:before="6"/>
        <w:rPr>
          <w:sz w:val="16"/>
        </w:rPr>
      </w:pPr>
    </w:p>
    <w:p>
      <w:pPr>
        <w:pStyle w:val="ListParagraph"/>
        <w:numPr>
          <w:ilvl w:val="0"/>
          <w:numId w:val="48"/>
        </w:numPr>
        <w:tabs>
          <w:tab w:pos="665" w:val="left" w:leader="none"/>
          <w:tab w:pos="666" w:val="left" w:leader="none"/>
        </w:tabs>
        <w:spacing w:line="232" w:lineRule="auto" w:before="0" w:after="0"/>
        <w:ind w:left="185" w:right="218" w:firstLine="0"/>
        <w:jc w:val="left"/>
        <w:rPr>
          <w:sz w:val="18"/>
        </w:rPr>
      </w:pPr>
      <w:r>
        <w:rPr>
          <w:color w:val="231F20"/>
          <w:sz w:val="18"/>
        </w:rPr>
        <w:t>Industrial and commercial companies (ICCs) had run a financial deficit in 1997, the first since 1992. That implied that further growth in investment would rely more heavily on external finance. However, the prospects for further investment growth </w:t>
      </w:r>
      <w:r>
        <w:rPr>
          <w:color w:val="231F20"/>
          <w:spacing w:val="-4"/>
          <w:sz w:val="18"/>
        </w:rPr>
        <w:t>still </w:t>
      </w:r>
      <w:r>
        <w:rPr>
          <w:color w:val="231F20"/>
          <w:sz w:val="18"/>
        </w:rPr>
        <w:t>looked positive. ICCs’ capital gearing had been falling, and equity market valuations implied that future profit streams were expected to outstrip significantly the level of current debt commitments. And though income gearing had risen in 1997 Q4, at least half of that rise had been due to the introduction of the windfall levy. Survey evidence from the BCC indicated that service sector plant and machinery investment plans had remained positive, and that</w:t>
      </w:r>
    </w:p>
    <w:p>
      <w:pPr>
        <w:spacing w:after="0" w:line="232" w:lineRule="auto"/>
        <w:jc w:val="left"/>
        <w:rPr>
          <w:sz w:val="18"/>
        </w:rPr>
        <w:sectPr>
          <w:type w:val="continuous"/>
          <w:pgSz w:w="11900" w:h="16840"/>
          <w:pgMar w:top="1220" w:bottom="280" w:left="620" w:right="640"/>
          <w:cols w:num="2" w:equalWidth="0">
            <w:col w:w="5124" w:space="256"/>
            <w:col w:w="5260"/>
          </w:cols>
        </w:sectPr>
      </w:pPr>
    </w:p>
    <w:p>
      <w:pPr>
        <w:pStyle w:val="BodyText"/>
        <w:rPr>
          <w:sz w:val="20"/>
        </w:rPr>
      </w:pPr>
    </w:p>
    <w:p>
      <w:pPr>
        <w:spacing w:after="0"/>
        <w:rPr>
          <w:sz w:val="20"/>
        </w:rPr>
        <w:sectPr>
          <w:pgSz w:w="11900" w:h="16840"/>
          <w:pgMar w:header="566" w:footer="597" w:top="760" w:bottom="780" w:left="620" w:right="640"/>
        </w:sectPr>
      </w:pPr>
    </w:p>
    <w:p>
      <w:pPr>
        <w:pStyle w:val="BodyText"/>
        <w:spacing w:before="7"/>
        <w:rPr>
          <w:sz w:val="19"/>
        </w:rPr>
      </w:pPr>
    </w:p>
    <w:p>
      <w:pPr>
        <w:pStyle w:val="BodyText"/>
        <w:spacing w:line="232" w:lineRule="auto" w:before="1"/>
        <w:ind w:left="180" w:right="150"/>
      </w:pPr>
      <w:r>
        <w:rPr>
          <w:color w:val="231F20"/>
        </w:rPr>
        <w:t>this was expected to more than offset any weakness in manufacturing investment plans. Continued growth in new construction orders suggested that construction-related investment should also continue to rise.</w:t>
      </w:r>
    </w:p>
    <w:p>
      <w:pPr>
        <w:pStyle w:val="BodyText"/>
        <w:spacing w:before="1"/>
        <w:rPr>
          <w:sz w:val="17"/>
        </w:rPr>
      </w:pPr>
    </w:p>
    <w:p>
      <w:pPr>
        <w:pStyle w:val="ListParagraph"/>
        <w:numPr>
          <w:ilvl w:val="0"/>
          <w:numId w:val="48"/>
        </w:numPr>
        <w:tabs>
          <w:tab w:pos="659" w:val="left" w:leader="none"/>
          <w:tab w:pos="661" w:val="left" w:leader="none"/>
        </w:tabs>
        <w:spacing w:line="232" w:lineRule="auto" w:before="0" w:after="0"/>
        <w:ind w:left="180" w:right="48" w:firstLine="0"/>
        <w:jc w:val="left"/>
        <w:rPr>
          <w:sz w:val="18"/>
        </w:rPr>
      </w:pPr>
      <w:r>
        <w:rPr>
          <w:color w:val="231F20"/>
          <w:sz w:val="18"/>
        </w:rPr>
        <w:t>The real net trade balance in goods and services had deteriorated further in 1998 Q1. The deficit was the largest since 1990 Q3.  The deterioration had been less excluding oil and erratics, but net trade excluding these items had made a third consecutive negative contribution to GDP growth. In value terms, the total deficit in trade in goods had narrowed in March, primarily because of a narrowing in the deficit with non-EU countries, which had continued into April. Excluding oil and erratics, there had </w:t>
      </w:r>
      <w:r>
        <w:rPr>
          <w:color w:val="231F20"/>
          <w:spacing w:val="-5"/>
          <w:sz w:val="18"/>
        </w:rPr>
        <w:t>been </w:t>
      </w:r>
      <w:r>
        <w:rPr>
          <w:color w:val="231F20"/>
          <w:sz w:val="18"/>
        </w:rPr>
        <w:t>little change in the goods trade deficit, but it seemed probable that the trend had remained downwards. The deficit in goods trade with other EU countries had remained surprisingly flat.  There had been a similar pattern in the French trade data. The French trade surplus with the rest of the European Union had risen sharply since the beginning of 1997, and despite a 10% real depreciation of the French franc against the dollar, the balance with the rest of the world had slipped into deficit. Underlying UK import volume growth had remained surprisingly weak during the first quarter, though to some extent that had been because of a 6% fall in imports of cars. Imports of finished consumer goods rose by 3% on the previous quarter.</w:t>
      </w:r>
    </w:p>
    <w:p>
      <w:pPr>
        <w:pStyle w:val="BodyText"/>
        <w:rPr>
          <w:sz w:val="16"/>
        </w:rPr>
      </w:pPr>
    </w:p>
    <w:p>
      <w:pPr>
        <w:pStyle w:val="ListParagraph"/>
        <w:numPr>
          <w:ilvl w:val="0"/>
          <w:numId w:val="48"/>
        </w:numPr>
        <w:tabs>
          <w:tab w:pos="659" w:val="left" w:leader="none"/>
          <w:tab w:pos="661" w:val="left" w:leader="none"/>
        </w:tabs>
        <w:spacing w:line="232" w:lineRule="auto" w:before="1" w:after="0"/>
        <w:ind w:left="180" w:right="38" w:firstLine="0"/>
        <w:jc w:val="left"/>
        <w:rPr>
          <w:sz w:val="18"/>
        </w:rPr>
      </w:pPr>
      <w:r>
        <w:rPr>
          <w:color w:val="231F20"/>
          <w:sz w:val="18"/>
        </w:rPr>
        <w:t>On the output side, 1998 Q1 service sector growth had been revised down by 0.1 percentage point the previous quarter to 0.7%, though the published index numbers had remained unchanged. Growth in the distribution, hotels and catering sector had been revised down by 0.3 percentage points to 0.6%. Manufacturing output had contracted slightly during the quarter, as implied by the preliminary GDP estimate. Overall industrial production output </w:t>
      </w:r>
      <w:r>
        <w:rPr>
          <w:color w:val="231F20"/>
          <w:spacing w:val="-5"/>
          <w:sz w:val="18"/>
        </w:rPr>
        <w:t>fell </w:t>
      </w:r>
      <w:r>
        <w:rPr>
          <w:color w:val="231F20"/>
          <w:sz w:val="18"/>
        </w:rPr>
        <w:t>by 0.3%, though it remained slightly higher than a year earlier. Construction sector growth, at 1.1% over the quarter, was stronger than had been indicated in the preliminary GDP release.</w:t>
      </w:r>
    </w:p>
    <w:p>
      <w:pPr>
        <w:pStyle w:val="BodyText"/>
        <w:spacing w:before="8"/>
        <w:rPr>
          <w:sz w:val="16"/>
        </w:rPr>
      </w:pPr>
    </w:p>
    <w:p>
      <w:pPr>
        <w:pStyle w:val="ListParagraph"/>
        <w:numPr>
          <w:ilvl w:val="0"/>
          <w:numId w:val="48"/>
        </w:numPr>
        <w:tabs>
          <w:tab w:pos="659" w:val="left" w:leader="none"/>
          <w:tab w:pos="661" w:val="left" w:leader="none"/>
        </w:tabs>
        <w:spacing w:line="232" w:lineRule="auto" w:before="0" w:after="0"/>
        <w:ind w:left="180" w:right="83" w:firstLine="0"/>
        <w:jc w:val="left"/>
        <w:rPr>
          <w:sz w:val="18"/>
        </w:rPr>
      </w:pPr>
      <w:r>
        <w:rPr>
          <w:color w:val="231F20"/>
          <w:sz w:val="18"/>
        </w:rPr>
        <w:t>The weakness in the official manufacturing data, which showed the output of the manufacturing sector falling in two successive quarters, contrasted with the relatively more buoyant survey data. Although recent survey data had weakened, ONS </w:t>
      </w:r>
      <w:r>
        <w:rPr>
          <w:color w:val="231F20"/>
          <w:spacing w:val="-5"/>
          <w:sz w:val="18"/>
        </w:rPr>
        <w:t>data </w:t>
      </w:r>
      <w:r>
        <w:rPr>
          <w:color w:val="231F20"/>
          <w:sz w:val="18"/>
        </w:rPr>
        <w:t>had shown virtually no increase in the level of manufacturing output since 1995. Using a statistical technique to quantify CBI balances on the volume of output in the previous four months implied a significantly higher level of manufacturing output. That would fit past sectoral experience better. The official data showed a marked divergence in growth between the output of the manufacturing and service sectors during the current recovery, which was unusual in an historical context and had begun well before the appreciation of sterling.</w:t>
      </w:r>
    </w:p>
    <w:p>
      <w:pPr>
        <w:pStyle w:val="BodyText"/>
        <w:spacing w:before="6"/>
        <w:rPr>
          <w:sz w:val="16"/>
        </w:rPr>
      </w:pPr>
    </w:p>
    <w:p>
      <w:pPr>
        <w:pStyle w:val="ListParagraph"/>
        <w:numPr>
          <w:ilvl w:val="0"/>
          <w:numId w:val="48"/>
        </w:numPr>
        <w:tabs>
          <w:tab w:pos="659" w:val="left" w:leader="none"/>
          <w:tab w:pos="661" w:val="left" w:leader="none"/>
        </w:tabs>
        <w:spacing w:line="232" w:lineRule="auto" w:before="0" w:after="0"/>
        <w:ind w:left="180" w:right="77" w:firstLine="0"/>
        <w:jc w:val="left"/>
        <w:rPr>
          <w:sz w:val="18"/>
        </w:rPr>
      </w:pPr>
      <w:r>
        <w:rPr>
          <w:color w:val="231F20"/>
          <w:sz w:val="18"/>
        </w:rPr>
        <w:t>International comparisons had continued to show UK industrial production declining relative to the other major EU economies. Industrial production in the EU15 had risen by 4.6% </w:t>
      </w:r>
      <w:r>
        <w:rPr>
          <w:color w:val="231F20"/>
          <w:spacing w:val="-9"/>
          <w:sz w:val="18"/>
        </w:rPr>
        <w:t>in </w:t>
      </w:r>
      <w:r>
        <w:rPr>
          <w:color w:val="231F20"/>
          <w:sz w:val="18"/>
        </w:rPr>
        <w:t>the three months to January compared with the same period a year earlier. That contrasted with growth of only 0.3% in the United Kingdom in 1998 Q1 compared with a year earlier. However, the expected recovery in EU domestic demand had remained patchy, with Germany in particular showing only a gradual recovery to date. US first-quarter GDP had been revised up by 0.2 percentage points to 1.1% on the previous quarter. The upward revision had been due to higher than previously recorded stockbuilding, which had offset a more negative contribution from net trade.</w:t>
      </w:r>
    </w:p>
    <w:p>
      <w:pPr>
        <w:pStyle w:val="BodyText"/>
        <w:spacing w:before="10"/>
        <w:rPr>
          <w:sz w:val="19"/>
        </w:rPr>
      </w:pPr>
    </w:p>
    <w:p>
      <w:pPr>
        <w:pStyle w:val="Heading6"/>
        <w:numPr>
          <w:ilvl w:val="0"/>
          <w:numId w:val="47"/>
        </w:numPr>
        <w:tabs>
          <w:tab w:pos="660" w:val="left" w:leader="none"/>
          <w:tab w:pos="661" w:val="left" w:leader="none"/>
        </w:tabs>
        <w:spacing w:line="240" w:lineRule="auto" w:before="0" w:after="0"/>
        <w:ind w:left="660" w:right="0" w:hanging="481"/>
        <w:jc w:val="left"/>
      </w:pPr>
      <w:r>
        <w:rPr>
          <w:color w:val="009483"/>
        </w:rPr>
        <w:t>Labour</w:t>
      </w:r>
      <w:r>
        <w:rPr>
          <w:color w:val="009483"/>
          <w:spacing w:val="-1"/>
        </w:rPr>
        <w:t> </w:t>
      </w:r>
      <w:r>
        <w:rPr>
          <w:color w:val="009483"/>
        </w:rPr>
        <w:t>market</w:t>
      </w:r>
    </w:p>
    <w:p>
      <w:pPr>
        <w:pStyle w:val="ListParagraph"/>
        <w:numPr>
          <w:ilvl w:val="0"/>
          <w:numId w:val="48"/>
        </w:numPr>
        <w:tabs>
          <w:tab w:pos="659" w:val="left" w:leader="none"/>
          <w:tab w:pos="661" w:val="left" w:leader="none"/>
        </w:tabs>
        <w:spacing w:line="232" w:lineRule="auto" w:before="109" w:after="0"/>
        <w:ind w:left="180" w:right="72" w:firstLine="0"/>
        <w:jc w:val="left"/>
        <w:rPr>
          <w:sz w:val="18"/>
        </w:rPr>
      </w:pPr>
      <w:r>
        <w:rPr>
          <w:color w:val="231F20"/>
          <w:sz w:val="18"/>
        </w:rPr>
        <w:t>Indicators of labour demand suggested that the pace of growth had slowed in recent months. LFS employment was </w:t>
      </w:r>
      <w:r>
        <w:rPr>
          <w:color w:val="231F20"/>
          <w:spacing w:val="-3"/>
          <w:sz w:val="18"/>
        </w:rPr>
        <w:t>39,000 </w:t>
      </w:r>
      <w:r>
        <w:rPr>
          <w:color w:val="231F20"/>
          <w:sz w:val="18"/>
        </w:rPr>
        <w:t>higher in the three months to March 1998 than in the fourth quarter of 1997. This was similar to the rise in the three months to February, but slower than either the rise during Q4 or the average rise in the past twelve months.</w:t>
      </w:r>
    </w:p>
    <w:p>
      <w:pPr>
        <w:pStyle w:val="BodyText"/>
        <w:spacing w:before="7"/>
        <w:rPr>
          <w:sz w:val="19"/>
        </w:rPr>
      </w:pPr>
      <w:r>
        <w:rPr/>
        <w:br w:type="column"/>
      </w:r>
      <w:r>
        <w:rPr>
          <w:sz w:val="19"/>
        </w:rPr>
      </w:r>
    </w:p>
    <w:p>
      <w:pPr>
        <w:pStyle w:val="ListParagraph"/>
        <w:numPr>
          <w:ilvl w:val="0"/>
          <w:numId w:val="48"/>
        </w:numPr>
        <w:tabs>
          <w:tab w:pos="659" w:val="left" w:leader="none"/>
          <w:tab w:pos="661" w:val="left" w:leader="none"/>
        </w:tabs>
        <w:spacing w:line="232" w:lineRule="auto" w:before="1" w:after="0"/>
        <w:ind w:left="180" w:right="249" w:firstLine="0"/>
        <w:jc w:val="left"/>
        <w:rPr>
          <w:sz w:val="18"/>
        </w:rPr>
      </w:pPr>
      <w:r>
        <w:rPr>
          <w:color w:val="231F20"/>
          <w:sz w:val="18"/>
        </w:rPr>
        <w:t>Part-time employment accounted for almost all of the </w:t>
      </w:r>
      <w:r>
        <w:rPr>
          <w:color w:val="231F20"/>
          <w:spacing w:val="-3"/>
          <w:sz w:val="18"/>
        </w:rPr>
        <w:t>recent </w:t>
      </w:r>
      <w:r>
        <w:rPr>
          <w:color w:val="231F20"/>
          <w:sz w:val="18"/>
        </w:rPr>
        <w:t>rise: full-time employment had been flat over the past quarter. </w:t>
      </w:r>
      <w:r>
        <w:rPr>
          <w:color w:val="231F20"/>
          <w:spacing w:val="-7"/>
          <w:sz w:val="18"/>
        </w:rPr>
        <w:t>By </w:t>
      </w:r>
      <w:r>
        <w:rPr>
          <w:color w:val="231F20"/>
          <w:sz w:val="18"/>
        </w:rPr>
        <w:t>contrast, the LFS series for hours worked increased by 0.8% in Q1 from the previous quarter, and by 2.1% compared with a year earlier. Stronger growth in hours worked than in employment suggested a rise in overtime. But the hours worked data are very volatile, making firm conclusions difficult.</w:t>
      </w:r>
    </w:p>
    <w:p>
      <w:pPr>
        <w:pStyle w:val="BodyText"/>
        <w:spacing w:before="4"/>
        <w:rPr>
          <w:sz w:val="20"/>
        </w:rPr>
      </w:pPr>
    </w:p>
    <w:p>
      <w:pPr>
        <w:pStyle w:val="ListParagraph"/>
        <w:numPr>
          <w:ilvl w:val="0"/>
          <w:numId w:val="48"/>
        </w:numPr>
        <w:tabs>
          <w:tab w:pos="659" w:val="left" w:leader="none"/>
          <w:tab w:pos="661" w:val="left" w:leader="none"/>
        </w:tabs>
        <w:spacing w:line="232" w:lineRule="auto" w:before="0" w:after="0"/>
        <w:ind w:left="180" w:right="306" w:hanging="1"/>
        <w:jc w:val="left"/>
        <w:rPr>
          <w:sz w:val="18"/>
        </w:rPr>
      </w:pPr>
      <w:r>
        <w:rPr>
          <w:color w:val="231F20"/>
          <w:sz w:val="18"/>
        </w:rPr>
        <w:t>The C</w:t>
      </w:r>
      <w:r>
        <w:rPr>
          <w:color w:val="231F20"/>
          <w:sz w:val="14"/>
        </w:rPr>
        <w:t>IPS </w:t>
      </w:r>
      <w:r>
        <w:rPr>
          <w:color w:val="231F20"/>
          <w:sz w:val="18"/>
        </w:rPr>
        <w:t>survey suggested that manufacturing employment fell for the third consecutive month in May. That was consistent with reports from the Bank’s Agents, although less timely</w:t>
      </w:r>
    </w:p>
    <w:p>
      <w:pPr>
        <w:pStyle w:val="BodyText"/>
        <w:spacing w:line="232" w:lineRule="auto"/>
        <w:ind w:left="180" w:right="461"/>
      </w:pPr>
      <w:r>
        <w:rPr>
          <w:color w:val="231F20"/>
        </w:rPr>
        <w:t>ONS data suggested that manufacturing employment rose in 1998 Q1, albeit slowly. The C</w:t>
      </w:r>
      <w:r>
        <w:rPr>
          <w:color w:val="231F20"/>
          <w:sz w:val="14"/>
        </w:rPr>
        <w:t>IPS </w:t>
      </w:r>
      <w:r>
        <w:rPr>
          <w:color w:val="231F20"/>
        </w:rPr>
        <w:t>service sector survey for May indicated continued rapid growth in service sector employment,</w:t>
      </w:r>
    </w:p>
    <w:p>
      <w:pPr>
        <w:pStyle w:val="BodyText"/>
        <w:spacing w:line="232" w:lineRule="auto"/>
        <w:ind w:left="180" w:right="271"/>
      </w:pPr>
      <w:r>
        <w:rPr>
          <w:color w:val="231F20"/>
        </w:rPr>
        <w:t>though some Agents suggested that service sector recruitment was slowing.</w:t>
      </w:r>
    </w:p>
    <w:p>
      <w:pPr>
        <w:pStyle w:val="BodyText"/>
        <w:spacing w:before="4"/>
        <w:rPr>
          <w:sz w:val="20"/>
        </w:rPr>
      </w:pPr>
    </w:p>
    <w:p>
      <w:pPr>
        <w:pStyle w:val="ListParagraph"/>
        <w:numPr>
          <w:ilvl w:val="0"/>
          <w:numId w:val="48"/>
        </w:numPr>
        <w:tabs>
          <w:tab w:pos="659" w:val="left" w:leader="none"/>
          <w:tab w:pos="661" w:val="left" w:leader="none"/>
        </w:tabs>
        <w:spacing w:line="232" w:lineRule="auto" w:before="0" w:after="0"/>
        <w:ind w:left="180" w:right="159" w:firstLine="0"/>
        <w:jc w:val="left"/>
        <w:rPr>
          <w:sz w:val="18"/>
        </w:rPr>
      </w:pPr>
      <w:r>
        <w:rPr>
          <w:color w:val="231F20"/>
          <w:sz w:val="18"/>
        </w:rPr>
        <w:t>A slowdown in the pace of tightening was also apparent </w:t>
      </w:r>
      <w:r>
        <w:rPr>
          <w:color w:val="231F20"/>
          <w:spacing w:val="-5"/>
          <w:sz w:val="18"/>
        </w:rPr>
        <w:t>from </w:t>
      </w:r>
      <w:r>
        <w:rPr>
          <w:color w:val="231F20"/>
          <w:sz w:val="18"/>
        </w:rPr>
        <w:t>the unemployment data. LFS unemployment fell by 33,000 in the three months to March, to 6.4% of the workforce. That fall was smaller than the 78,000 fall in the previous quarter, and than the average decline during the previous year. It was also smaller than the fall of 52,000 in the three months to February. Almost all of the recent fall was accounted for by the long-term unemployed (defined as those unemployed for more than one year). In fact, the</w:t>
      </w:r>
    </w:p>
    <w:p>
      <w:pPr>
        <w:pStyle w:val="BodyText"/>
        <w:spacing w:line="232" w:lineRule="auto"/>
        <w:ind w:left="180" w:right="204"/>
      </w:pPr>
      <w:r>
        <w:rPr>
          <w:color w:val="231F20"/>
        </w:rPr>
        <w:t>long-term unemployed accounted for 238,000 of the 275,000 fall </w:t>
      </w:r>
      <w:r>
        <w:rPr>
          <w:color w:val="231F20"/>
          <w:spacing w:val="-9"/>
        </w:rPr>
        <w:t>in </w:t>
      </w:r>
      <w:r>
        <w:rPr>
          <w:color w:val="231F20"/>
        </w:rPr>
        <w:t>unemployment in the past year. That could reflect either a fall in the inflow to long-term unemployment, or a fall in the average duration of the long-term unemployed. It is difficult to extract flows data from the LFS, but work using claimant count data to measure outflow rates suggested that the average duration fell during 1997.</w:t>
      </w:r>
    </w:p>
    <w:p>
      <w:pPr>
        <w:pStyle w:val="BodyText"/>
        <w:spacing w:before="10"/>
        <w:rPr>
          <w:sz w:val="19"/>
        </w:rPr>
      </w:pPr>
    </w:p>
    <w:p>
      <w:pPr>
        <w:pStyle w:val="ListParagraph"/>
        <w:numPr>
          <w:ilvl w:val="0"/>
          <w:numId w:val="48"/>
        </w:numPr>
        <w:tabs>
          <w:tab w:pos="659" w:val="left" w:leader="none"/>
          <w:tab w:pos="661" w:val="left" w:leader="none"/>
        </w:tabs>
        <w:spacing w:line="232" w:lineRule="auto" w:before="0" w:after="0"/>
        <w:ind w:left="180" w:right="493" w:firstLine="0"/>
        <w:jc w:val="left"/>
        <w:rPr>
          <w:sz w:val="18"/>
        </w:rPr>
      </w:pPr>
      <w:r>
        <w:rPr>
          <w:color w:val="231F20"/>
          <w:sz w:val="18"/>
        </w:rPr>
        <w:t>Continuing falls in the number of long-term unemployed have meant that they account for a declining proportion of total unemployment. This is normal in a recovery: the share of the long-term unemployed among the unemployed has been</w:t>
      </w:r>
    </w:p>
    <w:p>
      <w:pPr>
        <w:pStyle w:val="BodyText"/>
        <w:spacing w:line="232" w:lineRule="auto"/>
        <w:ind w:left="180" w:right="246"/>
      </w:pPr>
      <w:r>
        <w:rPr>
          <w:color w:val="231F20"/>
        </w:rPr>
        <w:t>counter-cyclical since at least 1984. This could indicate that as the labour market tightens, employers extend their recruitment activity more widely, improving the job prospects of the longer-term unemployed. This implies that the long-term unemployed are an imperfect substitute for the short-term unemployed, and a fall in their share of total unemployment is indicative of labour market tightness. Econometric work by Bank staff had provided support for this theory: it suggested that the long-term unemployed do exert downward wage pressure, but less so than the short-term unemployed.</w:t>
      </w:r>
    </w:p>
    <w:p>
      <w:pPr>
        <w:pStyle w:val="BodyText"/>
        <w:spacing w:before="2"/>
      </w:pPr>
    </w:p>
    <w:p>
      <w:pPr>
        <w:pStyle w:val="ListParagraph"/>
        <w:numPr>
          <w:ilvl w:val="0"/>
          <w:numId w:val="48"/>
        </w:numPr>
        <w:tabs>
          <w:tab w:pos="659" w:val="left" w:leader="none"/>
          <w:tab w:pos="661" w:val="left" w:leader="none"/>
        </w:tabs>
        <w:spacing w:line="232" w:lineRule="auto" w:before="0" w:after="0"/>
        <w:ind w:left="180" w:right="328" w:firstLine="0"/>
        <w:jc w:val="left"/>
        <w:rPr>
          <w:sz w:val="18"/>
        </w:rPr>
      </w:pPr>
      <w:r>
        <w:rPr>
          <w:color w:val="231F20"/>
          <w:sz w:val="18"/>
        </w:rPr>
        <w:t>Claimant unemployment fell by 18,000 in April, to 4.8%. That was the largest monthly fall for four months, although it </w:t>
      </w:r>
      <w:r>
        <w:rPr>
          <w:color w:val="231F20"/>
          <w:spacing w:val="-6"/>
          <w:sz w:val="18"/>
        </w:rPr>
        <w:t>was </w:t>
      </w:r>
      <w:r>
        <w:rPr>
          <w:color w:val="231F20"/>
          <w:sz w:val="18"/>
        </w:rPr>
        <w:t>smaller than all but one of the monthly falls during 1997.</w:t>
      </w:r>
    </w:p>
    <w:p>
      <w:pPr>
        <w:pStyle w:val="BodyText"/>
        <w:spacing w:before="11"/>
      </w:pPr>
    </w:p>
    <w:p>
      <w:pPr>
        <w:pStyle w:val="ListParagraph"/>
        <w:numPr>
          <w:ilvl w:val="0"/>
          <w:numId w:val="48"/>
        </w:numPr>
        <w:tabs>
          <w:tab w:pos="659" w:val="left" w:leader="none"/>
          <w:tab w:pos="661" w:val="left" w:leader="none"/>
        </w:tabs>
        <w:spacing w:line="232" w:lineRule="auto" w:before="0" w:after="0"/>
        <w:ind w:left="180" w:right="234" w:firstLine="0"/>
        <w:jc w:val="left"/>
        <w:rPr>
          <w:sz w:val="18"/>
        </w:rPr>
      </w:pPr>
      <w:r>
        <w:rPr>
          <w:color w:val="231F20"/>
          <w:sz w:val="18"/>
        </w:rPr>
        <w:t>The data on vacancies were mixed. The stock of vacancies edged up in April by 1,500. Bank analysts had adjusted the back data for an overcount in the stock of vacancies. The corrected series showed that the trend in vacancies continued to rise. But </w:t>
      </w:r>
      <w:r>
        <w:rPr>
          <w:color w:val="231F20"/>
          <w:spacing w:val="-6"/>
          <w:sz w:val="18"/>
        </w:rPr>
        <w:t>the </w:t>
      </w:r>
      <w:r>
        <w:rPr>
          <w:color w:val="231F20"/>
          <w:sz w:val="18"/>
        </w:rPr>
        <w:t>number of notifications of new vacancies fell by 1,500. The number of notifications remained around the average levels of the second half of 1997.</w:t>
      </w:r>
    </w:p>
    <w:p>
      <w:pPr>
        <w:pStyle w:val="BodyText"/>
        <w:spacing w:before="4"/>
        <w:rPr>
          <w:sz w:val="20"/>
        </w:rPr>
      </w:pPr>
    </w:p>
    <w:p>
      <w:pPr>
        <w:pStyle w:val="ListParagraph"/>
        <w:numPr>
          <w:ilvl w:val="0"/>
          <w:numId w:val="48"/>
        </w:numPr>
        <w:tabs>
          <w:tab w:pos="659" w:val="left" w:leader="none"/>
          <w:tab w:pos="661" w:val="left" w:leader="none"/>
        </w:tabs>
        <w:spacing w:line="232" w:lineRule="auto" w:before="0" w:after="0"/>
        <w:ind w:left="180" w:right="169" w:firstLine="0"/>
        <w:jc w:val="left"/>
        <w:rPr>
          <w:sz w:val="18"/>
        </w:rPr>
      </w:pPr>
      <w:r>
        <w:rPr>
          <w:color w:val="231F20"/>
          <w:sz w:val="18"/>
        </w:rPr>
        <w:t>There were few new data on skills shortages. The Reed survey for May suggested that 71% of firms were experiencing shortages of skilled applicants when they recruited.  This was in line with February’s survey. The Agents suggested that on balance skills shortages had continued to intensify, although at a less rapid pace, with five regions reporting that they had stopped intensifying. One survey pointing in the opposite direction was the construction trends survey, which reported an easing in labour availability in </w:t>
      </w:r>
      <w:r>
        <w:rPr>
          <w:color w:val="231F20"/>
          <w:spacing w:val="-6"/>
          <w:sz w:val="18"/>
        </w:rPr>
        <w:t>Q1, </w:t>
      </w:r>
      <w:r>
        <w:rPr>
          <w:color w:val="231F20"/>
          <w:sz w:val="18"/>
        </w:rPr>
        <w:t>at odds with the Agents’ view of pressures in this sector. The C</w:t>
      </w:r>
      <w:r>
        <w:rPr>
          <w:color w:val="231F20"/>
          <w:sz w:val="14"/>
        </w:rPr>
        <w:t>IPS </w:t>
      </w:r>
      <w:r>
        <w:rPr>
          <w:color w:val="231F20"/>
          <w:sz w:val="18"/>
        </w:rPr>
        <w:t>service sector survey for May indicated that skill shortages in the service sector were pushing up input costs.</w:t>
      </w:r>
    </w:p>
    <w:p>
      <w:pPr>
        <w:spacing w:after="0" w:line="232" w:lineRule="auto"/>
        <w:jc w:val="left"/>
        <w:rPr>
          <w:sz w:val="18"/>
        </w:rPr>
        <w:sectPr>
          <w:type w:val="continuous"/>
          <w:pgSz w:w="11900" w:h="16840"/>
          <w:pgMar w:top="1220" w:bottom="280" w:left="620" w:right="640"/>
          <w:cols w:num="2" w:equalWidth="0">
            <w:col w:w="5124" w:space="266"/>
            <w:col w:w="5250"/>
          </w:cols>
        </w:sectPr>
      </w:pPr>
    </w:p>
    <w:p>
      <w:pPr>
        <w:pStyle w:val="BodyText"/>
        <w:rPr>
          <w:sz w:val="20"/>
        </w:rPr>
      </w:pPr>
    </w:p>
    <w:p>
      <w:pPr>
        <w:spacing w:after="0"/>
        <w:rPr>
          <w:sz w:val="20"/>
        </w:rPr>
        <w:sectPr>
          <w:pgSz w:w="11900" w:h="16840"/>
          <w:pgMar w:header="566" w:footer="597" w:top="760" w:bottom="780" w:left="620" w:right="640"/>
        </w:sectPr>
      </w:pPr>
    </w:p>
    <w:p>
      <w:pPr>
        <w:pStyle w:val="BodyText"/>
        <w:spacing w:before="4"/>
        <w:rPr>
          <w:sz w:val="21"/>
        </w:rPr>
      </w:pPr>
    </w:p>
    <w:p>
      <w:pPr>
        <w:pStyle w:val="ListParagraph"/>
        <w:numPr>
          <w:ilvl w:val="0"/>
          <w:numId w:val="48"/>
        </w:numPr>
        <w:tabs>
          <w:tab w:pos="659" w:val="left" w:leader="none"/>
          <w:tab w:pos="661" w:val="left" w:leader="none"/>
        </w:tabs>
        <w:spacing w:line="232" w:lineRule="auto" w:before="1" w:after="0"/>
        <w:ind w:left="180" w:right="132" w:firstLine="0"/>
        <w:jc w:val="left"/>
        <w:rPr>
          <w:sz w:val="18"/>
        </w:rPr>
      </w:pPr>
      <w:r>
        <w:rPr>
          <w:color w:val="231F20"/>
          <w:sz w:val="18"/>
        </w:rPr>
        <w:t>Headline underlying annual earnings growth increased to 4.9% in February, up from a revised 4.6% in January. Within </w:t>
      </w:r>
      <w:r>
        <w:rPr>
          <w:color w:val="231F20"/>
          <w:spacing w:val="-4"/>
          <w:sz w:val="18"/>
        </w:rPr>
        <w:t>that, </w:t>
      </w:r>
      <w:r>
        <w:rPr>
          <w:color w:val="231F20"/>
          <w:sz w:val="18"/>
        </w:rPr>
        <w:t>services earnings growth increased from 4.8% in January to 5% in February, and manufacturing earnings rose from 4.7% to 5.3%.</w:t>
      </w:r>
    </w:p>
    <w:p>
      <w:pPr>
        <w:pStyle w:val="BodyText"/>
        <w:spacing w:line="195" w:lineRule="exact"/>
        <w:ind w:left="180"/>
      </w:pPr>
      <w:r>
        <w:rPr>
          <w:color w:val="231F20"/>
        </w:rPr>
        <w:t>The headline numbers are centred moving averages of</w:t>
      </w:r>
    </w:p>
    <w:p>
      <w:pPr>
        <w:pStyle w:val="BodyText"/>
        <w:spacing w:line="232" w:lineRule="auto" w:before="1"/>
        <w:ind w:left="180"/>
      </w:pPr>
      <w:r>
        <w:rPr>
          <w:color w:val="231F20"/>
        </w:rPr>
        <w:t>twelve-month growth rates. In March, those monthly growth rates were 5.4% for the whole economy, 6.1% for manufacturing and 5.4% for services.</w:t>
      </w:r>
    </w:p>
    <w:p>
      <w:pPr>
        <w:pStyle w:val="BodyText"/>
        <w:spacing w:before="2"/>
        <w:rPr>
          <w:sz w:val="17"/>
        </w:rPr>
      </w:pPr>
    </w:p>
    <w:p>
      <w:pPr>
        <w:pStyle w:val="ListParagraph"/>
        <w:numPr>
          <w:ilvl w:val="0"/>
          <w:numId w:val="48"/>
        </w:numPr>
        <w:tabs>
          <w:tab w:pos="659" w:val="left" w:leader="none"/>
          <w:tab w:pos="661" w:val="left" w:leader="none"/>
        </w:tabs>
        <w:spacing w:line="232" w:lineRule="auto" w:before="0" w:after="0"/>
        <w:ind w:left="180" w:right="42" w:firstLine="0"/>
        <w:jc w:val="left"/>
        <w:rPr>
          <w:sz w:val="18"/>
        </w:rPr>
      </w:pPr>
      <w:r>
        <w:rPr>
          <w:color w:val="231F20"/>
          <w:sz w:val="18"/>
        </w:rPr>
        <w:t>Bank analysts had tried to identify how far recent earnings data have been affected by bonus payments. The ONS had suggested that bonuses in March 1998 were around 25% larger than a year earlier. But there are a number of problems with using that figure to estimate the contribution of bonuses to earnings growth. Though bonuses may have been particularly concentrated in March this year, these other elements of non-basic pay may well have a continuing effect in the coming months. Second, the ONS had suggested that its method of calculating bonus effects may be biased upwards, for reasons connected with the way firms respond to the earnings questionnaire. Firms ticked a box and gave a figure to indicate ‘significant changes’ in bonus payments each month. </w:t>
      </w:r>
      <w:r>
        <w:rPr>
          <w:color w:val="231F20"/>
          <w:spacing w:val="-9"/>
          <w:sz w:val="18"/>
        </w:rPr>
        <w:t>So </w:t>
      </w:r>
      <w:r>
        <w:rPr>
          <w:color w:val="231F20"/>
          <w:sz w:val="18"/>
        </w:rPr>
        <w:t>the answers from those firms that paid bonuses in March each year but considered a payment in one year insignificant and payment in the next significant could result in a spuriously large recorded rise in bonus payments in the twelve months.</w:t>
      </w:r>
    </w:p>
    <w:p>
      <w:pPr>
        <w:pStyle w:val="BodyText"/>
        <w:spacing w:before="4"/>
        <w:rPr>
          <w:sz w:val="16"/>
        </w:rPr>
      </w:pPr>
    </w:p>
    <w:p>
      <w:pPr>
        <w:pStyle w:val="ListParagraph"/>
        <w:numPr>
          <w:ilvl w:val="0"/>
          <w:numId w:val="48"/>
        </w:numPr>
        <w:tabs>
          <w:tab w:pos="659" w:val="left" w:leader="none"/>
          <w:tab w:pos="661" w:val="left" w:leader="none"/>
        </w:tabs>
        <w:spacing w:line="232" w:lineRule="auto" w:before="0" w:after="0"/>
        <w:ind w:left="180" w:right="107" w:firstLine="0"/>
        <w:jc w:val="left"/>
        <w:rPr>
          <w:sz w:val="18"/>
        </w:rPr>
      </w:pPr>
      <w:r>
        <w:rPr>
          <w:color w:val="231F20"/>
          <w:sz w:val="18"/>
        </w:rPr>
        <w:t>The Bank’s Kalman filter-adjusted earnings index suggested that there had been a pick-up in bonus-smoothed earnings from 4.74% in February to 4.85% in March. But this number could be revised back down if April’s figure for average earnings was much lower.</w:t>
      </w:r>
    </w:p>
    <w:p>
      <w:pPr>
        <w:pStyle w:val="BodyText"/>
        <w:rPr>
          <w:sz w:val="17"/>
        </w:rPr>
      </w:pPr>
    </w:p>
    <w:p>
      <w:pPr>
        <w:pStyle w:val="ListParagraph"/>
        <w:numPr>
          <w:ilvl w:val="0"/>
          <w:numId w:val="48"/>
        </w:numPr>
        <w:tabs>
          <w:tab w:pos="659" w:val="left" w:leader="none"/>
          <w:tab w:pos="661" w:val="left" w:leader="none"/>
        </w:tabs>
        <w:spacing w:line="232" w:lineRule="auto" w:before="1" w:after="0"/>
        <w:ind w:left="180" w:right="41" w:firstLine="0"/>
        <w:jc w:val="left"/>
        <w:rPr>
          <w:sz w:val="18"/>
        </w:rPr>
      </w:pPr>
      <w:r>
        <w:rPr>
          <w:color w:val="231F20"/>
          <w:sz w:val="18"/>
        </w:rPr>
        <w:t>If bonus payments were especially high in March, then earnings growth in the twelve months to April and subsequent months would be lower. But this did not mean that bonus </w:t>
      </w:r>
      <w:r>
        <w:rPr>
          <w:color w:val="231F20"/>
          <w:spacing w:val="-3"/>
          <w:sz w:val="18"/>
        </w:rPr>
        <w:t>payments </w:t>
      </w:r>
      <w:r>
        <w:rPr>
          <w:color w:val="231F20"/>
          <w:sz w:val="18"/>
        </w:rPr>
        <w:t>should be discounted. Though bonuses were a more flexible element of total remuneration, if they were paid to encourage recruitment and retention, they would reflect current labour market pressures as much as normal pay did. However, if bonuses were linked to company profits, they might be a backward-looking indicator of rapid economic growth. Either way, they still reflected a cost to firms and income for workers. Any estimate of overall earnings trends needed to smooth identified bonus payments across the year.</w:t>
      </w:r>
    </w:p>
    <w:p>
      <w:pPr>
        <w:pStyle w:val="BodyText"/>
        <w:spacing w:before="6"/>
        <w:rPr>
          <w:sz w:val="16"/>
        </w:rPr>
      </w:pPr>
    </w:p>
    <w:p>
      <w:pPr>
        <w:pStyle w:val="ListParagraph"/>
        <w:numPr>
          <w:ilvl w:val="0"/>
          <w:numId w:val="48"/>
        </w:numPr>
        <w:tabs>
          <w:tab w:pos="659" w:val="left" w:leader="none"/>
          <w:tab w:pos="661" w:val="left" w:leader="none"/>
        </w:tabs>
        <w:spacing w:line="232" w:lineRule="auto" w:before="0" w:after="0"/>
        <w:ind w:left="180" w:right="42" w:firstLine="0"/>
        <w:jc w:val="left"/>
        <w:rPr>
          <w:sz w:val="18"/>
        </w:rPr>
      </w:pPr>
      <w:r>
        <w:rPr>
          <w:color w:val="231F20"/>
          <w:sz w:val="18"/>
        </w:rPr>
        <w:t>Further evidence on the differential between public and private sector pay was presented. According to the ONS, private sector pay had outpaced that in the public sector since 1993. In the year to February 1998, public sector pay grew by 2.6%, while that in the private sector grew by 5.6%. One possibility raised was that special factors were distorting the divergence. DfEE figures suggested that there had been a substantial rise in the number of teachers taking early retirement in the past year, probably linked to early retirement deadlines in 1997/98.  If those early-retired teachers had been replaced by ‘cheaper’ young teachers, then the earnings data could give a misleading impression of the wage rise received by each individual. The staging of many public sector pay awards was also likely to have had a temporary downward influence on public sector earnings. But it was unlikely that those two factors alone could explain the whole of the negative wage </w:t>
      </w:r>
      <w:r>
        <w:rPr>
          <w:color w:val="231F20"/>
          <w:spacing w:val="-4"/>
          <w:sz w:val="18"/>
        </w:rPr>
        <w:t>drift </w:t>
      </w:r>
      <w:r>
        <w:rPr>
          <w:color w:val="231F20"/>
          <w:sz w:val="18"/>
        </w:rPr>
        <w:t>in the public sector.</w:t>
      </w:r>
    </w:p>
    <w:p>
      <w:pPr>
        <w:pStyle w:val="BodyText"/>
        <w:spacing w:before="4"/>
        <w:rPr>
          <w:sz w:val="16"/>
        </w:rPr>
      </w:pPr>
    </w:p>
    <w:p>
      <w:pPr>
        <w:pStyle w:val="ListParagraph"/>
        <w:numPr>
          <w:ilvl w:val="0"/>
          <w:numId w:val="48"/>
        </w:numPr>
        <w:tabs>
          <w:tab w:pos="659" w:val="left" w:leader="none"/>
          <w:tab w:pos="661" w:val="left" w:leader="none"/>
        </w:tabs>
        <w:spacing w:line="232" w:lineRule="auto" w:before="0" w:after="0"/>
        <w:ind w:left="180" w:right="38" w:firstLine="0"/>
        <w:jc w:val="left"/>
        <w:rPr>
          <w:sz w:val="18"/>
        </w:rPr>
      </w:pPr>
      <w:r>
        <w:rPr>
          <w:color w:val="231F20"/>
          <w:sz w:val="18"/>
        </w:rPr>
        <w:t>Staff presented some analysis on whether public sector pay was likely to catch up with that in the private sector. Work by Elliott and Duffus (1996) suggested that public sector earnings had been trending downwards relative to the private sector over the past twenty years. And the relative fall seemed to have been </w:t>
      </w:r>
      <w:r>
        <w:rPr>
          <w:color w:val="231F20"/>
          <w:spacing w:val="-2"/>
          <w:sz w:val="18"/>
        </w:rPr>
        <w:t>particularly </w:t>
      </w:r>
      <w:r>
        <w:rPr>
          <w:color w:val="231F20"/>
          <w:sz w:val="18"/>
        </w:rPr>
        <w:t>fast in the past five years. Any signs of a catch-up should be reflected either through public sector labour disputes or through recruitment and retention difficulties. But the number of days lost to industrial action was very low by historical standards. And the DfEE survey of ‘hard-to-fill vacancies’ showed that although such</w:t>
      </w:r>
    </w:p>
    <w:p>
      <w:pPr>
        <w:pStyle w:val="BodyText"/>
        <w:spacing w:before="4"/>
        <w:rPr>
          <w:sz w:val="21"/>
        </w:rPr>
      </w:pPr>
      <w:r>
        <w:rPr/>
        <w:br w:type="column"/>
      </w:r>
      <w:r>
        <w:rPr>
          <w:sz w:val="21"/>
        </w:rPr>
      </w:r>
    </w:p>
    <w:p>
      <w:pPr>
        <w:pStyle w:val="BodyText"/>
        <w:spacing w:line="232" w:lineRule="auto"/>
        <w:ind w:left="180" w:right="265"/>
      </w:pPr>
      <w:r>
        <w:rPr>
          <w:color w:val="231F20"/>
        </w:rPr>
        <w:t>vacancies were increasing in the public sector, they had risen even more in the private sector. Staff also presented data on schools’ teaching vacancies which, although rising, remained much lower than in 1990.</w:t>
      </w:r>
    </w:p>
    <w:p>
      <w:pPr>
        <w:pStyle w:val="BodyText"/>
        <w:spacing w:before="2"/>
        <w:rPr>
          <w:sz w:val="17"/>
        </w:rPr>
      </w:pPr>
    </w:p>
    <w:p>
      <w:pPr>
        <w:pStyle w:val="ListParagraph"/>
        <w:numPr>
          <w:ilvl w:val="0"/>
          <w:numId w:val="48"/>
        </w:numPr>
        <w:tabs>
          <w:tab w:pos="659" w:val="left" w:leader="none"/>
          <w:tab w:pos="661" w:val="left" w:leader="none"/>
        </w:tabs>
        <w:spacing w:line="232" w:lineRule="auto" w:before="0" w:after="0"/>
        <w:ind w:left="180" w:right="191" w:firstLine="0"/>
        <w:jc w:val="left"/>
        <w:rPr>
          <w:sz w:val="18"/>
        </w:rPr>
      </w:pPr>
      <w:r>
        <w:rPr>
          <w:color w:val="231F20"/>
          <w:sz w:val="18"/>
        </w:rPr>
        <w:t>The teachers’ and nurses’ pay review bodies had tended to highlight specific areas of recruitment difficulties, and problems recruiting trainee teachers and nurses, rather than generalised problems. Though these were certainly signs of emerging pressure, most settlements for this year had already been agreed, and so </w:t>
      </w:r>
      <w:r>
        <w:rPr>
          <w:color w:val="231F20"/>
          <w:spacing w:val="-3"/>
          <w:sz w:val="18"/>
        </w:rPr>
        <w:t>there </w:t>
      </w:r>
      <w:r>
        <w:rPr>
          <w:color w:val="231F20"/>
          <w:sz w:val="18"/>
        </w:rPr>
        <w:t>was little evidence to suggest an imminent bounce-back in public sector pay.</w:t>
      </w:r>
    </w:p>
    <w:p>
      <w:pPr>
        <w:pStyle w:val="BodyText"/>
        <w:spacing w:before="5"/>
        <w:rPr>
          <w:sz w:val="16"/>
        </w:rPr>
      </w:pPr>
    </w:p>
    <w:p>
      <w:pPr>
        <w:pStyle w:val="ListParagraph"/>
        <w:numPr>
          <w:ilvl w:val="0"/>
          <w:numId w:val="48"/>
        </w:numPr>
        <w:tabs>
          <w:tab w:pos="659" w:val="left" w:leader="none"/>
          <w:tab w:pos="661" w:val="left" w:leader="none"/>
        </w:tabs>
        <w:spacing w:line="203" w:lineRule="exact" w:before="0" w:after="0"/>
        <w:ind w:left="660" w:right="0" w:hanging="481"/>
        <w:jc w:val="left"/>
        <w:rPr>
          <w:sz w:val="18"/>
        </w:rPr>
      </w:pPr>
      <w:r>
        <w:rPr>
          <w:color w:val="231F20"/>
          <w:sz w:val="18"/>
        </w:rPr>
        <w:t>On provisional data, the twelve-month</w:t>
      </w:r>
    </w:p>
    <w:p>
      <w:pPr>
        <w:pStyle w:val="BodyText"/>
        <w:spacing w:line="232" w:lineRule="auto" w:before="2"/>
        <w:ind w:left="180" w:right="191"/>
      </w:pPr>
      <w:r>
        <w:rPr>
          <w:color w:val="231F20"/>
        </w:rPr>
        <w:t>employment-weighted mean settlement increased from 3.4% to 3.6%. But the preponderance of public sector settlements led to the three-month mean falling from 3.9% in March to 3.1% in April.</w:t>
      </w:r>
    </w:p>
    <w:p>
      <w:pPr>
        <w:pStyle w:val="BodyText"/>
        <w:spacing w:before="5"/>
        <w:rPr>
          <w:sz w:val="20"/>
        </w:rPr>
      </w:pPr>
    </w:p>
    <w:p>
      <w:pPr>
        <w:pStyle w:val="Heading6"/>
        <w:numPr>
          <w:ilvl w:val="0"/>
          <w:numId w:val="47"/>
        </w:numPr>
        <w:tabs>
          <w:tab w:pos="660" w:val="left" w:leader="none"/>
          <w:tab w:pos="661" w:val="left" w:leader="none"/>
        </w:tabs>
        <w:spacing w:line="240" w:lineRule="auto" w:before="0" w:after="0"/>
        <w:ind w:left="660" w:right="0" w:hanging="481"/>
        <w:jc w:val="left"/>
      </w:pPr>
      <w:r>
        <w:rPr>
          <w:color w:val="009483"/>
        </w:rPr>
        <w:t>Prices</w:t>
      </w:r>
    </w:p>
    <w:p>
      <w:pPr>
        <w:pStyle w:val="ListParagraph"/>
        <w:numPr>
          <w:ilvl w:val="0"/>
          <w:numId w:val="48"/>
        </w:numPr>
        <w:tabs>
          <w:tab w:pos="659" w:val="left" w:leader="none"/>
          <w:tab w:pos="661" w:val="left" w:leader="none"/>
        </w:tabs>
        <w:spacing w:line="232" w:lineRule="auto" w:before="110" w:after="0"/>
        <w:ind w:left="180" w:right="161" w:firstLine="0"/>
        <w:jc w:val="left"/>
        <w:rPr>
          <w:sz w:val="18"/>
        </w:rPr>
      </w:pPr>
      <w:r>
        <w:rPr>
          <w:color w:val="231F20"/>
          <w:sz w:val="18"/>
        </w:rPr>
        <w:t>The Bank’s commodity price index was provisionally estimated to have increased by 0.2% in April.  This largely reflected a rise in oil prices. Excluding oil, commodity prices were unchanged. And they were likely to fall once food price data were included, following the sharp reduction in milk prices announced in April (food prices are assumed to be flat in the provisional estimate). On the provisional basis, the annual rate of deflation in commodity prices had fallen to 10.1% in April from 14.2% in March.  But there were no clear signs of a change in the recent trend of flat or falling commodity prices:  metal prices had fallen for the eighth consecutive month, and cotton and rubber prices </w:t>
      </w:r>
      <w:r>
        <w:rPr>
          <w:color w:val="231F20"/>
          <w:spacing w:val="-5"/>
          <w:sz w:val="18"/>
        </w:rPr>
        <w:t>were </w:t>
      </w:r>
      <w:r>
        <w:rPr>
          <w:color w:val="231F20"/>
          <w:sz w:val="18"/>
        </w:rPr>
        <w:t>lower, both possibly reflecting the effects of the East Asia situation. However, the recent depreciation of sterling may be an upward influence on some commodity prices in the next few months. The oil price had risen again in May, by 2.5% in dollar terms.  But prices were not expected to rise much more, as supply continued to exceed demand.</w:t>
      </w:r>
    </w:p>
    <w:p>
      <w:pPr>
        <w:pStyle w:val="BodyText"/>
        <w:spacing w:before="3"/>
        <w:rPr>
          <w:sz w:val="16"/>
        </w:rPr>
      </w:pPr>
    </w:p>
    <w:p>
      <w:pPr>
        <w:pStyle w:val="ListParagraph"/>
        <w:numPr>
          <w:ilvl w:val="0"/>
          <w:numId w:val="48"/>
        </w:numPr>
        <w:tabs>
          <w:tab w:pos="659" w:val="left" w:leader="none"/>
          <w:tab w:pos="661" w:val="left" w:leader="none"/>
        </w:tabs>
        <w:spacing w:line="232" w:lineRule="auto" w:before="0" w:after="0"/>
        <w:ind w:left="180" w:right="161" w:firstLine="0"/>
        <w:jc w:val="left"/>
        <w:rPr>
          <w:sz w:val="18"/>
        </w:rPr>
      </w:pPr>
      <w:r>
        <w:rPr>
          <w:color w:val="231F20"/>
          <w:sz w:val="18"/>
        </w:rPr>
        <w:t>Manufacturers’ input prices had fallen sharply in April, by 0.9%, despite the rise in oil prices. This fall had been largely due </w:t>
      </w:r>
      <w:r>
        <w:rPr>
          <w:color w:val="231F20"/>
          <w:spacing w:val="-9"/>
          <w:sz w:val="18"/>
        </w:rPr>
        <w:t>to </w:t>
      </w:r>
      <w:r>
        <w:rPr>
          <w:color w:val="231F20"/>
          <w:sz w:val="18"/>
        </w:rPr>
        <w:t>lower milk prices following the renegotiation of milk supply contracts.  Prices of imported foodstuffs and other imported material had also fallen further. Lower material prices had continued to be a downward influence on manufacturers’ output prices. Excluding excise duties, these had fallen by 0.2% in April, taking the annual rate of inflation to -0.2%. Output prices including duties had increased by 0.1% in the month, because of the higher petrol duties announced in the Budget. The CBI Industrial Trends Survey had pointed to continued downward pressure on manufacturers’ prices. The May survey recorded a balance of</w:t>
      </w:r>
    </w:p>
    <w:p>
      <w:pPr>
        <w:pStyle w:val="BodyText"/>
        <w:spacing w:line="232" w:lineRule="auto"/>
        <w:ind w:left="180" w:right="294"/>
      </w:pPr>
      <w:r>
        <w:rPr>
          <w:color w:val="231F20"/>
        </w:rPr>
        <w:t>-12 (seasonally adjusted) for price expectations over the next four months. The close correlation between output price inflation and retail goods price inflation in the past suggested continued downward pressure on retail goods price inflation, consistent with the May </w:t>
      </w:r>
      <w:r>
        <w:rPr>
          <w:i/>
          <w:color w:val="231F20"/>
        </w:rPr>
        <w:t>Inflation Report </w:t>
      </w:r>
      <w:r>
        <w:rPr>
          <w:color w:val="231F20"/>
        </w:rPr>
        <w:t>forecast.</w:t>
      </w:r>
    </w:p>
    <w:p>
      <w:pPr>
        <w:pStyle w:val="BodyText"/>
        <w:spacing w:before="2"/>
        <w:rPr>
          <w:sz w:val="16"/>
        </w:rPr>
      </w:pPr>
    </w:p>
    <w:p>
      <w:pPr>
        <w:pStyle w:val="ListParagraph"/>
        <w:numPr>
          <w:ilvl w:val="0"/>
          <w:numId w:val="48"/>
        </w:numPr>
        <w:tabs>
          <w:tab w:pos="659" w:val="left" w:leader="none"/>
          <w:tab w:pos="661" w:val="left" w:leader="none"/>
        </w:tabs>
        <w:spacing w:line="232" w:lineRule="auto" w:before="1" w:after="0"/>
        <w:ind w:left="180" w:right="161" w:firstLine="0"/>
        <w:jc w:val="left"/>
        <w:rPr>
          <w:sz w:val="18"/>
        </w:rPr>
      </w:pPr>
      <w:r>
        <w:rPr>
          <w:color w:val="231F20"/>
          <w:sz w:val="18"/>
        </w:rPr>
        <w:t>Trade prices had fallen further in March. In particular, there had been a 0.9% fall in import prices (0.7% excluding oil prices). After showing signs of moderating in recent months, the annual </w:t>
      </w:r>
      <w:r>
        <w:rPr>
          <w:color w:val="231F20"/>
          <w:spacing w:val="-5"/>
          <w:sz w:val="18"/>
        </w:rPr>
        <w:t>rate </w:t>
      </w:r>
      <w:r>
        <w:rPr>
          <w:color w:val="231F20"/>
          <w:sz w:val="18"/>
        </w:rPr>
        <w:t>of deflation in import prices increased to 5.4%, from 5.0% in February. Export prices had fallen by 0.3% in March, taking the annual rate to -4.8%. Provisional data for April covering non-EU trade had showed a further fall in import prices of 0.3% (0.5% excluding oil). Export prices to non-EU countries were unchanged in April.</w:t>
      </w:r>
    </w:p>
    <w:p>
      <w:pPr>
        <w:pStyle w:val="BodyText"/>
        <w:spacing w:before="8"/>
        <w:rPr>
          <w:sz w:val="16"/>
        </w:rPr>
      </w:pPr>
    </w:p>
    <w:p>
      <w:pPr>
        <w:pStyle w:val="ListParagraph"/>
        <w:numPr>
          <w:ilvl w:val="0"/>
          <w:numId w:val="48"/>
        </w:numPr>
        <w:tabs>
          <w:tab w:pos="659" w:val="left" w:leader="none"/>
          <w:tab w:pos="661" w:val="left" w:leader="none"/>
        </w:tabs>
        <w:spacing w:line="232" w:lineRule="auto" w:before="1" w:after="0"/>
        <w:ind w:left="180" w:right="236" w:firstLine="0"/>
        <w:jc w:val="left"/>
        <w:rPr>
          <w:sz w:val="18"/>
        </w:rPr>
      </w:pPr>
      <w:r>
        <w:rPr>
          <w:color w:val="231F20"/>
          <w:sz w:val="18"/>
        </w:rPr>
        <w:t>Annual retail price inflation had risen sharply in April on both the RPIX and RPI measures, to 3.0% and 4.0% respectively. The increases had reflected a series of one-off increases in items such as council tax and rents. The reduction in MIRAS announced in the Budget also contributed to the increase in RPI inflation. But the main contribution had come from the increase in petrol duties</w:t>
      </w:r>
    </w:p>
    <w:p>
      <w:pPr>
        <w:spacing w:after="0" w:line="232" w:lineRule="auto"/>
        <w:jc w:val="left"/>
        <w:rPr>
          <w:sz w:val="18"/>
        </w:rPr>
        <w:sectPr>
          <w:type w:val="continuous"/>
          <w:pgSz w:w="11900" w:h="16840"/>
          <w:pgMar w:top="1220" w:bottom="280" w:left="620" w:right="640"/>
          <w:cols w:num="2" w:equalWidth="0">
            <w:col w:w="5128" w:space="264"/>
            <w:col w:w="5248"/>
          </w:cols>
        </w:sectPr>
      </w:pPr>
    </w:p>
    <w:p>
      <w:pPr>
        <w:pStyle w:val="BodyText"/>
        <w:rPr>
          <w:sz w:val="20"/>
        </w:rPr>
      </w:pPr>
    </w:p>
    <w:p>
      <w:pPr>
        <w:spacing w:after="0"/>
        <w:rPr>
          <w:sz w:val="20"/>
        </w:rPr>
        <w:sectPr>
          <w:pgSz w:w="11900" w:h="16840"/>
          <w:pgMar w:header="566" w:footer="597" w:top="760" w:bottom="780" w:left="620" w:right="640"/>
        </w:sectPr>
      </w:pPr>
    </w:p>
    <w:p>
      <w:pPr>
        <w:pStyle w:val="BodyText"/>
        <w:spacing w:before="7"/>
        <w:rPr>
          <w:sz w:val="19"/>
        </w:rPr>
      </w:pPr>
    </w:p>
    <w:p>
      <w:pPr>
        <w:pStyle w:val="BodyText"/>
        <w:spacing w:line="232" w:lineRule="auto" w:before="1"/>
        <w:ind w:left="194" w:right="258"/>
      </w:pPr>
      <w:r>
        <w:rPr>
          <w:color w:val="231F20"/>
        </w:rPr>
        <w:t>announced in the March Budget. These had previously been increased in July last year. Until those effects dropped out of the twelve-month calculation this July, RPIX inflation would be temporarily higher than would otherwise have been the case.</w:t>
      </w:r>
    </w:p>
    <w:p>
      <w:pPr>
        <w:pStyle w:val="BodyText"/>
        <w:spacing w:line="232" w:lineRule="auto"/>
        <w:ind w:left="194" w:right="58"/>
      </w:pPr>
      <w:r>
        <w:rPr>
          <w:color w:val="231F20"/>
        </w:rPr>
        <w:t>Consequently, changes in annual RPIY inflation were considered </w:t>
      </w:r>
      <w:r>
        <w:rPr>
          <w:color w:val="231F20"/>
          <w:spacing w:val="-9"/>
        </w:rPr>
        <w:t>to </w:t>
      </w:r>
      <w:r>
        <w:rPr>
          <w:color w:val="231F20"/>
        </w:rPr>
        <w:t>be more relevant to an assessment of the trend in inflation over the current period.  RPIY inflation increased by 0.1 pp to 2.2% in April, reflecting a rise in services price inflation. The pattern of falling goods price inflation and high services price inflation continued to be evident: RPIY goods price inflation fell to 0.6% (1.0% in March), compared with RPIY services inflation of 3.5%. The trends evident in goods prices in the first quarter of the year had again been apparent in the April data: leisure goods prices fell, with lower audio-visual goods prices, perhaps reflecting the depreciation of East Asian currencies; and new clothing and footwear lines had been introduced into the shops at lower prices than last year, perhaps reflecting further effects from sterling’s appreciation, as demand growth slowed.</w:t>
      </w:r>
    </w:p>
    <w:p>
      <w:pPr>
        <w:pStyle w:val="BodyText"/>
        <w:spacing w:before="10"/>
        <w:rPr>
          <w:sz w:val="17"/>
        </w:rPr>
      </w:pPr>
    </w:p>
    <w:p>
      <w:pPr>
        <w:pStyle w:val="ListParagraph"/>
        <w:numPr>
          <w:ilvl w:val="0"/>
          <w:numId w:val="48"/>
        </w:numPr>
        <w:tabs>
          <w:tab w:pos="674" w:val="left" w:leader="none"/>
          <w:tab w:pos="675" w:val="left" w:leader="none"/>
        </w:tabs>
        <w:spacing w:line="232" w:lineRule="auto" w:before="0" w:after="0"/>
        <w:ind w:left="194" w:right="133" w:firstLine="0"/>
        <w:jc w:val="left"/>
        <w:rPr>
          <w:sz w:val="18"/>
        </w:rPr>
      </w:pPr>
      <w:r>
        <w:rPr>
          <w:color w:val="231F20"/>
          <w:sz w:val="18"/>
        </w:rPr>
        <w:t>Consistent with the picture of falling goods price inflation, retailers’ margins were estimated to have fallen further in 1998 </w:t>
      </w:r>
      <w:r>
        <w:rPr>
          <w:color w:val="231F20"/>
          <w:spacing w:val="-9"/>
          <w:sz w:val="18"/>
        </w:rPr>
        <w:t>Q1 </w:t>
      </w:r>
      <w:r>
        <w:rPr>
          <w:color w:val="231F20"/>
          <w:sz w:val="18"/>
        </w:rPr>
        <w:t>(Bank estimates). This had reflected a fall in the level of goods prices during the quarter, alongside a small rise in total costs.</w:t>
      </w:r>
    </w:p>
    <w:p>
      <w:pPr>
        <w:pStyle w:val="BodyText"/>
        <w:spacing w:line="195" w:lineRule="exact"/>
        <w:ind w:left="194"/>
      </w:pPr>
      <w:r>
        <w:rPr>
          <w:color w:val="231F20"/>
        </w:rPr>
        <w:t>Bank estimates suggested retailers had widened their margins</w:t>
      </w:r>
    </w:p>
    <w:p>
      <w:pPr>
        <w:pStyle w:val="BodyText"/>
        <w:spacing w:line="232" w:lineRule="auto" w:before="2"/>
        <w:ind w:left="194" w:right="146"/>
      </w:pPr>
      <w:r>
        <w:rPr>
          <w:color w:val="231F20"/>
        </w:rPr>
        <w:t>in the last two years. But the recent fall meant that margins were now only 0.3 pp above their level in 1997 Q1, and roughly in line with the average level over the last ten years. The rise and subsequent fall in retail margins had been consistent with a lagged response in retail pricing behaviour to sterling’s appreciation and lower import prices, particularly as the growth in retail sales had slowed.</w:t>
      </w:r>
    </w:p>
    <w:p>
      <w:pPr>
        <w:pStyle w:val="BodyText"/>
        <w:spacing w:before="10"/>
        <w:rPr>
          <w:sz w:val="16"/>
        </w:rPr>
      </w:pPr>
    </w:p>
    <w:p>
      <w:pPr>
        <w:pStyle w:val="ListParagraph"/>
        <w:numPr>
          <w:ilvl w:val="0"/>
          <w:numId w:val="48"/>
        </w:numPr>
        <w:tabs>
          <w:tab w:pos="674" w:val="left" w:leader="none"/>
          <w:tab w:pos="675" w:val="left" w:leader="none"/>
        </w:tabs>
        <w:spacing w:line="232" w:lineRule="auto" w:before="0" w:after="0"/>
        <w:ind w:left="194" w:right="38" w:firstLine="0"/>
        <w:jc w:val="left"/>
        <w:rPr>
          <w:sz w:val="18"/>
        </w:rPr>
      </w:pPr>
      <w:r>
        <w:rPr>
          <w:color w:val="231F20"/>
          <w:sz w:val="18"/>
        </w:rPr>
        <w:t>A further fall in inflation in the M6 economies had been evident in 1998 Q1. This had been larger than most forecasters had expected, and inflation forecasts for 1998 had subsequently been revised down. But in contrast with the M6 economies, UK inflation had not fallen sharply over this period. The reason for the common fall in inflation across the M6 economies appeared to be related to falling commodity prices, and particularly energy prices.</w:t>
      </w:r>
    </w:p>
    <w:p>
      <w:pPr>
        <w:pStyle w:val="BodyText"/>
        <w:spacing w:before="11"/>
        <w:rPr>
          <w:sz w:val="16"/>
        </w:rPr>
      </w:pPr>
    </w:p>
    <w:p>
      <w:pPr>
        <w:pStyle w:val="ListParagraph"/>
        <w:numPr>
          <w:ilvl w:val="0"/>
          <w:numId w:val="48"/>
        </w:numPr>
        <w:tabs>
          <w:tab w:pos="674" w:val="left" w:leader="none"/>
          <w:tab w:pos="675" w:val="left" w:leader="none"/>
        </w:tabs>
        <w:spacing w:line="232" w:lineRule="auto" w:before="0" w:after="0"/>
        <w:ind w:left="194" w:right="118" w:firstLine="0"/>
        <w:jc w:val="left"/>
        <w:rPr>
          <w:sz w:val="18"/>
        </w:rPr>
      </w:pPr>
      <w:r>
        <w:rPr>
          <w:color w:val="231F20"/>
          <w:sz w:val="18"/>
        </w:rPr>
        <w:t>In the United States, energy and petrol prices had accounted for all the fall in CPI inflation in the recent period, while in the United Kingdom there had only been a small negative contribution to inflation from lower energy prices (fuel and light, petrol). It appeared that UK petrol retailers had not yet passed on all the fall in oil prices to consumers. Petrol prices net of duties (RPIY), which were closely correlated with oil prices, had fallen by much less than the oil price in recent months. Retailers may have widened their margins, perhaps as a result of the earlier petrol price-war. Alternatively, because the oil price is a relatively small proportion of the final retail price in the United Kingdom, retailers may allow margins to fluctuate in the short term in response to movements in oil prices, particularly if these movements are expected to be reversed. If oil prices remained lower, there could be some downward pressure on petrol prices this year, though this was unlikely to influence overall inflation prospects in the </w:t>
      </w:r>
      <w:r>
        <w:rPr>
          <w:color w:val="231F20"/>
          <w:spacing w:val="-3"/>
          <w:sz w:val="18"/>
        </w:rPr>
        <w:t>medium </w:t>
      </w:r>
      <w:r>
        <w:rPr>
          <w:color w:val="231F20"/>
          <w:sz w:val="18"/>
        </w:rPr>
        <w:t>term.</w:t>
      </w:r>
    </w:p>
    <w:p>
      <w:pPr>
        <w:pStyle w:val="BodyText"/>
        <w:spacing w:before="6"/>
        <w:rPr>
          <w:sz w:val="19"/>
        </w:rPr>
      </w:pPr>
    </w:p>
    <w:p>
      <w:pPr>
        <w:pStyle w:val="Heading6"/>
        <w:numPr>
          <w:ilvl w:val="0"/>
          <w:numId w:val="47"/>
        </w:numPr>
        <w:tabs>
          <w:tab w:pos="674" w:val="left" w:leader="none"/>
          <w:tab w:pos="675" w:val="left" w:leader="none"/>
        </w:tabs>
        <w:spacing w:line="240" w:lineRule="auto" w:before="0" w:after="0"/>
        <w:ind w:left="674" w:right="0" w:hanging="481"/>
        <w:jc w:val="left"/>
      </w:pPr>
      <w:r>
        <w:rPr>
          <w:color w:val="009483"/>
        </w:rPr>
        <w:t>Financial</w:t>
      </w:r>
      <w:r>
        <w:rPr>
          <w:color w:val="009483"/>
          <w:spacing w:val="-1"/>
        </w:rPr>
        <w:t> </w:t>
      </w:r>
      <w:r>
        <w:rPr>
          <w:color w:val="009483"/>
        </w:rPr>
        <w:t>markets</w:t>
      </w:r>
    </w:p>
    <w:p>
      <w:pPr>
        <w:spacing w:before="104"/>
        <w:ind w:left="194" w:right="0" w:firstLine="0"/>
        <w:jc w:val="left"/>
        <w:rPr>
          <w:i/>
          <w:sz w:val="18"/>
        </w:rPr>
      </w:pPr>
      <w:r>
        <w:rPr>
          <w:i/>
          <w:color w:val="009483"/>
          <w:sz w:val="18"/>
        </w:rPr>
        <w:t>Foreign exchange</w:t>
      </w:r>
    </w:p>
    <w:p>
      <w:pPr>
        <w:pStyle w:val="ListParagraph"/>
        <w:numPr>
          <w:ilvl w:val="0"/>
          <w:numId w:val="48"/>
        </w:numPr>
        <w:tabs>
          <w:tab w:pos="674" w:val="left" w:leader="none"/>
          <w:tab w:pos="675" w:val="left" w:leader="none"/>
        </w:tabs>
        <w:spacing w:line="232" w:lineRule="auto" w:before="118" w:after="0"/>
        <w:ind w:left="194" w:right="203" w:firstLine="0"/>
        <w:jc w:val="left"/>
        <w:rPr>
          <w:sz w:val="18"/>
        </w:rPr>
      </w:pPr>
      <w:r>
        <w:rPr>
          <w:color w:val="231F20"/>
          <w:sz w:val="18"/>
        </w:rPr>
        <w:t>There were three main developments over the month: the fall in sterling; yen weakness; and a strengthening of euro currencies following the ‘euro weekend’ at the beginning of </w:t>
      </w:r>
      <w:r>
        <w:rPr>
          <w:color w:val="231F20"/>
          <w:spacing w:val="-5"/>
          <w:sz w:val="18"/>
        </w:rPr>
        <w:t>May, </w:t>
      </w:r>
      <w:r>
        <w:rPr>
          <w:color w:val="231F20"/>
          <w:sz w:val="18"/>
        </w:rPr>
        <w:t>though the Deutsche Mark had lost ground towards the end of the month.</w:t>
      </w:r>
    </w:p>
    <w:p>
      <w:pPr>
        <w:pStyle w:val="BodyText"/>
        <w:spacing w:before="1"/>
        <w:rPr>
          <w:sz w:val="17"/>
        </w:rPr>
      </w:pPr>
    </w:p>
    <w:p>
      <w:pPr>
        <w:pStyle w:val="ListParagraph"/>
        <w:numPr>
          <w:ilvl w:val="0"/>
          <w:numId w:val="48"/>
        </w:numPr>
        <w:tabs>
          <w:tab w:pos="674" w:val="left" w:leader="none"/>
          <w:tab w:pos="675" w:val="left" w:leader="none"/>
        </w:tabs>
        <w:spacing w:line="232" w:lineRule="auto" w:before="0" w:after="0"/>
        <w:ind w:left="194" w:right="64" w:firstLine="0"/>
        <w:jc w:val="left"/>
        <w:rPr>
          <w:sz w:val="18"/>
        </w:rPr>
      </w:pPr>
      <w:r>
        <w:rPr>
          <w:color w:val="231F20"/>
          <w:sz w:val="18"/>
        </w:rPr>
        <w:t>The sterling effective exchange rate had fallen by 2.6% </w:t>
      </w:r>
      <w:r>
        <w:rPr>
          <w:color w:val="231F20"/>
          <w:spacing w:val="-4"/>
          <w:sz w:val="18"/>
        </w:rPr>
        <w:t>since </w:t>
      </w:r>
      <w:r>
        <w:rPr>
          <w:color w:val="231F20"/>
          <w:sz w:val="18"/>
        </w:rPr>
        <w:t>the end of April. Much of this was in the first few days of May, before the May MPC meeting. The fall seemed to be due partly to EMU-related factors, including a move by trading houses to cover</w:t>
      </w:r>
    </w:p>
    <w:p>
      <w:pPr>
        <w:pStyle w:val="BodyText"/>
        <w:spacing w:before="7"/>
        <w:rPr>
          <w:sz w:val="19"/>
        </w:rPr>
      </w:pPr>
      <w:r>
        <w:rPr/>
        <w:br w:type="column"/>
      </w:r>
      <w:r>
        <w:rPr>
          <w:sz w:val="19"/>
        </w:rPr>
      </w:r>
    </w:p>
    <w:p>
      <w:pPr>
        <w:pStyle w:val="BodyText"/>
        <w:spacing w:line="232" w:lineRule="auto" w:before="1"/>
        <w:ind w:left="194" w:right="297"/>
      </w:pPr>
      <w:r>
        <w:rPr>
          <w:color w:val="231F20"/>
        </w:rPr>
        <w:t>short positions in euros now that uncertainty about the start date and membership of EMU and the ECB Executive Board had been resolved. This was consistent with the analysis of excess returns based on Consensus surveys of forecasts reported in ‘Monetary conditions’ above.</w:t>
      </w:r>
    </w:p>
    <w:p>
      <w:pPr>
        <w:pStyle w:val="BodyText"/>
        <w:spacing w:before="6"/>
        <w:rPr>
          <w:sz w:val="20"/>
        </w:rPr>
      </w:pPr>
    </w:p>
    <w:p>
      <w:pPr>
        <w:pStyle w:val="ListParagraph"/>
        <w:numPr>
          <w:ilvl w:val="0"/>
          <w:numId w:val="48"/>
        </w:numPr>
        <w:tabs>
          <w:tab w:pos="674" w:val="left" w:leader="none"/>
          <w:tab w:pos="675" w:val="left" w:leader="none"/>
        </w:tabs>
        <w:spacing w:line="232" w:lineRule="auto" w:before="0" w:after="0"/>
        <w:ind w:left="194" w:right="165" w:firstLine="0"/>
        <w:jc w:val="left"/>
        <w:rPr>
          <w:sz w:val="18"/>
        </w:rPr>
      </w:pPr>
      <w:r>
        <w:rPr>
          <w:color w:val="231F20"/>
          <w:sz w:val="18"/>
        </w:rPr>
        <w:t>Uncertainty about the pound/Deutsche Mark exchange rate, measured by implied volatility on currency options, increased at </w:t>
      </w:r>
      <w:r>
        <w:rPr>
          <w:color w:val="231F20"/>
          <w:spacing w:val="-6"/>
          <w:sz w:val="18"/>
        </w:rPr>
        <w:t>the </w:t>
      </w:r>
      <w:r>
        <w:rPr>
          <w:color w:val="231F20"/>
          <w:sz w:val="18"/>
        </w:rPr>
        <w:t>one-month horizon around the time of the euro weekend. But longer horizon pound/Deutsche Mark uncertainty had changed little. Implied correlations between the pound and Deutsche Mark showed a fall at the one-month horizon, whereas the implied correlation between the pound and dollar was little changed. An increased prospect of EMU-related news in the short term was consistent with this behaviour, but the lack of a longer-term response did not support the explanation for sterling’s fall being a fundamental reassessment of its ‘safe-haven’ status.</w:t>
      </w:r>
    </w:p>
    <w:p>
      <w:pPr>
        <w:pStyle w:val="BodyText"/>
        <w:spacing w:before="1"/>
        <w:rPr>
          <w:sz w:val="20"/>
        </w:rPr>
      </w:pPr>
    </w:p>
    <w:p>
      <w:pPr>
        <w:pStyle w:val="ListParagraph"/>
        <w:numPr>
          <w:ilvl w:val="0"/>
          <w:numId w:val="48"/>
        </w:numPr>
        <w:tabs>
          <w:tab w:pos="674" w:val="left" w:leader="none"/>
          <w:tab w:pos="675" w:val="left" w:leader="none"/>
        </w:tabs>
        <w:spacing w:line="232" w:lineRule="auto" w:before="0" w:after="0"/>
        <w:ind w:left="194" w:right="225" w:firstLine="0"/>
        <w:jc w:val="left"/>
        <w:rPr>
          <w:sz w:val="18"/>
        </w:rPr>
      </w:pPr>
      <w:r>
        <w:rPr>
          <w:color w:val="231F20"/>
          <w:sz w:val="18"/>
        </w:rPr>
        <w:t>The international foreign exchange background was dominated by yen weakness. The yen had fallen by 4.6% during the month, reaching a seven-year low against the dollar, of 139, on May 29. Yen depreciation reflected the weakness of the domestic economy, and concerns about Indonesia and other parts of Asia. The F</w:t>
      </w:r>
      <w:r>
        <w:rPr>
          <w:color w:val="231F20"/>
          <w:sz w:val="14"/>
        </w:rPr>
        <w:t>OMC</w:t>
      </w:r>
      <w:r>
        <w:rPr>
          <w:color w:val="231F20"/>
          <w:sz w:val="18"/>
        </w:rPr>
        <w:t>’s move to a tightening monetary policy bias, announced on May 21, came as no surprise to the exchange markets. The Deutsche Mark appreciated modestly during the month, its moves moderated by the fact that euro currencies account for 57% of its effective index, but moved down on concerns about Russia later in the month.</w:t>
      </w:r>
    </w:p>
    <w:p>
      <w:pPr>
        <w:pStyle w:val="BodyText"/>
        <w:spacing w:before="8"/>
        <w:rPr>
          <w:sz w:val="19"/>
        </w:rPr>
      </w:pPr>
    </w:p>
    <w:p>
      <w:pPr>
        <w:spacing w:before="0"/>
        <w:ind w:left="194" w:right="0" w:firstLine="0"/>
        <w:jc w:val="left"/>
        <w:rPr>
          <w:i/>
          <w:sz w:val="18"/>
        </w:rPr>
      </w:pPr>
      <w:r>
        <w:rPr>
          <w:i/>
          <w:color w:val="009483"/>
          <w:sz w:val="18"/>
        </w:rPr>
        <w:t>Bond and money markets</w:t>
      </w:r>
    </w:p>
    <w:p>
      <w:pPr>
        <w:pStyle w:val="ListParagraph"/>
        <w:numPr>
          <w:ilvl w:val="0"/>
          <w:numId w:val="48"/>
        </w:numPr>
        <w:tabs>
          <w:tab w:pos="674" w:val="left" w:leader="none"/>
          <w:tab w:pos="675" w:val="left" w:leader="none"/>
        </w:tabs>
        <w:spacing w:line="232" w:lineRule="auto" w:before="138" w:after="0"/>
        <w:ind w:left="194" w:right="259" w:firstLine="0"/>
        <w:jc w:val="left"/>
        <w:rPr>
          <w:sz w:val="18"/>
        </w:rPr>
      </w:pPr>
      <w:r>
        <w:rPr>
          <w:color w:val="231F20"/>
          <w:sz w:val="18"/>
        </w:rPr>
        <w:t>The main feature of the month was a reappraisal of the market’s previous optimism about the prospects for cuts in </w:t>
      </w:r>
      <w:r>
        <w:rPr>
          <w:color w:val="231F20"/>
          <w:spacing w:val="-3"/>
          <w:sz w:val="18"/>
        </w:rPr>
        <w:t>official </w:t>
      </w:r>
      <w:r>
        <w:rPr>
          <w:color w:val="231F20"/>
          <w:sz w:val="18"/>
        </w:rPr>
        <w:t>UK interest rates next year. Gilt-edged yields were broadly unchanged since the previous MPC, in common with most international markets.</w:t>
      </w:r>
    </w:p>
    <w:p>
      <w:pPr>
        <w:pStyle w:val="BodyText"/>
        <w:spacing w:before="6"/>
        <w:rPr>
          <w:sz w:val="20"/>
        </w:rPr>
      </w:pPr>
    </w:p>
    <w:p>
      <w:pPr>
        <w:pStyle w:val="ListParagraph"/>
        <w:numPr>
          <w:ilvl w:val="0"/>
          <w:numId w:val="48"/>
        </w:numPr>
        <w:tabs>
          <w:tab w:pos="674" w:val="left" w:leader="none"/>
          <w:tab w:pos="675" w:val="left" w:leader="none"/>
        </w:tabs>
        <w:spacing w:line="232" w:lineRule="auto" w:before="0" w:after="0"/>
        <w:ind w:left="194" w:right="146" w:firstLine="0"/>
        <w:jc w:val="left"/>
        <w:rPr>
          <w:sz w:val="18"/>
        </w:rPr>
      </w:pPr>
      <w:r>
        <w:rPr>
          <w:color w:val="231F20"/>
          <w:sz w:val="18"/>
        </w:rPr>
        <w:t>Short-term interest rate expectations drifted up following the euro weekend, accompanying the fall in sterling. Domestically, the most significant impact on short sterling came on May 13. The release of higher-than-expected average earnings data initially had </w:t>
      </w:r>
      <w:r>
        <w:rPr>
          <w:color w:val="231F20"/>
          <w:spacing w:val="-18"/>
          <w:sz w:val="18"/>
        </w:rPr>
        <w:t>a </w:t>
      </w:r>
      <w:r>
        <w:rPr>
          <w:color w:val="231F20"/>
          <w:sz w:val="18"/>
        </w:rPr>
        <w:t>material impact, while the May </w:t>
      </w:r>
      <w:r>
        <w:rPr>
          <w:i/>
          <w:color w:val="231F20"/>
          <w:sz w:val="18"/>
        </w:rPr>
        <w:t>Inflation Report </w:t>
      </w:r>
      <w:r>
        <w:rPr>
          <w:color w:val="231F20"/>
          <w:sz w:val="18"/>
        </w:rPr>
        <w:t>seemed to have little effect. Short rate expectations rose further as market participants and the press digested the new information and analysis in detail. Later, the retail sales data were seen as soft and some of the rise in expectations was reversed. Despite these movements in short sterling, market participants did not expect a move in the Bank’s repo rate for some months.  The gap between interbank rates implied by short sterling futures and the repo rate had widened since last summer to around 30 basis points (from 20–25 basis points).  So the June 1998 contract, pricing in three-month interbank rates of 7.50%, discounted official rates close to the current 7</w:t>
      </w:r>
      <w:r>
        <w:rPr>
          <w:color w:val="231F20"/>
          <w:position w:val="6"/>
          <w:sz w:val="9"/>
        </w:rPr>
        <w:t>1</w:t>
      </w:r>
      <w:r>
        <w:rPr>
          <w:color w:val="231F20"/>
          <w:sz w:val="18"/>
        </w:rPr>
        <w:t>/</w:t>
      </w:r>
      <w:r>
        <w:rPr>
          <w:color w:val="231F20"/>
          <w:sz w:val="9"/>
        </w:rPr>
        <w:t>4</w:t>
      </w:r>
      <w:r>
        <w:rPr>
          <w:color w:val="231F20"/>
          <w:sz w:val="18"/>
        </w:rPr>
        <w:t>%</w:t>
      </w:r>
      <w:r>
        <w:rPr>
          <w:color w:val="231F20"/>
          <w:spacing w:val="-1"/>
          <w:sz w:val="18"/>
        </w:rPr>
        <w:t> </w:t>
      </w:r>
      <w:r>
        <w:rPr>
          <w:color w:val="231F20"/>
          <w:sz w:val="18"/>
        </w:rPr>
        <w:t>level.</w:t>
      </w:r>
    </w:p>
    <w:p>
      <w:pPr>
        <w:pStyle w:val="BodyText"/>
        <w:spacing w:before="9"/>
        <w:rPr>
          <w:sz w:val="19"/>
        </w:rPr>
      </w:pPr>
    </w:p>
    <w:p>
      <w:pPr>
        <w:pStyle w:val="ListParagraph"/>
        <w:numPr>
          <w:ilvl w:val="0"/>
          <w:numId w:val="48"/>
        </w:numPr>
        <w:tabs>
          <w:tab w:pos="674" w:val="left" w:leader="none"/>
          <w:tab w:pos="675" w:val="left" w:leader="none"/>
        </w:tabs>
        <w:spacing w:line="232" w:lineRule="auto" w:before="1" w:after="0"/>
        <w:ind w:left="194" w:right="145" w:firstLine="0"/>
        <w:jc w:val="left"/>
        <w:rPr>
          <w:sz w:val="18"/>
        </w:rPr>
      </w:pPr>
      <w:r>
        <w:rPr>
          <w:color w:val="231F20"/>
          <w:sz w:val="18"/>
        </w:rPr>
        <w:t>Gilt yields were stable over the month as a whole. They rose at the beginning of May, influenced by weak sterling and then the earnings data and </w:t>
      </w:r>
      <w:r>
        <w:rPr>
          <w:i/>
          <w:color w:val="231F20"/>
          <w:sz w:val="18"/>
        </w:rPr>
        <w:t>Inflation Report</w:t>
      </w:r>
      <w:r>
        <w:rPr>
          <w:color w:val="231F20"/>
          <w:sz w:val="18"/>
        </w:rPr>
        <w:t>. They fell later in the month, supported by the well-covered 30-year gilt auction, the possibility of lower supply after the latest PSBR data and, later, a ‘flight to quality’ as there were further concerns about Asia and then Russia. Real yields on index-linked bonds fell at the longer end and rose at the short end. But real yields were particularly difficult to interpret this month, because they were affected by the release of the RPI for April. Although the April RPI was broadly in line with market expectations, so that bond prices were little changed on the news, the increase in RPI was much higher than the market’s </w:t>
      </w:r>
      <w:r>
        <w:rPr>
          <w:color w:val="231F20"/>
          <w:spacing w:val="-2"/>
          <w:sz w:val="18"/>
        </w:rPr>
        <w:t>conventional </w:t>
      </w:r>
      <w:r>
        <w:rPr>
          <w:color w:val="231F20"/>
          <w:sz w:val="18"/>
        </w:rPr>
        <w:t>assumption embodied in the calculation of real yields. Real spot yields jumped up on the day of the news and the derived inflation expectation curve jumped down. The movement was particularly sharp at the short end.</w:t>
      </w:r>
    </w:p>
    <w:p>
      <w:pPr>
        <w:spacing w:after="0" w:line="232" w:lineRule="auto"/>
        <w:jc w:val="left"/>
        <w:rPr>
          <w:sz w:val="18"/>
        </w:rPr>
        <w:sectPr>
          <w:type w:val="continuous"/>
          <w:pgSz w:w="11900" w:h="16840"/>
          <w:pgMar w:top="1220" w:bottom="280" w:left="620" w:right="640"/>
          <w:cols w:num="2" w:equalWidth="0">
            <w:col w:w="5139" w:space="251"/>
            <w:col w:w="5250"/>
          </w:cols>
        </w:sectPr>
      </w:pPr>
    </w:p>
    <w:p>
      <w:pPr>
        <w:pStyle w:val="BodyText"/>
        <w:rPr>
          <w:sz w:val="20"/>
        </w:rPr>
      </w:pPr>
    </w:p>
    <w:p>
      <w:pPr>
        <w:pStyle w:val="BodyText"/>
        <w:spacing w:before="1"/>
        <w:rPr>
          <w:sz w:val="20"/>
        </w:rPr>
      </w:pPr>
    </w:p>
    <w:p>
      <w:pPr>
        <w:spacing w:before="0"/>
        <w:ind w:left="180" w:right="0" w:firstLine="0"/>
        <w:jc w:val="left"/>
        <w:rPr>
          <w:i/>
          <w:sz w:val="18"/>
        </w:rPr>
      </w:pPr>
      <w:r>
        <w:rPr>
          <w:i/>
          <w:color w:val="009483"/>
          <w:sz w:val="18"/>
        </w:rPr>
        <w:t>Equities</w:t>
      </w:r>
    </w:p>
    <w:p>
      <w:pPr>
        <w:pStyle w:val="ListParagraph"/>
        <w:numPr>
          <w:ilvl w:val="0"/>
          <w:numId w:val="48"/>
        </w:numPr>
        <w:tabs>
          <w:tab w:pos="659" w:val="left" w:leader="none"/>
          <w:tab w:pos="661" w:val="left" w:leader="none"/>
        </w:tabs>
        <w:spacing w:line="232" w:lineRule="auto" w:before="118" w:after="0"/>
        <w:ind w:left="179" w:right="5708" w:firstLine="0"/>
        <w:jc w:val="left"/>
        <w:rPr>
          <w:sz w:val="18"/>
        </w:rPr>
      </w:pPr>
      <w:r>
        <w:rPr>
          <w:color w:val="231F20"/>
          <w:sz w:val="18"/>
        </w:rPr>
        <w:t>UK and US equity markets had fallen slightly since the </w:t>
      </w:r>
      <w:r>
        <w:rPr>
          <w:color w:val="231F20"/>
          <w:spacing w:val="-5"/>
          <w:sz w:val="18"/>
        </w:rPr>
        <w:t>last </w:t>
      </w:r>
      <w:r>
        <w:rPr>
          <w:color w:val="231F20"/>
          <w:sz w:val="18"/>
        </w:rPr>
        <w:t>MPC. In the United Kingdom, the F</w:t>
      </w:r>
      <w:r>
        <w:rPr>
          <w:color w:val="231F20"/>
          <w:sz w:val="14"/>
        </w:rPr>
        <w:t>T-SE </w:t>
      </w:r>
      <w:r>
        <w:rPr>
          <w:color w:val="231F20"/>
          <w:sz w:val="18"/>
        </w:rPr>
        <w:t>250 and small capitalisation indices had risen, in contrast with the F</w:t>
      </w:r>
      <w:r>
        <w:rPr>
          <w:color w:val="231F20"/>
          <w:sz w:val="14"/>
        </w:rPr>
        <w:t>T-SE </w:t>
      </w:r>
      <w:r>
        <w:rPr>
          <w:color w:val="231F20"/>
          <w:sz w:val="18"/>
        </w:rPr>
        <w:t>100. It had been suggested that renewed concerns about Asia lay behind the recent weakening of the F</w:t>
      </w:r>
      <w:r>
        <w:rPr>
          <w:color w:val="231F20"/>
          <w:sz w:val="14"/>
        </w:rPr>
        <w:t>T-SE </w:t>
      </w:r>
      <w:r>
        <w:rPr>
          <w:color w:val="231F20"/>
          <w:sz w:val="18"/>
        </w:rPr>
        <w:t>100, though evidence on the stocks with the most direct exposure to Asia did not support this.</w:t>
      </w:r>
    </w:p>
    <w:p>
      <w:pPr>
        <w:pStyle w:val="BodyText"/>
        <w:rPr>
          <w:sz w:val="17"/>
        </w:rPr>
      </w:pPr>
    </w:p>
    <w:p>
      <w:pPr>
        <w:pStyle w:val="ListParagraph"/>
        <w:numPr>
          <w:ilvl w:val="0"/>
          <w:numId w:val="48"/>
        </w:numPr>
        <w:tabs>
          <w:tab w:pos="659" w:val="left" w:leader="none"/>
          <w:tab w:pos="661" w:val="left" w:leader="none"/>
        </w:tabs>
        <w:spacing w:line="232" w:lineRule="auto" w:before="0" w:after="0"/>
        <w:ind w:left="179" w:right="5550" w:firstLine="0"/>
        <w:jc w:val="left"/>
        <w:rPr>
          <w:sz w:val="18"/>
        </w:rPr>
      </w:pPr>
      <w:r>
        <w:rPr>
          <w:color w:val="231F20"/>
          <w:sz w:val="18"/>
        </w:rPr>
        <w:t>Implied volatility of the UK and US equity markets had fallen to levels before the Asian crisis in the fourth quarter of last year. The negative skew in the probabilities attached to future levels of the F</w:t>
      </w:r>
      <w:r>
        <w:rPr>
          <w:color w:val="231F20"/>
          <w:sz w:val="14"/>
        </w:rPr>
        <w:t>T-SE </w:t>
      </w:r>
      <w:r>
        <w:rPr>
          <w:color w:val="231F20"/>
          <w:sz w:val="18"/>
        </w:rPr>
        <w:t>100 (measured by the gap between mean and mode as a percentage of mode), which had increased after the </w:t>
      </w:r>
      <w:r>
        <w:rPr>
          <w:color w:val="231F20"/>
          <w:spacing w:val="-4"/>
          <w:sz w:val="18"/>
        </w:rPr>
        <w:t>Asian </w:t>
      </w:r>
      <w:r>
        <w:rPr>
          <w:color w:val="231F20"/>
          <w:sz w:val="18"/>
        </w:rPr>
        <w:t>crisis, had returned to its five-year average.</w:t>
      </w:r>
    </w:p>
    <w:p>
      <w:pPr>
        <w:spacing w:after="0" w:line="232" w:lineRule="auto"/>
        <w:jc w:val="left"/>
        <w:rPr>
          <w:sz w:val="18"/>
        </w:rPr>
        <w:sectPr>
          <w:pgSz w:w="11900" w:h="16840"/>
          <w:pgMar w:header="566" w:footer="597" w:top="760" w:bottom="780" w:left="620" w:right="640"/>
        </w:sectPr>
      </w:pPr>
    </w:p>
    <w:p>
      <w:pPr>
        <w:pStyle w:val="BodyText"/>
        <w:rPr>
          <w:sz w:val="20"/>
        </w:rPr>
      </w:pPr>
    </w:p>
    <w:p>
      <w:pPr>
        <w:pStyle w:val="BodyText"/>
        <w:rPr>
          <w:sz w:val="20"/>
        </w:rPr>
      </w:pPr>
    </w:p>
    <w:p>
      <w:pPr>
        <w:pStyle w:val="BodyText"/>
        <w:rPr>
          <w:sz w:val="20"/>
        </w:rPr>
      </w:pPr>
    </w:p>
    <w:p>
      <w:pPr>
        <w:pStyle w:val="BodyText"/>
        <w:spacing w:before="4"/>
        <w:rPr>
          <w:sz w:val="23"/>
        </w:rPr>
      </w:pPr>
    </w:p>
    <w:p>
      <w:pPr>
        <w:pStyle w:val="BodyText"/>
        <w:spacing w:line="203" w:lineRule="exact" w:before="93"/>
        <w:ind w:left="1294" w:right="1254"/>
        <w:jc w:val="center"/>
      </w:pPr>
      <w:r>
        <w:rPr>
          <w:color w:val="231F20"/>
        </w:rPr>
        <w:t>Treasury Chambers, Parliament Street, London, SWIP 3AG</w:t>
      </w:r>
    </w:p>
    <w:p>
      <w:pPr>
        <w:spacing w:line="203" w:lineRule="exact" w:before="0"/>
        <w:ind w:left="1294" w:right="1254" w:firstLine="0"/>
        <w:jc w:val="center"/>
        <w:rPr>
          <w:i/>
          <w:sz w:val="18"/>
        </w:rPr>
      </w:pPr>
      <w:r>
        <w:rPr>
          <w:i/>
          <w:color w:val="231F20"/>
          <w:sz w:val="18"/>
        </w:rPr>
        <w:t>0171-270 5000</w:t>
      </w:r>
    </w:p>
    <w:p>
      <w:pPr>
        <w:pStyle w:val="BodyText"/>
        <w:rPr>
          <w:i/>
          <w:sz w:val="20"/>
        </w:rPr>
      </w:pPr>
    </w:p>
    <w:p>
      <w:pPr>
        <w:pStyle w:val="BodyText"/>
        <w:spacing w:before="6"/>
        <w:rPr>
          <w:i/>
          <w:sz w:val="23"/>
        </w:rPr>
      </w:pPr>
    </w:p>
    <w:p>
      <w:pPr>
        <w:pStyle w:val="BodyText"/>
        <w:spacing w:before="92"/>
        <w:ind w:right="157"/>
        <w:jc w:val="right"/>
      </w:pPr>
      <w:r>
        <w:rPr>
          <w:color w:val="231F20"/>
        </w:rPr>
        <w:t>3 June 1998</w:t>
      </w:r>
    </w:p>
    <w:p>
      <w:pPr>
        <w:pStyle w:val="BodyText"/>
        <w:spacing w:before="9"/>
        <w:rPr>
          <w:sz w:val="8"/>
        </w:rPr>
      </w:pPr>
    </w:p>
    <w:p>
      <w:pPr>
        <w:spacing w:line="232" w:lineRule="auto" w:before="97"/>
        <w:ind w:left="199" w:right="9120" w:firstLine="0"/>
        <w:jc w:val="left"/>
        <w:rPr>
          <w:b/>
          <w:sz w:val="18"/>
        </w:rPr>
      </w:pPr>
      <w:r>
        <w:rPr>
          <w:b/>
          <w:color w:val="231F20"/>
          <w:sz w:val="18"/>
        </w:rPr>
        <w:t>The Governor Bank of England</w:t>
      </w:r>
    </w:p>
    <w:p>
      <w:pPr>
        <w:spacing w:line="232" w:lineRule="auto" w:before="0"/>
        <w:ind w:left="199" w:right="8856" w:firstLine="0"/>
        <w:jc w:val="left"/>
        <w:rPr>
          <w:b/>
          <w:sz w:val="18"/>
        </w:rPr>
      </w:pPr>
      <w:r>
        <w:rPr>
          <w:b/>
          <w:color w:val="231F20"/>
          <w:sz w:val="18"/>
        </w:rPr>
        <w:t>Threadneedle Street London EC2R 8AH</w:t>
      </w:r>
    </w:p>
    <w:p>
      <w:pPr>
        <w:pStyle w:val="BodyText"/>
        <w:rPr>
          <w:b/>
          <w:sz w:val="20"/>
        </w:rPr>
      </w:pPr>
    </w:p>
    <w:p>
      <w:pPr>
        <w:pStyle w:val="BodyText"/>
        <w:rPr>
          <w:b/>
          <w:sz w:val="20"/>
        </w:rPr>
      </w:pPr>
    </w:p>
    <w:p>
      <w:pPr>
        <w:spacing w:before="132"/>
        <w:ind w:left="199" w:right="0" w:firstLine="0"/>
        <w:jc w:val="left"/>
        <w:rPr>
          <w:b/>
          <w:sz w:val="18"/>
        </w:rPr>
      </w:pPr>
      <w:r>
        <w:rPr>
          <w:b/>
          <w:color w:val="009483"/>
          <w:sz w:val="18"/>
        </w:rPr>
        <w:t>REMIT FOR THE MONETARY POLICY COMMITTEE</w:t>
      </w:r>
    </w:p>
    <w:p>
      <w:pPr>
        <w:pStyle w:val="BodyText"/>
        <w:spacing w:before="3"/>
        <w:rPr>
          <w:b/>
          <w:sz w:val="17"/>
        </w:rPr>
      </w:pPr>
    </w:p>
    <w:p>
      <w:pPr>
        <w:pStyle w:val="BodyText"/>
        <w:spacing w:line="232" w:lineRule="auto"/>
        <w:ind w:left="199"/>
      </w:pPr>
      <w:r>
        <w:rPr>
          <w:color w:val="231F20"/>
        </w:rPr>
        <w:t>The Bank of England Act came into effect on June 1. The Act states that in relation to monetary policy, the objectives of the Bank of England shall be</w:t>
      </w:r>
    </w:p>
    <w:p>
      <w:pPr>
        <w:pStyle w:val="BodyText"/>
        <w:spacing w:before="9"/>
        <w:rPr>
          <w:sz w:val="16"/>
        </w:rPr>
      </w:pPr>
    </w:p>
    <w:p>
      <w:pPr>
        <w:pStyle w:val="ListParagraph"/>
        <w:numPr>
          <w:ilvl w:val="1"/>
          <w:numId w:val="48"/>
        </w:numPr>
        <w:tabs>
          <w:tab w:pos="1241" w:val="left" w:leader="none"/>
        </w:tabs>
        <w:spacing w:line="203" w:lineRule="exact" w:before="0" w:after="0"/>
        <w:ind w:left="1240" w:right="0" w:hanging="322"/>
        <w:jc w:val="left"/>
        <w:rPr>
          <w:sz w:val="18"/>
        </w:rPr>
      </w:pPr>
      <w:r>
        <w:rPr>
          <w:color w:val="231F20"/>
          <w:sz w:val="18"/>
        </w:rPr>
        <w:t>to maintain price stability, and</w:t>
      </w:r>
    </w:p>
    <w:p>
      <w:pPr>
        <w:pStyle w:val="ListParagraph"/>
        <w:numPr>
          <w:ilvl w:val="1"/>
          <w:numId w:val="48"/>
        </w:numPr>
        <w:tabs>
          <w:tab w:pos="1241" w:val="left" w:leader="none"/>
        </w:tabs>
        <w:spacing w:line="232" w:lineRule="auto" w:before="2" w:after="0"/>
        <w:ind w:left="1239" w:right="4633" w:hanging="320"/>
        <w:jc w:val="left"/>
        <w:rPr>
          <w:sz w:val="18"/>
        </w:rPr>
      </w:pPr>
      <w:r>
        <w:rPr>
          <w:color w:val="231F20"/>
          <w:sz w:val="18"/>
        </w:rPr>
        <w:t>subject to that, to support the economic policy of Her Majesty’s Government, including its objectives for growth and</w:t>
      </w:r>
      <w:r>
        <w:rPr>
          <w:color w:val="231F20"/>
          <w:spacing w:val="-16"/>
          <w:sz w:val="18"/>
        </w:rPr>
        <w:t> </w:t>
      </w:r>
      <w:r>
        <w:rPr>
          <w:color w:val="231F20"/>
          <w:sz w:val="18"/>
        </w:rPr>
        <w:t>employment.</w:t>
      </w:r>
    </w:p>
    <w:p>
      <w:pPr>
        <w:pStyle w:val="BodyText"/>
        <w:spacing w:before="2"/>
        <w:rPr>
          <w:sz w:val="17"/>
        </w:rPr>
      </w:pPr>
    </w:p>
    <w:p>
      <w:pPr>
        <w:pStyle w:val="BodyText"/>
        <w:spacing w:line="232" w:lineRule="auto" w:before="1"/>
        <w:ind w:left="199" w:right="588"/>
      </w:pPr>
      <w:r>
        <w:rPr>
          <w:color w:val="231F20"/>
        </w:rPr>
        <w:t>In order to comply with the Act, this remit sets out what price stability should be taken to consist of and what the economic policy of the Government should be taken to be.</w:t>
      </w:r>
    </w:p>
    <w:p>
      <w:pPr>
        <w:pStyle w:val="BodyText"/>
        <w:spacing w:before="9"/>
        <w:rPr>
          <w:sz w:val="16"/>
        </w:rPr>
      </w:pPr>
    </w:p>
    <w:p>
      <w:pPr>
        <w:spacing w:before="0"/>
        <w:ind w:left="199" w:right="0" w:firstLine="0"/>
        <w:jc w:val="left"/>
        <w:rPr>
          <w:b/>
          <w:sz w:val="18"/>
        </w:rPr>
      </w:pPr>
      <w:r>
        <w:rPr>
          <w:b/>
          <w:color w:val="009483"/>
          <w:sz w:val="18"/>
        </w:rPr>
        <w:t>Price stability</w:t>
      </w:r>
    </w:p>
    <w:p>
      <w:pPr>
        <w:pStyle w:val="BodyText"/>
        <w:spacing w:before="2"/>
        <w:rPr>
          <w:b/>
          <w:sz w:val="17"/>
        </w:rPr>
      </w:pPr>
    </w:p>
    <w:p>
      <w:pPr>
        <w:pStyle w:val="BodyText"/>
        <w:spacing w:line="232" w:lineRule="auto" w:before="1"/>
        <w:ind w:left="199" w:right="319"/>
      </w:pPr>
      <w:r>
        <w:rPr>
          <w:color w:val="231F20"/>
        </w:rPr>
        <w:t>I confirm that the operational target for monetary policy remains an underlying inflation rate (measured by the 12-month increase in the RPI excluding mortgage interest payments) of 2</w:t>
      </w:r>
      <w:r>
        <w:rPr>
          <w:color w:val="231F20"/>
          <w:position w:val="6"/>
          <w:sz w:val="9"/>
        </w:rPr>
        <w:t>1</w:t>
      </w:r>
      <w:r>
        <w:rPr>
          <w:color w:val="231F20"/>
        </w:rPr>
        <w:t>/</w:t>
      </w:r>
      <w:r>
        <w:rPr>
          <w:color w:val="231F20"/>
          <w:sz w:val="9"/>
        </w:rPr>
        <w:t>2 </w:t>
      </w:r>
      <w:r>
        <w:rPr>
          <w:color w:val="231F20"/>
        </w:rPr>
        <w:t>per cent. The inflation target is 2</w:t>
      </w:r>
      <w:r>
        <w:rPr>
          <w:color w:val="231F20"/>
          <w:position w:val="6"/>
          <w:sz w:val="9"/>
        </w:rPr>
        <w:t>1</w:t>
      </w:r>
      <w:r>
        <w:rPr>
          <w:color w:val="231F20"/>
        </w:rPr>
        <w:t>/</w:t>
      </w:r>
      <w:r>
        <w:rPr>
          <w:color w:val="231F20"/>
          <w:sz w:val="9"/>
        </w:rPr>
        <w:t>2 </w:t>
      </w:r>
      <w:r>
        <w:rPr>
          <w:color w:val="231F20"/>
        </w:rPr>
        <w:t>per cent at all times: that is the rate which the MPC is required to achieve and for which it is accountable.</w:t>
      </w:r>
    </w:p>
    <w:p>
      <w:pPr>
        <w:pStyle w:val="BodyText"/>
        <w:spacing w:before="2"/>
        <w:rPr>
          <w:sz w:val="17"/>
        </w:rPr>
      </w:pPr>
    </w:p>
    <w:p>
      <w:pPr>
        <w:pStyle w:val="BodyText"/>
        <w:spacing w:line="232" w:lineRule="auto"/>
        <w:ind w:left="200" w:right="271"/>
        <w:jc w:val="both"/>
      </w:pPr>
      <w:r>
        <w:rPr>
          <w:color w:val="231F20"/>
        </w:rPr>
        <w:t>My intention is to lock into our policy making system a commitment to consistently low inflation in the long term. The real stability that we need will be achieved not when we meet the inflation target one or two months in succession but when we can confidently expect inflation to remain low and stable for a long period of time.</w:t>
      </w:r>
    </w:p>
    <w:p>
      <w:pPr>
        <w:pStyle w:val="BodyText"/>
        <w:spacing w:before="2"/>
        <w:rPr>
          <w:sz w:val="17"/>
        </w:rPr>
      </w:pPr>
    </w:p>
    <w:p>
      <w:pPr>
        <w:pStyle w:val="BodyText"/>
        <w:spacing w:line="232" w:lineRule="auto"/>
        <w:ind w:left="200" w:right="302"/>
        <w:jc w:val="both"/>
      </w:pPr>
      <w:r>
        <w:rPr>
          <w:color w:val="231F20"/>
        </w:rPr>
        <w:t>The framework takes into account that any economy at some point can suffer from external events or temporary difficulties, often beyond its control. The framework is based on the recognition that the actual inflation rate will on occasions depart from its target as a result of shocks and disturbances. Attempts to keep inflation at the inflation target in these circumstances may cause undesirable volatility in output.</w:t>
      </w:r>
    </w:p>
    <w:p>
      <w:pPr>
        <w:pStyle w:val="BodyText"/>
        <w:spacing w:before="2"/>
        <w:rPr>
          <w:sz w:val="17"/>
        </w:rPr>
      </w:pPr>
    </w:p>
    <w:p>
      <w:pPr>
        <w:pStyle w:val="BodyText"/>
        <w:spacing w:line="232" w:lineRule="auto"/>
        <w:ind w:left="200" w:right="221"/>
        <w:jc w:val="both"/>
      </w:pPr>
      <w:r>
        <w:rPr>
          <w:color w:val="231F20"/>
        </w:rPr>
        <w:t>But if inflation moves away from the target by more than 1 percentage point in either direction I shall expect you to send an open letter to me, following the meeting of the Monetary Policy Committee and referring as necessary to the Bank’s Inflation Report</w:t>
      </w:r>
      <w:r>
        <w:rPr>
          <w:i/>
          <w:color w:val="231F20"/>
        </w:rPr>
        <w:t>, </w:t>
      </w:r>
      <w:r>
        <w:rPr>
          <w:color w:val="231F20"/>
        </w:rPr>
        <w:t>setting out:</w:t>
      </w:r>
    </w:p>
    <w:p>
      <w:pPr>
        <w:pStyle w:val="BodyText"/>
        <w:spacing w:before="9"/>
        <w:rPr>
          <w:sz w:val="16"/>
        </w:rPr>
      </w:pPr>
    </w:p>
    <w:p>
      <w:pPr>
        <w:pStyle w:val="ListParagraph"/>
        <w:numPr>
          <w:ilvl w:val="0"/>
          <w:numId w:val="49"/>
        </w:numPr>
        <w:tabs>
          <w:tab w:pos="679" w:val="left" w:leader="none"/>
          <w:tab w:pos="681" w:val="left" w:leader="none"/>
        </w:tabs>
        <w:spacing w:line="240" w:lineRule="auto" w:before="1" w:after="0"/>
        <w:ind w:left="680" w:right="0" w:hanging="481"/>
        <w:jc w:val="left"/>
        <w:rPr>
          <w:sz w:val="18"/>
        </w:rPr>
      </w:pPr>
      <w:r>
        <w:rPr>
          <w:color w:val="231F20"/>
          <w:sz w:val="18"/>
        </w:rPr>
        <w:t>the reasons why inflation has moved away from the target by more than 1 percentage point;</w:t>
      </w:r>
    </w:p>
    <w:p>
      <w:pPr>
        <w:pStyle w:val="BodyText"/>
        <w:spacing w:before="9"/>
        <w:rPr>
          <w:sz w:val="16"/>
        </w:rPr>
      </w:pPr>
    </w:p>
    <w:p>
      <w:pPr>
        <w:pStyle w:val="ListParagraph"/>
        <w:numPr>
          <w:ilvl w:val="0"/>
          <w:numId w:val="49"/>
        </w:numPr>
        <w:tabs>
          <w:tab w:pos="679" w:val="left" w:leader="none"/>
          <w:tab w:pos="681" w:val="left" w:leader="none"/>
        </w:tabs>
        <w:spacing w:line="240" w:lineRule="auto" w:before="0" w:after="0"/>
        <w:ind w:left="680" w:right="0" w:hanging="481"/>
        <w:jc w:val="left"/>
        <w:rPr>
          <w:sz w:val="18"/>
        </w:rPr>
      </w:pPr>
      <w:r>
        <w:rPr>
          <w:color w:val="231F20"/>
          <w:sz w:val="18"/>
        </w:rPr>
        <w:t>the policy action which you are taking to deal with it;</w:t>
      </w:r>
    </w:p>
    <w:p>
      <w:pPr>
        <w:pStyle w:val="BodyText"/>
        <w:spacing w:before="9"/>
        <w:rPr>
          <w:sz w:val="16"/>
        </w:rPr>
      </w:pPr>
    </w:p>
    <w:p>
      <w:pPr>
        <w:pStyle w:val="ListParagraph"/>
        <w:numPr>
          <w:ilvl w:val="0"/>
          <w:numId w:val="49"/>
        </w:numPr>
        <w:tabs>
          <w:tab w:pos="679" w:val="left" w:leader="none"/>
          <w:tab w:pos="681" w:val="left" w:leader="none"/>
        </w:tabs>
        <w:spacing w:line="240" w:lineRule="auto" w:before="0" w:after="0"/>
        <w:ind w:left="680" w:right="0" w:hanging="481"/>
        <w:jc w:val="left"/>
        <w:rPr>
          <w:sz w:val="18"/>
        </w:rPr>
      </w:pPr>
      <w:r>
        <w:rPr>
          <w:color w:val="231F20"/>
          <w:sz w:val="18"/>
        </w:rPr>
        <w:t>the period within which you expect inflation to return to the target;</w:t>
      </w:r>
    </w:p>
    <w:p>
      <w:pPr>
        <w:pStyle w:val="BodyText"/>
        <w:spacing w:before="9"/>
        <w:rPr>
          <w:sz w:val="16"/>
        </w:rPr>
      </w:pPr>
    </w:p>
    <w:p>
      <w:pPr>
        <w:pStyle w:val="ListParagraph"/>
        <w:numPr>
          <w:ilvl w:val="0"/>
          <w:numId w:val="49"/>
        </w:numPr>
        <w:tabs>
          <w:tab w:pos="679" w:val="left" w:leader="none"/>
          <w:tab w:pos="681" w:val="left" w:leader="none"/>
        </w:tabs>
        <w:spacing w:line="240" w:lineRule="auto" w:before="0" w:after="0"/>
        <w:ind w:left="680" w:right="0" w:hanging="481"/>
        <w:jc w:val="left"/>
        <w:rPr>
          <w:sz w:val="18"/>
        </w:rPr>
      </w:pPr>
      <w:r>
        <w:rPr>
          <w:color w:val="231F20"/>
          <w:sz w:val="18"/>
        </w:rPr>
        <w:t>how this approach meets the Government’s monetary policy objectives.</w:t>
      </w:r>
    </w:p>
    <w:p>
      <w:pPr>
        <w:pStyle w:val="BodyText"/>
        <w:spacing w:before="2"/>
        <w:rPr>
          <w:sz w:val="17"/>
        </w:rPr>
      </w:pPr>
    </w:p>
    <w:p>
      <w:pPr>
        <w:pStyle w:val="BodyText"/>
        <w:spacing w:line="232" w:lineRule="auto"/>
        <w:ind w:left="200" w:right="348"/>
      </w:pPr>
      <w:r>
        <w:rPr>
          <w:color w:val="231F20"/>
        </w:rPr>
        <w:t>You would send a further letter after three months if inflation remained more than 1 percentage point above or below the target. In responding to your letter. I shall, of course, have regard to the circumstances prevailing at the time.</w:t>
      </w:r>
    </w:p>
    <w:p>
      <w:pPr>
        <w:pStyle w:val="BodyText"/>
        <w:spacing w:before="3"/>
        <w:rPr>
          <w:sz w:val="17"/>
        </w:rPr>
      </w:pPr>
    </w:p>
    <w:p>
      <w:pPr>
        <w:pStyle w:val="BodyText"/>
        <w:spacing w:line="232" w:lineRule="auto"/>
        <w:ind w:left="200" w:right="221"/>
      </w:pPr>
      <w:r>
        <w:rPr>
          <w:color w:val="231F20"/>
        </w:rPr>
        <w:t>The thresholds </w:t>
      </w:r>
      <w:r>
        <w:rPr>
          <w:i/>
          <w:color w:val="231F20"/>
        </w:rPr>
        <w:t>do not </w:t>
      </w:r>
      <w:r>
        <w:rPr>
          <w:color w:val="231F20"/>
        </w:rPr>
        <w:t>define a target range. Their function is to define the points at which I shall expect an explanatory letter from you because the actual inflation rate is appreciably away from its target.</w:t>
      </w:r>
    </w:p>
    <w:p>
      <w:pPr>
        <w:pStyle w:val="BodyText"/>
        <w:spacing w:before="10"/>
        <w:rPr>
          <w:sz w:val="16"/>
        </w:rPr>
      </w:pPr>
    </w:p>
    <w:p>
      <w:pPr>
        <w:spacing w:before="0"/>
        <w:ind w:left="200" w:right="0" w:firstLine="0"/>
        <w:jc w:val="left"/>
        <w:rPr>
          <w:b/>
          <w:sz w:val="18"/>
        </w:rPr>
      </w:pPr>
      <w:r>
        <w:rPr>
          <w:b/>
          <w:color w:val="009483"/>
          <w:sz w:val="18"/>
        </w:rPr>
        <w:t>Government’s economic policy objectives</w:t>
      </w:r>
    </w:p>
    <w:p>
      <w:pPr>
        <w:pStyle w:val="BodyText"/>
        <w:spacing w:before="2"/>
        <w:rPr>
          <w:b/>
          <w:sz w:val="17"/>
        </w:rPr>
      </w:pPr>
    </w:p>
    <w:p>
      <w:pPr>
        <w:pStyle w:val="BodyText"/>
        <w:spacing w:line="232" w:lineRule="auto"/>
        <w:ind w:left="200" w:right="135"/>
      </w:pPr>
      <w:r>
        <w:rPr>
          <w:color w:val="231F20"/>
        </w:rPr>
        <w:t>The Government’s central economic objective is to achieve high and stable levels of growth and employment. Price stability is a precondition for these high and stable levels of growth and employment, which in turn will help to create the conditions for price stability on a sustainable basis. In the recent past, instability has contributed to the UK’s poor growth performance, not least by holding back the long-term investment that is the foundation for a successful economy.</w:t>
      </w:r>
    </w:p>
    <w:p>
      <w:pPr>
        <w:pStyle w:val="BodyText"/>
        <w:spacing w:before="2"/>
        <w:rPr>
          <w:sz w:val="17"/>
        </w:rPr>
      </w:pPr>
    </w:p>
    <w:p>
      <w:pPr>
        <w:pStyle w:val="BodyText"/>
        <w:spacing w:line="232" w:lineRule="auto"/>
        <w:ind w:left="200" w:right="196"/>
        <w:jc w:val="both"/>
      </w:pPr>
      <w:r>
        <w:rPr>
          <w:color w:val="231F20"/>
        </w:rPr>
        <w:t>The monetary policy objective of the Bank of England is to maintain price stability and subject to that, to support the Government’s economic policy, including its objectives for growth and employment.</w:t>
      </w:r>
    </w:p>
    <w:p>
      <w:pPr>
        <w:spacing w:after="0" w:line="232" w:lineRule="auto"/>
        <w:jc w:val="both"/>
        <w:sectPr>
          <w:pgSz w:w="11900" w:h="16840"/>
          <w:pgMar w:header="566" w:footer="597" w:top="760" w:bottom="780" w:left="620" w:right="640"/>
        </w:sectPr>
      </w:pPr>
    </w:p>
    <w:p>
      <w:pPr>
        <w:pStyle w:val="BodyText"/>
        <w:rPr>
          <w:sz w:val="20"/>
        </w:rPr>
      </w:pPr>
    </w:p>
    <w:p>
      <w:pPr>
        <w:pStyle w:val="BodyText"/>
        <w:spacing w:before="2"/>
        <w:rPr>
          <w:sz w:val="19"/>
        </w:rPr>
      </w:pPr>
    </w:p>
    <w:p>
      <w:pPr>
        <w:spacing w:before="1"/>
        <w:ind w:left="180" w:right="0" w:firstLine="0"/>
        <w:jc w:val="left"/>
        <w:rPr>
          <w:b/>
          <w:sz w:val="18"/>
        </w:rPr>
      </w:pPr>
      <w:r>
        <w:rPr>
          <w:b/>
          <w:color w:val="009483"/>
          <w:sz w:val="18"/>
        </w:rPr>
        <w:t>Accountability</w:t>
      </w:r>
    </w:p>
    <w:p>
      <w:pPr>
        <w:pStyle w:val="BodyText"/>
        <w:spacing w:before="2"/>
        <w:rPr>
          <w:b/>
          <w:sz w:val="17"/>
        </w:rPr>
      </w:pPr>
    </w:p>
    <w:p>
      <w:pPr>
        <w:pStyle w:val="BodyText"/>
        <w:spacing w:line="232" w:lineRule="auto"/>
        <w:ind w:left="180" w:right="402"/>
      </w:pPr>
      <w:r>
        <w:rPr>
          <w:color w:val="231F20"/>
        </w:rPr>
        <w:t>The Monetary Policy Committee is accountable to the Government for the remit set out in this letter. The Committee’s performance and procedures will be reviewed by the Court on an ongoing basis (with particular regard to ensuring the Bank is collecting proper regional and sectoral information). The Bank will be accountable to Parliament through regular reports and evidence given to the Treasury Select Committee. Finally, through the publication of the minutes of the Monetary Policy Committee meetings and the Inflation Report, the Bank will be accountable to the public at large.</w:t>
      </w:r>
    </w:p>
    <w:p>
      <w:pPr>
        <w:pStyle w:val="BodyText"/>
        <w:spacing w:before="7"/>
        <w:rPr>
          <w:sz w:val="16"/>
        </w:rPr>
      </w:pPr>
    </w:p>
    <w:p>
      <w:pPr>
        <w:spacing w:before="0"/>
        <w:ind w:left="180" w:right="0" w:firstLine="0"/>
        <w:jc w:val="left"/>
        <w:rPr>
          <w:b/>
          <w:sz w:val="18"/>
        </w:rPr>
      </w:pPr>
      <w:r>
        <w:rPr>
          <w:b/>
          <w:color w:val="009483"/>
          <w:sz w:val="18"/>
        </w:rPr>
        <w:t>Restatement of the Remit</w:t>
      </w:r>
    </w:p>
    <w:p>
      <w:pPr>
        <w:pStyle w:val="BodyText"/>
        <w:spacing w:before="3"/>
        <w:rPr>
          <w:b/>
          <w:sz w:val="17"/>
        </w:rPr>
      </w:pPr>
    </w:p>
    <w:p>
      <w:pPr>
        <w:pStyle w:val="BodyText"/>
        <w:spacing w:line="232" w:lineRule="auto"/>
        <w:ind w:left="180" w:right="221"/>
      </w:pPr>
      <w:r>
        <w:rPr>
          <w:color w:val="231F20"/>
        </w:rPr>
        <w:t>The inflation target will be confirmed in each Budget. There is a value in continuity and I will have proper regard to that. But I will also need to consider the case for a revised target at these times on its merits. Any changes to this remit will be set out in the Budget. The Budget will also contain a statement of the Government’s economic policy objectives.</w:t>
      </w:r>
    </w:p>
    <w:p>
      <w:pPr>
        <w:pStyle w:val="BodyText"/>
        <w:rPr>
          <w:sz w:val="20"/>
        </w:rPr>
      </w:pPr>
    </w:p>
    <w:p>
      <w:pPr>
        <w:pStyle w:val="BodyText"/>
        <w:rPr>
          <w:sz w:val="20"/>
        </w:rPr>
      </w:pPr>
    </w:p>
    <w:p>
      <w:pPr>
        <w:pStyle w:val="BodyText"/>
        <w:rPr>
          <w:sz w:val="20"/>
        </w:rPr>
      </w:pPr>
    </w:p>
    <w:p>
      <w:pPr>
        <w:pStyle w:val="BodyText"/>
        <w:spacing w:before="3"/>
        <w:rPr>
          <w:sz w:val="23"/>
        </w:rPr>
      </w:pPr>
    </w:p>
    <w:p>
      <w:pPr>
        <w:spacing w:before="0"/>
        <w:ind w:left="1283" w:right="1264" w:firstLine="0"/>
        <w:jc w:val="center"/>
        <w:rPr>
          <w:sz w:val="26"/>
        </w:rPr>
      </w:pPr>
      <w:r>
        <w:rPr>
          <w:color w:val="231F20"/>
          <w:sz w:val="26"/>
        </w:rPr>
        <w:t>GORDON BROWN</w:t>
      </w:r>
    </w:p>
    <w:p>
      <w:pPr>
        <w:spacing w:after="0"/>
        <w:jc w:val="center"/>
        <w:rPr>
          <w:sz w:val="26"/>
        </w:rPr>
        <w:sectPr>
          <w:pgSz w:w="11900" w:h="16840"/>
          <w:pgMar w:header="566" w:footer="597" w:top="760" w:bottom="780" w:left="620" w:right="640"/>
        </w:sectPr>
      </w:pPr>
    </w:p>
    <w:p>
      <w:pPr>
        <w:pStyle w:val="BodyText"/>
        <w:rPr>
          <w:sz w:val="20"/>
        </w:rPr>
      </w:pPr>
    </w:p>
    <w:p>
      <w:pPr>
        <w:spacing w:line="357" w:lineRule="auto" w:before="218"/>
        <w:ind w:left="174" w:right="3640" w:firstLine="0"/>
        <w:jc w:val="left"/>
        <w:rPr>
          <w:b/>
          <w:sz w:val="28"/>
        </w:rPr>
      </w:pPr>
      <w:bookmarkStart w:name="June press notice" w:id="106"/>
      <w:bookmarkEnd w:id="106"/>
      <w:r>
        <w:rPr/>
      </w:r>
      <w:bookmarkStart w:name="_bookmark48" w:id="107"/>
      <w:bookmarkEnd w:id="107"/>
      <w:r>
        <w:rPr/>
      </w:r>
      <w:r>
        <w:rPr>
          <w:b/>
          <w:color w:val="009483"/>
          <w:sz w:val="28"/>
        </w:rPr>
        <w:t>Text of Bank of England press notice of 4 June 1998 Bank of England raises interest rates by 0.25% to 7.50%</w:t>
      </w:r>
    </w:p>
    <w:p>
      <w:pPr>
        <w:pStyle w:val="BodyText"/>
        <w:spacing w:before="2"/>
        <w:rPr>
          <w:b/>
          <w:sz w:val="13"/>
        </w:rPr>
      </w:pPr>
    </w:p>
    <w:p>
      <w:pPr>
        <w:pStyle w:val="BodyText"/>
        <w:spacing w:line="232" w:lineRule="auto" w:before="97"/>
        <w:ind w:left="200"/>
      </w:pPr>
      <w:r>
        <w:rPr>
          <w:color w:val="231F20"/>
        </w:rPr>
        <w:t>The Bank of England’s Monetary Policy Committee has today voted to raise the Bank’s repo rate by 0.25% to 7.50%. The increase takes immediate effect.</w:t>
      </w:r>
    </w:p>
    <w:p>
      <w:pPr>
        <w:pStyle w:val="BodyText"/>
        <w:spacing w:before="3"/>
        <w:rPr>
          <w:sz w:val="17"/>
        </w:rPr>
      </w:pPr>
    </w:p>
    <w:p>
      <w:pPr>
        <w:pStyle w:val="BodyText"/>
        <w:spacing w:line="232" w:lineRule="auto"/>
        <w:ind w:left="200" w:right="363" w:hanging="1"/>
      </w:pPr>
      <w:r>
        <w:rPr>
          <w:color w:val="231F20"/>
        </w:rPr>
        <w:t>In the May </w:t>
      </w:r>
      <w:r>
        <w:rPr>
          <w:i/>
          <w:color w:val="231F20"/>
        </w:rPr>
        <w:t>Inflation Report</w:t>
      </w:r>
      <w:r>
        <w:rPr>
          <w:color w:val="231F20"/>
        </w:rPr>
        <w:t>, the Committee said that: ‘In the central projection, inflation is expected to remain close to its target throughout the forecast period after the temporary increase in the second quarter of this year. But there are major uncertainties which mean that the outlook for monetary policy remains finely balanced.’</w:t>
      </w:r>
    </w:p>
    <w:p>
      <w:pPr>
        <w:pStyle w:val="BodyText"/>
        <w:spacing w:before="2"/>
        <w:rPr>
          <w:sz w:val="17"/>
        </w:rPr>
      </w:pPr>
    </w:p>
    <w:p>
      <w:pPr>
        <w:pStyle w:val="BodyText"/>
        <w:spacing w:line="232" w:lineRule="auto"/>
        <w:ind w:left="200" w:right="203"/>
      </w:pPr>
      <w:r>
        <w:rPr>
          <w:color w:val="231F20"/>
        </w:rPr>
        <w:t>The central issue for monetary policy remains whether aggregate demand will slow sufficiently quickly to bring down domestically generated inflation before the restraining price effects of the earlier increase in the exchange rate and falls in commodity prices wear off. As the May </w:t>
      </w:r>
      <w:r>
        <w:rPr>
          <w:i/>
          <w:color w:val="231F20"/>
        </w:rPr>
        <w:t>Inflation Report </w:t>
      </w:r>
      <w:r>
        <w:rPr>
          <w:color w:val="231F20"/>
        </w:rPr>
        <w:t>made clear, developments in the labour market are a key determinant of domestically generated inflation. Evidence has emerged over the past month that the cumulative tightening of the labour market has resulted in a rate of private sector earnings growth that jeopardises achievement of the inflation target over the medium run. Moreover the sterling exchange rate has remained about 3% lower than in the central projection of the May </w:t>
      </w:r>
      <w:r>
        <w:rPr>
          <w:i/>
          <w:color w:val="231F20"/>
        </w:rPr>
        <w:t>Inflation Report</w:t>
      </w:r>
      <w:r>
        <w:rPr>
          <w:color w:val="231F20"/>
        </w:rPr>
        <w:t>. While there are increased uncertainties in the external environment, inflationary pressures appear greater than in the May projection, and the need for a slowdown in domestic demand growth has become more pressing. In these circumstances, the Committee voted to raise interest rates by 0.25%.</w:t>
      </w:r>
    </w:p>
    <w:p>
      <w:pPr>
        <w:pStyle w:val="BodyText"/>
        <w:spacing w:before="5"/>
        <w:rPr>
          <w:sz w:val="16"/>
        </w:rPr>
      </w:pPr>
    </w:p>
    <w:p>
      <w:pPr>
        <w:pStyle w:val="BodyText"/>
        <w:ind w:left="200"/>
      </w:pPr>
      <w:r>
        <w:rPr>
          <w:color w:val="231F20"/>
        </w:rPr>
        <w:t>The last change in interest rates was a rise of 0.25% on 6 November 1997.</w:t>
      </w:r>
    </w:p>
    <w:p>
      <w:pPr>
        <w:pStyle w:val="BodyText"/>
        <w:spacing w:before="2"/>
        <w:rPr>
          <w:sz w:val="17"/>
        </w:rPr>
      </w:pPr>
    </w:p>
    <w:p>
      <w:pPr>
        <w:pStyle w:val="BodyText"/>
        <w:spacing w:line="232" w:lineRule="auto" w:before="1"/>
        <w:ind w:left="200" w:right="221"/>
      </w:pPr>
      <w:r>
        <w:rPr>
          <w:color w:val="231F20"/>
        </w:rPr>
        <w:t>The minutes of today’s Monetary Policy Committee meeting will be published on Wednesday 15 July. Minutes of the meeting held in May will be published on Wednesday 10 June.</w:t>
      </w:r>
    </w:p>
    <w:p>
      <w:pPr>
        <w:spacing w:after="0" w:line="232" w:lineRule="auto"/>
        <w:sectPr>
          <w:pgSz w:w="11900" w:h="16840"/>
          <w:pgMar w:header="566" w:footer="597" w:top="760" w:bottom="780" w:left="620" w:right="640"/>
        </w:sectPr>
      </w:pPr>
    </w:p>
    <w:p>
      <w:pPr>
        <w:pStyle w:val="BodyText"/>
        <w:rPr>
          <w:sz w:val="20"/>
        </w:rPr>
      </w:pPr>
    </w:p>
    <w:p>
      <w:pPr>
        <w:pStyle w:val="BodyText"/>
        <w:rPr>
          <w:sz w:val="20"/>
        </w:rPr>
      </w:pPr>
    </w:p>
    <w:p>
      <w:pPr>
        <w:pStyle w:val="BodyText"/>
        <w:spacing w:before="7"/>
        <w:rPr>
          <w:sz w:val="20"/>
        </w:rPr>
      </w:pPr>
    </w:p>
    <w:p>
      <w:pPr>
        <w:pStyle w:val="Heading1"/>
        <w:ind w:left="170"/>
      </w:pPr>
      <w:bookmarkStart w:name="July minutes" w:id="108"/>
      <w:bookmarkEnd w:id="108"/>
      <w:r>
        <w:rPr>
          <w:b w:val="0"/>
        </w:rPr>
      </w:r>
      <w:bookmarkStart w:name="_bookmark49" w:id="109"/>
      <w:bookmarkEnd w:id="109"/>
      <w:r>
        <w:rPr>
          <w:b w:val="0"/>
        </w:rPr>
      </w:r>
      <w:bookmarkStart w:name="_bookmark50" w:id="110"/>
      <w:bookmarkEnd w:id="110"/>
      <w:r>
        <w:rPr>
          <w:b w:val="0"/>
        </w:rPr>
      </w:r>
      <w:r>
        <w:rPr>
          <w:color w:val="009483"/>
        </w:rPr>
        <w:t>Minutes of the Monetary Policy Committee meeting on 8–9 July 1998</w:t>
      </w:r>
    </w:p>
    <w:p>
      <w:pPr>
        <w:pStyle w:val="BodyText"/>
        <w:spacing w:before="9"/>
        <w:rPr>
          <w:b/>
          <w:sz w:val="26"/>
        </w:rPr>
      </w:pPr>
    </w:p>
    <w:p>
      <w:pPr>
        <w:spacing w:after="0"/>
        <w:rPr>
          <w:sz w:val="26"/>
        </w:rPr>
        <w:sectPr>
          <w:pgSz w:w="11900" w:h="16840"/>
          <w:pgMar w:header="566" w:footer="597" w:top="760" w:bottom="780" w:left="620" w:right="640"/>
        </w:sectPr>
      </w:pPr>
    </w:p>
    <w:p>
      <w:pPr>
        <w:pStyle w:val="ListParagraph"/>
        <w:numPr>
          <w:ilvl w:val="0"/>
          <w:numId w:val="50"/>
        </w:numPr>
        <w:tabs>
          <w:tab w:pos="645" w:val="left" w:leader="none"/>
          <w:tab w:pos="646" w:val="left" w:leader="none"/>
        </w:tabs>
        <w:spacing w:line="232" w:lineRule="auto" w:before="97" w:after="0"/>
        <w:ind w:left="165" w:right="143" w:firstLine="0"/>
        <w:jc w:val="left"/>
        <w:rPr>
          <w:sz w:val="18"/>
        </w:rPr>
      </w:pPr>
      <w:r>
        <w:rPr>
          <w:color w:val="231F20"/>
          <w:sz w:val="18"/>
        </w:rPr>
        <w:t>The Committee discussed recent developments with particular emphasis on the external environment; the </w:t>
      </w:r>
      <w:r>
        <w:rPr>
          <w:color w:val="231F20"/>
          <w:spacing w:val="-2"/>
          <w:sz w:val="18"/>
        </w:rPr>
        <w:t>Chancellor’s </w:t>
      </w:r>
      <w:r>
        <w:rPr>
          <w:color w:val="231F20"/>
          <w:sz w:val="18"/>
        </w:rPr>
        <w:t>announcement on the Economic and Fiscal Strategy Report; domestic demand; output and unemployment; and nominal variables, particularly prices and earnings.</w:t>
      </w:r>
    </w:p>
    <w:p>
      <w:pPr>
        <w:pStyle w:val="BodyText"/>
        <w:spacing w:before="4"/>
        <w:rPr>
          <w:sz w:val="20"/>
        </w:rPr>
      </w:pPr>
    </w:p>
    <w:p>
      <w:pPr>
        <w:pStyle w:val="Heading6"/>
        <w:ind w:left="165"/>
      </w:pPr>
      <w:r>
        <w:rPr>
          <w:color w:val="009483"/>
        </w:rPr>
        <w:t>The world economy</w:t>
      </w:r>
    </w:p>
    <w:p>
      <w:pPr>
        <w:pStyle w:val="ListParagraph"/>
        <w:numPr>
          <w:ilvl w:val="0"/>
          <w:numId w:val="50"/>
        </w:numPr>
        <w:tabs>
          <w:tab w:pos="645" w:val="left" w:leader="none"/>
          <w:tab w:pos="646" w:val="left" w:leader="none"/>
        </w:tabs>
        <w:spacing w:line="232" w:lineRule="auto" w:before="89" w:after="0"/>
        <w:ind w:left="165" w:right="118" w:firstLine="0"/>
        <w:jc w:val="left"/>
        <w:rPr>
          <w:sz w:val="18"/>
        </w:rPr>
      </w:pPr>
      <w:r>
        <w:rPr>
          <w:color w:val="231F20"/>
          <w:sz w:val="18"/>
        </w:rPr>
        <w:t>The Committee began by examining recent developments </w:t>
      </w:r>
      <w:r>
        <w:rPr>
          <w:color w:val="231F20"/>
          <w:spacing w:val="-9"/>
          <w:sz w:val="18"/>
        </w:rPr>
        <w:t>in </w:t>
      </w:r>
      <w:r>
        <w:rPr>
          <w:color w:val="231F20"/>
          <w:sz w:val="18"/>
        </w:rPr>
        <w:t>the world economy. On balance, the news in the UK’s major export markets had been adverse, and the picture for external demand was at least as weak as envisaged at the time of the May </w:t>
      </w:r>
      <w:r>
        <w:rPr>
          <w:i/>
          <w:color w:val="231F20"/>
          <w:sz w:val="18"/>
        </w:rPr>
        <w:t>Inflation</w:t>
      </w:r>
      <w:r>
        <w:rPr>
          <w:i/>
          <w:color w:val="231F20"/>
          <w:spacing w:val="-1"/>
          <w:sz w:val="18"/>
        </w:rPr>
        <w:t> </w:t>
      </w:r>
      <w:r>
        <w:rPr>
          <w:i/>
          <w:color w:val="231F20"/>
          <w:sz w:val="18"/>
        </w:rPr>
        <w:t>Report</w:t>
      </w:r>
      <w:r>
        <w:rPr>
          <w:color w:val="231F20"/>
          <w:sz w:val="18"/>
        </w:rPr>
        <w:t>.</w:t>
      </w:r>
    </w:p>
    <w:p>
      <w:pPr>
        <w:pStyle w:val="ListParagraph"/>
        <w:numPr>
          <w:ilvl w:val="0"/>
          <w:numId w:val="50"/>
        </w:numPr>
        <w:tabs>
          <w:tab w:pos="645" w:val="left" w:leader="none"/>
          <w:tab w:pos="646" w:val="left" w:leader="none"/>
        </w:tabs>
        <w:spacing w:line="232" w:lineRule="auto" w:before="177" w:after="0"/>
        <w:ind w:left="165" w:right="83" w:firstLine="0"/>
        <w:jc w:val="left"/>
        <w:rPr>
          <w:sz w:val="18"/>
        </w:rPr>
      </w:pPr>
      <w:r>
        <w:rPr>
          <w:color w:val="231F20"/>
          <w:sz w:val="18"/>
        </w:rPr>
        <w:t>On Japan there was great uncertainty about the likely path </w:t>
      </w:r>
      <w:r>
        <w:rPr>
          <w:color w:val="231F20"/>
          <w:spacing w:val="-9"/>
          <w:sz w:val="18"/>
        </w:rPr>
        <w:t>of </w:t>
      </w:r>
      <w:r>
        <w:rPr>
          <w:color w:val="231F20"/>
          <w:sz w:val="18"/>
        </w:rPr>
        <w:t>real activity given the fall in output in 1998 Q1, and other forecasters were still revising down their projections for 1998. There was uncertainty about the likely policy response of the authorities, especially in the context of the elections to the upper house due on 12 July. The MPC also discussed the possibility that prospects for a recovery in output hinged on corporate as well as financial sector structural adjustment and how long the recovery in activity would take. The Committee agreed that prospects for the Japanese economy had deteriorated over the past month.</w:t>
      </w:r>
    </w:p>
    <w:p>
      <w:pPr>
        <w:pStyle w:val="ListParagraph"/>
        <w:numPr>
          <w:ilvl w:val="0"/>
          <w:numId w:val="50"/>
        </w:numPr>
        <w:tabs>
          <w:tab w:pos="645" w:val="left" w:leader="none"/>
          <w:tab w:pos="646" w:val="left" w:leader="none"/>
        </w:tabs>
        <w:spacing w:line="232" w:lineRule="auto" w:before="172" w:after="0"/>
        <w:ind w:left="165" w:right="58" w:firstLine="0"/>
        <w:jc w:val="left"/>
        <w:rPr>
          <w:sz w:val="18"/>
        </w:rPr>
      </w:pPr>
      <w:r>
        <w:rPr>
          <w:color w:val="231F20"/>
          <w:sz w:val="18"/>
        </w:rPr>
        <w:t>The world economy projections used as an input to the May </w:t>
      </w:r>
      <w:r>
        <w:rPr>
          <w:i/>
          <w:color w:val="231F20"/>
          <w:sz w:val="18"/>
        </w:rPr>
        <w:t>Inflation Report </w:t>
      </w:r>
      <w:r>
        <w:rPr>
          <w:color w:val="231F20"/>
          <w:sz w:val="18"/>
        </w:rPr>
        <w:t>incorporated a deceleration of activity in the United States. In the light of the strong 1998 Q1 GDP data, the Committee discussed whether such a deceleration was still the </w:t>
      </w:r>
      <w:r>
        <w:rPr>
          <w:color w:val="231F20"/>
          <w:spacing w:val="-5"/>
          <w:sz w:val="18"/>
        </w:rPr>
        <w:t>most </w:t>
      </w:r>
      <w:r>
        <w:rPr>
          <w:color w:val="231F20"/>
          <w:sz w:val="18"/>
        </w:rPr>
        <w:t>likely outcome. In particular, the lags between developments in Asia and their impact on US activity were highly uncertain. But a further rise in the US trade deficit seemed likely, which would restrain output growth. The recovery in continental Europe was continuing broadly as expected, but recent data in Germany had been weaker than in France.</w:t>
      </w:r>
    </w:p>
    <w:p>
      <w:pPr>
        <w:pStyle w:val="ListParagraph"/>
        <w:numPr>
          <w:ilvl w:val="0"/>
          <w:numId w:val="50"/>
        </w:numPr>
        <w:tabs>
          <w:tab w:pos="645" w:val="left" w:leader="none"/>
          <w:tab w:pos="646" w:val="left" w:leader="none"/>
        </w:tabs>
        <w:spacing w:line="232" w:lineRule="auto" w:before="172" w:after="0"/>
        <w:ind w:left="165" w:right="38" w:firstLine="0"/>
        <w:jc w:val="left"/>
        <w:rPr>
          <w:sz w:val="18"/>
        </w:rPr>
      </w:pPr>
      <w:r>
        <w:rPr>
          <w:color w:val="231F20"/>
          <w:sz w:val="18"/>
        </w:rPr>
        <w:t>There was now clear evidence of falling output in a number of Asian economies. Developments in the real economy in, for example, Indonesia were at least as serious as in the financial sectors of the economy. There had been speculation about the possible impact on the world economy if China were to devalue </w:t>
      </w:r>
      <w:r>
        <w:rPr>
          <w:color w:val="231F20"/>
          <w:spacing w:val="-6"/>
          <w:sz w:val="18"/>
        </w:rPr>
        <w:t>and </w:t>
      </w:r>
      <w:r>
        <w:rPr>
          <w:color w:val="231F20"/>
          <w:sz w:val="18"/>
        </w:rPr>
        <w:t>whether this would have implications for other countries beyond the direct trade effects, particularly through its impact on Hong Kong. The immediate prospects in several countries outside Asia, for example South Africa and Russia, had worsened over the past month. Recent developments in the world economy would be </w:t>
      </w:r>
      <w:r>
        <w:rPr>
          <w:color w:val="231F20"/>
          <w:spacing w:val="-4"/>
          <w:sz w:val="18"/>
        </w:rPr>
        <w:t>taken </w:t>
      </w:r>
      <w:r>
        <w:rPr>
          <w:color w:val="231F20"/>
          <w:sz w:val="18"/>
        </w:rPr>
        <w:t>into account in the context of the August I</w:t>
      </w:r>
      <w:r>
        <w:rPr>
          <w:i/>
          <w:color w:val="231F20"/>
          <w:sz w:val="18"/>
        </w:rPr>
        <w:t>nflation</w:t>
      </w:r>
      <w:r>
        <w:rPr>
          <w:i/>
          <w:color w:val="231F20"/>
          <w:spacing w:val="-1"/>
          <w:sz w:val="18"/>
        </w:rPr>
        <w:t> </w:t>
      </w:r>
      <w:r>
        <w:rPr>
          <w:i/>
          <w:color w:val="231F20"/>
          <w:sz w:val="18"/>
        </w:rPr>
        <w:t>Report</w:t>
      </w:r>
      <w:r>
        <w:rPr>
          <w:color w:val="231F20"/>
          <w:sz w:val="18"/>
        </w:rPr>
        <w:t>.</w:t>
      </w:r>
    </w:p>
    <w:p>
      <w:pPr>
        <w:pStyle w:val="BodyText"/>
        <w:spacing w:before="10"/>
        <w:rPr>
          <w:sz w:val="19"/>
        </w:rPr>
      </w:pPr>
    </w:p>
    <w:p>
      <w:pPr>
        <w:pStyle w:val="Heading6"/>
        <w:spacing w:before="1"/>
        <w:ind w:left="165"/>
      </w:pPr>
      <w:r>
        <w:rPr>
          <w:color w:val="009483"/>
        </w:rPr>
        <w:t>The fiscal position</w:t>
      </w:r>
    </w:p>
    <w:p>
      <w:pPr>
        <w:pStyle w:val="ListParagraph"/>
        <w:numPr>
          <w:ilvl w:val="0"/>
          <w:numId w:val="50"/>
        </w:numPr>
        <w:tabs>
          <w:tab w:pos="645" w:val="left" w:leader="none"/>
          <w:tab w:pos="646" w:val="left" w:leader="none"/>
        </w:tabs>
        <w:spacing w:line="232" w:lineRule="auto" w:before="89" w:after="0"/>
        <w:ind w:left="165" w:right="48" w:firstLine="0"/>
        <w:jc w:val="left"/>
        <w:rPr>
          <w:sz w:val="18"/>
        </w:rPr>
      </w:pPr>
      <w:r>
        <w:rPr>
          <w:color w:val="231F20"/>
          <w:sz w:val="18"/>
        </w:rPr>
        <w:t>The Committee discussed the briefing previously received from Treasury officials on the Economic and Fiscal Strategy </w:t>
      </w:r>
      <w:r>
        <w:rPr>
          <w:color w:val="231F20"/>
          <w:spacing w:val="-3"/>
          <w:sz w:val="18"/>
        </w:rPr>
        <w:t>Report </w:t>
      </w:r>
      <w:r>
        <w:rPr>
          <w:color w:val="231F20"/>
          <w:sz w:val="18"/>
        </w:rPr>
        <w:t>(E</w:t>
      </w:r>
      <w:r>
        <w:rPr>
          <w:color w:val="231F20"/>
          <w:sz w:val="14"/>
        </w:rPr>
        <w:t>FSR</w:t>
      </w:r>
      <w:r>
        <w:rPr>
          <w:color w:val="231F20"/>
          <w:sz w:val="18"/>
        </w:rPr>
        <w:t>). On the expenditure side, the new fiscal plans were for somewhat higher expenditure by the third fiscal year than had been incorporated in the May </w:t>
      </w:r>
      <w:r>
        <w:rPr>
          <w:i/>
          <w:color w:val="231F20"/>
          <w:sz w:val="18"/>
        </w:rPr>
        <w:t>Inflation Report </w:t>
      </w:r>
      <w:r>
        <w:rPr>
          <w:color w:val="231F20"/>
          <w:sz w:val="18"/>
        </w:rPr>
        <w:t>projections, although a lower starting point in the first year and slightly higher revenue were offsetting factors.</w:t>
      </w:r>
    </w:p>
    <w:p>
      <w:pPr>
        <w:pStyle w:val="ListParagraph"/>
        <w:numPr>
          <w:ilvl w:val="0"/>
          <w:numId w:val="50"/>
        </w:numPr>
        <w:tabs>
          <w:tab w:pos="645" w:val="left" w:leader="none"/>
          <w:tab w:pos="646" w:val="left" w:leader="none"/>
        </w:tabs>
        <w:spacing w:line="232" w:lineRule="auto" w:before="175" w:after="0"/>
        <w:ind w:left="165" w:right="78" w:firstLine="0"/>
        <w:jc w:val="left"/>
        <w:rPr>
          <w:sz w:val="18"/>
        </w:rPr>
      </w:pPr>
      <w:r>
        <w:rPr>
          <w:color w:val="231F20"/>
          <w:sz w:val="18"/>
        </w:rPr>
        <w:t>The Committee thought there was a degree of uncertainty about the revenue projections, which now assumed that more of </w:t>
      </w:r>
      <w:r>
        <w:rPr>
          <w:color w:val="231F20"/>
          <w:spacing w:val="-6"/>
          <w:sz w:val="18"/>
        </w:rPr>
        <w:t>the </w:t>
      </w:r>
      <w:r>
        <w:rPr>
          <w:color w:val="231F20"/>
          <w:sz w:val="18"/>
        </w:rPr>
        <w:t>recent buoyancy in revenue associated with the move to</w:t>
      </w:r>
    </w:p>
    <w:p>
      <w:pPr>
        <w:pStyle w:val="BodyText"/>
        <w:spacing w:line="232" w:lineRule="auto"/>
        <w:ind w:left="165" w:right="101"/>
      </w:pPr>
      <w:r>
        <w:rPr>
          <w:color w:val="231F20"/>
        </w:rPr>
        <w:t>self-assessment would be permanent. Overall, the Committee agreed that there seemed to be little news in terms of the impact on inflation over the next two years or so from the aggregate expenditure projections. The impact of the latest plans would be incorporated into the Committee’s August </w:t>
      </w:r>
      <w:r>
        <w:rPr>
          <w:i/>
          <w:color w:val="231F20"/>
        </w:rPr>
        <w:t>Inflation Report </w:t>
      </w:r>
      <w:r>
        <w:rPr>
          <w:color w:val="231F20"/>
        </w:rPr>
        <w:t>projections.</w:t>
      </w:r>
    </w:p>
    <w:p>
      <w:pPr>
        <w:pStyle w:val="ListParagraph"/>
        <w:numPr>
          <w:ilvl w:val="0"/>
          <w:numId w:val="50"/>
        </w:numPr>
        <w:tabs>
          <w:tab w:pos="645" w:val="left" w:leader="none"/>
          <w:tab w:pos="646" w:val="left" w:leader="none"/>
        </w:tabs>
        <w:spacing w:line="232" w:lineRule="auto" w:before="97" w:after="0"/>
        <w:ind w:left="165" w:right="238" w:firstLine="0"/>
        <w:jc w:val="left"/>
        <w:rPr>
          <w:sz w:val="18"/>
        </w:rPr>
      </w:pPr>
      <w:r>
        <w:rPr>
          <w:color w:val="231F20"/>
          <w:sz w:val="18"/>
        </w:rPr>
        <w:br w:type="column"/>
        <w:t>The Committee discussed the possible implications of the expenditure plans for public sector pay. Public sector settlements had for some time been below those in the private sector, but the gap between public and private sector earnings growth was much larger—there was negative wage drift in the public sector. Restructuring in the public sector explained some of this recent trend in wage drift, as some higher paid staff were replaced by lower paid staff. There was a question of how long these structural changes could be maintained. Since the fiscal plans entailed binding nominal expenditure limits on departments, any reduction in negative wage drift (and hence relatively higher public sector earnings growth) would have to be offset by lower spending elsewhere. But it might imply a change in the price/output split, which would affect the Committee’s inflation projection.</w:t>
      </w:r>
    </w:p>
    <w:p>
      <w:pPr>
        <w:pStyle w:val="BodyText"/>
        <w:spacing w:before="2"/>
      </w:pPr>
    </w:p>
    <w:p>
      <w:pPr>
        <w:pStyle w:val="ListParagraph"/>
        <w:numPr>
          <w:ilvl w:val="0"/>
          <w:numId w:val="50"/>
        </w:numPr>
        <w:tabs>
          <w:tab w:pos="645" w:val="left" w:leader="none"/>
          <w:tab w:pos="646" w:val="left" w:leader="none"/>
        </w:tabs>
        <w:spacing w:line="232" w:lineRule="auto" w:before="0" w:after="0"/>
        <w:ind w:left="165" w:right="223" w:firstLine="0"/>
        <w:jc w:val="left"/>
        <w:rPr>
          <w:sz w:val="18"/>
        </w:rPr>
      </w:pPr>
      <w:r>
        <w:rPr>
          <w:color w:val="231F20"/>
          <w:sz w:val="18"/>
        </w:rPr>
        <w:t>There was some discussion of whether financial markets </w:t>
      </w:r>
      <w:r>
        <w:rPr>
          <w:color w:val="231F20"/>
          <w:spacing w:val="-6"/>
          <w:sz w:val="18"/>
        </w:rPr>
        <w:t>had </w:t>
      </w:r>
      <w:r>
        <w:rPr>
          <w:color w:val="231F20"/>
          <w:sz w:val="18"/>
        </w:rPr>
        <w:t>reacted to the prospect of higher future government spending. But there had been little change in either bond yields or market implied forward interest rates immediately following the announcement of the</w:t>
      </w:r>
      <w:r>
        <w:rPr>
          <w:color w:val="231F20"/>
          <w:spacing w:val="-1"/>
          <w:sz w:val="18"/>
        </w:rPr>
        <w:t> </w:t>
      </w:r>
      <w:r>
        <w:rPr>
          <w:color w:val="231F20"/>
          <w:sz w:val="18"/>
        </w:rPr>
        <w:t>E</w:t>
      </w:r>
      <w:r>
        <w:rPr>
          <w:color w:val="231F20"/>
          <w:sz w:val="14"/>
        </w:rPr>
        <w:t>FSR</w:t>
      </w:r>
      <w:r>
        <w:rPr>
          <w:color w:val="231F20"/>
          <w:sz w:val="18"/>
        </w:rPr>
        <w:t>.</w:t>
      </w:r>
    </w:p>
    <w:p>
      <w:pPr>
        <w:pStyle w:val="BodyText"/>
        <w:spacing w:before="1"/>
        <w:rPr>
          <w:sz w:val="22"/>
        </w:rPr>
      </w:pPr>
    </w:p>
    <w:p>
      <w:pPr>
        <w:pStyle w:val="Heading6"/>
        <w:ind w:left="165"/>
      </w:pPr>
      <w:r>
        <w:rPr>
          <w:color w:val="009483"/>
        </w:rPr>
        <w:t>Domestic demand, output and unemployment</w:t>
      </w:r>
    </w:p>
    <w:p>
      <w:pPr>
        <w:pStyle w:val="ListParagraph"/>
        <w:numPr>
          <w:ilvl w:val="0"/>
          <w:numId w:val="50"/>
        </w:numPr>
        <w:tabs>
          <w:tab w:pos="645" w:val="left" w:leader="none"/>
          <w:tab w:pos="646" w:val="left" w:leader="none"/>
        </w:tabs>
        <w:spacing w:line="232" w:lineRule="auto" w:before="110" w:after="0"/>
        <w:ind w:left="165" w:right="223" w:firstLine="0"/>
        <w:jc w:val="left"/>
        <w:rPr>
          <w:sz w:val="18"/>
        </w:rPr>
      </w:pPr>
      <w:r>
        <w:rPr>
          <w:color w:val="231F20"/>
          <w:sz w:val="18"/>
        </w:rPr>
        <w:t>The Committee then discussed output and domestic </w:t>
      </w:r>
      <w:r>
        <w:rPr>
          <w:color w:val="231F20"/>
          <w:spacing w:val="-3"/>
          <w:sz w:val="18"/>
        </w:rPr>
        <w:t>demand. </w:t>
      </w:r>
      <w:r>
        <w:rPr>
          <w:color w:val="231F20"/>
          <w:sz w:val="18"/>
        </w:rPr>
        <w:t>There had been a small upward revision to 1998 Q1 domestic demand growth in the National Accounts release, offset by a small downward revision to net trade. GDP growth remained at 0.5% in Q1. Investment growth in Q1 was now estimated to be slightly stronger than assumed in the May forecast, rather than weaker. Notwithstanding the revisions to the expenditure components of GDP, the overall pace of output growth was broadly as expected at the time of the May </w:t>
      </w:r>
      <w:r>
        <w:rPr>
          <w:i/>
          <w:color w:val="231F20"/>
          <w:sz w:val="18"/>
        </w:rPr>
        <w:t>Inflation</w:t>
      </w:r>
      <w:r>
        <w:rPr>
          <w:i/>
          <w:color w:val="231F20"/>
          <w:spacing w:val="-2"/>
          <w:sz w:val="18"/>
        </w:rPr>
        <w:t> </w:t>
      </w:r>
      <w:r>
        <w:rPr>
          <w:i/>
          <w:color w:val="231F20"/>
          <w:sz w:val="18"/>
        </w:rPr>
        <w:t>Report</w:t>
      </w:r>
      <w:r>
        <w:rPr>
          <w:color w:val="231F20"/>
          <w:sz w:val="18"/>
        </w:rPr>
        <w:t>.</w:t>
      </w:r>
    </w:p>
    <w:p>
      <w:pPr>
        <w:pStyle w:val="BodyText"/>
        <w:spacing w:before="8"/>
        <w:rPr>
          <w:sz w:val="16"/>
        </w:rPr>
      </w:pPr>
    </w:p>
    <w:p>
      <w:pPr>
        <w:pStyle w:val="ListParagraph"/>
        <w:numPr>
          <w:ilvl w:val="0"/>
          <w:numId w:val="50"/>
        </w:numPr>
        <w:tabs>
          <w:tab w:pos="645" w:val="left" w:leader="none"/>
          <w:tab w:pos="646" w:val="left" w:leader="none"/>
        </w:tabs>
        <w:spacing w:line="232" w:lineRule="auto" w:before="1" w:after="0"/>
        <w:ind w:left="165" w:right="233" w:firstLine="0"/>
        <w:jc w:val="left"/>
        <w:rPr>
          <w:sz w:val="18"/>
        </w:rPr>
      </w:pPr>
      <w:r>
        <w:rPr>
          <w:color w:val="231F20"/>
          <w:sz w:val="18"/>
        </w:rPr>
        <w:t>Estimate of GDP growth in Q2, based on a range of </w:t>
      </w:r>
      <w:r>
        <w:rPr>
          <w:color w:val="231F20"/>
          <w:spacing w:val="-3"/>
          <w:sz w:val="18"/>
        </w:rPr>
        <w:t>monthly </w:t>
      </w:r>
      <w:r>
        <w:rPr>
          <w:color w:val="231F20"/>
          <w:sz w:val="18"/>
        </w:rPr>
        <w:t>indicators and survey evidence, were a little stronger than in the central projection in the May </w:t>
      </w:r>
      <w:r>
        <w:rPr>
          <w:i/>
          <w:color w:val="231F20"/>
          <w:sz w:val="18"/>
        </w:rPr>
        <w:t>Inflation Report</w:t>
      </w:r>
      <w:r>
        <w:rPr>
          <w:color w:val="231F20"/>
          <w:sz w:val="18"/>
        </w:rPr>
        <w:t>. But this was a preliminary estimate, on which the Committee did not place much weight, though it provided a useful benchmark against which the official figures could be judged when published on 24 July. More recently, there were signs in the surveys that service sector output growth might be slowing, for example in the Chartered Institute of Purchasing and Supply survey, but this was from an above-trend growth rate. Construction growth still appeared to be increasing.</w:t>
      </w:r>
    </w:p>
    <w:p>
      <w:pPr>
        <w:pStyle w:val="BodyText"/>
        <w:spacing w:before="5"/>
      </w:pPr>
    </w:p>
    <w:p>
      <w:pPr>
        <w:pStyle w:val="ListParagraph"/>
        <w:numPr>
          <w:ilvl w:val="0"/>
          <w:numId w:val="50"/>
        </w:numPr>
        <w:tabs>
          <w:tab w:pos="645" w:val="left" w:leader="none"/>
          <w:tab w:pos="646" w:val="left" w:leader="none"/>
        </w:tabs>
        <w:spacing w:line="232" w:lineRule="auto" w:before="0" w:after="0"/>
        <w:ind w:left="165" w:right="273" w:firstLine="0"/>
        <w:jc w:val="left"/>
        <w:rPr>
          <w:sz w:val="18"/>
        </w:rPr>
      </w:pPr>
      <w:r>
        <w:rPr>
          <w:color w:val="231F20"/>
          <w:sz w:val="18"/>
        </w:rPr>
        <w:t>The expenditure data for Q2 indicated a slightly weaker picture than that coming from the output indicators. Consumer confidence had fallen, but retail sales had been strong in May. Retail sales may have been affected by poor weather in April and June and, given the survey and anecdotal evidence for June, the Committee thought that it would be best to look at the May </w:t>
      </w:r>
      <w:r>
        <w:rPr>
          <w:color w:val="231F20"/>
          <w:spacing w:val="-3"/>
          <w:sz w:val="18"/>
        </w:rPr>
        <w:t>figures </w:t>
      </w:r>
      <w:r>
        <w:rPr>
          <w:color w:val="231F20"/>
          <w:sz w:val="18"/>
        </w:rPr>
        <w:t>in the context of a run of data.</w:t>
      </w:r>
    </w:p>
    <w:p>
      <w:pPr>
        <w:pStyle w:val="BodyText"/>
        <w:spacing w:before="7"/>
      </w:pPr>
    </w:p>
    <w:p>
      <w:pPr>
        <w:pStyle w:val="ListParagraph"/>
        <w:numPr>
          <w:ilvl w:val="0"/>
          <w:numId w:val="50"/>
        </w:numPr>
        <w:tabs>
          <w:tab w:pos="645" w:val="left" w:leader="none"/>
          <w:tab w:pos="646" w:val="left" w:leader="none"/>
        </w:tabs>
        <w:spacing w:line="232" w:lineRule="auto" w:before="0" w:after="0"/>
        <w:ind w:left="165" w:right="198" w:firstLine="0"/>
        <w:jc w:val="left"/>
        <w:rPr>
          <w:sz w:val="18"/>
        </w:rPr>
      </w:pPr>
      <w:r>
        <w:rPr>
          <w:color w:val="231F20"/>
          <w:sz w:val="18"/>
        </w:rPr>
        <w:t>As regards the labour market, the rate of decline of LFS unemployment was broadly in line with the May </w:t>
      </w:r>
      <w:r>
        <w:rPr>
          <w:i/>
          <w:color w:val="231F20"/>
          <w:sz w:val="18"/>
        </w:rPr>
        <w:t>Inflation Report </w:t>
      </w:r>
      <w:r>
        <w:rPr>
          <w:color w:val="231F20"/>
          <w:sz w:val="18"/>
        </w:rPr>
        <w:t>projection. The central projection in the May </w:t>
      </w:r>
      <w:r>
        <w:rPr>
          <w:i/>
          <w:color w:val="231F20"/>
          <w:sz w:val="18"/>
        </w:rPr>
        <w:t>Inflation Report </w:t>
      </w:r>
      <w:r>
        <w:rPr>
          <w:color w:val="231F20"/>
          <w:sz w:val="18"/>
        </w:rPr>
        <w:t>had envisaged that the fall in unemployment would soon cease, and that there would be little change over the next two years given the projection for GDP growth. A rise in unemployment would be needed, in order to check earnings growth and return inflation to target, but how much and how fast? One view was that the recent rise in earnings growth contained some news on the natural rate of unemployment, and that the labour market was now more clearly below it. Hence a more substantial rise in unemployment than in the May </w:t>
      </w:r>
      <w:r>
        <w:rPr>
          <w:i/>
          <w:color w:val="231F20"/>
          <w:sz w:val="18"/>
        </w:rPr>
        <w:t>Report </w:t>
      </w:r>
      <w:r>
        <w:rPr>
          <w:color w:val="231F20"/>
          <w:sz w:val="18"/>
        </w:rPr>
        <w:t>projections would be needed. On another view, </w:t>
      </w:r>
      <w:r>
        <w:rPr>
          <w:color w:val="231F20"/>
          <w:spacing w:val="-5"/>
          <w:sz w:val="18"/>
        </w:rPr>
        <w:t>the </w:t>
      </w:r>
      <w:r>
        <w:rPr>
          <w:color w:val="231F20"/>
          <w:sz w:val="18"/>
        </w:rPr>
        <w:t>rise in earnings, though somewhat surprising, largely reflected past movements in profitability, and was therefore a backward looking</w:t>
      </w:r>
    </w:p>
    <w:p>
      <w:pPr>
        <w:spacing w:after="0" w:line="232" w:lineRule="auto"/>
        <w:jc w:val="left"/>
        <w:rPr>
          <w:sz w:val="18"/>
        </w:rPr>
        <w:sectPr>
          <w:type w:val="continuous"/>
          <w:pgSz w:w="11900" w:h="16840"/>
          <w:pgMar w:top="1220" w:bottom="280" w:left="620" w:right="640"/>
          <w:cols w:num="2" w:equalWidth="0">
            <w:col w:w="5110" w:space="280"/>
            <w:col w:w="5250"/>
          </w:cols>
        </w:sectPr>
      </w:pPr>
    </w:p>
    <w:p>
      <w:pPr>
        <w:pStyle w:val="BodyText"/>
        <w:rPr>
          <w:sz w:val="20"/>
        </w:rPr>
      </w:pPr>
    </w:p>
    <w:p>
      <w:pPr>
        <w:spacing w:after="0"/>
        <w:rPr>
          <w:sz w:val="20"/>
        </w:rPr>
        <w:sectPr>
          <w:pgSz w:w="11900" w:h="16840"/>
          <w:pgMar w:header="566" w:footer="597" w:top="760" w:bottom="780" w:left="620" w:right="640"/>
        </w:sectPr>
      </w:pPr>
    </w:p>
    <w:p>
      <w:pPr>
        <w:pStyle w:val="BodyText"/>
        <w:spacing w:before="7"/>
        <w:rPr>
          <w:sz w:val="19"/>
        </w:rPr>
      </w:pPr>
    </w:p>
    <w:p>
      <w:pPr>
        <w:pStyle w:val="BodyText"/>
        <w:spacing w:line="232" w:lineRule="auto" w:before="1"/>
        <w:ind w:left="194" w:right="156"/>
      </w:pPr>
      <w:r>
        <w:rPr>
          <w:color w:val="231F20"/>
        </w:rPr>
        <w:t>indicator. In that case, it provided new information about lags in the economy, but not much about medium-term prospects for inflation.</w:t>
      </w:r>
    </w:p>
    <w:p>
      <w:pPr>
        <w:pStyle w:val="BodyText"/>
        <w:spacing w:before="2"/>
        <w:rPr>
          <w:sz w:val="17"/>
        </w:rPr>
      </w:pPr>
    </w:p>
    <w:p>
      <w:pPr>
        <w:pStyle w:val="ListParagraph"/>
        <w:numPr>
          <w:ilvl w:val="0"/>
          <w:numId w:val="50"/>
        </w:numPr>
        <w:tabs>
          <w:tab w:pos="674" w:val="left" w:leader="none"/>
          <w:tab w:pos="675" w:val="left" w:leader="none"/>
        </w:tabs>
        <w:spacing w:line="232" w:lineRule="auto" w:before="0" w:after="0"/>
        <w:ind w:left="194" w:right="38" w:firstLine="0"/>
        <w:jc w:val="left"/>
        <w:rPr>
          <w:sz w:val="18"/>
        </w:rPr>
      </w:pPr>
      <w:r>
        <w:rPr>
          <w:color w:val="231F20"/>
          <w:sz w:val="18"/>
        </w:rPr>
        <w:t>Recruitment difficulties and skill shortages were even more acute in the latest surveys, and seemed to be prevalent across all sectors and regions of the economy. Changes in employment and unemployment lag changes in output, and although the lag </w:t>
      </w:r>
      <w:r>
        <w:rPr>
          <w:color w:val="231F20"/>
          <w:spacing w:val="-3"/>
          <w:sz w:val="18"/>
        </w:rPr>
        <w:t>appeared </w:t>
      </w:r>
      <w:r>
        <w:rPr>
          <w:color w:val="231F20"/>
          <w:sz w:val="18"/>
        </w:rPr>
        <w:t>to have shortened in the recovery in the early 1990s, it was still evident. So the slowing of output growth may not yet be feeding through to the recruitment surveys.  This might be rationalised at the firm level if there were lags between the level of activity in sales and marketing departments and changes in personnel department’s recruitment plans. But how could the recruitment surveys be reconciled with the slower rate of decline in unemployment? One possible explanation was an increase in job turnover, which would lead survey respondents to report increased difficulty in recruiting and retaining staff, even when the same number were employed. Another possibility was that recruitment difficulties were related to the level of unemployment rather than to its rate of change.</w:t>
      </w:r>
    </w:p>
    <w:p>
      <w:pPr>
        <w:pStyle w:val="BodyText"/>
        <w:spacing w:before="2"/>
        <w:rPr>
          <w:sz w:val="16"/>
        </w:rPr>
      </w:pPr>
    </w:p>
    <w:p>
      <w:pPr>
        <w:pStyle w:val="ListParagraph"/>
        <w:numPr>
          <w:ilvl w:val="0"/>
          <w:numId w:val="50"/>
        </w:numPr>
        <w:tabs>
          <w:tab w:pos="674" w:val="left" w:leader="none"/>
          <w:tab w:pos="675" w:val="left" w:leader="none"/>
        </w:tabs>
        <w:spacing w:line="232" w:lineRule="auto" w:before="1" w:after="0"/>
        <w:ind w:left="194" w:right="62" w:firstLine="0"/>
        <w:jc w:val="left"/>
        <w:rPr>
          <w:sz w:val="18"/>
        </w:rPr>
      </w:pPr>
      <w:r>
        <w:rPr>
          <w:color w:val="231F20"/>
          <w:sz w:val="18"/>
        </w:rPr>
        <w:t>The Committee discussed how the surveys could shed light on the level of tightness in the labour market. This was particularly difficult as the various surveys pointed to different degrees of tightness. In particular, the Confederation of British Industry </w:t>
      </w:r>
      <w:r>
        <w:rPr>
          <w:color w:val="231F20"/>
          <w:spacing w:val="-4"/>
          <w:sz w:val="18"/>
        </w:rPr>
        <w:t>(CBI) </w:t>
      </w:r>
      <w:r>
        <w:rPr>
          <w:color w:val="231F20"/>
          <w:sz w:val="18"/>
        </w:rPr>
        <w:t>Industrial Trends Survey pointed to less severe labour shortages than in the late 1980s, whereas the British Chambers of Commerce survey indicated that recruitment difficulties in both manufacturing and service industries were at least as great. Given that service and manufacturing firms were often competing for the same labour, how could these surveys be reconciled? The Committee thought that the difference possibly reflected the nature of the questions asked in the surveys. For example, the CBI survey asked whether shortages of labour were a constraint on output. Given the recent path of output and orders it was not surprising that this was not reported as a serious constraint in manufacturing. In understanding the path of earnings growth it was unclear how much explanatory power the relevant questions in these surveys added to the information already contained in unemployment figures, particularly given the short run of data for most of the series.</w:t>
      </w:r>
    </w:p>
    <w:p>
      <w:pPr>
        <w:pStyle w:val="BodyText"/>
        <w:spacing w:before="4"/>
        <w:rPr>
          <w:sz w:val="19"/>
        </w:rPr>
      </w:pPr>
    </w:p>
    <w:p>
      <w:pPr>
        <w:pStyle w:val="Heading6"/>
        <w:ind w:left="194"/>
      </w:pPr>
      <w:r>
        <w:rPr>
          <w:color w:val="009483"/>
        </w:rPr>
        <w:t>Prices and earnings</w:t>
      </w:r>
    </w:p>
    <w:p>
      <w:pPr>
        <w:pStyle w:val="ListParagraph"/>
        <w:numPr>
          <w:ilvl w:val="0"/>
          <w:numId w:val="50"/>
        </w:numPr>
        <w:tabs>
          <w:tab w:pos="674" w:val="left" w:leader="none"/>
          <w:tab w:pos="675" w:val="left" w:leader="none"/>
        </w:tabs>
        <w:spacing w:line="232" w:lineRule="auto" w:before="110" w:after="0"/>
        <w:ind w:left="194" w:right="82" w:firstLine="0"/>
        <w:jc w:val="left"/>
        <w:rPr>
          <w:sz w:val="18"/>
        </w:rPr>
      </w:pPr>
      <w:r>
        <w:rPr>
          <w:color w:val="231F20"/>
          <w:sz w:val="18"/>
        </w:rPr>
        <w:t>The Committee then turned to developments in nominal variables, and particularly prices and earnings. The focus of the labour market discussion was on the increase in earnings growth and the extent to which it was accounted for by bonus payments. The importance of bonuses in the twelve-month rate of increase of earnings was likely to diminish over the next few months, but the precise time path was unclear. Bonus payments should anyway </w:t>
      </w:r>
      <w:r>
        <w:rPr>
          <w:color w:val="231F20"/>
          <w:spacing w:val="-6"/>
          <w:sz w:val="18"/>
        </w:rPr>
        <w:t>not </w:t>
      </w:r>
      <w:r>
        <w:rPr>
          <w:color w:val="231F20"/>
          <w:sz w:val="18"/>
        </w:rPr>
        <w:t>be ignored because they are a real cost to employers, though it was natural to smooth the effects over the course of a year. Unfortunately, the ONS monthly earnings survey did not precisely identify the bonus component of pay, so identifying the contribution to earnings growth from this source was still rather uncertain.</w:t>
      </w:r>
    </w:p>
    <w:p>
      <w:pPr>
        <w:pStyle w:val="BodyText"/>
        <w:spacing w:before="5"/>
        <w:rPr>
          <w:sz w:val="16"/>
        </w:rPr>
      </w:pPr>
    </w:p>
    <w:p>
      <w:pPr>
        <w:pStyle w:val="ListParagraph"/>
        <w:numPr>
          <w:ilvl w:val="0"/>
          <w:numId w:val="50"/>
        </w:numPr>
        <w:tabs>
          <w:tab w:pos="674" w:val="left" w:leader="none"/>
          <w:tab w:pos="675" w:val="left" w:leader="none"/>
        </w:tabs>
        <w:spacing w:line="232" w:lineRule="auto" w:before="0" w:after="0"/>
        <w:ind w:left="194" w:right="42" w:firstLine="0"/>
        <w:jc w:val="left"/>
        <w:rPr>
          <w:sz w:val="18"/>
        </w:rPr>
      </w:pPr>
      <w:r>
        <w:rPr>
          <w:color w:val="231F20"/>
          <w:sz w:val="18"/>
        </w:rPr>
        <w:t>Comparing earnings growth with pay settlements suggested </w:t>
      </w:r>
      <w:r>
        <w:rPr>
          <w:color w:val="231F20"/>
          <w:spacing w:val="-18"/>
          <w:sz w:val="18"/>
        </w:rPr>
        <w:t>a </w:t>
      </w:r>
      <w:r>
        <w:rPr>
          <w:color w:val="231F20"/>
          <w:sz w:val="18"/>
        </w:rPr>
        <w:t>contribution from wage drift of 1</w:t>
      </w:r>
      <w:r>
        <w:rPr>
          <w:color w:val="231F20"/>
          <w:position w:val="6"/>
          <w:sz w:val="9"/>
        </w:rPr>
        <w:t>1</w:t>
      </w:r>
      <w:r>
        <w:rPr>
          <w:color w:val="231F20"/>
          <w:sz w:val="18"/>
        </w:rPr>
        <w:t>/</w:t>
      </w:r>
      <w:r>
        <w:rPr>
          <w:color w:val="231F20"/>
          <w:sz w:val="9"/>
        </w:rPr>
        <w:t>2 </w:t>
      </w:r>
      <w:r>
        <w:rPr>
          <w:color w:val="231F20"/>
          <w:sz w:val="18"/>
        </w:rPr>
        <w:t>percentage points or so, which did not seem abnormal given previous experience and the stage in the cycle. A question remained concerning the size of the gap between private and public sector earnings growth, which had been large over the past few years according to the ONS average earnings figures.</w:t>
      </w:r>
    </w:p>
    <w:p>
      <w:pPr>
        <w:pStyle w:val="BodyText"/>
        <w:spacing w:before="11"/>
        <w:rPr>
          <w:sz w:val="16"/>
        </w:rPr>
      </w:pPr>
    </w:p>
    <w:p>
      <w:pPr>
        <w:pStyle w:val="ListParagraph"/>
        <w:numPr>
          <w:ilvl w:val="0"/>
          <w:numId w:val="50"/>
        </w:numPr>
        <w:tabs>
          <w:tab w:pos="674" w:val="left" w:leader="none"/>
          <w:tab w:pos="675" w:val="left" w:leader="none"/>
        </w:tabs>
        <w:spacing w:line="232" w:lineRule="auto" w:before="0" w:after="0"/>
        <w:ind w:left="194" w:right="62" w:firstLine="0"/>
        <w:jc w:val="left"/>
        <w:rPr>
          <w:sz w:val="18"/>
        </w:rPr>
      </w:pPr>
      <w:r>
        <w:rPr>
          <w:color w:val="231F20"/>
          <w:sz w:val="18"/>
        </w:rPr>
        <w:t>Retail price inflation had turned out significantly higher than expected in May, but it was not obvious how to choose between various competing explanations. One possible explanation was </w:t>
      </w:r>
      <w:r>
        <w:rPr>
          <w:color w:val="231F20"/>
          <w:spacing w:val="-5"/>
          <w:sz w:val="18"/>
        </w:rPr>
        <w:t>that </w:t>
      </w:r>
      <w:r>
        <w:rPr>
          <w:color w:val="231F20"/>
          <w:sz w:val="18"/>
        </w:rPr>
        <w:t>unexpectedly strong earnings growth was feeding through to inflation, but this did not seem to explain all of the rise. A second explanation was that there was less pass-through from the</w:t>
      </w:r>
      <w:r>
        <w:rPr>
          <w:color w:val="231F20"/>
          <w:spacing w:val="7"/>
          <w:sz w:val="18"/>
        </w:rPr>
        <w:t> </w:t>
      </w:r>
      <w:r>
        <w:rPr>
          <w:color w:val="231F20"/>
          <w:spacing w:val="-3"/>
          <w:sz w:val="18"/>
        </w:rPr>
        <w:t>exchange</w:t>
      </w:r>
    </w:p>
    <w:p>
      <w:pPr>
        <w:pStyle w:val="BodyText"/>
        <w:spacing w:before="7"/>
        <w:rPr>
          <w:sz w:val="19"/>
        </w:rPr>
      </w:pPr>
      <w:r>
        <w:rPr/>
        <w:br w:type="column"/>
      </w:r>
      <w:r>
        <w:rPr>
          <w:sz w:val="19"/>
        </w:rPr>
      </w:r>
    </w:p>
    <w:p>
      <w:pPr>
        <w:pStyle w:val="BodyText"/>
        <w:spacing w:line="232" w:lineRule="auto" w:before="1"/>
        <w:ind w:left="194" w:right="170"/>
      </w:pPr>
      <w:r>
        <w:rPr>
          <w:color w:val="231F20"/>
        </w:rPr>
        <w:t>rate appreciation than had been expected. A third explanation was that the rise was due to erratic factors, which had no obvious implications for the medium-term inflation projection.  Evidence for this could be gauged by looking at the unexpected rise in seasonal food prices. A fourth explanation might be the raising of prices ahead of summer sales, which again might be only a temporary timing effect. The rise in clothing and footwear prices could reflect this factor. Or it could reflect the strong rise in retail sales volumes for these goods, which may have indicated stronger demand. Finally, taking the past few months as a whole, the rise in the housing depreciation component of RPIX had been unexpectedly strong. In sum, it was difficult to draw firm conclusions about the significance of the higher-than-expected </w:t>
      </w:r>
      <w:r>
        <w:rPr>
          <w:color w:val="231F20"/>
          <w:spacing w:val="-6"/>
        </w:rPr>
        <w:t>May </w:t>
      </w:r>
      <w:r>
        <w:rPr>
          <w:color w:val="231F20"/>
        </w:rPr>
        <w:t>retail prices figures for future inflation.</w:t>
      </w:r>
    </w:p>
    <w:p>
      <w:pPr>
        <w:pStyle w:val="BodyText"/>
        <w:spacing w:before="10"/>
        <w:rPr>
          <w:sz w:val="19"/>
        </w:rPr>
      </w:pPr>
    </w:p>
    <w:p>
      <w:pPr>
        <w:pStyle w:val="ListParagraph"/>
        <w:numPr>
          <w:ilvl w:val="0"/>
          <w:numId w:val="50"/>
        </w:numPr>
        <w:tabs>
          <w:tab w:pos="674" w:val="left" w:leader="none"/>
          <w:tab w:pos="675" w:val="left" w:leader="none"/>
        </w:tabs>
        <w:spacing w:line="232" w:lineRule="auto" w:before="0" w:after="0"/>
        <w:ind w:left="194" w:right="189" w:firstLine="0"/>
        <w:jc w:val="left"/>
        <w:rPr>
          <w:sz w:val="18"/>
        </w:rPr>
      </w:pPr>
      <w:r>
        <w:rPr>
          <w:color w:val="231F20"/>
          <w:sz w:val="18"/>
        </w:rPr>
        <w:t>From a longer perspective it was worth noting that since the introduction of the MPC arrangements in May 1997, inflation had been at or above the target, and month-by-month inflation had tended to turn out slightly higher than the Committee had</w:t>
      </w:r>
      <w:r>
        <w:rPr>
          <w:color w:val="231F20"/>
          <w:spacing w:val="-17"/>
          <w:sz w:val="18"/>
        </w:rPr>
        <w:t> </w:t>
      </w:r>
      <w:r>
        <w:rPr>
          <w:color w:val="231F20"/>
          <w:sz w:val="18"/>
        </w:rPr>
        <w:t>expected.</w:t>
      </w:r>
    </w:p>
    <w:p>
      <w:pPr>
        <w:pStyle w:val="BodyText"/>
        <w:spacing w:line="232" w:lineRule="auto"/>
        <w:ind w:left="194" w:right="456"/>
      </w:pPr>
      <w:r>
        <w:rPr>
          <w:color w:val="231F20"/>
        </w:rPr>
        <w:t>Looking back just over a year, the central projection published in the May 1997 </w:t>
      </w:r>
      <w:r>
        <w:rPr>
          <w:i/>
          <w:color w:val="231F20"/>
        </w:rPr>
        <w:t>Inflation Report </w:t>
      </w:r>
      <w:r>
        <w:rPr>
          <w:color w:val="231F20"/>
        </w:rPr>
        <w:t>was for inflation in 1998 at or</w:t>
      </w:r>
    </w:p>
    <w:p>
      <w:pPr>
        <w:pStyle w:val="BodyText"/>
        <w:spacing w:line="232" w:lineRule="auto"/>
        <w:ind w:left="194" w:right="193"/>
      </w:pPr>
      <w:r>
        <w:rPr>
          <w:color w:val="231F20"/>
        </w:rPr>
        <w:t>below 2</w:t>
      </w:r>
      <w:r>
        <w:rPr>
          <w:color w:val="231F20"/>
          <w:position w:val="6"/>
          <w:sz w:val="9"/>
        </w:rPr>
        <w:t>1</w:t>
      </w:r>
      <w:r>
        <w:rPr>
          <w:color w:val="231F20"/>
        </w:rPr>
        <w:t>/</w:t>
      </w:r>
      <w:r>
        <w:rPr>
          <w:color w:val="231F20"/>
          <w:sz w:val="9"/>
        </w:rPr>
        <w:t>2</w:t>
      </w:r>
      <w:r>
        <w:rPr>
          <w:color w:val="231F20"/>
        </w:rPr>
        <w:t>%. That projection was made at a lower nominal interest rate, a lower exchange rate, and before the various budget announcements.</w:t>
      </w:r>
    </w:p>
    <w:p>
      <w:pPr>
        <w:pStyle w:val="BodyText"/>
        <w:spacing w:before="6"/>
        <w:rPr>
          <w:sz w:val="23"/>
        </w:rPr>
      </w:pPr>
    </w:p>
    <w:p>
      <w:pPr>
        <w:pStyle w:val="Heading6"/>
        <w:spacing w:line="266" w:lineRule="auto" w:before="1"/>
        <w:ind w:left="194" w:right="193"/>
      </w:pPr>
      <w:r>
        <w:rPr>
          <w:color w:val="009483"/>
        </w:rPr>
        <w:t>The National Minimum Wage and other policy changes affecting the labour market</w:t>
      </w:r>
    </w:p>
    <w:p>
      <w:pPr>
        <w:pStyle w:val="ListParagraph"/>
        <w:numPr>
          <w:ilvl w:val="0"/>
          <w:numId w:val="50"/>
        </w:numPr>
        <w:tabs>
          <w:tab w:pos="674" w:val="left" w:leader="none"/>
          <w:tab w:pos="675" w:val="left" w:leader="none"/>
        </w:tabs>
        <w:spacing w:line="232" w:lineRule="auto" w:before="80" w:after="0"/>
        <w:ind w:left="194" w:right="165" w:firstLine="0"/>
        <w:jc w:val="left"/>
        <w:rPr>
          <w:sz w:val="18"/>
        </w:rPr>
      </w:pPr>
      <w:r>
        <w:rPr>
          <w:color w:val="231F20"/>
          <w:sz w:val="18"/>
        </w:rPr>
        <w:t>The Government had announced the details of the National Minimum Wage, and members and staff of the Low Pay Commission (LPC) had briefed the MPC on the details of their report. The LPC’s estimate of the direct effect of the NMW on the wage bill was 0.6%. The LPC had assumed full compliance with the minimum wage and that the restoration of wage differentials would not be a significant factor. The Committee discussed factors affecting the size of the impact on the price level, and on inflation over the next few years. A plausible starting point might be a proportionate rise in prices of two thirds of the percentage increase in the wage bill. But the timing of this was uncertain: the rise in prices might come through quite quickly or be spread over a number of years. The fact that the details of the NMW were </w:t>
      </w:r>
      <w:r>
        <w:rPr>
          <w:color w:val="231F20"/>
          <w:spacing w:val="-4"/>
          <w:sz w:val="18"/>
        </w:rPr>
        <w:t>known </w:t>
      </w:r>
      <w:r>
        <w:rPr>
          <w:color w:val="231F20"/>
          <w:sz w:val="18"/>
        </w:rPr>
        <w:t>well before its implementation was a reason for assuming a more rapid effect. Although it was of primary importance to estimate the impact on wage costs and inflation, the Committee thought that the minimum wage would also raise the natural rate of unemployment.</w:t>
      </w:r>
    </w:p>
    <w:p>
      <w:pPr>
        <w:pStyle w:val="BodyText"/>
        <w:spacing w:before="8"/>
        <w:rPr>
          <w:sz w:val="19"/>
        </w:rPr>
      </w:pPr>
    </w:p>
    <w:p>
      <w:pPr>
        <w:pStyle w:val="ListParagraph"/>
        <w:numPr>
          <w:ilvl w:val="0"/>
          <w:numId w:val="50"/>
        </w:numPr>
        <w:tabs>
          <w:tab w:pos="674" w:val="left" w:leader="none"/>
          <w:tab w:pos="675" w:val="left" w:leader="none"/>
        </w:tabs>
        <w:spacing w:line="232" w:lineRule="auto" w:before="1" w:after="0"/>
        <w:ind w:left="194" w:right="195" w:firstLine="0"/>
        <w:jc w:val="left"/>
        <w:rPr>
          <w:sz w:val="18"/>
        </w:rPr>
      </w:pPr>
      <w:r>
        <w:rPr>
          <w:color w:val="231F20"/>
          <w:sz w:val="18"/>
        </w:rPr>
        <w:t>The Committee agreed it was important to assess the impact of the minimum wage alongside an analysis of the other Government measures affecting the labour market. It discussed </w:t>
      </w:r>
      <w:r>
        <w:rPr>
          <w:color w:val="231F20"/>
          <w:spacing w:val="-6"/>
          <w:sz w:val="18"/>
        </w:rPr>
        <w:t>the </w:t>
      </w:r>
      <w:r>
        <w:rPr>
          <w:color w:val="231F20"/>
          <w:sz w:val="18"/>
        </w:rPr>
        <w:t>potential size of any effects of the Welfare-to-Work and tax/benefit measures (such as the Working Families Tax Credit and childcare subsidies) on the natural rate of unemployment. Estimates of both the timing and magnitude were necessarily highly uncertain. </w:t>
      </w:r>
      <w:r>
        <w:rPr>
          <w:color w:val="231F20"/>
          <w:spacing w:val="-4"/>
          <w:sz w:val="18"/>
        </w:rPr>
        <w:t>There </w:t>
      </w:r>
      <w:r>
        <w:rPr>
          <w:color w:val="231F20"/>
          <w:sz w:val="18"/>
        </w:rPr>
        <w:t>could be quite rapid effects if, for example, the New Deal had a significant impact on the initial stock of young and long-term unemployed. It was possible that the effects from the tax/benefit changes could be significant in increasing activity rates, given the evidence on the labour supply elasticities of those most likely to be affected by these changes.</w:t>
      </w:r>
    </w:p>
    <w:p>
      <w:pPr>
        <w:pStyle w:val="BodyText"/>
        <w:spacing w:before="5"/>
        <w:rPr>
          <w:sz w:val="16"/>
        </w:rPr>
      </w:pPr>
    </w:p>
    <w:p>
      <w:pPr>
        <w:pStyle w:val="ListParagraph"/>
        <w:numPr>
          <w:ilvl w:val="0"/>
          <w:numId w:val="50"/>
        </w:numPr>
        <w:tabs>
          <w:tab w:pos="674" w:val="left" w:leader="none"/>
          <w:tab w:pos="675" w:val="left" w:leader="none"/>
        </w:tabs>
        <w:spacing w:line="232" w:lineRule="auto" w:before="1" w:after="0"/>
        <w:ind w:left="194" w:right="280" w:firstLine="0"/>
        <w:jc w:val="left"/>
        <w:rPr>
          <w:sz w:val="18"/>
        </w:rPr>
      </w:pPr>
      <w:r>
        <w:rPr>
          <w:color w:val="231F20"/>
          <w:sz w:val="18"/>
        </w:rPr>
        <w:t>Looking forward, it would be important to be able to distinguish between changes in unemployment that reflected changes in labour market tightness, and any changes which came about because of the introduction of the Government’s NMW, the tax/benefits reforms and the Welfare-to-Work initiatives. The New Deal programme started nationally in April, so there were </w:t>
      </w:r>
      <w:r>
        <w:rPr>
          <w:color w:val="231F20"/>
          <w:spacing w:val="-9"/>
          <w:sz w:val="18"/>
        </w:rPr>
        <w:t>no </w:t>
      </w:r>
      <w:r>
        <w:rPr>
          <w:color w:val="231F20"/>
          <w:sz w:val="18"/>
        </w:rPr>
        <w:t>effects yet in the unemployment statistics. But monitoring processes had been set up which would identify the effect of the New Deal on unemployment. The Committee’s assessment of </w:t>
      </w:r>
      <w:r>
        <w:rPr>
          <w:color w:val="231F20"/>
          <w:spacing w:val="-5"/>
          <w:sz w:val="18"/>
        </w:rPr>
        <w:t>the </w:t>
      </w:r>
      <w:r>
        <w:rPr>
          <w:color w:val="231F20"/>
          <w:sz w:val="18"/>
        </w:rPr>
        <w:t>impact of the Government’s labour market policies on inflation</w:t>
      </w:r>
    </w:p>
    <w:p>
      <w:pPr>
        <w:spacing w:line="194" w:lineRule="exact" w:before="0"/>
        <w:ind w:left="194" w:right="0" w:firstLine="0"/>
        <w:jc w:val="left"/>
        <w:rPr>
          <w:sz w:val="18"/>
        </w:rPr>
      </w:pPr>
      <w:r>
        <w:rPr>
          <w:color w:val="231F20"/>
          <w:sz w:val="18"/>
        </w:rPr>
        <w:t>would be incorporated into the August </w:t>
      </w:r>
      <w:r>
        <w:rPr>
          <w:i/>
          <w:color w:val="231F20"/>
          <w:sz w:val="18"/>
        </w:rPr>
        <w:t>Inflation Report </w:t>
      </w:r>
      <w:r>
        <w:rPr>
          <w:color w:val="231F20"/>
          <w:sz w:val="18"/>
        </w:rPr>
        <w:t>projections.</w:t>
      </w:r>
    </w:p>
    <w:p>
      <w:pPr>
        <w:spacing w:after="0" w:line="194" w:lineRule="exact"/>
        <w:jc w:val="left"/>
        <w:rPr>
          <w:sz w:val="18"/>
        </w:rPr>
        <w:sectPr>
          <w:type w:val="continuous"/>
          <w:pgSz w:w="11900" w:h="16840"/>
          <w:pgMar w:top="1220" w:bottom="280" w:left="620" w:right="640"/>
          <w:cols w:num="2" w:equalWidth="0">
            <w:col w:w="5144" w:space="246"/>
            <w:col w:w="5250"/>
          </w:cols>
        </w:sectPr>
      </w:pPr>
    </w:p>
    <w:p>
      <w:pPr>
        <w:pStyle w:val="BodyText"/>
        <w:rPr>
          <w:sz w:val="20"/>
        </w:rPr>
      </w:pPr>
    </w:p>
    <w:p>
      <w:pPr>
        <w:spacing w:after="0"/>
        <w:rPr>
          <w:sz w:val="20"/>
        </w:rPr>
        <w:sectPr>
          <w:pgSz w:w="11900" w:h="16840"/>
          <w:pgMar w:header="566" w:footer="597" w:top="760" w:bottom="780" w:left="620" w:right="640"/>
        </w:sectPr>
      </w:pPr>
    </w:p>
    <w:p>
      <w:pPr>
        <w:pStyle w:val="Heading6"/>
        <w:spacing w:before="212"/>
        <w:ind w:left="185"/>
      </w:pPr>
      <w:r>
        <w:rPr>
          <w:color w:val="009483"/>
        </w:rPr>
        <w:t>Monetary conditions</w:t>
      </w:r>
    </w:p>
    <w:p>
      <w:pPr>
        <w:pStyle w:val="ListParagraph"/>
        <w:numPr>
          <w:ilvl w:val="0"/>
          <w:numId w:val="50"/>
        </w:numPr>
        <w:tabs>
          <w:tab w:pos="665" w:val="left" w:leader="none"/>
          <w:tab w:pos="666" w:val="left" w:leader="none"/>
        </w:tabs>
        <w:spacing w:line="232" w:lineRule="auto" w:before="109" w:after="0"/>
        <w:ind w:left="185" w:right="66" w:firstLine="0"/>
        <w:jc w:val="left"/>
        <w:rPr>
          <w:sz w:val="18"/>
        </w:rPr>
      </w:pPr>
      <w:r>
        <w:rPr>
          <w:color w:val="231F20"/>
          <w:sz w:val="18"/>
        </w:rPr>
        <w:t>Money growth had slowed in June, and the twelve-month rate of growth of M4 was now back below 10%. The Committee considered that the slow decline in the annual growth rate over recent months was probably consistent with a slowdown in </w:t>
      </w:r>
      <w:r>
        <w:rPr>
          <w:color w:val="231F20"/>
          <w:spacing w:val="-3"/>
          <w:sz w:val="18"/>
        </w:rPr>
        <w:t>demand </w:t>
      </w:r>
      <w:r>
        <w:rPr>
          <w:color w:val="231F20"/>
          <w:sz w:val="18"/>
        </w:rPr>
        <w:t>and somewhat higher inflation, and that it would be worrying if monetary growth were not slowing by now.</w:t>
      </w:r>
    </w:p>
    <w:p>
      <w:pPr>
        <w:pStyle w:val="BodyText"/>
        <w:rPr>
          <w:sz w:val="17"/>
        </w:rPr>
      </w:pPr>
    </w:p>
    <w:p>
      <w:pPr>
        <w:pStyle w:val="ListParagraph"/>
        <w:numPr>
          <w:ilvl w:val="0"/>
          <w:numId w:val="50"/>
        </w:numPr>
        <w:tabs>
          <w:tab w:pos="665" w:val="left" w:leader="none"/>
          <w:tab w:pos="666" w:val="left" w:leader="none"/>
        </w:tabs>
        <w:spacing w:line="232" w:lineRule="auto" w:before="0" w:after="0"/>
        <w:ind w:left="185" w:right="92" w:firstLine="0"/>
        <w:jc w:val="left"/>
        <w:rPr>
          <w:sz w:val="18"/>
        </w:rPr>
      </w:pPr>
      <w:r>
        <w:rPr>
          <w:color w:val="231F20"/>
          <w:sz w:val="18"/>
        </w:rPr>
        <w:t>The Committee discussed the market reaction to the interest rate increase on 4 June. The announcement had come as a surprise to the markets and, coupled with data releases later in the month, had pushed short sterling implied forward interest rates up by </w:t>
      </w:r>
      <w:r>
        <w:rPr>
          <w:color w:val="231F20"/>
          <w:spacing w:val="-5"/>
          <w:sz w:val="18"/>
        </w:rPr>
        <w:t>more </w:t>
      </w:r>
      <w:r>
        <w:rPr>
          <w:color w:val="231F20"/>
          <w:sz w:val="18"/>
        </w:rPr>
        <w:t>than 25 basis points some two years ahead. Since the path implied for interest rates had previously been downward sloping, the effect was to push further into the future the time when markets expected interest rate cuts. The sterling effective exchange rate had risen slightly since the June meeting, and a large part of this could be accounted for by changes in market expectations of UK relative to overseas interest rates.</w:t>
      </w:r>
    </w:p>
    <w:p>
      <w:pPr>
        <w:pStyle w:val="BodyText"/>
        <w:spacing w:before="10"/>
        <w:rPr>
          <w:sz w:val="19"/>
        </w:rPr>
      </w:pPr>
    </w:p>
    <w:p>
      <w:pPr>
        <w:pStyle w:val="Heading6"/>
        <w:spacing w:before="1"/>
        <w:ind w:left="185"/>
      </w:pPr>
      <w:r>
        <w:rPr>
          <w:color w:val="009483"/>
        </w:rPr>
        <w:t>The immediate policy decision</w:t>
      </w:r>
    </w:p>
    <w:p>
      <w:pPr>
        <w:pStyle w:val="ListParagraph"/>
        <w:numPr>
          <w:ilvl w:val="0"/>
          <w:numId w:val="50"/>
        </w:numPr>
        <w:tabs>
          <w:tab w:pos="665" w:val="left" w:leader="none"/>
          <w:tab w:pos="666" w:val="left" w:leader="none"/>
        </w:tabs>
        <w:spacing w:line="232" w:lineRule="auto" w:before="109" w:after="0"/>
        <w:ind w:left="185" w:right="47" w:firstLine="0"/>
        <w:jc w:val="left"/>
        <w:rPr>
          <w:sz w:val="18"/>
        </w:rPr>
      </w:pPr>
      <w:r>
        <w:rPr>
          <w:color w:val="231F20"/>
          <w:sz w:val="18"/>
        </w:rPr>
        <w:t>The Committee agreed that there had been a further deterioration in the prospects for the world economy. In the case </w:t>
      </w:r>
      <w:r>
        <w:rPr>
          <w:color w:val="231F20"/>
          <w:spacing w:val="-9"/>
          <w:sz w:val="18"/>
        </w:rPr>
        <w:t>of </w:t>
      </w:r>
      <w:r>
        <w:rPr>
          <w:color w:val="231F20"/>
          <w:sz w:val="18"/>
        </w:rPr>
        <w:t>Japan the question was how bad things would get, given the current stance of policy. News on Japan continued to be offset to some extent by the strength of the United States. Growth in the EU was holding up, although there were differences across the major EU countries.  The exchange rate had risen slightly over the past month, and the deterioration in UK net exports was coming </w:t>
      </w:r>
      <w:r>
        <w:rPr>
          <w:color w:val="231F20"/>
          <w:spacing w:val="-3"/>
          <w:sz w:val="18"/>
        </w:rPr>
        <w:t>through </w:t>
      </w:r>
      <w:r>
        <w:rPr>
          <w:color w:val="231F20"/>
          <w:sz w:val="18"/>
        </w:rPr>
        <w:t>in the first quarter. The monthly trade figures pointed to further deterioration in net exports in 1998 Q2. So overall the net trade picture was, if anything, a little weaker than expected at the time of the </w:t>
      </w:r>
      <w:r>
        <w:rPr>
          <w:i/>
          <w:color w:val="231F20"/>
          <w:sz w:val="18"/>
        </w:rPr>
        <w:t>Inflation Report</w:t>
      </w:r>
      <w:r>
        <w:rPr>
          <w:color w:val="231F20"/>
          <w:sz w:val="18"/>
        </w:rPr>
        <w:t>, with further risks on the</w:t>
      </w:r>
      <w:r>
        <w:rPr>
          <w:color w:val="231F20"/>
          <w:spacing w:val="-2"/>
          <w:sz w:val="18"/>
        </w:rPr>
        <w:t> </w:t>
      </w:r>
      <w:r>
        <w:rPr>
          <w:color w:val="231F20"/>
          <w:sz w:val="18"/>
        </w:rPr>
        <w:t>downside.</w:t>
      </w:r>
    </w:p>
    <w:p>
      <w:pPr>
        <w:pStyle w:val="BodyText"/>
        <w:spacing w:before="4"/>
      </w:pPr>
    </w:p>
    <w:p>
      <w:pPr>
        <w:pStyle w:val="ListParagraph"/>
        <w:numPr>
          <w:ilvl w:val="0"/>
          <w:numId w:val="50"/>
        </w:numPr>
        <w:tabs>
          <w:tab w:pos="665" w:val="left" w:leader="none"/>
          <w:tab w:pos="666" w:val="left" w:leader="none"/>
        </w:tabs>
        <w:spacing w:line="232" w:lineRule="auto" w:before="0" w:after="0"/>
        <w:ind w:left="185" w:right="52" w:firstLine="0"/>
        <w:jc w:val="left"/>
        <w:rPr>
          <w:sz w:val="18"/>
        </w:rPr>
      </w:pPr>
      <w:r>
        <w:rPr>
          <w:color w:val="231F20"/>
          <w:sz w:val="18"/>
        </w:rPr>
        <w:t>Despite the upward revision to 1998 Q1, the Committee was more confident that domestic demand was slowing. And the slowdown appeared to be spreading to the service sector, although much of the evidence of slower growth in the service sectors came from surveys. Taking external and domestic demand together, the real side of the economy looked to be broadly on the track </w:t>
      </w:r>
      <w:r>
        <w:rPr>
          <w:color w:val="231F20"/>
          <w:spacing w:val="-3"/>
          <w:sz w:val="18"/>
        </w:rPr>
        <w:t>expected </w:t>
      </w:r>
      <w:r>
        <w:rPr>
          <w:color w:val="231F20"/>
          <w:sz w:val="18"/>
        </w:rPr>
        <w:t>at the time of the </w:t>
      </w:r>
      <w:r>
        <w:rPr>
          <w:i/>
          <w:color w:val="231F20"/>
          <w:sz w:val="18"/>
        </w:rPr>
        <w:t>Inflation Report</w:t>
      </w:r>
      <w:r>
        <w:rPr>
          <w:color w:val="231F20"/>
          <w:sz w:val="18"/>
        </w:rPr>
        <w:t>. Evidence from the demand side in Q2 might be slightly weaker than on the output side, but this was still highly uncertain.</w:t>
      </w:r>
    </w:p>
    <w:p>
      <w:pPr>
        <w:pStyle w:val="BodyText"/>
        <w:spacing w:before="6"/>
      </w:pPr>
    </w:p>
    <w:p>
      <w:pPr>
        <w:pStyle w:val="ListParagraph"/>
        <w:numPr>
          <w:ilvl w:val="0"/>
          <w:numId w:val="50"/>
        </w:numPr>
        <w:tabs>
          <w:tab w:pos="665" w:val="left" w:leader="none"/>
          <w:tab w:pos="666" w:val="left" w:leader="none"/>
        </w:tabs>
        <w:spacing w:line="232" w:lineRule="auto" w:before="0" w:after="0"/>
        <w:ind w:left="185" w:right="137" w:firstLine="0"/>
        <w:jc w:val="left"/>
        <w:rPr>
          <w:sz w:val="18"/>
        </w:rPr>
      </w:pPr>
      <w:r>
        <w:rPr>
          <w:color w:val="231F20"/>
          <w:sz w:val="18"/>
        </w:rPr>
        <w:t>The slowing in the rate of decline in unemployment looked consistent with developments in demand and output, and was also broadly consistent with the May </w:t>
      </w:r>
      <w:r>
        <w:rPr>
          <w:i/>
          <w:color w:val="231F20"/>
          <w:sz w:val="18"/>
        </w:rPr>
        <w:t>Inflation Report </w:t>
      </w:r>
      <w:r>
        <w:rPr>
          <w:color w:val="231F20"/>
          <w:sz w:val="18"/>
        </w:rPr>
        <w:t>projection. The level of pressure in the labour market was less clear, but was probably still high given the recent evidence on recruitment difficulties. Looking ahead, some rise in unemployment was likely later in the year, and was probably necessary to contain pressure on wages and earnings. Both inflation and earnings growth had risen on the month. The Committee felt that some of the rise in retail prices was erratic, and could therefore be discounted, but noted that inflation had turned out to be a little higher over most of the previous year than had been anticipated. Despite the real economy developing broadly as expected, there were signs that nominal variables were turning out worse than expected. This could be because the lags between output growth and its effect on inflation were longer than expected, or it could</w:t>
      </w:r>
      <w:r>
        <w:rPr>
          <w:color w:val="231F20"/>
          <w:spacing w:val="1"/>
          <w:sz w:val="18"/>
        </w:rPr>
        <w:t> </w:t>
      </w:r>
      <w:r>
        <w:rPr>
          <w:color w:val="231F20"/>
          <w:spacing w:val="-9"/>
          <w:sz w:val="18"/>
        </w:rPr>
        <w:t>be</w:t>
      </w:r>
    </w:p>
    <w:p>
      <w:pPr>
        <w:pStyle w:val="BodyText"/>
        <w:spacing w:line="186" w:lineRule="exact"/>
        <w:ind w:left="185"/>
      </w:pPr>
      <w:r>
        <w:rPr>
          <w:color w:val="231F20"/>
        </w:rPr>
        <w:t>because the short-run trade-off between the two was less favourable</w:t>
      </w:r>
    </w:p>
    <w:p>
      <w:pPr>
        <w:pStyle w:val="BodyText"/>
        <w:spacing w:line="203" w:lineRule="exact"/>
        <w:ind w:left="185"/>
      </w:pPr>
      <w:r>
        <w:rPr>
          <w:color w:val="231F20"/>
        </w:rPr>
        <w:t>than predicted.</w:t>
      </w:r>
    </w:p>
    <w:p>
      <w:pPr>
        <w:pStyle w:val="BodyText"/>
        <w:spacing w:before="11"/>
      </w:pPr>
    </w:p>
    <w:p>
      <w:pPr>
        <w:pStyle w:val="ListParagraph"/>
        <w:numPr>
          <w:ilvl w:val="0"/>
          <w:numId w:val="50"/>
        </w:numPr>
        <w:tabs>
          <w:tab w:pos="665" w:val="left" w:leader="none"/>
          <w:tab w:pos="666" w:val="left" w:leader="none"/>
        </w:tabs>
        <w:spacing w:line="232" w:lineRule="auto" w:before="0" w:after="0"/>
        <w:ind w:left="185" w:right="84" w:firstLine="0"/>
        <w:jc w:val="left"/>
        <w:rPr>
          <w:sz w:val="18"/>
        </w:rPr>
      </w:pPr>
      <w:r>
        <w:rPr>
          <w:color w:val="231F20"/>
          <w:sz w:val="18"/>
        </w:rPr>
        <w:t>The Committee had considered the announcements on fiscal policy and the National Minimum Wage. The fiscal announcements appeared not to contain much news for inflation </w:t>
      </w:r>
      <w:r>
        <w:rPr>
          <w:color w:val="231F20"/>
          <w:spacing w:val="-7"/>
          <w:sz w:val="18"/>
        </w:rPr>
        <w:t>up </w:t>
      </w:r>
      <w:r>
        <w:rPr>
          <w:color w:val="231F20"/>
          <w:sz w:val="18"/>
        </w:rPr>
        <w:t>to two years ahead. But more work needed to be done to quantify the effect of the E</w:t>
      </w:r>
      <w:r>
        <w:rPr>
          <w:color w:val="231F20"/>
          <w:sz w:val="14"/>
        </w:rPr>
        <w:t>FSR </w:t>
      </w:r>
      <w:r>
        <w:rPr>
          <w:color w:val="231F20"/>
          <w:sz w:val="18"/>
        </w:rPr>
        <w:t>and the aggregate effect on the labour </w:t>
      </w:r>
      <w:r>
        <w:rPr>
          <w:color w:val="231F20"/>
          <w:spacing w:val="-3"/>
          <w:sz w:val="18"/>
        </w:rPr>
        <w:t>market </w:t>
      </w:r>
      <w:r>
        <w:rPr>
          <w:color w:val="231F20"/>
          <w:sz w:val="18"/>
        </w:rPr>
        <w:t>from the NMW, Welfare-to-Work and the tax/benefit changes.</w:t>
      </w:r>
    </w:p>
    <w:p>
      <w:pPr>
        <w:pStyle w:val="BodyText"/>
        <w:spacing w:before="2"/>
        <w:rPr>
          <w:sz w:val="19"/>
        </w:rPr>
      </w:pPr>
      <w:r>
        <w:rPr/>
        <w:br w:type="column"/>
      </w:r>
      <w:r>
        <w:rPr>
          <w:sz w:val="19"/>
        </w:rPr>
      </w:r>
    </w:p>
    <w:p>
      <w:pPr>
        <w:pStyle w:val="BodyText"/>
        <w:spacing w:line="203" w:lineRule="exact" w:before="1"/>
        <w:ind w:left="185"/>
      </w:pPr>
      <w:r>
        <w:rPr>
          <w:color w:val="231F20"/>
        </w:rPr>
        <w:t>Further analysis would take place in the context of the August</w:t>
      </w:r>
    </w:p>
    <w:p>
      <w:pPr>
        <w:spacing w:line="203" w:lineRule="exact" w:before="0"/>
        <w:ind w:left="185" w:right="0" w:firstLine="0"/>
        <w:jc w:val="left"/>
        <w:rPr>
          <w:sz w:val="18"/>
        </w:rPr>
      </w:pPr>
      <w:r>
        <w:rPr>
          <w:i/>
          <w:color w:val="231F20"/>
          <w:sz w:val="18"/>
        </w:rPr>
        <w:t>Inflation Report </w:t>
      </w:r>
      <w:r>
        <w:rPr>
          <w:color w:val="231F20"/>
          <w:sz w:val="18"/>
        </w:rPr>
        <w:t>projections.</w:t>
      </w:r>
    </w:p>
    <w:p>
      <w:pPr>
        <w:pStyle w:val="ListParagraph"/>
        <w:numPr>
          <w:ilvl w:val="0"/>
          <w:numId w:val="50"/>
        </w:numPr>
        <w:tabs>
          <w:tab w:pos="665" w:val="left" w:leader="none"/>
          <w:tab w:pos="666" w:val="left" w:leader="none"/>
        </w:tabs>
        <w:spacing w:line="232" w:lineRule="auto" w:before="158" w:after="0"/>
        <w:ind w:left="185" w:right="258" w:firstLine="0"/>
        <w:jc w:val="left"/>
        <w:rPr>
          <w:sz w:val="18"/>
        </w:rPr>
      </w:pPr>
      <w:r>
        <w:rPr>
          <w:color w:val="231F20"/>
          <w:sz w:val="18"/>
        </w:rPr>
        <w:t>There was an argument for a further immediate rise in interest rates. Even if unemployment stabilised at its current level there would be further pressure on earnings growth if unemployment were below the natural rate. A similar argument could be made in respect of capacity output, if the level of output was above potential. Therefore, a rise in unemployment back towards its natural rate—and a period of below trend output growth—would be required to return earnings growth to a rate </w:t>
      </w:r>
      <w:r>
        <w:rPr>
          <w:color w:val="231F20"/>
          <w:spacing w:val="-3"/>
          <w:sz w:val="18"/>
        </w:rPr>
        <w:t>that </w:t>
      </w:r>
      <w:r>
        <w:rPr>
          <w:color w:val="231F20"/>
          <w:sz w:val="18"/>
        </w:rPr>
        <w:t>was consistent with meeting the inflation target in the medium term. But this could be achieved either through a sharp correction, or a more protracted adjustment.</w:t>
      </w:r>
    </w:p>
    <w:p>
      <w:pPr>
        <w:pStyle w:val="ListParagraph"/>
        <w:numPr>
          <w:ilvl w:val="0"/>
          <w:numId w:val="50"/>
        </w:numPr>
        <w:tabs>
          <w:tab w:pos="665" w:val="left" w:leader="none"/>
          <w:tab w:pos="666" w:val="left" w:leader="none"/>
        </w:tabs>
        <w:spacing w:line="232" w:lineRule="auto" w:before="151" w:after="0"/>
        <w:ind w:left="185" w:right="184" w:firstLine="0"/>
        <w:jc w:val="left"/>
        <w:rPr>
          <w:sz w:val="18"/>
        </w:rPr>
      </w:pPr>
      <w:r>
        <w:rPr>
          <w:color w:val="231F20"/>
          <w:sz w:val="18"/>
        </w:rPr>
        <w:t>Even if it was more likely than not that official interest rates would have to rise again, there were two reasons for waiting another month. First, there had been a lot of news over the period since the June MPC meeting. And the news was such that it was difficult to form a quantitative assessment of the overall impact on the medium-term inflation projection and of the size of any interest rate increase that might be required. In these circumstances it </w:t>
      </w:r>
      <w:r>
        <w:rPr>
          <w:color w:val="231F20"/>
          <w:spacing w:val="-5"/>
          <w:sz w:val="18"/>
        </w:rPr>
        <w:t>made </w:t>
      </w:r>
      <w:r>
        <w:rPr>
          <w:color w:val="231F20"/>
          <w:sz w:val="18"/>
        </w:rPr>
        <w:t>sense to wait for an assessment in the quarterly </w:t>
      </w:r>
      <w:r>
        <w:rPr>
          <w:i/>
          <w:color w:val="231F20"/>
          <w:sz w:val="18"/>
        </w:rPr>
        <w:t>Inflation Report </w:t>
      </w:r>
      <w:r>
        <w:rPr>
          <w:color w:val="231F20"/>
          <w:sz w:val="18"/>
        </w:rPr>
        <w:t>forecast round, which was an important part of the monetary policy process. Second, although demand was slowing broadly as expected the economy had only just passed the turning point and there were risks that activity could slow more quickly than expected—so that there was more to be learned over the next month.</w:t>
      </w:r>
    </w:p>
    <w:p>
      <w:pPr>
        <w:pStyle w:val="ListParagraph"/>
        <w:numPr>
          <w:ilvl w:val="0"/>
          <w:numId w:val="50"/>
        </w:numPr>
        <w:tabs>
          <w:tab w:pos="665" w:val="left" w:leader="none"/>
          <w:tab w:pos="666" w:val="left" w:leader="none"/>
        </w:tabs>
        <w:spacing w:line="232" w:lineRule="auto" w:before="149" w:after="0"/>
        <w:ind w:left="185" w:right="174" w:firstLine="0"/>
        <w:jc w:val="left"/>
        <w:rPr>
          <w:sz w:val="18"/>
        </w:rPr>
      </w:pPr>
      <w:r>
        <w:rPr>
          <w:color w:val="231F20"/>
          <w:sz w:val="18"/>
        </w:rPr>
        <w:t>It was also argued that there was no need for a further rise in interest rates, and indeed on one view there was a case for an immediate reduction in interest rates.  The impact of the June rise in official interest rates had been amplified in financial markets by expectations of further rises, which could be seen as an extra </w:t>
      </w:r>
      <w:r>
        <w:rPr>
          <w:color w:val="231F20"/>
          <w:spacing w:val="-3"/>
          <w:sz w:val="18"/>
        </w:rPr>
        <w:t>degree </w:t>
      </w:r>
      <w:r>
        <w:rPr>
          <w:color w:val="231F20"/>
          <w:sz w:val="18"/>
        </w:rPr>
        <w:t>of tightening. The exchange rate had strengthened slightly on the month and was close to the level at the time of the May </w:t>
      </w:r>
      <w:r>
        <w:rPr>
          <w:i/>
          <w:color w:val="231F20"/>
          <w:sz w:val="18"/>
        </w:rPr>
        <w:t>Report</w:t>
      </w:r>
      <w:r>
        <w:rPr>
          <w:color w:val="231F20"/>
          <w:sz w:val="18"/>
        </w:rPr>
        <w:t>. Past interest rate increases were still feeding through. The greatest challenge at this point, given the lags in the operation of policy, was to judge when to stop raising rates and allow the cumulative tightening already in place to have its effects. There were already clear signs of a slowdown in domestic demand as well as a sharp weakening in exports. It was possible that the prospective slowdown in aggregate demand was already sufficient to produce an easing in the labour market consistent with meeting the inflation target in the medium-term.</w:t>
      </w:r>
    </w:p>
    <w:p>
      <w:pPr>
        <w:pStyle w:val="ListParagraph"/>
        <w:numPr>
          <w:ilvl w:val="0"/>
          <w:numId w:val="50"/>
        </w:numPr>
        <w:tabs>
          <w:tab w:pos="665" w:val="left" w:leader="none"/>
          <w:tab w:pos="666" w:val="left" w:leader="none"/>
        </w:tabs>
        <w:spacing w:line="232" w:lineRule="auto" w:before="168" w:after="0"/>
        <w:ind w:left="185" w:right="299" w:firstLine="0"/>
        <w:jc w:val="left"/>
        <w:rPr>
          <w:sz w:val="18"/>
        </w:rPr>
      </w:pPr>
      <w:r>
        <w:rPr>
          <w:color w:val="231F20"/>
          <w:sz w:val="18"/>
        </w:rPr>
        <w:t>The case for a reduction in interest rates had become less clear in the light of the Government’s recent announcements on fiscal strategy, which raised new concerns about the medium-term inflation outlook. On this view it would be prudent to delay a cut in interest rates until these policies could be examined fully in the August </w:t>
      </w:r>
      <w:r>
        <w:rPr>
          <w:i/>
          <w:color w:val="231F20"/>
          <w:sz w:val="18"/>
        </w:rPr>
        <w:t>Inflation Report</w:t>
      </w:r>
      <w:r>
        <w:rPr>
          <w:i/>
          <w:color w:val="231F20"/>
          <w:spacing w:val="-2"/>
          <w:sz w:val="18"/>
        </w:rPr>
        <w:t> </w:t>
      </w:r>
      <w:r>
        <w:rPr>
          <w:color w:val="231F20"/>
          <w:sz w:val="18"/>
        </w:rPr>
        <w:t>round.</w:t>
      </w:r>
    </w:p>
    <w:p>
      <w:pPr>
        <w:pStyle w:val="ListParagraph"/>
        <w:numPr>
          <w:ilvl w:val="0"/>
          <w:numId w:val="50"/>
        </w:numPr>
        <w:tabs>
          <w:tab w:pos="665" w:val="left" w:leader="none"/>
          <w:tab w:pos="666" w:val="left" w:leader="none"/>
        </w:tabs>
        <w:spacing w:line="232" w:lineRule="auto" w:before="175" w:after="0"/>
        <w:ind w:left="185" w:right="223" w:firstLine="0"/>
        <w:jc w:val="left"/>
        <w:rPr>
          <w:sz w:val="18"/>
        </w:rPr>
      </w:pPr>
      <w:r>
        <w:rPr>
          <w:color w:val="231F20"/>
          <w:sz w:val="18"/>
        </w:rPr>
        <w:t>The Committee then voted unanimously in favour of </w:t>
      </w:r>
      <w:r>
        <w:rPr>
          <w:color w:val="231F20"/>
          <w:spacing w:val="-3"/>
          <w:sz w:val="18"/>
        </w:rPr>
        <w:t>leaving </w:t>
      </w:r>
      <w:r>
        <w:rPr>
          <w:color w:val="231F20"/>
          <w:sz w:val="18"/>
        </w:rPr>
        <w:t>the Bank’s repo rate unchanged.</w:t>
      </w:r>
    </w:p>
    <w:p>
      <w:pPr>
        <w:pStyle w:val="ListParagraph"/>
        <w:numPr>
          <w:ilvl w:val="0"/>
          <w:numId w:val="50"/>
        </w:numPr>
        <w:tabs>
          <w:tab w:pos="665" w:val="left" w:leader="none"/>
          <w:tab w:pos="666" w:val="left" w:leader="none"/>
        </w:tabs>
        <w:spacing w:line="400" w:lineRule="exact" w:before="22" w:after="0"/>
        <w:ind w:left="185" w:right="548" w:firstLine="0"/>
        <w:jc w:val="left"/>
        <w:rPr>
          <w:sz w:val="18"/>
        </w:rPr>
      </w:pPr>
      <w:r>
        <w:rPr>
          <w:color w:val="231F20"/>
          <w:sz w:val="18"/>
        </w:rPr>
        <w:t>The following members of the Committee were </w:t>
      </w:r>
      <w:r>
        <w:rPr>
          <w:color w:val="231F20"/>
          <w:spacing w:val="-3"/>
          <w:sz w:val="18"/>
        </w:rPr>
        <w:t>present: </w:t>
      </w:r>
      <w:r>
        <w:rPr>
          <w:color w:val="231F20"/>
          <w:sz w:val="18"/>
        </w:rPr>
        <w:t>Eddie George, Governor</w:t>
      </w:r>
    </w:p>
    <w:p>
      <w:pPr>
        <w:pStyle w:val="BodyText"/>
        <w:spacing w:line="155" w:lineRule="exact"/>
        <w:ind w:left="185"/>
      </w:pPr>
      <w:r>
        <w:rPr>
          <w:color w:val="231F20"/>
        </w:rPr>
        <w:t>Mervyn King, Deputy Governor responsible for monetary policy</w:t>
      </w:r>
    </w:p>
    <w:p>
      <w:pPr>
        <w:pStyle w:val="BodyText"/>
        <w:spacing w:line="232" w:lineRule="auto" w:before="1"/>
        <w:ind w:left="185" w:right="761"/>
      </w:pPr>
      <w:r>
        <w:rPr>
          <w:color w:val="231F20"/>
        </w:rPr>
        <w:t>David Clementi, Deputy Governor responsible for financial stability</w:t>
      </w:r>
    </w:p>
    <w:p>
      <w:pPr>
        <w:pStyle w:val="BodyText"/>
        <w:spacing w:line="232" w:lineRule="auto"/>
        <w:ind w:left="185" w:right="3780"/>
      </w:pPr>
      <w:r>
        <w:rPr>
          <w:color w:val="231F20"/>
        </w:rPr>
        <w:t>Alan Budd Willem Buiter Charles Goodhart DeAnne Julius Ian Plenderleith John Vickers</w:t>
      </w:r>
    </w:p>
    <w:p>
      <w:pPr>
        <w:pStyle w:val="ListParagraph"/>
        <w:numPr>
          <w:ilvl w:val="0"/>
          <w:numId w:val="50"/>
        </w:numPr>
        <w:tabs>
          <w:tab w:pos="665" w:val="left" w:leader="none"/>
          <w:tab w:pos="666" w:val="left" w:leader="none"/>
        </w:tabs>
        <w:spacing w:line="232" w:lineRule="auto" w:before="174" w:after="0"/>
        <w:ind w:left="185" w:right="1118" w:firstLine="0"/>
        <w:jc w:val="left"/>
        <w:rPr>
          <w:sz w:val="18"/>
        </w:rPr>
      </w:pPr>
      <w:r>
        <w:rPr>
          <w:color w:val="231F20"/>
          <w:sz w:val="18"/>
        </w:rPr>
        <w:t>Gus O’Donnell was also present as the </w:t>
      </w:r>
      <w:r>
        <w:rPr>
          <w:color w:val="231F20"/>
          <w:spacing w:val="-3"/>
          <w:sz w:val="18"/>
        </w:rPr>
        <w:t>Treasury </w:t>
      </w:r>
      <w:r>
        <w:rPr>
          <w:color w:val="231F20"/>
          <w:sz w:val="18"/>
        </w:rPr>
        <w:t>representative.</w:t>
      </w:r>
    </w:p>
    <w:p>
      <w:pPr>
        <w:spacing w:after="0" w:line="232" w:lineRule="auto"/>
        <w:jc w:val="left"/>
        <w:rPr>
          <w:sz w:val="18"/>
        </w:rPr>
        <w:sectPr>
          <w:type w:val="continuous"/>
          <w:pgSz w:w="11900" w:h="16840"/>
          <w:pgMar w:top="1220" w:bottom="280" w:left="620" w:right="640"/>
          <w:cols w:num="2" w:equalWidth="0">
            <w:col w:w="5119" w:space="261"/>
            <w:col w:w="5260"/>
          </w:cols>
        </w:sectPr>
      </w:pPr>
    </w:p>
    <w:p>
      <w:pPr>
        <w:pStyle w:val="BodyText"/>
        <w:rPr>
          <w:sz w:val="20"/>
        </w:rPr>
      </w:pPr>
    </w:p>
    <w:p>
      <w:pPr>
        <w:pStyle w:val="BodyText"/>
        <w:rPr>
          <w:sz w:val="20"/>
        </w:rPr>
      </w:pPr>
    </w:p>
    <w:p>
      <w:pPr>
        <w:pStyle w:val="BodyText"/>
        <w:spacing w:before="1"/>
        <w:rPr>
          <w:sz w:val="16"/>
        </w:rPr>
      </w:pPr>
    </w:p>
    <w:p>
      <w:pPr>
        <w:pStyle w:val="Heading1"/>
      </w:pPr>
      <w:r>
        <w:rPr>
          <w:color w:val="009483"/>
        </w:rPr>
        <w:t>Annex: Summary of data presented by Bank staff</w:t>
      </w:r>
    </w:p>
    <w:p>
      <w:pPr>
        <w:pStyle w:val="BodyText"/>
        <w:rPr>
          <w:b/>
          <w:sz w:val="20"/>
        </w:rPr>
      </w:pPr>
    </w:p>
    <w:p>
      <w:pPr>
        <w:spacing w:after="0"/>
        <w:rPr>
          <w:sz w:val="20"/>
        </w:rPr>
        <w:sectPr>
          <w:pgSz w:w="11900" w:h="16840"/>
          <w:pgMar w:header="566" w:footer="597" w:top="760" w:bottom="780" w:left="620" w:right="640"/>
        </w:sectPr>
      </w:pPr>
    </w:p>
    <w:p>
      <w:pPr>
        <w:pStyle w:val="BodyText"/>
        <w:spacing w:before="7"/>
        <w:rPr>
          <w:b/>
          <w:sz w:val="20"/>
        </w:rPr>
      </w:pPr>
    </w:p>
    <w:p>
      <w:pPr>
        <w:pStyle w:val="ListParagraph"/>
        <w:numPr>
          <w:ilvl w:val="0"/>
          <w:numId w:val="51"/>
        </w:numPr>
        <w:tabs>
          <w:tab w:pos="684" w:val="left" w:leader="none"/>
          <w:tab w:pos="685" w:val="left" w:leader="none"/>
        </w:tabs>
        <w:spacing w:line="232" w:lineRule="auto" w:before="0" w:after="0"/>
        <w:ind w:left="204" w:right="52" w:firstLine="0"/>
        <w:jc w:val="left"/>
        <w:rPr>
          <w:sz w:val="18"/>
        </w:rPr>
      </w:pPr>
      <w:r>
        <w:rPr>
          <w:color w:val="231F20"/>
          <w:sz w:val="18"/>
        </w:rPr>
        <w:t>This Annex summaries the analysis presented by Bank staff to the Monetary Policy Committee on 3 July 1998, in advance of </w:t>
      </w:r>
      <w:r>
        <w:rPr>
          <w:color w:val="231F20"/>
          <w:spacing w:val="-6"/>
          <w:sz w:val="18"/>
        </w:rPr>
        <w:t>its </w:t>
      </w:r>
      <w:r>
        <w:rPr>
          <w:color w:val="231F20"/>
          <w:sz w:val="18"/>
        </w:rPr>
        <w:t>meeting. At the start of the Committee meeting itself, members were made aware of information that had subsequently become available, and that information is included in the Annex.</w:t>
      </w:r>
    </w:p>
    <w:p>
      <w:pPr>
        <w:pStyle w:val="BodyText"/>
        <w:spacing w:before="4"/>
        <w:rPr>
          <w:sz w:val="20"/>
        </w:rPr>
      </w:pPr>
    </w:p>
    <w:p>
      <w:pPr>
        <w:pStyle w:val="Heading6"/>
        <w:numPr>
          <w:ilvl w:val="0"/>
          <w:numId w:val="52"/>
        </w:numPr>
        <w:tabs>
          <w:tab w:pos="684" w:val="left" w:leader="none"/>
          <w:tab w:pos="685" w:val="left" w:leader="none"/>
        </w:tabs>
        <w:spacing w:line="240" w:lineRule="auto" w:before="0" w:after="0"/>
        <w:ind w:left="684" w:right="0" w:hanging="481"/>
        <w:jc w:val="left"/>
      </w:pPr>
      <w:r>
        <w:rPr>
          <w:color w:val="009483"/>
        </w:rPr>
        <w:t>Monetary conditions</w:t>
      </w:r>
    </w:p>
    <w:p>
      <w:pPr>
        <w:pStyle w:val="ListParagraph"/>
        <w:numPr>
          <w:ilvl w:val="0"/>
          <w:numId w:val="51"/>
        </w:numPr>
        <w:tabs>
          <w:tab w:pos="684" w:val="left" w:leader="none"/>
          <w:tab w:pos="685" w:val="left" w:leader="none"/>
        </w:tabs>
        <w:spacing w:line="232" w:lineRule="auto" w:before="109" w:after="0"/>
        <w:ind w:left="204" w:right="128" w:firstLine="0"/>
        <w:jc w:val="left"/>
        <w:rPr>
          <w:sz w:val="18"/>
        </w:rPr>
      </w:pPr>
      <w:r>
        <w:rPr>
          <w:color w:val="231F20"/>
          <w:sz w:val="18"/>
        </w:rPr>
        <w:t>Broad and narrow measures of money had shown signs of slowing on the most recent data. The annual growth rate of notes and coin had slowed to 5.5% in June, after adjusting for the </w:t>
      </w:r>
      <w:r>
        <w:rPr>
          <w:color w:val="231F20"/>
          <w:spacing w:val="-3"/>
          <w:sz w:val="18"/>
        </w:rPr>
        <w:t>effects </w:t>
      </w:r>
      <w:r>
        <w:rPr>
          <w:color w:val="231F20"/>
          <w:sz w:val="18"/>
        </w:rPr>
        <w:t>of the introduction of the new 50p and £2 coins. The latter had little effect on monthly growth in June.</w:t>
      </w:r>
    </w:p>
    <w:p>
      <w:pPr>
        <w:pStyle w:val="BodyText"/>
        <w:spacing w:before="1"/>
        <w:rPr>
          <w:sz w:val="17"/>
        </w:rPr>
      </w:pPr>
    </w:p>
    <w:p>
      <w:pPr>
        <w:pStyle w:val="ListParagraph"/>
        <w:numPr>
          <w:ilvl w:val="0"/>
          <w:numId w:val="51"/>
        </w:numPr>
        <w:tabs>
          <w:tab w:pos="684" w:val="left" w:leader="none"/>
          <w:tab w:pos="685" w:val="left" w:leader="none"/>
        </w:tabs>
        <w:spacing w:line="232" w:lineRule="auto" w:before="0" w:after="0"/>
        <w:ind w:left="204" w:right="167" w:firstLine="0"/>
        <w:jc w:val="left"/>
        <w:rPr>
          <w:sz w:val="18"/>
        </w:rPr>
      </w:pPr>
      <w:r>
        <w:rPr>
          <w:color w:val="231F20"/>
          <w:sz w:val="18"/>
        </w:rPr>
        <w:t>The growth of personal sector M4 had slowed in May. </w:t>
      </w:r>
      <w:r>
        <w:rPr>
          <w:color w:val="231F20"/>
          <w:spacing w:val="-6"/>
          <w:sz w:val="18"/>
        </w:rPr>
        <w:t>The </w:t>
      </w:r>
      <w:r>
        <w:rPr>
          <w:color w:val="231F20"/>
          <w:sz w:val="18"/>
        </w:rPr>
        <w:t>twelve-month growth rate had fallen to 6.9% from 7.2% in April, while the three-month and six-month annualised rates were lower still at 5.9% and 6.2% respectively. Retail inflows to building societies had remained strong, possibly on a view that there might be more demutualisations. Inflows to unit trusts had also been buoyant in May.</w:t>
      </w:r>
    </w:p>
    <w:p>
      <w:pPr>
        <w:pStyle w:val="BodyText"/>
        <w:spacing w:before="10"/>
        <w:rPr>
          <w:sz w:val="16"/>
        </w:rPr>
      </w:pPr>
    </w:p>
    <w:p>
      <w:pPr>
        <w:pStyle w:val="ListParagraph"/>
        <w:numPr>
          <w:ilvl w:val="0"/>
          <w:numId w:val="51"/>
        </w:numPr>
        <w:tabs>
          <w:tab w:pos="684" w:val="left" w:leader="none"/>
          <w:tab w:pos="685" w:val="left" w:leader="none"/>
        </w:tabs>
        <w:spacing w:line="232" w:lineRule="auto" w:before="1" w:after="0"/>
        <w:ind w:left="204" w:right="287" w:firstLine="0"/>
        <w:jc w:val="left"/>
        <w:rPr>
          <w:sz w:val="18"/>
        </w:rPr>
      </w:pPr>
      <w:r>
        <w:rPr>
          <w:color w:val="231F20"/>
          <w:sz w:val="18"/>
        </w:rPr>
        <w:t>ICCs’ M4 had grown by 0.6% in May, slightly faster </w:t>
      </w:r>
      <w:r>
        <w:rPr>
          <w:color w:val="231F20"/>
          <w:spacing w:val="-5"/>
          <w:sz w:val="18"/>
        </w:rPr>
        <w:t>than </w:t>
      </w:r>
      <w:r>
        <w:rPr>
          <w:color w:val="231F20"/>
          <w:sz w:val="18"/>
        </w:rPr>
        <w:t>the average one-month growth rate for the previous six months.</w:t>
      </w:r>
    </w:p>
    <w:p>
      <w:pPr>
        <w:pStyle w:val="BodyText"/>
        <w:spacing w:line="197" w:lineRule="exact"/>
        <w:ind w:left="204"/>
      </w:pPr>
      <w:r>
        <w:rPr>
          <w:color w:val="231F20"/>
        </w:rPr>
        <w:t>The shorter-run growth rates had also been higher than the</w:t>
      </w:r>
    </w:p>
    <w:p>
      <w:pPr>
        <w:pStyle w:val="BodyText"/>
        <w:spacing w:line="232" w:lineRule="auto" w:before="1"/>
        <w:ind w:left="204" w:right="156"/>
      </w:pPr>
      <w:r>
        <w:rPr>
          <w:color w:val="231F20"/>
        </w:rPr>
        <w:t>twelve-month growth rate, which had fallen to 5.1% from 5.6% in April.</w:t>
      </w:r>
    </w:p>
    <w:p>
      <w:pPr>
        <w:pStyle w:val="BodyText"/>
        <w:spacing w:before="3"/>
        <w:rPr>
          <w:sz w:val="17"/>
        </w:rPr>
      </w:pPr>
    </w:p>
    <w:p>
      <w:pPr>
        <w:pStyle w:val="ListParagraph"/>
        <w:numPr>
          <w:ilvl w:val="0"/>
          <w:numId w:val="51"/>
        </w:numPr>
        <w:tabs>
          <w:tab w:pos="684" w:val="left" w:leader="none"/>
          <w:tab w:pos="685" w:val="left" w:leader="none"/>
        </w:tabs>
        <w:spacing w:line="232" w:lineRule="auto" w:before="0" w:after="0"/>
        <w:ind w:left="204" w:right="228" w:firstLine="0"/>
        <w:jc w:val="left"/>
        <w:rPr>
          <w:sz w:val="18"/>
        </w:rPr>
      </w:pPr>
      <w:r>
        <w:rPr>
          <w:color w:val="231F20"/>
          <w:sz w:val="18"/>
        </w:rPr>
        <w:t>The twelve-month growth rate of OFIs’ M4 had fallen to 19% in May, the first time the growth rate had been below 20% since 1995 Q2. Staff estimates suggested that L</w:t>
      </w:r>
      <w:r>
        <w:rPr>
          <w:color w:val="231F20"/>
          <w:sz w:val="14"/>
        </w:rPr>
        <w:t>APF</w:t>
      </w:r>
      <w:r>
        <w:rPr>
          <w:color w:val="231F20"/>
          <w:sz w:val="18"/>
        </w:rPr>
        <w:t>s’ money holdings were still above long-run equilibrium in Q1, but the Merrill Lynch survey of fund managers’ portfolios had suggested that L</w:t>
      </w:r>
      <w:r>
        <w:rPr>
          <w:color w:val="231F20"/>
          <w:sz w:val="14"/>
        </w:rPr>
        <w:t>APF</w:t>
      </w:r>
      <w:r>
        <w:rPr>
          <w:color w:val="231F20"/>
          <w:sz w:val="18"/>
        </w:rPr>
        <w:t>s’ cash ratios had fallen back again in</w:t>
      </w:r>
      <w:r>
        <w:rPr>
          <w:color w:val="231F20"/>
          <w:spacing w:val="-1"/>
          <w:sz w:val="18"/>
        </w:rPr>
        <w:t> </w:t>
      </w:r>
      <w:r>
        <w:rPr>
          <w:color w:val="231F20"/>
          <w:sz w:val="18"/>
        </w:rPr>
        <w:t>Q2.</w:t>
      </w:r>
    </w:p>
    <w:p>
      <w:pPr>
        <w:pStyle w:val="BodyText"/>
        <w:rPr>
          <w:sz w:val="17"/>
        </w:rPr>
      </w:pPr>
    </w:p>
    <w:p>
      <w:pPr>
        <w:pStyle w:val="ListParagraph"/>
        <w:numPr>
          <w:ilvl w:val="0"/>
          <w:numId w:val="51"/>
        </w:numPr>
        <w:tabs>
          <w:tab w:pos="684" w:val="left" w:leader="none"/>
          <w:tab w:pos="685" w:val="left" w:leader="none"/>
        </w:tabs>
        <w:spacing w:line="232" w:lineRule="auto" w:before="0" w:after="0"/>
        <w:ind w:left="204" w:right="68" w:firstLine="0"/>
        <w:jc w:val="left"/>
        <w:rPr>
          <w:sz w:val="18"/>
        </w:rPr>
      </w:pPr>
      <w:r>
        <w:rPr>
          <w:color w:val="231F20"/>
          <w:sz w:val="18"/>
        </w:rPr>
        <w:t>Aggregate M4 growth had fallen in May. The twelve-month growth rate had come down to 9.2%, from 10.2% in April. The one-, three- and six-month growth rates had all also fallen. However, given that these growth rates had all risen in April, it </w:t>
      </w:r>
      <w:r>
        <w:rPr>
          <w:color w:val="231F20"/>
          <w:spacing w:val="-6"/>
          <w:sz w:val="18"/>
        </w:rPr>
        <w:t>was </w:t>
      </w:r>
      <w:r>
        <w:rPr>
          <w:color w:val="231F20"/>
          <w:sz w:val="18"/>
        </w:rPr>
        <w:t>too soon to conclude that the growth rate of M4 had begun a sustained fall.</w:t>
      </w:r>
    </w:p>
    <w:p>
      <w:pPr>
        <w:pStyle w:val="BodyText"/>
        <w:rPr>
          <w:sz w:val="17"/>
        </w:rPr>
      </w:pPr>
    </w:p>
    <w:p>
      <w:pPr>
        <w:pStyle w:val="ListParagraph"/>
        <w:numPr>
          <w:ilvl w:val="0"/>
          <w:numId w:val="51"/>
        </w:numPr>
        <w:tabs>
          <w:tab w:pos="684" w:val="left" w:leader="none"/>
          <w:tab w:pos="685" w:val="left" w:leader="none"/>
        </w:tabs>
        <w:spacing w:line="232" w:lineRule="auto" w:before="0" w:after="0"/>
        <w:ind w:left="204" w:right="68" w:firstLine="0"/>
        <w:jc w:val="left"/>
        <w:rPr>
          <w:sz w:val="18"/>
        </w:rPr>
      </w:pPr>
      <w:r>
        <w:rPr>
          <w:color w:val="231F20"/>
          <w:sz w:val="18"/>
        </w:rPr>
        <w:t>M4 lending had risen 0.5% in May on the previous month and by 8.1% on a year earlier, compared with 0.9% and 8.8% respectively in April. Within the total, lending to persons </w:t>
      </w:r>
      <w:r>
        <w:rPr>
          <w:color w:val="231F20"/>
          <w:spacing w:val="-3"/>
          <w:sz w:val="18"/>
        </w:rPr>
        <w:t>remained </w:t>
      </w:r>
      <w:r>
        <w:rPr>
          <w:color w:val="231F20"/>
          <w:sz w:val="18"/>
        </w:rPr>
        <w:t>steady at a twelve-month growth rate of 7.1%.</w:t>
      </w:r>
    </w:p>
    <w:p>
      <w:pPr>
        <w:pStyle w:val="BodyText"/>
        <w:spacing w:before="10"/>
      </w:pPr>
    </w:p>
    <w:p>
      <w:pPr>
        <w:pStyle w:val="ListParagraph"/>
        <w:numPr>
          <w:ilvl w:val="0"/>
          <w:numId w:val="51"/>
        </w:numPr>
        <w:tabs>
          <w:tab w:pos="684" w:val="left" w:leader="none"/>
          <w:tab w:pos="685" w:val="left" w:leader="none"/>
        </w:tabs>
        <w:spacing w:line="232" w:lineRule="auto" w:before="0" w:after="0"/>
        <w:ind w:left="204" w:right="38" w:firstLine="0"/>
        <w:jc w:val="left"/>
        <w:rPr>
          <w:sz w:val="18"/>
        </w:rPr>
      </w:pPr>
      <w:r>
        <w:rPr>
          <w:color w:val="231F20"/>
          <w:sz w:val="18"/>
        </w:rPr>
        <w:t>Growth in net secured lending to individuals had been weaker in May. The gap between gross and net lending remained strong, possibly caused by high levels of remortgaging activity given that housing market activity itself did not seem to be strengthening. The growth of total unsecured lending to individuals had risen in May, largely driven by non-credit card borrowing.</w:t>
      </w:r>
    </w:p>
    <w:p>
      <w:pPr>
        <w:pStyle w:val="BodyText"/>
        <w:spacing w:before="8"/>
      </w:pPr>
    </w:p>
    <w:p>
      <w:pPr>
        <w:pStyle w:val="ListParagraph"/>
        <w:numPr>
          <w:ilvl w:val="0"/>
          <w:numId w:val="51"/>
        </w:numPr>
        <w:tabs>
          <w:tab w:pos="684" w:val="left" w:leader="none"/>
          <w:tab w:pos="685" w:val="left" w:leader="none"/>
        </w:tabs>
        <w:spacing w:line="232" w:lineRule="auto" w:before="0" w:after="0"/>
        <w:ind w:left="204" w:right="43" w:firstLine="0"/>
        <w:jc w:val="left"/>
        <w:rPr>
          <w:sz w:val="18"/>
        </w:rPr>
      </w:pPr>
      <w:r>
        <w:rPr>
          <w:color w:val="231F20"/>
          <w:sz w:val="18"/>
        </w:rPr>
        <w:t>Although the twelve-month growth rate of M4 lending to ICCs had fallen in May, the one-, three- and six-month growth </w:t>
      </w:r>
      <w:r>
        <w:rPr>
          <w:color w:val="231F20"/>
          <w:spacing w:val="-4"/>
          <w:sz w:val="18"/>
        </w:rPr>
        <w:t>rates </w:t>
      </w:r>
      <w:r>
        <w:rPr>
          <w:color w:val="231F20"/>
          <w:sz w:val="18"/>
        </w:rPr>
        <w:t>pointed to stronger corporate borrowing in recent months. An industrial breakdown of lending by the major British banking groups suggested that manufacturing companies had repaid debt in May. Lending to OFIs had been weak in May—the one-month growth rate of 0.3% was the weakest for some time. Some of the weakness related to reverse repo activity.</w:t>
      </w:r>
    </w:p>
    <w:p>
      <w:pPr>
        <w:pStyle w:val="BodyText"/>
        <w:spacing w:before="7"/>
      </w:pPr>
    </w:p>
    <w:p>
      <w:pPr>
        <w:pStyle w:val="ListParagraph"/>
        <w:numPr>
          <w:ilvl w:val="0"/>
          <w:numId w:val="51"/>
        </w:numPr>
        <w:tabs>
          <w:tab w:pos="684" w:val="left" w:leader="none"/>
          <w:tab w:pos="685" w:val="left" w:leader="none"/>
        </w:tabs>
        <w:spacing w:line="232" w:lineRule="auto" w:before="0" w:after="0"/>
        <w:ind w:left="204" w:right="167" w:firstLine="0"/>
        <w:jc w:val="left"/>
        <w:rPr>
          <w:sz w:val="18"/>
        </w:rPr>
      </w:pPr>
      <w:r>
        <w:rPr>
          <w:color w:val="231F20"/>
          <w:sz w:val="18"/>
        </w:rPr>
        <w:t>Turning to financial prices, the majority of banks had announced that they would be passing on the 25 basis point rise </w:t>
      </w:r>
      <w:r>
        <w:rPr>
          <w:color w:val="231F20"/>
          <w:spacing w:val="-9"/>
          <w:sz w:val="18"/>
        </w:rPr>
        <w:t>in </w:t>
      </w:r>
      <w:r>
        <w:rPr>
          <w:color w:val="231F20"/>
          <w:sz w:val="18"/>
        </w:rPr>
        <w:t>the repo rate in July. By contrast, several remaining mutual</w:t>
      </w:r>
    </w:p>
    <w:p>
      <w:pPr>
        <w:pStyle w:val="BodyText"/>
        <w:spacing w:before="2"/>
        <w:rPr>
          <w:sz w:val="20"/>
        </w:rPr>
      </w:pPr>
      <w:r>
        <w:rPr/>
        <w:br w:type="column"/>
      </w:r>
      <w:r>
        <w:rPr>
          <w:sz w:val="20"/>
        </w:rPr>
      </w:r>
    </w:p>
    <w:p>
      <w:pPr>
        <w:pStyle w:val="BodyText"/>
        <w:spacing w:line="203" w:lineRule="exact"/>
        <w:ind w:left="204"/>
      </w:pPr>
      <w:r>
        <w:rPr>
          <w:color w:val="231F20"/>
        </w:rPr>
        <w:t>institutions had announced a delay. Personal loan rates had</w:t>
      </w:r>
    </w:p>
    <w:p>
      <w:pPr>
        <w:pStyle w:val="BodyText"/>
        <w:spacing w:line="232" w:lineRule="auto" w:before="2"/>
        <w:ind w:left="204" w:right="282"/>
      </w:pPr>
      <w:r>
        <w:rPr>
          <w:color w:val="231F20"/>
        </w:rPr>
        <w:t>risen sharply during May, partly due to the expiry of some special deals.</w:t>
      </w:r>
    </w:p>
    <w:p>
      <w:pPr>
        <w:pStyle w:val="BodyText"/>
        <w:spacing w:before="8"/>
        <w:rPr>
          <w:sz w:val="20"/>
        </w:rPr>
      </w:pPr>
    </w:p>
    <w:p>
      <w:pPr>
        <w:pStyle w:val="ListParagraph"/>
        <w:numPr>
          <w:ilvl w:val="0"/>
          <w:numId w:val="51"/>
        </w:numPr>
        <w:tabs>
          <w:tab w:pos="684" w:val="left" w:leader="none"/>
          <w:tab w:pos="685" w:val="left" w:leader="none"/>
        </w:tabs>
        <w:spacing w:line="232" w:lineRule="auto" w:before="0" w:after="0"/>
        <w:ind w:left="204" w:right="269" w:firstLine="0"/>
        <w:jc w:val="left"/>
        <w:rPr>
          <w:sz w:val="18"/>
        </w:rPr>
      </w:pPr>
      <w:r>
        <w:rPr>
          <w:color w:val="231F20"/>
          <w:sz w:val="18"/>
        </w:rPr>
        <w:t>Short-term inflation expectations on a rolling horizon, as measured by surveys conducted by Consensus Forecasts, </w:t>
      </w:r>
      <w:r>
        <w:rPr>
          <w:color w:val="231F20"/>
          <w:spacing w:val="-3"/>
          <w:sz w:val="18"/>
        </w:rPr>
        <w:t>Barclays </w:t>
      </w:r>
      <w:r>
        <w:rPr>
          <w:color w:val="231F20"/>
          <w:sz w:val="18"/>
        </w:rPr>
        <w:t>Basix and GFK, changed little in June. RPIX expectations with respect to a fixed end-point, as surveyed by Consensus Forecasts and HM Treasury, also showed little change on the month, though RPI expectations had generally edged up a little.</w:t>
      </w:r>
    </w:p>
    <w:p>
      <w:pPr>
        <w:pStyle w:val="BodyText"/>
        <w:spacing w:before="5"/>
        <w:rPr>
          <w:sz w:val="20"/>
        </w:rPr>
      </w:pPr>
    </w:p>
    <w:p>
      <w:pPr>
        <w:pStyle w:val="ListParagraph"/>
        <w:numPr>
          <w:ilvl w:val="0"/>
          <w:numId w:val="51"/>
        </w:numPr>
        <w:tabs>
          <w:tab w:pos="684" w:val="left" w:leader="none"/>
          <w:tab w:pos="685" w:val="left" w:leader="none"/>
        </w:tabs>
        <w:spacing w:line="232" w:lineRule="auto" w:before="1" w:after="0"/>
        <w:ind w:left="204" w:right="259" w:firstLine="0"/>
        <w:jc w:val="left"/>
        <w:rPr>
          <w:sz w:val="18"/>
        </w:rPr>
      </w:pPr>
      <w:r>
        <w:rPr>
          <w:color w:val="231F20"/>
          <w:sz w:val="18"/>
        </w:rPr>
        <w:t>The distribution of inflation expectations of members of </w:t>
      </w:r>
      <w:r>
        <w:rPr>
          <w:color w:val="231F20"/>
          <w:spacing w:val="-6"/>
          <w:sz w:val="18"/>
        </w:rPr>
        <w:t>the </w:t>
      </w:r>
      <w:r>
        <w:rPr>
          <w:color w:val="231F20"/>
          <w:sz w:val="18"/>
        </w:rPr>
        <w:t>general public collected by the Barclays Basix was typically asymmetric and positively skewed. The mode of the distributions of surveyed expectations of inflation at 12 and 24 months ahead were both 4%, and in both cases below the mean. The mode had generally been below the mean since 1992.</w:t>
      </w:r>
    </w:p>
    <w:p>
      <w:pPr>
        <w:pStyle w:val="BodyText"/>
        <w:spacing w:before="5"/>
        <w:rPr>
          <w:sz w:val="20"/>
        </w:rPr>
      </w:pPr>
    </w:p>
    <w:p>
      <w:pPr>
        <w:pStyle w:val="ListParagraph"/>
        <w:numPr>
          <w:ilvl w:val="0"/>
          <w:numId w:val="51"/>
        </w:numPr>
        <w:tabs>
          <w:tab w:pos="684" w:val="left" w:leader="none"/>
          <w:tab w:pos="685" w:val="left" w:leader="none"/>
        </w:tabs>
        <w:spacing w:line="232" w:lineRule="auto" w:before="0" w:after="0"/>
        <w:ind w:left="204" w:right="204" w:firstLine="0"/>
        <w:jc w:val="left"/>
        <w:rPr>
          <w:sz w:val="18"/>
        </w:rPr>
      </w:pPr>
      <w:r>
        <w:rPr>
          <w:color w:val="231F20"/>
          <w:sz w:val="18"/>
        </w:rPr>
        <w:t>In wholesale markets, short sterling interest rates had </w:t>
      </w:r>
      <w:r>
        <w:rPr>
          <w:color w:val="231F20"/>
          <w:spacing w:val="-4"/>
          <w:sz w:val="18"/>
        </w:rPr>
        <w:t>moved </w:t>
      </w:r>
      <w:r>
        <w:rPr>
          <w:color w:val="231F20"/>
          <w:sz w:val="18"/>
        </w:rPr>
        <w:t>up following the previous repo rate increase and now reflected an expectation of a further repo rate rise within three months. Two year spot short-term real rates, based on the Consensus Forecasts and Basix surveys of inflation expectations had risen slightly in June compared with March. These measures had indicated a similar fall in short-real rates between December 1997 and March, and now suggested that real rates had returned to end 1997 levels. Short real forward rates, as derived from index-linked gilt, had risen, while longer-term real rates had fallen since the previous MPC meeting.</w:t>
      </w:r>
    </w:p>
    <w:p>
      <w:pPr>
        <w:pStyle w:val="BodyText"/>
        <w:spacing w:before="1"/>
        <w:rPr>
          <w:sz w:val="20"/>
        </w:rPr>
      </w:pPr>
    </w:p>
    <w:p>
      <w:pPr>
        <w:pStyle w:val="ListParagraph"/>
        <w:numPr>
          <w:ilvl w:val="0"/>
          <w:numId w:val="51"/>
        </w:numPr>
        <w:tabs>
          <w:tab w:pos="684" w:val="left" w:leader="none"/>
          <w:tab w:pos="685" w:val="left" w:leader="none"/>
        </w:tabs>
        <w:spacing w:line="232" w:lineRule="auto" w:before="0" w:after="0"/>
        <w:ind w:left="204" w:right="304" w:firstLine="0"/>
        <w:jc w:val="left"/>
        <w:rPr>
          <w:sz w:val="18"/>
        </w:rPr>
      </w:pPr>
      <w:r>
        <w:rPr>
          <w:color w:val="231F20"/>
          <w:sz w:val="18"/>
        </w:rPr>
        <w:t>Both the sterling ERI and the broader measure had risen since the June MPC meeting, and the forward path of the ERI implied by uncovered interest parity indicated a steeper depreciation path than that incorporated in the May </w:t>
      </w:r>
      <w:r>
        <w:rPr>
          <w:i/>
          <w:color w:val="231F20"/>
          <w:sz w:val="18"/>
        </w:rPr>
        <w:t>Inflation </w:t>
      </w:r>
      <w:r>
        <w:rPr>
          <w:i/>
          <w:color w:val="231F20"/>
          <w:sz w:val="18"/>
        </w:rPr>
        <w:t>Report</w:t>
      </w:r>
      <w:r>
        <w:rPr>
          <w:color w:val="231F20"/>
          <w:sz w:val="18"/>
        </w:rPr>
        <w:t>, though starting from a higher level. The sterling ERI</w:t>
      </w:r>
      <w:r>
        <w:rPr>
          <w:color w:val="231F20"/>
          <w:spacing w:val="1"/>
          <w:sz w:val="18"/>
        </w:rPr>
        <w:t> </w:t>
      </w:r>
      <w:r>
        <w:rPr>
          <w:color w:val="231F20"/>
          <w:spacing w:val="-6"/>
          <w:sz w:val="18"/>
        </w:rPr>
        <w:t>was</w:t>
      </w:r>
    </w:p>
    <w:p>
      <w:pPr>
        <w:pStyle w:val="BodyText"/>
        <w:spacing w:line="232" w:lineRule="auto"/>
        <w:ind w:left="204" w:right="631"/>
      </w:pPr>
      <w:r>
        <w:rPr>
          <w:color w:val="231F20"/>
        </w:rPr>
        <w:t>105.7 at close of business on 8 July (the first day of the MPC meeting).</w:t>
      </w:r>
    </w:p>
    <w:p>
      <w:pPr>
        <w:pStyle w:val="BodyText"/>
        <w:spacing w:before="5"/>
        <w:rPr>
          <w:sz w:val="20"/>
        </w:rPr>
      </w:pPr>
    </w:p>
    <w:p>
      <w:pPr>
        <w:pStyle w:val="ListParagraph"/>
        <w:numPr>
          <w:ilvl w:val="0"/>
          <w:numId w:val="51"/>
        </w:numPr>
        <w:tabs>
          <w:tab w:pos="684" w:val="left" w:leader="none"/>
          <w:tab w:pos="685" w:val="left" w:leader="none"/>
        </w:tabs>
        <w:spacing w:line="232" w:lineRule="auto" w:before="0" w:after="0"/>
        <w:ind w:left="204" w:right="330" w:firstLine="0"/>
        <w:jc w:val="left"/>
        <w:rPr>
          <w:sz w:val="18"/>
        </w:rPr>
      </w:pPr>
      <w:r>
        <w:rPr>
          <w:color w:val="231F20"/>
          <w:sz w:val="18"/>
        </w:rPr>
        <w:t>UK forward interest rates derived from Government bond yield curves had moved by much more than overseas rates </w:t>
      </w:r>
      <w:r>
        <w:rPr>
          <w:color w:val="231F20"/>
          <w:spacing w:val="-3"/>
          <w:sz w:val="18"/>
        </w:rPr>
        <w:t>during </w:t>
      </w:r>
      <w:r>
        <w:rPr>
          <w:color w:val="231F20"/>
          <w:sz w:val="18"/>
        </w:rPr>
        <w:t>June. This cumulative ‘monetary news’ seemed to explain a material part of the appreciation of the sterling ERI during the month.</w:t>
      </w:r>
    </w:p>
    <w:p>
      <w:pPr>
        <w:pStyle w:val="BodyText"/>
        <w:spacing w:before="9"/>
        <w:rPr>
          <w:sz w:val="23"/>
        </w:rPr>
      </w:pPr>
    </w:p>
    <w:p>
      <w:pPr>
        <w:pStyle w:val="Heading6"/>
        <w:numPr>
          <w:ilvl w:val="0"/>
          <w:numId w:val="52"/>
        </w:numPr>
        <w:tabs>
          <w:tab w:pos="684" w:val="left" w:leader="none"/>
          <w:tab w:pos="685" w:val="left" w:leader="none"/>
        </w:tabs>
        <w:spacing w:line="240" w:lineRule="auto" w:before="0" w:after="0"/>
        <w:ind w:left="684" w:right="0" w:hanging="481"/>
        <w:jc w:val="left"/>
      </w:pPr>
      <w:r>
        <w:rPr>
          <w:color w:val="009483"/>
        </w:rPr>
        <w:t>Demand and output</w:t>
      </w:r>
    </w:p>
    <w:p>
      <w:pPr>
        <w:pStyle w:val="ListParagraph"/>
        <w:numPr>
          <w:ilvl w:val="0"/>
          <w:numId w:val="51"/>
        </w:numPr>
        <w:tabs>
          <w:tab w:pos="684" w:val="left" w:leader="none"/>
          <w:tab w:pos="685" w:val="left" w:leader="none"/>
        </w:tabs>
        <w:spacing w:line="232" w:lineRule="auto" w:before="130" w:after="0"/>
        <w:ind w:left="204" w:right="214" w:firstLine="0"/>
        <w:jc w:val="left"/>
        <w:rPr>
          <w:sz w:val="18"/>
        </w:rPr>
      </w:pPr>
      <w:r>
        <w:rPr>
          <w:color w:val="231F20"/>
          <w:sz w:val="18"/>
        </w:rPr>
        <w:t>The National Accounts had shown that GDP at factor cost grew by 0.5% in 1998 Q1, unchanged from the previous GDP release; annual growth had been revised up from 2.9% to 3.0%. Within the quarterly figure, upward revisions to investment </w:t>
      </w:r>
      <w:r>
        <w:rPr>
          <w:color w:val="231F20"/>
          <w:spacing w:val="-3"/>
          <w:sz w:val="18"/>
        </w:rPr>
        <w:t>growth </w:t>
      </w:r>
      <w:r>
        <w:rPr>
          <w:color w:val="231F20"/>
          <w:sz w:val="18"/>
        </w:rPr>
        <w:t>had been offset by downward revisions to growth in net trade, consumption and stockbuilding, and a revision to the factor cost adjustment, reflecting new information on hydrocarbon oil and VAT receipts. GDP growth of 0.5% was in line with the May </w:t>
      </w:r>
      <w:r>
        <w:rPr>
          <w:i/>
          <w:color w:val="231F20"/>
          <w:sz w:val="18"/>
        </w:rPr>
        <w:t>Inflation Report </w:t>
      </w:r>
      <w:r>
        <w:rPr>
          <w:color w:val="231F20"/>
          <w:sz w:val="18"/>
        </w:rPr>
        <w:t>forecast, but growth in domestic demand had </w:t>
      </w:r>
      <w:r>
        <w:rPr>
          <w:color w:val="231F20"/>
          <w:spacing w:val="-3"/>
          <w:sz w:val="18"/>
        </w:rPr>
        <w:t>been </w:t>
      </w:r>
      <w:r>
        <w:rPr>
          <w:color w:val="231F20"/>
          <w:sz w:val="18"/>
        </w:rPr>
        <w:t>a little stronger than expected, and net trade a little weaker. Excluding the factor cost adjustment, GDP at market prices grew by 0.8% in Q1. This would become the new headline measure from September, when the ONS moved to the new European System of Accounts.</w:t>
      </w:r>
    </w:p>
    <w:p>
      <w:pPr>
        <w:pStyle w:val="BodyText"/>
        <w:spacing w:before="5"/>
        <w:rPr>
          <w:sz w:val="16"/>
        </w:rPr>
      </w:pPr>
    </w:p>
    <w:p>
      <w:pPr>
        <w:pStyle w:val="ListParagraph"/>
        <w:numPr>
          <w:ilvl w:val="0"/>
          <w:numId w:val="51"/>
        </w:numPr>
        <w:tabs>
          <w:tab w:pos="684" w:val="left" w:leader="none"/>
          <w:tab w:pos="685" w:val="left" w:leader="none"/>
        </w:tabs>
        <w:spacing w:line="232" w:lineRule="auto" w:before="0" w:after="0"/>
        <w:ind w:left="204" w:right="231" w:firstLine="0"/>
        <w:jc w:val="left"/>
        <w:rPr>
          <w:sz w:val="18"/>
        </w:rPr>
      </w:pPr>
      <w:r>
        <w:rPr>
          <w:color w:val="231F20"/>
          <w:sz w:val="18"/>
        </w:rPr>
        <w:t>More recent data had suggested that underlying demand </w:t>
      </w:r>
      <w:r>
        <w:rPr>
          <w:color w:val="231F20"/>
          <w:spacing w:val="-7"/>
          <w:sz w:val="18"/>
        </w:rPr>
        <w:t>had </w:t>
      </w:r>
      <w:r>
        <w:rPr>
          <w:color w:val="231F20"/>
          <w:sz w:val="18"/>
        </w:rPr>
        <w:t>continued to slow in Q2, but that GDP growth in the quarter might be temporarily boosted by unexpectedly high energy and utilities output, related to the colder weather in April.</w:t>
      </w:r>
    </w:p>
    <w:p>
      <w:pPr>
        <w:spacing w:after="0" w:line="232" w:lineRule="auto"/>
        <w:jc w:val="left"/>
        <w:rPr>
          <w:sz w:val="18"/>
        </w:rPr>
        <w:sectPr>
          <w:type w:val="continuous"/>
          <w:pgSz w:w="11900" w:h="16840"/>
          <w:pgMar w:top="1220" w:bottom="280" w:left="620" w:right="640"/>
          <w:cols w:num="2" w:equalWidth="0">
            <w:col w:w="5144" w:space="241"/>
            <w:col w:w="5255"/>
          </w:cols>
        </w:sectPr>
      </w:pPr>
    </w:p>
    <w:p>
      <w:pPr>
        <w:pStyle w:val="BodyText"/>
        <w:rPr>
          <w:sz w:val="20"/>
        </w:rPr>
      </w:pPr>
    </w:p>
    <w:p>
      <w:pPr>
        <w:spacing w:after="0"/>
        <w:rPr>
          <w:sz w:val="20"/>
        </w:rPr>
        <w:sectPr>
          <w:pgSz w:w="11900" w:h="16840"/>
          <w:pgMar w:header="566" w:footer="597" w:top="760" w:bottom="780" w:left="620" w:right="640"/>
        </w:sectPr>
      </w:pPr>
    </w:p>
    <w:p>
      <w:pPr>
        <w:pStyle w:val="BodyText"/>
        <w:spacing w:before="7"/>
        <w:rPr>
          <w:sz w:val="19"/>
        </w:rPr>
      </w:pPr>
    </w:p>
    <w:p>
      <w:pPr>
        <w:pStyle w:val="ListParagraph"/>
        <w:numPr>
          <w:ilvl w:val="0"/>
          <w:numId w:val="51"/>
        </w:numPr>
        <w:tabs>
          <w:tab w:pos="645" w:val="left" w:leader="none"/>
          <w:tab w:pos="646" w:val="left" w:leader="none"/>
        </w:tabs>
        <w:spacing w:line="232" w:lineRule="auto" w:before="1" w:after="0"/>
        <w:ind w:left="165" w:right="38" w:firstLine="0"/>
        <w:jc w:val="left"/>
        <w:rPr>
          <w:sz w:val="18"/>
        </w:rPr>
      </w:pPr>
      <w:r>
        <w:rPr>
          <w:color w:val="231F20"/>
          <w:sz w:val="18"/>
        </w:rPr>
        <w:t>Consumption had grown by 0.9% in Q1, revised down from 1.0%.  Within this, services consumption had grown by 1.4%, partly reflecting strong overseas spending by UK residents. Goods consumption had been dominated by 3.5% growth in consumption of durable goods; consumption of non-durables had fallen by </w:t>
      </w:r>
      <w:r>
        <w:rPr>
          <w:color w:val="231F20"/>
          <w:spacing w:val="-4"/>
          <w:sz w:val="18"/>
        </w:rPr>
        <w:t>0.4%. </w:t>
      </w:r>
      <w:r>
        <w:rPr>
          <w:color w:val="231F20"/>
          <w:sz w:val="18"/>
        </w:rPr>
        <w:t>The retail sales data suggested rather stronger growth in goods consumption in Q1 than the National Accounts data.</w:t>
      </w:r>
    </w:p>
    <w:p>
      <w:pPr>
        <w:pStyle w:val="BodyText"/>
        <w:spacing w:before="10"/>
        <w:rPr>
          <w:sz w:val="16"/>
        </w:rPr>
      </w:pPr>
    </w:p>
    <w:p>
      <w:pPr>
        <w:pStyle w:val="ListParagraph"/>
        <w:numPr>
          <w:ilvl w:val="0"/>
          <w:numId w:val="51"/>
        </w:numPr>
        <w:tabs>
          <w:tab w:pos="645" w:val="left" w:leader="none"/>
          <w:tab w:pos="646" w:val="left" w:leader="none"/>
        </w:tabs>
        <w:spacing w:line="232" w:lineRule="auto" w:before="0" w:after="0"/>
        <w:ind w:left="165" w:right="63" w:firstLine="0"/>
        <w:jc w:val="left"/>
        <w:rPr>
          <w:sz w:val="18"/>
        </w:rPr>
      </w:pPr>
      <w:r>
        <w:rPr>
          <w:color w:val="231F20"/>
          <w:sz w:val="18"/>
        </w:rPr>
        <w:t>Retail sales had risen sharply in May, by 1.7%. However, this appeared to be at least partly a bounce-back from weak sales in February to April. Sales in April appeared to have been affected </w:t>
      </w:r>
      <w:r>
        <w:rPr>
          <w:color w:val="231F20"/>
          <w:spacing w:val="-9"/>
          <w:sz w:val="18"/>
        </w:rPr>
        <w:t>by </w:t>
      </w:r>
      <w:r>
        <w:rPr>
          <w:color w:val="231F20"/>
          <w:sz w:val="18"/>
        </w:rPr>
        <w:t>bad weather. Much of the growth in May had been accounted for by sales of clothing and footwear, which tended to be sensitive to weather patterns, and the growth in this component over three months was very weak. Although annual growth in retail sales had remained strong at 4.3% in the three months to April, several indicators had suggested that underlying consumption growth was gradually slowing. Household goods sales had continued to moderate, and private car registrations had fallen sharply.  The GFK survey of consumer confidence and the CBI survey of retailers had both fallen in June. Activity in the housing market continued to weaken in May, with particulars delivered falling by a further 3,000. However, annual house price inflation had risen in June.</w:t>
      </w:r>
    </w:p>
    <w:p>
      <w:pPr>
        <w:pStyle w:val="BodyText"/>
        <w:spacing w:before="4"/>
        <w:rPr>
          <w:sz w:val="16"/>
        </w:rPr>
      </w:pPr>
    </w:p>
    <w:p>
      <w:pPr>
        <w:pStyle w:val="ListParagraph"/>
        <w:numPr>
          <w:ilvl w:val="0"/>
          <w:numId w:val="51"/>
        </w:numPr>
        <w:tabs>
          <w:tab w:pos="645" w:val="left" w:leader="none"/>
          <w:tab w:pos="646" w:val="left" w:leader="none"/>
        </w:tabs>
        <w:spacing w:line="232" w:lineRule="auto" w:before="0" w:after="0"/>
        <w:ind w:left="165" w:right="78" w:firstLine="0"/>
        <w:jc w:val="left"/>
        <w:rPr>
          <w:sz w:val="18"/>
        </w:rPr>
      </w:pPr>
      <w:r>
        <w:rPr>
          <w:color w:val="231F20"/>
          <w:sz w:val="18"/>
        </w:rPr>
        <w:t>The share of durables in real total expenditure was a potentially useful indicator of domestic demand pressures. There had been a trend rise in the share since the late 1960s, as the wealth/income ratio had grown and the relative price of durables had fallen. But the nature of durables consumption meant that changes in the durables share tended to be positively correlated with changes in domestic demand over the cycle. On this basis, </w:t>
      </w:r>
      <w:r>
        <w:rPr>
          <w:color w:val="231F20"/>
          <w:spacing w:val="-6"/>
          <w:sz w:val="18"/>
        </w:rPr>
        <w:t>the </w:t>
      </w:r>
      <w:r>
        <w:rPr>
          <w:color w:val="231F20"/>
          <w:sz w:val="18"/>
        </w:rPr>
        <w:t>rise in the durables share during 1997 was consistent with strong domestic demand growth. But the share could also have risen because of one-off factors, such as building society windfalls and appreciation effects. Econometric work suggested that</w:t>
      </w:r>
    </w:p>
    <w:p>
      <w:pPr>
        <w:pStyle w:val="BodyText"/>
        <w:spacing w:line="232" w:lineRule="auto"/>
        <w:ind w:left="165" w:right="91"/>
      </w:pPr>
      <w:r>
        <w:rPr>
          <w:color w:val="231F20"/>
        </w:rPr>
        <w:t>windfall-related spending would explain only a small part of the rising share during 1997, and perhaps some of the unexpectedly large increase in 1998 Q1. More recently, however, slower </w:t>
      </w:r>
      <w:r>
        <w:rPr>
          <w:color w:val="231F20"/>
          <w:spacing w:val="-3"/>
        </w:rPr>
        <w:t>growth </w:t>
      </w:r>
      <w:r>
        <w:rPr>
          <w:color w:val="231F20"/>
        </w:rPr>
        <w:t>in monthly sales of household goods and cars had been consistent with a flat or falling durables share, providing some support for a slowing of underlying demand growth.</w:t>
      </w:r>
    </w:p>
    <w:p>
      <w:pPr>
        <w:pStyle w:val="BodyText"/>
        <w:spacing w:before="2"/>
        <w:rPr>
          <w:sz w:val="16"/>
        </w:rPr>
      </w:pPr>
    </w:p>
    <w:p>
      <w:pPr>
        <w:pStyle w:val="ListParagraph"/>
        <w:numPr>
          <w:ilvl w:val="0"/>
          <w:numId w:val="51"/>
        </w:numPr>
        <w:tabs>
          <w:tab w:pos="645" w:val="left" w:leader="none"/>
          <w:tab w:pos="646" w:val="left" w:leader="none"/>
        </w:tabs>
        <w:spacing w:line="232" w:lineRule="auto" w:before="1" w:after="0"/>
        <w:ind w:left="165" w:right="88" w:firstLine="0"/>
        <w:jc w:val="left"/>
        <w:rPr>
          <w:sz w:val="18"/>
        </w:rPr>
      </w:pPr>
      <w:r>
        <w:rPr>
          <w:color w:val="231F20"/>
          <w:sz w:val="18"/>
        </w:rPr>
        <w:t>Real personal disposable income had fallen by 0.2% in 1998 Q1, but this was depressed by higher income tax payments under the new self-assessment arrangements. Underlying growth in incomes and wealth remained strong: real labour income had grown by 1.8%, and personal sector net financial wealth had </w:t>
      </w:r>
      <w:r>
        <w:rPr>
          <w:color w:val="231F20"/>
          <w:spacing w:val="-4"/>
          <w:sz w:val="18"/>
        </w:rPr>
        <w:t>grown </w:t>
      </w:r>
      <w:r>
        <w:rPr>
          <w:color w:val="231F20"/>
          <w:sz w:val="18"/>
        </w:rPr>
        <w:t>by 7.2%, mostly reflecting higher equity values.</w:t>
      </w:r>
    </w:p>
    <w:p>
      <w:pPr>
        <w:pStyle w:val="BodyText"/>
        <w:spacing w:before="11"/>
        <w:rPr>
          <w:sz w:val="16"/>
        </w:rPr>
      </w:pPr>
    </w:p>
    <w:p>
      <w:pPr>
        <w:pStyle w:val="ListParagraph"/>
        <w:numPr>
          <w:ilvl w:val="0"/>
          <w:numId w:val="51"/>
        </w:numPr>
        <w:tabs>
          <w:tab w:pos="645" w:val="left" w:leader="none"/>
          <w:tab w:pos="646" w:val="left" w:leader="none"/>
        </w:tabs>
        <w:spacing w:line="232" w:lineRule="auto" w:before="0" w:after="0"/>
        <w:ind w:left="165" w:right="152" w:firstLine="0"/>
        <w:jc w:val="left"/>
        <w:rPr>
          <w:sz w:val="18"/>
        </w:rPr>
      </w:pPr>
      <w:r>
        <w:rPr>
          <w:color w:val="231F20"/>
          <w:sz w:val="18"/>
        </w:rPr>
        <w:t>Investment growth in 1998 Q1 had been revised up from 1.3% to 3.8%. Much of the revision had been accounted for by unusually large one-off items in the public corporations and energy/utilities sectors, including a reclassification of tube trains from stocks to investment. Excluding these factors, investment in both the services and manufacturing sectors had fallen during the quarter. And industrial and commercial companies’ cashflow position might have worsened. Although the £3.4 billion financial deficit in 1998 Q1 was similar to that in 1997 Q4, the previous quarter’s income had been depressed by windfall tax payments. Stockbuilding in Q1 had been revised down from £1.4 billion to</w:t>
      </w:r>
    </w:p>
    <w:p>
      <w:pPr>
        <w:pStyle w:val="BodyText"/>
        <w:spacing w:line="232" w:lineRule="auto"/>
        <w:ind w:left="165" w:right="69"/>
      </w:pPr>
      <w:r>
        <w:rPr>
          <w:color w:val="231F20"/>
        </w:rPr>
        <w:t>£0.9 billion. There was little sign yet of an unusually large </w:t>
      </w:r>
      <w:r>
        <w:rPr>
          <w:color w:val="231F20"/>
          <w:spacing w:val="-3"/>
        </w:rPr>
        <w:t>build-up </w:t>
      </w:r>
      <w:r>
        <w:rPr>
          <w:color w:val="231F20"/>
        </w:rPr>
        <w:t>of stocks at an aggregate level: the economy-wide stock/output ratio fell in Q1. The manufacturing stock/output ratio had risen slightly, however.</w:t>
      </w:r>
    </w:p>
    <w:p>
      <w:pPr>
        <w:pStyle w:val="BodyText"/>
        <w:spacing w:before="4"/>
        <w:rPr>
          <w:sz w:val="16"/>
        </w:rPr>
      </w:pPr>
    </w:p>
    <w:p>
      <w:pPr>
        <w:pStyle w:val="ListParagraph"/>
        <w:numPr>
          <w:ilvl w:val="0"/>
          <w:numId w:val="51"/>
        </w:numPr>
        <w:tabs>
          <w:tab w:pos="645" w:val="left" w:leader="none"/>
          <w:tab w:pos="646" w:val="left" w:leader="none"/>
        </w:tabs>
        <w:spacing w:line="232" w:lineRule="auto" w:before="0" w:after="0"/>
        <w:ind w:left="165" w:right="113" w:firstLine="0"/>
        <w:jc w:val="left"/>
        <w:rPr>
          <w:sz w:val="18"/>
        </w:rPr>
      </w:pPr>
      <w:r>
        <w:rPr>
          <w:color w:val="231F20"/>
          <w:sz w:val="18"/>
        </w:rPr>
        <w:t>The outlook for investment remained mixed. The CBI and BCC surveys had both shown falling manufacturing investment intentions for Q2. But forward-looking indicators for construction investment were reasonably robust: although construction orders had fallen by 5% in the three months to May, they remained </w:t>
      </w:r>
      <w:r>
        <w:rPr>
          <w:color w:val="231F20"/>
          <w:spacing w:val="-3"/>
          <w:sz w:val="18"/>
        </w:rPr>
        <w:t>higher </w:t>
      </w:r>
      <w:r>
        <w:rPr>
          <w:color w:val="231F20"/>
          <w:sz w:val="18"/>
        </w:rPr>
        <w:t>than in much of the previous year.</w:t>
      </w:r>
    </w:p>
    <w:p>
      <w:pPr>
        <w:pStyle w:val="BodyText"/>
        <w:spacing w:before="7"/>
        <w:rPr>
          <w:sz w:val="19"/>
        </w:rPr>
      </w:pPr>
      <w:r>
        <w:rPr/>
        <w:br w:type="column"/>
      </w:r>
      <w:r>
        <w:rPr>
          <w:sz w:val="19"/>
        </w:rPr>
      </w:r>
    </w:p>
    <w:p>
      <w:pPr>
        <w:pStyle w:val="ListParagraph"/>
        <w:numPr>
          <w:ilvl w:val="0"/>
          <w:numId w:val="51"/>
        </w:numPr>
        <w:tabs>
          <w:tab w:pos="645" w:val="left" w:leader="none"/>
          <w:tab w:pos="646" w:val="left" w:leader="none"/>
        </w:tabs>
        <w:spacing w:line="232" w:lineRule="auto" w:before="0" w:after="0"/>
        <w:ind w:left="165" w:right="344" w:firstLine="0"/>
        <w:jc w:val="left"/>
        <w:rPr>
          <w:sz w:val="18"/>
        </w:rPr>
      </w:pPr>
      <w:r>
        <w:rPr>
          <w:color w:val="231F20"/>
          <w:sz w:val="18"/>
        </w:rPr>
        <w:t>The current account balance was -£3.2 billion in 1998 Q1, the first quarterly deficit since 1996 Q3 and the largest since 1992 Q4. Part of the deficit was accounted for by erratically </w:t>
      </w:r>
      <w:r>
        <w:rPr>
          <w:color w:val="231F20"/>
          <w:spacing w:val="-4"/>
          <w:sz w:val="18"/>
        </w:rPr>
        <w:t>high </w:t>
      </w:r>
      <w:r>
        <w:rPr>
          <w:color w:val="231F20"/>
          <w:sz w:val="18"/>
        </w:rPr>
        <w:t>transfers to the European Union, but the trade balance and investment income had also fallen. In particular, trade in </w:t>
      </w:r>
      <w:r>
        <w:rPr>
          <w:color w:val="231F20"/>
          <w:spacing w:val="-3"/>
          <w:sz w:val="18"/>
        </w:rPr>
        <w:t>services </w:t>
      </w:r>
      <w:r>
        <w:rPr>
          <w:color w:val="231F20"/>
          <w:sz w:val="18"/>
        </w:rPr>
        <w:t>declined by a record £0.6 billion, accounting for much of the</w:t>
      </w:r>
    </w:p>
    <w:p>
      <w:pPr>
        <w:pStyle w:val="BodyText"/>
        <w:spacing w:line="232" w:lineRule="auto"/>
        <w:ind w:left="165" w:right="366"/>
      </w:pPr>
      <w:r>
        <w:rPr>
          <w:color w:val="231F20"/>
        </w:rPr>
        <w:t>-0.7 percentage points net trade contribution to GDP growth over the quarter.</w:t>
      </w:r>
    </w:p>
    <w:p>
      <w:pPr>
        <w:pStyle w:val="BodyText"/>
        <w:spacing w:before="10"/>
        <w:rPr>
          <w:sz w:val="16"/>
        </w:rPr>
      </w:pPr>
    </w:p>
    <w:p>
      <w:pPr>
        <w:pStyle w:val="ListParagraph"/>
        <w:numPr>
          <w:ilvl w:val="0"/>
          <w:numId w:val="51"/>
        </w:numPr>
        <w:tabs>
          <w:tab w:pos="645" w:val="left" w:leader="none"/>
          <w:tab w:pos="646" w:val="left" w:leader="none"/>
        </w:tabs>
        <w:spacing w:line="232" w:lineRule="auto" w:before="0" w:after="0"/>
        <w:ind w:left="165" w:right="203" w:firstLine="0"/>
        <w:jc w:val="left"/>
        <w:rPr>
          <w:sz w:val="18"/>
        </w:rPr>
      </w:pPr>
      <w:r>
        <w:rPr>
          <w:color w:val="231F20"/>
          <w:sz w:val="18"/>
        </w:rPr>
        <w:t>The underlying trade position had continued to become </w:t>
      </w:r>
      <w:r>
        <w:rPr>
          <w:color w:val="231F20"/>
          <w:spacing w:val="-5"/>
          <w:sz w:val="18"/>
        </w:rPr>
        <w:t>more </w:t>
      </w:r>
      <w:r>
        <w:rPr>
          <w:color w:val="231F20"/>
          <w:sz w:val="18"/>
        </w:rPr>
        <w:t>negative. Although the headline deficit on goods fell in April, this was entirely because of trade in oil and erratic items with non-EU countries. Excluding these factors, the deficit increased. The total goods deficit was £5.1 billion in the three months to April, compared with £3.9 billion in the previous three months.</w:t>
      </w:r>
    </w:p>
    <w:p>
      <w:pPr>
        <w:pStyle w:val="BodyText"/>
        <w:spacing w:line="232" w:lineRule="auto"/>
        <w:ind w:left="165" w:right="193"/>
      </w:pPr>
      <w:r>
        <w:rPr>
          <w:color w:val="231F20"/>
        </w:rPr>
        <w:t>Excluding oil and erratics, both export and import volumes had fallen in April. Export volumes to the non-EU countries had shown the biggest falls, perhaps reflecting the continuing impact of the downturn in East Asia. Falling imports had been particularly marked in intermediate goods and cars. Surveys indicated a continued weakening in export orders for both services and manufactured goods.</w:t>
      </w:r>
    </w:p>
    <w:p>
      <w:pPr>
        <w:pStyle w:val="BodyText"/>
        <w:spacing w:before="3"/>
      </w:pPr>
    </w:p>
    <w:p>
      <w:pPr>
        <w:pStyle w:val="ListParagraph"/>
        <w:numPr>
          <w:ilvl w:val="0"/>
          <w:numId w:val="51"/>
        </w:numPr>
        <w:tabs>
          <w:tab w:pos="645" w:val="left" w:leader="none"/>
          <w:tab w:pos="646" w:val="left" w:leader="none"/>
        </w:tabs>
        <w:spacing w:line="232" w:lineRule="auto" w:before="0" w:after="0"/>
        <w:ind w:left="165" w:right="468" w:firstLine="0"/>
        <w:jc w:val="left"/>
        <w:rPr>
          <w:sz w:val="18"/>
        </w:rPr>
      </w:pPr>
      <w:r>
        <w:rPr>
          <w:color w:val="231F20"/>
          <w:sz w:val="18"/>
        </w:rPr>
        <w:t>Government expenditure had been revised up in both 1997 Q4 and 1998 Q1 in the National Accounts, leaving </w:t>
      </w:r>
      <w:r>
        <w:rPr>
          <w:color w:val="231F20"/>
          <w:spacing w:val="-3"/>
          <w:sz w:val="18"/>
        </w:rPr>
        <w:t>growth </w:t>
      </w:r>
      <w:r>
        <w:rPr>
          <w:color w:val="231F20"/>
          <w:sz w:val="18"/>
        </w:rPr>
        <w:t>between the quarters unchanged at -0.4%.</w:t>
      </w:r>
    </w:p>
    <w:p>
      <w:pPr>
        <w:pStyle w:val="BodyText"/>
        <w:spacing w:before="2"/>
        <w:rPr>
          <w:sz w:val="17"/>
        </w:rPr>
      </w:pPr>
    </w:p>
    <w:p>
      <w:pPr>
        <w:pStyle w:val="ListParagraph"/>
        <w:numPr>
          <w:ilvl w:val="0"/>
          <w:numId w:val="51"/>
        </w:numPr>
        <w:tabs>
          <w:tab w:pos="645" w:val="left" w:leader="none"/>
          <w:tab w:pos="646" w:val="left" w:leader="none"/>
        </w:tabs>
        <w:spacing w:line="232" w:lineRule="auto" w:before="0" w:after="0"/>
        <w:ind w:left="165" w:right="193" w:firstLine="0"/>
        <w:jc w:val="left"/>
        <w:rPr>
          <w:sz w:val="18"/>
        </w:rPr>
      </w:pPr>
      <w:r>
        <w:rPr>
          <w:color w:val="231F20"/>
          <w:sz w:val="18"/>
        </w:rPr>
        <w:t>The Chancellor had set out the foundations for the forthcoming Comprehensive Spending Review in the Economic and Fiscal Strategy Report. Departmental spending limits would </w:t>
      </w:r>
      <w:r>
        <w:rPr>
          <w:color w:val="231F20"/>
          <w:spacing w:val="-9"/>
          <w:sz w:val="18"/>
        </w:rPr>
        <w:t>be </w:t>
      </w:r>
      <w:r>
        <w:rPr>
          <w:color w:val="231F20"/>
          <w:sz w:val="18"/>
        </w:rPr>
        <w:t>set on a three year basis: the remainder (around half the total) would continue to be managed on an annual cycle.  Limits would be based on the assumption of real growth in current spending averaging 2</w:t>
      </w:r>
      <w:r>
        <w:rPr>
          <w:color w:val="231F20"/>
          <w:position w:val="6"/>
          <w:sz w:val="9"/>
        </w:rPr>
        <w:t>1</w:t>
      </w:r>
      <w:r>
        <w:rPr>
          <w:color w:val="231F20"/>
          <w:sz w:val="18"/>
        </w:rPr>
        <w:t>/</w:t>
      </w:r>
      <w:r>
        <w:rPr>
          <w:color w:val="231F20"/>
          <w:sz w:val="9"/>
        </w:rPr>
        <w:t>4</w:t>
      </w:r>
      <w:r>
        <w:rPr>
          <w:color w:val="231F20"/>
          <w:sz w:val="18"/>
        </w:rPr>
        <w:t>% per annum over the next three fiscal years, while net public investment growth would almost double as a share of GDP over this period.</w:t>
      </w:r>
    </w:p>
    <w:p>
      <w:pPr>
        <w:pStyle w:val="BodyText"/>
        <w:spacing w:before="9"/>
        <w:rPr>
          <w:sz w:val="16"/>
        </w:rPr>
      </w:pPr>
    </w:p>
    <w:p>
      <w:pPr>
        <w:pStyle w:val="ListParagraph"/>
        <w:numPr>
          <w:ilvl w:val="0"/>
          <w:numId w:val="51"/>
        </w:numPr>
        <w:tabs>
          <w:tab w:pos="645" w:val="left" w:leader="none"/>
          <w:tab w:pos="646" w:val="left" w:leader="none"/>
        </w:tabs>
        <w:spacing w:line="232" w:lineRule="auto" w:before="1" w:after="0"/>
        <w:ind w:left="165" w:right="188" w:firstLine="0"/>
        <w:jc w:val="left"/>
        <w:rPr>
          <w:sz w:val="18"/>
        </w:rPr>
      </w:pPr>
      <w:r>
        <w:rPr>
          <w:color w:val="231F20"/>
          <w:sz w:val="18"/>
        </w:rPr>
        <w:t>The government’s new preferred indicator for monitoring </w:t>
      </w:r>
      <w:r>
        <w:rPr>
          <w:color w:val="231F20"/>
          <w:spacing w:val="-6"/>
          <w:sz w:val="18"/>
        </w:rPr>
        <w:t>the </w:t>
      </w:r>
      <w:r>
        <w:rPr>
          <w:color w:val="231F20"/>
          <w:sz w:val="18"/>
        </w:rPr>
        <w:t>fiscal deficit was public sector net borrowing (previously termed the public sector financial deficit). This was not yet available on a monthly basis. The latest monthly fiscal release consequently continued to focus on the public sector net cash requirement (P</w:t>
      </w:r>
      <w:r>
        <w:rPr>
          <w:color w:val="231F20"/>
          <w:sz w:val="14"/>
        </w:rPr>
        <w:t>SCNR</w:t>
      </w:r>
      <w:r>
        <w:rPr>
          <w:color w:val="231F20"/>
          <w:sz w:val="18"/>
        </w:rPr>
        <w:t>), the new name for the PSBR. The P</w:t>
      </w:r>
      <w:r>
        <w:rPr>
          <w:color w:val="231F20"/>
          <w:sz w:val="14"/>
        </w:rPr>
        <w:t>SCNR </w:t>
      </w:r>
      <w:r>
        <w:rPr>
          <w:color w:val="231F20"/>
          <w:sz w:val="18"/>
        </w:rPr>
        <w:t>was £2.5 billion in May.</w:t>
      </w:r>
    </w:p>
    <w:p>
      <w:pPr>
        <w:pStyle w:val="BodyText"/>
        <w:spacing w:before="10"/>
        <w:rPr>
          <w:sz w:val="16"/>
        </w:rPr>
      </w:pPr>
    </w:p>
    <w:p>
      <w:pPr>
        <w:pStyle w:val="ListParagraph"/>
        <w:numPr>
          <w:ilvl w:val="0"/>
          <w:numId w:val="51"/>
        </w:numPr>
        <w:tabs>
          <w:tab w:pos="645" w:val="left" w:leader="none"/>
          <w:tab w:pos="646" w:val="left" w:leader="none"/>
        </w:tabs>
        <w:spacing w:line="232" w:lineRule="auto" w:before="0" w:after="0"/>
        <w:ind w:left="165" w:right="206" w:firstLine="0"/>
        <w:jc w:val="left"/>
        <w:rPr>
          <w:sz w:val="18"/>
        </w:rPr>
      </w:pPr>
      <w:r>
        <w:rPr>
          <w:color w:val="231F20"/>
          <w:sz w:val="18"/>
        </w:rPr>
        <w:t>Industrial production had risen by 1% in April, but was almost entirely accounted for by higher levels of energy extraction and supply, largely as a result of cold weather. Manufacturing output had risen by only 0.1% on the month, and annual growth was flat. The C</w:t>
      </w:r>
      <w:r>
        <w:rPr>
          <w:color w:val="231F20"/>
          <w:sz w:val="14"/>
        </w:rPr>
        <w:t>IPS </w:t>
      </w:r>
      <w:r>
        <w:rPr>
          <w:color w:val="231F20"/>
          <w:sz w:val="18"/>
        </w:rPr>
        <w:t>and CBI manufacturing output surveys were both consistent with negative growth, suggesting a weaker position than the official data, having previously pointed to rather stronger growth. The C</w:t>
      </w:r>
      <w:r>
        <w:rPr>
          <w:color w:val="231F20"/>
          <w:sz w:val="14"/>
        </w:rPr>
        <w:t>IPS </w:t>
      </w:r>
      <w:r>
        <w:rPr>
          <w:color w:val="231F20"/>
          <w:sz w:val="18"/>
        </w:rPr>
        <w:t>services survey balance had fallen again, but </w:t>
      </w:r>
      <w:r>
        <w:rPr>
          <w:color w:val="231F20"/>
          <w:spacing w:val="-6"/>
          <w:sz w:val="18"/>
        </w:rPr>
        <w:t>was </w:t>
      </w:r>
      <w:r>
        <w:rPr>
          <w:color w:val="231F20"/>
          <w:sz w:val="18"/>
        </w:rPr>
        <w:t>still positive, suggesting moderating, but still strong, services output growth. The scope of this survey was limited, however—it did not cover retailing or financial services. The C</w:t>
      </w:r>
      <w:r>
        <w:rPr>
          <w:color w:val="231F20"/>
          <w:sz w:val="14"/>
        </w:rPr>
        <w:t>IPS </w:t>
      </w:r>
      <w:r>
        <w:rPr>
          <w:color w:val="231F20"/>
          <w:sz w:val="18"/>
        </w:rPr>
        <w:t>construction survey balance had turned up, indicating continuing strong output growth in that sector.</w:t>
      </w:r>
    </w:p>
    <w:p>
      <w:pPr>
        <w:pStyle w:val="ListParagraph"/>
        <w:numPr>
          <w:ilvl w:val="0"/>
          <w:numId w:val="51"/>
        </w:numPr>
        <w:tabs>
          <w:tab w:pos="645" w:val="left" w:leader="none"/>
          <w:tab w:pos="646" w:val="left" w:leader="none"/>
        </w:tabs>
        <w:spacing w:line="232" w:lineRule="auto" w:before="170" w:after="0"/>
        <w:ind w:left="165" w:right="183" w:firstLine="0"/>
        <w:jc w:val="left"/>
        <w:rPr>
          <w:sz w:val="18"/>
        </w:rPr>
      </w:pPr>
      <w:r>
        <w:rPr>
          <w:color w:val="231F20"/>
          <w:sz w:val="18"/>
        </w:rPr>
        <w:t>UK trade-weighted GDP in the major six overseas economies had grown by 0.5% in 1998 Q1. Within this, US </w:t>
      </w:r>
      <w:r>
        <w:rPr>
          <w:color w:val="231F20"/>
          <w:spacing w:val="-3"/>
          <w:sz w:val="18"/>
        </w:rPr>
        <w:t>growth </w:t>
      </w:r>
      <w:r>
        <w:rPr>
          <w:color w:val="231F20"/>
          <w:sz w:val="18"/>
        </w:rPr>
        <w:t>had been a little stronger than expected at the time of the May </w:t>
      </w:r>
      <w:r>
        <w:rPr>
          <w:i/>
          <w:color w:val="231F20"/>
          <w:sz w:val="18"/>
        </w:rPr>
        <w:t>Inflation Report </w:t>
      </w:r>
      <w:r>
        <w:rPr>
          <w:color w:val="231F20"/>
          <w:sz w:val="18"/>
        </w:rPr>
        <w:t>largely because of upward revisions to stocks, but Japanese growth had been significantly weaker, with GDP falling by 1.3% in Q1. Japan was in recession: both domestic demand </w:t>
      </w:r>
      <w:r>
        <w:rPr>
          <w:color w:val="231F20"/>
          <w:spacing w:val="-4"/>
          <w:sz w:val="18"/>
        </w:rPr>
        <w:t>and </w:t>
      </w:r>
      <w:r>
        <w:rPr>
          <w:color w:val="231F20"/>
          <w:sz w:val="18"/>
        </w:rPr>
        <w:t>net trade had made negative contributions to Q1 GDP growth, and </w:t>
      </w:r>
      <w:r>
        <w:rPr>
          <w:color w:val="231F20"/>
          <w:spacing w:val="-17"/>
          <w:sz w:val="18"/>
        </w:rPr>
        <w:t>a </w:t>
      </w:r>
      <w:r>
        <w:rPr>
          <w:color w:val="231F20"/>
          <w:sz w:val="18"/>
        </w:rPr>
        <w:t>significant stock overhang was expected to act as a drag on future growth. More recent data on Japanese industrial production, household confidence and the Tankan survey had pointed to continued domestic weakness. Subdued domestic demand had depressed imports, and the current account surplus had risen to around 3% of GDP.</w:t>
      </w:r>
    </w:p>
    <w:p>
      <w:pPr>
        <w:spacing w:after="0" w:line="232" w:lineRule="auto"/>
        <w:jc w:val="left"/>
        <w:rPr>
          <w:sz w:val="18"/>
        </w:rPr>
        <w:sectPr>
          <w:type w:val="continuous"/>
          <w:pgSz w:w="11900" w:h="16840"/>
          <w:pgMar w:top="1220" w:bottom="280" w:left="620" w:right="640"/>
          <w:cols w:num="2" w:equalWidth="0">
            <w:col w:w="5115" w:space="275"/>
            <w:col w:w="5250"/>
          </w:cols>
        </w:sectPr>
      </w:pPr>
    </w:p>
    <w:p>
      <w:pPr>
        <w:pStyle w:val="BodyText"/>
        <w:rPr>
          <w:sz w:val="20"/>
        </w:rPr>
      </w:pPr>
    </w:p>
    <w:p>
      <w:pPr>
        <w:spacing w:after="0"/>
        <w:rPr>
          <w:sz w:val="20"/>
        </w:rPr>
        <w:sectPr>
          <w:pgSz w:w="11900" w:h="16840"/>
          <w:pgMar w:header="566" w:footer="597" w:top="760" w:bottom="780" w:left="620" w:right="640"/>
        </w:sectPr>
      </w:pPr>
    </w:p>
    <w:p>
      <w:pPr>
        <w:pStyle w:val="BodyText"/>
        <w:spacing w:before="7"/>
        <w:rPr>
          <w:sz w:val="19"/>
        </w:rPr>
      </w:pPr>
    </w:p>
    <w:p>
      <w:pPr>
        <w:pStyle w:val="ListParagraph"/>
        <w:numPr>
          <w:ilvl w:val="0"/>
          <w:numId w:val="51"/>
        </w:numPr>
        <w:tabs>
          <w:tab w:pos="654" w:val="left" w:leader="none"/>
          <w:tab w:pos="655" w:val="left" w:leader="none"/>
        </w:tabs>
        <w:spacing w:line="232" w:lineRule="auto" w:before="1" w:after="0"/>
        <w:ind w:left="174" w:right="153" w:firstLine="0"/>
        <w:jc w:val="left"/>
        <w:rPr>
          <w:sz w:val="18"/>
        </w:rPr>
      </w:pPr>
      <w:r>
        <w:rPr>
          <w:color w:val="231F20"/>
          <w:sz w:val="18"/>
        </w:rPr>
        <w:t>Q1 GDP growth in the United States, France and Germany had been characterised by strong domestic demand growth, offset by large negative net trade contributions. This appeared to have continued into Q2, but with some country-specific developments. In the United States, industrial production, retail sales and consumer confidence measures had all pointed to robust growth during the quarter, but there was some evidence from the National Association of Purchasing Manager’s (N</w:t>
      </w:r>
      <w:r>
        <w:rPr>
          <w:color w:val="231F20"/>
          <w:sz w:val="14"/>
        </w:rPr>
        <w:t>APM</w:t>
      </w:r>
      <w:r>
        <w:rPr>
          <w:color w:val="231F20"/>
          <w:sz w:val="18"/>
        </w:rPr>
        <w:t>) survey of a slowdown in manufacturing output. Industrial production was growing rapidly in France and Germany, at around 5%. The underlying picture appeared rather stronger in France than Germany, however: France was now enjoying strong employment growth, but this was not the case in Germany. Apart from Italy, other countries in the euro area were typically experiencing relatively rapid rates of growth.</w:t>
      </w:r>
    </w:p>
    <w:p>
      <w:pPr>
        <w:pStyle w:val="BodyText"/>
        <w:spacing w:before="9"/>
        <w:rPr>
          <w:sz w:val="19"/>
        </w:rPr>
      </w:pPr>
    </w:p>
    <w:p>
      <w:pPr>
        <w:pStyle w:val="ListParagraph"/>
        <w:numPr>
          <w:ilvl w:val="0"/>
          <w:numId w:val="51"/>
        </w:numPr>
        <w:tabs>
          <w:tab w:pos="654" w:val="left" w:leader="none"/>
          <w:tab w:pos="655" w:val="left" w:leader="none"/>
        </w:tabs>
        <w:spacing w:line="232" w:lineRule="auto" w:before="1" w:after="0"/>
        <w:ind w:left="174" w:right="38" w:firstLine="0"/>
        <w:jc w:val="left"/>
        <w:rPr>
          <w:sz w:val="18"/>
        </w:rPr>
      </w:pPr>
      <w:r>
        <w:rPr>
          <w:color w:val="231F20"/>
          <w:sz w:val="18"/>
        </w:rPr>
        <w:t>The effects of the Asian crisis were now apparent in international trade flows. Most G7 countries had seen falling exports to the region, although there was less evidence of a significant rise in imports. The change in the trade balance with Asia (excluding Japan), in 1997 Q4 and 1998 Q1 compared with </w:t>
      </w:r>
      <w:r>
        <w:rPr>
          <w:color w:val="231F20"/>
          <w:spacing w:val="-6"/>
          <w:sz w:val="18"/>
        </w:rPr>
        <w:t>the </w:t>
      </w:r>
      <w:r>
        <w:rPr>
          <w:color w:val="231F20"/>
          <w:sz w:val="18"/>
        </w:rPr>
        <w:t>previous two quarters had amounted to -0.5% of nominal GDP in Germany, -0.4% in France and -0.2% in the United States. The US figure was lower partly because of recent volatility in the trade data, and because trade accounted for a relatively small proportion of US GDP. Simple accounting suggested that a rise in the Asian trade surplus (including Japan) equivalent to 1% of regional GDP might reduce EU and US GDP by around 0.3%. The latest Consensus Forecast suggested that market commentators now expected little or no growth during 1998 in the Asia-Pacific region (which accounted for 11% of UK exports). And forecasts were still being revised downwards.</w:t>
      </w:r>
    </w:p>
    <w:p>
      <w:pPr>
        <w:pStyle w:val="BodyText"/>
        <w:spacing w:before="8"/>
        <w:rPr>
          <w:sz w:val="19"/>
        </w:rPr>
      </w:pPr>
    </w:p>
    <w:p>
      <w:pPr>
        <w:pStyle w:val="ListParagraph"/>
        <w:numPr>
          <w:ilvl w:val="0"/>
          <w:numId w:val="51"/>
        </w:numPr>
        <w:tabs>
          <w:tab w:pos="654" w:val="left" w:leader="none"/>
          <w:tab w:pos="655" w:val="left" w:leader="none"/>
        </w:tabs>
        <w:spacing w:line="232" w:lineRule="auto" w:before="1" w:after="0"/>
        <w:ind w:left="174" w:right="87" w:firstLine="0"/>
        <w:jc w:val="left"/>
        <w:rPr>
          <w:sz w:val="18"/>
        </w:rPr>
      </w:pPr>
      <w:r>
        <w:rPr>
          <w:color w:val="231F20"/>
          <w:sz w:val="18"/>
        </w:rPr>
        <w:t>There was some evidence that global financial risks had increased. Investor nervousness had contributed to pressures in Russia, South Africa, Chile and Mexico during the previous </w:t>
      </w:r>
      <w:r>
        <w:rPr>
          <w:color w:val="231F20"/>
          <w:spacing w:val="-3"/>
          <w:sz w:val="18"/>
        </w:rPr>
        <w:t>month. </w:t>
      </w:r>
      <w:r>
        <w:rPr>
          <w:color w:val="231F20"/>
          <w:sz w:val="18"/>
        </w:rPr>
        <w:t>And there had been some speculation about a possible Chinese devaluation, before the intervention to support the yen.</w:t>
      </w:r>
    </w:p>
    <w:p>
      <w:pPr>
        <w:pStyle w:val="BodyText"/>
        <w:spacing w:before="6"/>
        <w:rPr>
          <w:sz w:val="25"/>
        </w:rPr>
      </w:pPr>
    </w:p>
    <w:p>
      <w:pPr>
        <w:pStyle w:val="Heading6"/>
        <w:numPr>
          <w:ilvl w:val="0"/>
          <w:numId w:val="52"/>
        </w:numPr>
        <w:tabs>
          <w:tab w:pos="654" w:val="left" w:leader="none"/>
          <w:tab w:pos="655" w:val="left" w:leader="none"/>
        </w:tabs>
        <w:spacing w:line="240" w:lineRule="auto" w:before="0" w:after="0"/>
        <w:ind w:left="654" w:right="0" w:hanging="481"/>
        <w:jc w:val="left"/>
      </w:pPr>
      <w:r>
        <w:rPr>
          <w:color w:val="009483"/>
        </w:rPr>
        <w:t>Labour</w:t>
      </w:r>
      <w:r>
        <w:rPr>
          <w:color w:val="009483"/>
          <w:spacing w:val="-1"/>
        </w:rPr>
        <w:t> </w:t>
      </w:r>
      <w:r>
        <w:rPr>
          <w:color w:val="009483"/>
        </w:rPr>
        <w:t>market</w:t>
      </w:r>
    </w:p>
    <w:p>
      <w:pPr>
        <w:pStyle w:val="ListParagraph"/>
        <w:numPr>
          <w:ilvl w:val="0"/>
          <w:numId w:val="51"/>
        </w:numPr>
        <w:tabs>
          <w:tab w:pos="654" w:val="left" w:leader="none"/>
          <w:tab w:pos="655" w:val="left" w:leader="none"/>
        </w:tabs>
        <w:spacing w:line="232" w:lineRule="auto" w:before="109" w:after="0"/>
        <w:ind w:left="174" w:right="63" w:firstLine="0"/>
        <w:jc w:val="left"/>
        <w:rPr>
          <w:sz w:val="18"/>
        </w:rPr>
      </w:pPr>
      <w:r>
        <w:rPr>
          <w:color w:val="231F20"/>
          <w:sz w:val="18"/>
        </w:rPr>
        <w:t>LFS employment had risen by 61,000 (0.2%) in the three months to April 1998 over the previous three months. This was faster than the rise in the three months to January (48,000), and the rise in the three months to March reported a month ago, but slower than the average quarterly growth over the past year (0.3%). Almost all of the rise in the three months to April was in part-time workers. The Workforce Jobs measure showed stronger growth, rising by 116,000 (0.4%) in 1998 Q1 and by 429,000 on the same quarter a year earlier. Since the latter survey has a slightly higher sampling variability, the former may be a more reliable guide. LFS total hours worked had risen by 0.6% in the three months to April, and were 0.8% higher than a year earlier. This suggested that </w:t>
      </w:r>
      <w:r>
        <w:rPr>
          <w:color w:val="231F20"/>
          <w:spacing w:val="-3"/>
          <w:sz w:val="18"/>
        </w:rPr>
        <w:t>hours </w:t>
      </w:r>
      <w:r>
        <w:rPr>
          <w:color w:val="231F20"/>
          <w:sz w:val="18"/>
        </w:rPr>
        <w:t>worked per person rose in the three months to April, but were </w:t>
      </w:r>
      <w:r>
        <w:rPr>
          <w:color w:val="231F20"/>
          <w:spacing w:val="-4"/>
          <w:sz w:val="18"/>
        </w:rPr>
        <w:t>lower </w:t>
      </w:r>
      <w:r>
        <w:rPr>
          <w:color w:val="231F20"/>
          <w:sz w:val="18"/>
        </w:rPr>
        <w:t>than a year earlier. But the hours worked series is volatile, and so single comparisons may be misleading. The trend in total hours worked still seemed to be upwards, though it may have flattened somewhat.</w:t>
      </w:r>
    </w:p>
    <w:p>
      <w:pPr>
        <w:pStyle w:val="BodyText"/>
        <w:spacing w:before="9"/>
        <w:rPr>
          <w:sz w:val="19"/>
        </w:rPr>
      </w:pPr>
    </w:p>
    <w:p>
      <w:pPr>
        <w:pStyle w:val="ListParagraph"/>
        <w:numPr>
          <w:ilvl w:val="0"/>
          <w:numId w:val="51"/>
        </w:numPr>
        <w:tabs>
          <w:tab w:pos="654" w:val="left" w:leader="none"/>
          <w:tab w:pos="655" w:val="left" w:leader="none"/>
        </w:tabs>
        <w:spacing w:line="232" w:lineRule="auto" w:before="0" w:after="0"/>
        <w:ind w:left="174" w:right="235" w:firstLine="0"/>
        <w:jc w:val="left"/>
        <w:rPr>
          <w:sz w:val="18"/>
        </w:rPr>
      </w:pPr>
      <w:r>
        <w:rPr>
          <w:color w:val="231F20"/>
          <w:sz w:val="18"/>
        </w:rPr>
        <w:t>A new weighted aggregate C</w:t>
      </w:r>
      <w:r>
        <w:rPr>
          <w:color w:val="231F20"/>
          <w:sz w:val="14"/>
        </w:rPr>
        <w:t>IPS </w:t>
      </w:r>
      <w:r>
        <w:rPr>
          <w:color w:val="231F20"/>
          <w:sz w:val="18"/>
        </w:rPr>
        <w:t>survey (latest month </w:t>
      </w:r>
      <w:r>
        <w:rPr>
          <w:color w:val="231F20"/>
          <w:spacing w:val="-3"/>
          <w:sz w:val="18"/>
        </w:rPr>
        <w:t>June) </w:t>
      </w:r>
      <w:r>
        <w:rPr>
          <w:color w:val="231F20"/>
          <w:sz w:val="18"/>
        </w:rPr>
        <w:t>suggested that employment growth in 1998 was slower than in 1997, though the pace of growth had increased moderately in recent months. But it was still consistent with employment</w:t>
      </w:r>
    </w:p>
    <w:p>
      <w:pPr>
        <w:pStyle w:val="BodyText"/>
        <w:spacing w:line="232" w:lineRule="auto"/>
        <w:ind w:left="174" w:right="26"/>
      </w:pPr>
      <w:r>
        <w:rPr>
          <w:color w:val="231F20"/>
        </w:rPr>
        <w:t>growth of more than 1% a year, substantially higher than the growth of the working-age population. The individual C</w:t>
      </w:r>
      <w:r>
        <w:rPr>
          <w:color w:val="231F20"/>
          <w:sz w:val="14"/>
        </w:rPr>
        <w:t>IPS </w:t>
      </w:r>
      <w:r>
        <w:rPr>
          <w:color w:val="231F20"/>
        </w:rPr>
        <w:t>surveys indicated continued strong growth in services and construction employment in June, though the rate of increase implied by the construction indicator fell. But there had been a marked deterioration in manufacturing employment in June. This sectoral picture was supported by reports from the Bank of England’s regional Agents.</w:t>
      </w:r>
    </w:p>
    <w:p>
      <w:pPr>
        <w:pStyle w:val="BodyText"/>
        <w:spacing w:before="7"/>
        <w:rPr>
          <w:sz w:val="19"/>
        </w:rPr>
      </w:pPr>
      <w:r>
        <w:rPr/>
        <w:br w:type="column"/>
      </w:r>
      <w:r>
        <w:rPr>
          <w:sz w:val="19"/>
        </w:rPr>
      </w:r>
    </w:p>
    <w:p>
      <w:pPr>
        <w:pStyle w:val="ListParagraph"/>
        <w:numPr>
          <w:ilvl w:val="0"/>
          <w:numId w:val="51"/>
        </w:numPr>
        <w:tabs>
          <w:tab w:pos="654" w:val="left" w:leader="none"/>
          <w:tab w:pos="655" w:val="left" w:leader="none"/>
        </w:tabs>
        <w:spacing w:line="232" w:lineRule="auto" w:before="1" w:after="0"/>
        <w:ind w:left="174" w:right="150" w:firstLine="0"/>
        <w:jc w:val="left"/>
        <w:rPr>
          <w:sz w:val="18"/>
        </w:rPr>
      </w:pPr>
      <w:r>
        <w:rPr>
          <w:color w:val="231F20"/>
          <w:sz w:val="18"/>
        </w:rPr>
        <w:t>The most recent Manpower survey, referring to employment intentions in Q3, showed a slowdown compared with the previous quarter, with the balances around the same level as a year earlier. </w:t>
      </w:r>
      <w:r>
        <w:rPr>
          <w:color w:val="231F20"/>
          <w:spacing w:val="-17"/>
          <w:sz w:val="18"/>
        </w:rPr>
        <w:t>A </w:t>
      </w:r>
      <w:r>
        <w:rPr>
          <w:color w:val="231F20"/>
          <w:sz w:val="18"/>
        </w:rPr>
        <w:t>new monthly survey by the Federation of Recruitment and Employment Services (F</w:t>
      </w:r>
      <w:r>
        <w:rPr>
          <w:color w:val="231F20"/>
          <w:sz w:val="14"/>
        </w:rPr>
        <w:t>RES</w:t>
      </w:r>
      <w:r>
        <w:rPr>
          <w:color w:val="231F20"/>
          <w:sz w:val="18"/>
        </w:rPr>
        <w:t>) and NTC Research provided more information about the labour market. The F</w:t>
      </w:r>
      <w:r>
        <w:rPr>
          <w:color w:val="231F20"/>
          <w:sz w:val="14"/>
        </w:rPr>
        <w:t>RES </w:t>
      </w:r>
      <w:r>
        <w:rPr>
          <w:color w:val="231F20"/>
          <w:sz w:val="18"/>
        </w:rPr>
        <w:t>Job Market Index combined newspaper recruitment advertising with recorded vacancies to produce a leading indicator of employment growth. The index had peaked in around mid 1997, and now suggested continued employment growth, but at a slower pace. Other indicators derived from the F</w:t>
      </w:r>
      <w:r>
        <w:rPr>
          <w:color w:val="231F20"/>
          <w:sz w:val="14"/>
        </w:rPr>
        <w:t>RES </w:t>
      </w:r>
      <w:r>
        <w:rPr>
          <w:color w:val="231F20"/>
          <w:sz w:val="18"/>
        </w:rPr>
        <w:t>survey seemed to indicate continued labour market tightness, though they had a small back run, and it was as yet hard to interpret the level of balances in the indicators. Permanent and temporary placements through recruitment agencies continued to rise in June, and the demand for staff across all occupational categories was still increasing.  This led to increasing unavailability of staff and further upward pressure on agencies’ pay rates.</w:t>
      </w:r>
    </w:p>
    <w:p>
      <w:pPr>
        <w:pStyle w:val="BodyText"/>
        <w:spacing w:before="2"/>
        <w:rPr>
          <w:sz w:val="16"/>
        </w:rPr>
      </w:pPr>
    </w:p>
    <w:p>
      <w:pPr>
        <w:pStyle w:val="ListParagraph"/>
        <w:numPr>
          <w:ilvl w:val="0"/>
          <w:numId w:val="51"/>
        </w:numPr>
        <w:tabs>
          <w:tab w:pos="654" w:val="left" w:leader="none"/>
          <w:tab w:pos="655" w:val="left" w:leader="none"/>
        </w:tabs>
        <w:spacing w:line="232" w:lineRule="auto" w:before="0" w:after="0"/>
        <w:ind w:left="174" w:right="175" w:firstLine="0"/>
        <w:jc w:val="left"/>
        <w:rPr>
          <w:sz w:val="18"/>
        </w:rPr>
      </w:pPr>
      <w:r>
        <w:rPr>
          <w:color w:val="231F20"/>
          <w:sz w:val="18"/>
        </w:rPr>
        <w:t>The stock of recorded vacancies (adjusted for overcount) </w:t>
      </w:r>
      <w:r>
        <w:rPr>
          <w:color w:val="231F20"/>
          <w:spacing w:val="-6"/>
          <w:sz w:val="18"/>
        </w:rPr>
        <w:t>had </w:t>
      </w:r>
      <w:r>
        <w:rPr>
          <w:color w:val="231F20"/>
          <w:sz w:val="18"/>
        </w:rPr>
        <w:t>risen by 10,000 in May, with the trend continuing upwards. But notifications of new vacancies fell, and the level of job advertising in the national press seemed to be levelling off. This might imply that demand was beginning to slow, but also that vacancies were becoming harder to fill.</w:t>
      </w:r>
    </w:p>
    <w:p>
      <w:pPr>
        <w:pStyle w:val="BodyText"/>
        <w:spacing w:before="11"/>
        <w:rPr>
          <w:sz w:val="16"/>
        </w:rPr>
      </w:pPr>
    </w:p>
    <w:p>
      <w:pPr>
        <w:pStyle w:val="ListParagraph"/>
        <w:numPr>
          <w:ilvl w:val="0"/>
          <w:numId w:val="51"/>
        </w:numPr>
        <w:tabs>
          <w:tab w:pos="654" w:val="left" w:leader="none"/>
          <w:tab w:pos="655" w:val="left" w:leader="none"/>
        </w:tabs>
        <w:spacing w:line="232" w:lineRule="auto" w:before="0" w:after="0"/>
        <w:ind w:left="174" w:right="349" w:firstLine="0"/>
        <w:jc w:val="left"/>
        <w:rPr>
          <w:sz w:val="18"/>
        </w:rPr>
      </w:pPr>
      <w:r>
        <w:rPr>
          <w:color w:val="231F20"/>
          <w:sz w:val="18"/>
        </w:rPr>
        <w:t>LFS unemployment in the three months to April had </w:t>
      </w:r>
      <w:r>
        <w:rPr>
          <w:color w:val="231F20"/>
          <w:spacing w:val="-3"/>
          <w:sz w:val="18"/>
        </w:rPr>
        <w:t>fallen </w:t>
      </w:r>
      <w:r>
        <w:rPr>
          <w:color w:val="231F20"/>
          <w:sz w:val="18"/>
        </w:rPr>
        <w:t>by 35,000 over the previous three months, the rate falling by</w:t>
      </w:r>
    </w:p>
    <w:p>
      <w:pPr>
        <w:pStyle w:val="BodyText"/>
        <w:spacing w:line="232" w:lineRule="auto"/>
        <w:ind w:left="174" w:right="187"/>
      </w:pPr>
      <w:r>
        <w:rPr>
          <w:color w:val="231F20"/>
        </w:rPr>
        <w:t>0.1 percentage points to 6.4%. This was similar to the fall in the three months to March, though lower than in the three months to January, suggesting again that the labour market was still tightening, but at a slower pace. But employment growth in the three months to April had been slightly stronger than in the three months to January, as the rise of inactivity slowed. Claimant count unemployment had risen slightly in May by 1,700, though the rate remained unchanged at 4.8%.</w:t>
      </w:r>
    </w:p>
    <w:p>
      <w:pPr>
        <w:pStyle w:val="BodyText"/>
        <w:spacing w:before="8"/>
        <w:rPr>
          <w:sz w:val="16"/>
        </w:rPr>
      </w:pPr>
    </w:p>
    <w:p>
      <w:pPr>
        <w:pStyle w:val="ListParagraph"/>
        <w:numPr>
          <w:ilvl w:val="0"/>
          <w:numId w:val="51"/>
        </w:numPr>
        <w:tabs>
          <w:tab w:pos="654" w:val="left" w:leader="none"/>
          <w:tab w:pos="655" w:val="left" w:leader="none"/>
        </w:tabs>
        <w:spacing w:line="232" w:lineRule="auto" w:before="0" w:after="0"/>
        <w:ind w:left="174" w:right="245" w:firstLine="0"/>
        <w:jc w:val="left"/>
        <w:rPr>
          <w:sz w:val="18"/>
        </w:rPr>
      </w:pPr>
      <w:r>
        <w:rPr>
          <w:color w:val="231F20"/>
          <w:sz w:val="18"/>
        </w:rPr>
        <w:t>The twelve-month average of wage settlements in the </w:t>
      </w:r>
      <w:r>
        <w:rPr>
          <w:color w:val="231F20"/>
          <w:spacing w:val="-4"/>
          <w:sz w:val="18"/>
        </w:rPr>
        <w:t>whole </w:t>
      </w:r>
      <w:r>
        <w:rPr>
          <w:color w:val="231F20"/>
          <w:sz w:val="18"/>
        </w:rPr>
        <w:t>economy in May was 3.5%. This was unchanged from the (downwardly revised) provisional April figure, though the general movement in the twelve-month averages appeared to be upwards, driven by higher private sector settlements, which increased to 4% in May.</w:t>
      </w:r>
    </w:p>
    <w:p>
      <w:pPr>
        <w:pStyle w:val="BodyText"/>
        <w:rPr>
          <w:sz w:val="17"/>
        </w:rPr>
      </w:pPr>
    </w:p>
    <w:p>
      <w:pPr>
        <w:pStyle w:val="ListParagraph"/>
        <w:numPr>
          <w:ilvl w:val="0"/>
          <w:numId w:val="51"/>
        </w:numPr>
        <w:tabs>
          <w:tab w:pos="654" w:val="left" w:leader="none"/>
          <w:tab w:pos="655" w:val="left" w:leader="none"/>
        </w:tabs>
        <w:spacing w:line="232" w:lineRule="auto" w:before="0" w:after="0"/>
        <w:ind w:left="174" w:right="150" w:firstLine="0"/>
        <w:jc w:val="left"/>
        <w:rPr>
          <w:sz w:val="18"/>
        </w:rPr>
      </w:pPr>
      <w:r>
        <w:rPr>
          <w:color w:val="231F20"/>
          <w:sz w:val="18"/>
        </w:rPr>
        <w:t>Headline annual earnings growth rose to 5.2% in March </w:t>
      </w:r>
      <w:r>
        <w:rPr>
          <w:color w:val="231F20"/>
          <w:spacing w:val="-4"/>
          <w:sz w:val="18"/>
        </w:rPr>
        <w:t>from </w:t>
      </w:r>
      <w:r>
        <w:rPr>
          <w:color w:val="231F20"/>
          <w:sz w:val="18"/>
        </w:rPr>
        <w:t>4.9% in February, with services and manufacturing earnings growth both increasing by 0.3 percentage points. But provisional monthly changes were lower in April, the whole-economy twelve-month </w:t>
      </w:r>
      <w:r>
        <w:rPr>
          <w:color w:val="231F20"/>
          <w:spacing w:val="-5"/>
          <w:sz w:val="18"/>
        </w:rPr>
        <w:t>rate </w:t>
      </w:r>
      <w:r>
        <w:rPr>
          <w:color w:val="231F20"/>
          <w:sz w:val="18"/>
        </w:rPr>
        <w:t>falling from a revised 5.6% in March to 5.1% in April. Headline private sector earnings growth rose to 5.9% in March from 5.6% in February, with the public sector measure unchanged from a downwardly revised 2.5%.</w:t>
      </w:r>
    </w:p>
    <w:p>
      <w:pPr>
        <w:pStyle w:val="BodyText"/>
        <w:spacing w:before="10"/>
        <w:rPr>
          <w:sz w:val="16"/>
        </w:rPr>
      </w:pPr>
    </w:p>
    <w:p>
      <w:pPr>
        <w:pStyle w:val="ListParagraph"/>
        <w:numPr>
          <w:ilvl w:val="0"/>
          <w:numId w:val="51"/>
        </w:numPr>
        <w:tabs>
          <w:tab w:pos="654" w:val="left" w:leader="none"/>
          <w:tab w:pos="655" w:val="left" w:leader="none"/>
        </w:tabs>
        <w:spacing w:line="232" w:lineRule="auto" w:before="0" w:after="0"/>
        <w:ind w:left="174" w:right="260" w:firstLine="0"/>
        <w:jc w:val="left"/>
        <w:rPr>
          <w:sz w:val="18"/>
        </w:rPr>
      </w:pPr>
      <w:r>
        <w:rPr>
          <w:color w:val="231F20"/>
          <w:sz w:val="18"/>
        </w:rPr>
        <w:t>Whole-economy productivity rose by 1.4% in the year to 1998 Q1, unchanged from the rate of growth in Q4. But annual growth in unit wage costs slowed to 3.2% from 3.6%, implying a slowdown of wage growth per head—contrary to the Average Earnings Index. This was probably because the wage data for Q1 used in the unit wage cost calculations were provisional and because the 1997 Q1 data used in the annual calculation would </w:t>
      </w:r>
      <w:r>
        <w:rPr>
          <w:color w:val="231F20"/>
          <w:spacing w:val="-6"/>
          <w:sz w:val="18"/>
        </w:rPr>
        <w:t>not </w:t>
      </w:r>
      <w:r>
        <w:rPr>
          <w:color w:val="231F20"/>
          <w:sz w:val="18"/>
        </w:rPr>
        <w:t>be revised until later in the year. When revisions were made, unit wage cost growth would quite possibly turn out to be higher.</w:t>
      </w:r>
    </w:p>
    <w:p>
      <w:pPr>
        <w:pStyle w:val="BodyText"/>
        <w:spacing w:before="9"/>
        <w:rPr>
          <w:sz w:val="16"/>
        </w:rPr>
      </w:pPr>
    </w:p>
    <w:p>
      <w:pPr>
        <w:pStyle w:val="ListParagraph"/>
        <w:numPr>
          <w:ilvl w:val="0"/>
          <w:numId w:val="51"/>
        </w:numPr>
        <w:tabs>
          <w:tab w:pos="654" w:val="left" w:leader="none"/>
          <w:tab w:pos="655" w:val="left" w:leader="none"/>
        </w:tabs>
        <w:spacing w:line="232" w:lineRule="auto" w:before="0" w:after="0"/>
        <w:ind w:left="174" w:right="159" w:firstLine="0"/>
        <w:jc w:val="left"/>
        <w:rPr>
          <w:sz w:val="18"/>
        </w:rPr>
      </w:pPr>
      <w:r>
        <w:rPr>
          <w:color w:val="231F20"/>
          <w:sz w:val="18"/>
        </w:rPr>
        <w:t>Some analysis was presented on the influence of bonuses </w:t>
      </w:r>
      <w:r>
        <w:rPr>
          <w:color w:val="231F20"/>
          <w:spacing w:val="-6"/>
          <w:sz w:val="18"/>
        </w:rPr>
        <w:t>and </w:t>
      </w:r>
      <w:r>
        <w:rPr>
          <w:color w:val="231F20"/>
          <w:sz w:val="18"/>
        </w:rPr>
        <w:t>profit-related pay (PRP) on earnings growth. It was possible to analyse changes in average earnings growth by taking a moving average of yearly pay—ie the past twelve months on the previous twelve months—which should not be distorted by the timing of</w:t>
      </w:r>
    </w:p>
    <w:p>
      <w:pPr>
        <w:pStyle w:val="BodyText"/>
        <w:spacing w:line="232" w:lineRule="auto"/>
        <w:ind w:left="174" w:right="155"/>
      </w:pPr>
      <w:r>
        <w:rPr>
          <w:color w:val="231F20"/>
        </w:rPr>
        <w:t>one-off payments. On this measure, average earnings growth was drifting steadily upwards, particularly in the private sector. But that was a backward-looking indicator, and would always be slow to show a changing trend.</w:t>
      </w:r>
    </w:p>
    <w:p>
      <w:pPr>
        <w:spacing w:after="0" w:line="232" w:lineRule="auto"/>
        <w:sectPr>
          <w:type w:val="continuous"/>
          <w:pgSz w:w="11900" w:h="16840"/>
          <w:pgMar w:top="1220" w:bottom="280" w:left="620" w:right="640"/>
          <w:cols w:num="2" w:equalWidth="0">
            <w:col w:w="5134" w:space="266"/>
            <w:col w:w="5240"/>
          </w:cols>
        </w:sectPr>
      </w:pPr>
    </w:p>
    <w:p>
      <w:pPr>
        <w:pStyle w:val="BodyText"/>
        <w:rPr>
          <w:sz w:val="20"/>
        </w:rPr>
      </w:pPr>
    </w:p>
    <w:p>
      <w:pPr>
        <w:spacing w:after="0"/>
        <w:rPr>
          <w:sz w:val="20"/>
        </w:rPr>
        <w:sectPr>
          <w:pgSz w:w="11900" w:h="16840"/>
          <w:pgMar w:header="566" w:footer="597" w:top="760" w:bottom="780" w:left="620" w:right="640"/>
        </w:sectPr>
      </w:pPr>
    </w:p>
    <w:p>
      <w:pPr>
        <w:pStyle w:val="BodyText"/>
        <w:spacing w:before="7"/>
        <w:rPr>
          <w:sz w:val="19"/>
        </w:rPr>
      </w:pPr>
    </w:p>
    <w:p>
      <w:pPr>
        <w:pStyle w:val="ListParagraph"/>
        <w:numPr>
          <w:ilvl w:val="0"/>
          <w:numId w:val="51"/>
        </w:numPr>
        <w:tabs>
          <w:tab w:pos="645" w:val="left" w:leader="none"/>
          <w:tab w:pos="646" w:val="left" w:leader="none"/>
        </w:tabs>
        <w:spacing w:line="232" w:lineRule="auto" w:before="1" w:after="0"/>
        <w:ind w:left="165" w:right="53" w:firstLine="0"/>
        <w:jc w:val="left"/>
        <w:rPr>
          <w:sz w:val="18"/>
        </w:rPr>
      </w:pPr>
      <w:r>
        <w:rPr>
          <w:color w:val="231F20"/>
          <w:sz w:val="18"/>
        </w:rPr>
        <w:t>The ONS had attempted to identify irregular bonuses and PRP payments from survey returns, in which firms ticked a box if there had been a significant change in bonuses paid. Though the data were less reliable and surrounded by more uncertainty than </w:t>
      </w:r>
      <w:r>
        <w:rPr>
          <w:color w:val="231F20"/>
          <w:spacing w:val="-6"/>
          <w:sz w:val="18"/>
        </w:rPr>
        <w:t>the </w:t>
      </w:r>
      <w:r>
        <w:rPr>
          <w:color w:val="231F20"/>
          <w:sz w:val="18"/>
        </w:rPr>
        <w:t>average earnings index itself, their results suggested that such payments had a seasonal pattern and had been growing in recent years. This growth could be biased upwards if some firms paid irregular bonuses in two successive years but only ticked a box in the second one, not considering their first year bonuses significant. But as the proportion of firms ticking boxes in 1997 and 1998 had risen only a little, ONS estimates were consistent with limited bias from this source. The estimates showed a pick-up in the growth of the regular component of pay in April. And looking forward, though the estimates showed that the contribution of irregular bonuses typically became smaller over the summer, past evidence suggested that they would continue to have an effect on earnings growth.</w:t>
      </w:r>
    </w:p>
    <w:p>
      <w:pPr>
        <w:pStyle w:val="BodyText"/>
        <w:spacing w:before="2"/>
        <w:rPr>
          <w:sz w:val="16"/>
        </w:rPr>
      </w:pPr>
    </w:p>
    <w:p>
      <w:pPr>
        <w:pStyle w:val="ListParagraph"/>
        <w:numPr>
          <w:ilvl w:val="0"/>
          <w:numId w:val="51"/>
        </w:numPr>
        <w:tabs>
          <w:tab w:pos="645" w:val="left" w:leader="none"/>
          <w:tab w:pos="646" w:val="left" w:leader="none"/>
        </w:tabs>
        <w:spacing w:line="232" w:lineRule="auto" w:before="0" w:after="0"/>
        <w:ind w:left="165" w:right="67" w:firstLine="0"/>
        <w:jc w:val="left"/>
        <w:rPr>
          <w:sz w:val="18"/>
        </w:rPr>
      </w:pPr>
      <w:r>
        <w:rPr>
          <w:color w:val="231F20"/>
          <w:sz w:val="18"/>
        </w:rPr>
        <w:t>Some analysis was presented on why firms might choose to pay larger bonuses and PRP rather than fixed salaries, and what such payments implied about labour market tightness. There were several motives for increasing the proportion of pay accounted for by bonuses or other irregular payments. Firms might use such payments to motivate existing workers by increasing work effort </w:t>
      </w:r>
      <w:r>
        <w:rPr>
          <w:color w:val="231F20"/>
          <w:spacing w:val="-9"/>
          <w:sz w:val="18"/>
        </w:rPr>
        <w:t>or </w:t>
      </w:r>
      <w:r>
        <w:rPr>
          <w:color w:val="231F20"/>
          <w:sz w:val="18"/>
        </w:rPr>
        <w:t>incentives, to recruit good workers by helping selection, to retain good workers more cheaply by allowing flexibility under changing conditions, or for institutional reasons such as the tax relief available on PRP schemes. So the rise in bonuses might have several causes, including a structural trend towards more</w:t>
      </w:r>
    </w:p>
    <w:p>
      <w:pPr>
        <w:pStyle w:val="BodyText"/>
        <w:spacing w:line="232" w:lineRule="auto"/>
        <w:ind w:left="165" w:right="101"/>
      </w:pPr>
      <w:r>
        <w:rPr>
          <w:color w:val="231F20"/>
        </w:rPr>
        <w:t>merit-based pay systems (perhaps linked to less trade union power and more pay decentralisation), a tightening labour market making recruitment and retention more difficult, or higher productivity or profitability increasing the bonus pot available. It was difficult to identify these elements separately, especially since corporate profitability was high, but recorded productivity growth was low.</w:t>
      </w:r>
    </w:p>
    <w:p>
      <w:pPr>
        <w:pStyle w:val="BodyText"/>
        <w:spacing w:before="3"/>
        <w:rPr>
          <w:sz w:val="16"/>
        </w:rPr>
      </w:pPr>
    </w:p>
    <w:p>
      <w:pPr>
        <w:pStyle w:val="ListParagraph"/>
        <w:numPr>
          <w:ilvl w:val="0"/>
          <w:numId w:val="51"/>
        </w:numPr>
        <w:tabs>
          <w:tab w:pos="645" w:val="left" w:leader="none"/>
          <w:tab w:pos="646" w:val="left" w:leader="none"/>
        </w:tabs>
        <w:spacing w:line="232" w:lineRule="auto" w:before="0" w:after="0"/>
        <w:ind w:left="165" w:right="38" w:firstLine="0"/>
        <w:jc w:val="left"/>
        <w:rPr>
          <w:sz w:val="18"/>
        </w:rPr>
      </w:pPr>
      <w:r>
        <w:rPr>
          <w:color w:val="231F20"/>
          <w:sz w:val="18"/>
        </w:rPr>
        <w:t>There would be several influences on the direction of bonuses and merit-based pay. These would include a long-term structural trend towards higher merit pay, possibly offset by a slowing in profit growth, reducing profit-related payments. The outlook for unemployment and skill shortages would affect the use of bonuses to retain and recruit, while the phasing-out of PRP tax benefits might lead to a decrease in the use of PRP schemes. At </w:t>
      </w:r>
      <w:r>
        <w:rPr>
          <w:color w:val="231F20"/>
          <w:spacing w:val="-6"/>
          <w:sz w:val="18"/>
        </w:rPr>
        <w:t>the </w:t>
      </w:r>
      <w:r>
        <w:rPr>
          <w:color w:val="231F20"/>
          <w:sz w:val="18"/>
        </w:rPr>
        <w:t>very least, the elimination of PRP tax benefits should lead to some pressure for firms to compensate workers to maintain their</w:t>
      </w:r>
    </w:p>
    <w:p>
      <w:pPr>
        <w:pStyle w:val="BodyText"/>
        <w:spacing w:line="232" w:lineRule="auto"/>
        <w:ind w:left="165" w:right="136"/>
      </w:pPr>
      <w:r>
        <w:rPr>
          <w:color w:val="231F20"/>
        </w:rPr>
        <w:t>take-home pay, though this had probably not yet been a very large influence on aggregate pay settlements.</w:t>
      </w:r>
    </w:p>
    <w:p>
      <w:pPr>
        <w:pStyle w:val="BodyText"/>
        <w:spacing w:before="8"/>
        <w:rPr>
          <w:sz w:val="16"/>
        </w:rPr>
      </w:pPr>
    </w:p>
    <w:p>
      <w:pPr>
        <w:pStyle w:val="ListParagraph"/>
        <w:numPr>
          <w:ilvl w:val="0"/>
          <w:numId w:val="51"/>
        </w:numPr>
        <w:tabs>
          <w:tab w:pos="645" w:val="left" w:leader="none"/>
          <w:tab w:pos="646" w:val="left" w:leader="none"/>
        </w:tabs>
        <w:spacing w:line="232" w:lineRule="auto" w:before="0" w:after="0"/>
        <w:ind w:left="165" w:right="47" w:firstLine="0"/>
        <w:jc w:val="left"/>
        <w:rPr>
          <w:sz w:val="18"/>
        </w:rPr>
      </w:pPr>
      <w:r>
        <w:rPr>
          <w:color w:val="231F20"/>
          <w:sz w:val="18"/>
        </w:rPr>
        <w:t>The Bank’s regional Agents had conducted a small survey </w:t>
      </w:r>
      <w:r>
        <w:rPr>
          <w:color w:val="231F20"/>
          <w:spacing w:val="-9"/>
          <w:sz w:val="18"/>
        </w:rPr>
        <w:t>of </w:t>
      </w:r>
      <w:r>
        <w:rPr>
          <w:color w:val="231F20"/>
          <w:sz w:val="18"/>
        </w:rPr>
        <w:t>their contacts on the use of bonus payments. Use of bonuses was widespread: around two thirds of companies made irregular payments and around half made regular payments. Only around 14% of their sample paid no bonuses at all—though the sample had been selected with likely bonus payers in mind—and of the financial services companies interviewed, almost all paid bonuses.</w:t>
      </w:r>
    </w:p>
    <w:p>
      <w:pPr>
        <w:pStyle w:val="BodyText"/>
        <w:spacing w:before="10"/>
        <w:rPr>
          <w:sz w:val="16"/>
        </w:rPr>
      </w:pPr>
    </w:p>
    <w:p>
      <w:pPr>
        <w:pStyle w:val="ListParagraph"/>
        <w:numPr>
          <w:ilvl w:val="0"/>
          <w:numId w:val="51"/>
        </w:numPr>
        <w:tabs>
          <w:tab w:pos="645" w:val="left" w:leader="none"/>
          <w:tab w:pos="646" w:val="left" w:leader="none"/>
        </w:tabs>
        <w:spacing w:line="232" w:lineRule="auto" w:before="0" w:after="0"/>
        <w:ind w:left="165" w:right="93" w:firstLine="0"/>
        <w:jc w:val="left"/>
        <w:rPr>
          <w:sz w:val="18"/>
        </w:rPr>
      </w:pPr>
      <w:r>
        <w:rPr>
          <w:color w:val="231F20"/>
          <w:sz w:val="18"/>
        </w:rPr>
        <w:t>Of those who made one-off (ie annual) bonus payments, more than 60% of service companies but only 40% of manufacturers had recently increased them at a faster rate than basic pay. Financial services companies were particularly likely </w:t>
      </w:r>
      <w:r>
        <w:rPr>
          <w:color w:val="231F20"/>
          <w:spacing w:val="-9"/>
          <w:sz w:val="18"/>
        </w:rPr>
        <w:t>to </w:t>
      </w:r>
      <w:r>
        <w:rPr>
          <w:color w:val="231F20"/>
          <w:sz w:val="18"/>
        </w:rPr>
        <w:t>have increased bonus payments relatively fast. For those making regular (eg monthly) payments, rather fewer had increased them relative to basic pay.</w:t>
      </w:r>
    </w:p>
    <w:p>
      <w:pPr>
        <w:pStyle w:val="BodyText"/>
        <w:spacing w:before="11"/>
        <w:rPr>
          <w:sz w:val="16"/>
        </w:rPr>
      </w:pPr>
    </w:p>
    <w:p>
      <w:pPr>
        <w:pStyle w:val="ListParagraph"/>
        <w:numPr>
          <w:ilvl w:val="0"/>
          <w:numId w:val="51"/>
        </w:numPr>
        <w:tabs>
          <w:tab w:pos="645" w:val="left" w:leader="none"/>
          <w:tab w:pos="646" w:val="left" w:leader="none"/>
        </w:tabs>
        <w:spacing w:line="232" w:lineRule="auto" w:before="0" w:after="0"/>
        <w:ind w:left="165" w:right="163" w:firstLine="0"/>
        <w:jc w:val="left"/>
        <w:rPr>
          <w:sz w:val="18"/>
        </w:rPr>
      </w:pPr>
      <w:r>
        <w:rPr>
          <w:color w:val="231F20"/>
          <w:sz w:val="18"/>
        </w:rPr>
        <w:t>The survey asked firms what factors motivated bonus payments, and of these, which was the most important, though it did not distinguish between how such payments were calculated and the original aim of paying them. Of those who paid bonuses, the largest group cited profits and profitability as the most important factor. Companies tended to look to past rather than current profits, in a ratio around 2:1. Stronger 1997 profits would in many cases be reflected in January-April bonuses in 1998. </w:t>
      </w:r>
      <w:r>
        <w:rPr>
          <w:color w:val="231F20"/>
          <w:spacing w:val="-6"/>
          <w:sz w:val="18"/>
        </w:rPr>
        <w:t>The</w:t>
      </w:r>
    </w:p>
    <w:p>
      <w:pPr>
        <w:pStyle w:val="BodyText"/>
        <w:spacing w:before="7"/>
        <w:rPr>
          <w:sz w:val="19"/>
        </w:rPr>
      </w:pPr>
      <w:r>
        <w:rPr/>
        <w:br w:type="column"/>
      </w:r>
      <w:r>
        <w:rPr>
          <w:sz w:val="19"/>
        </w:rPr>
      </w:r>
    </w:p>
    <w:p>
      <w:pPr>
        <w:pStyle w:val="BodyText"/>
        <w:spacing w:line="232" w:lineRule="auto"/>
        <w:ind w:left="165" w:right="266"/>
      </w:pPr>
      <w:r>
        <w:rPr>
          <w:color w:val="231F20"/>
        </w:rPr>
        <w:t>second largest group cited targets such as productivity and sales as the most important factor, and the third (mainly service sector companies) retention and recruitment.</w:t>
      </w:r>
    </w:p>
    <w:p>
      <w:pPr>
        <w:pStyle w:val="BodyText"/>
        <w:spacing w:before="2"/>
        <w:rPr>
          <w:sz w:val="17"/>
        </w:rPr>
      </w:pPr>
    </w:p>
    <w:p>
      <w:pPr>
        <w:pStyle w:val="ListParagraph"/>
        <w:numPr>
          <w:ilvl w:val="0"/>
          <w:numId w:val="51"/>
        </w:numPr>
        <w:tabs>
          <w:tab w:pos="645" w:val="left" w:leader="none"/>
          <w:tab w:pos="646" w:val="left" w:leader="none"/>
        </w:tabs>
        <w:spacing w:line="232" w:lineRule="auto" w:before="1" w:after="0"/>
        <w:ind w:left="165" w:right="243" w:firstLine="0"/>
        <w:jc w:val="left"/>
        <w:rPr>
          <w:sz w:val="18"/>
        </w:rPr>
      </w:pPr>
      <w:r>
        <w:rPr>
          <w:color w:val="231F20"/>
          <w:sz w:val="18"/>
        </w:rPr>
        <w:t>Respondents’ attitudes to bonuses were that the emphasis </w:t>
      </w:r>
      <w:r>
        <w:rPr>
          <w:color w:val="231F20"/>
          <w:spacing w:val="-9"/>
          <w:sz w:val="18"/>
        </w:rPr>
        <w:t>on </w:t>
      </w:r>
      <w:r>
        <w:rPr>
          <w:color w:val="231F20"/>
          <w:sz w:val="18"/>
        </w:rPr>
        <w:t>such payments was increasing as managers look to motivate workforces and to make remuneration more flexible. Some managers, particularly in service sector companies, considered that their employees had come to expect minimum bonuses. But still slightly less than half of firms overall regarded such payments as part of normal labour costs, rather than an extra award.</w:t>
      </w:r>
    </w:p>
    <w:p>
      <w:pPr>
        <w:pStyle w:val="BodyText"/>
        <w:spacing w:before="2"/>
        <w:rPr>
          <w:sz w:val="20"/>
        </w:rPr>
      </w:pPr>
    </w:p>
    <w:p>
      <w:pPr>
        <w:pStyle w:val="Heading6"/>
        <w:numPr>
          <w:ilvl w:val="0"/>
          <w:numId w:val="52"/>
        </w:numPr>
        <w:tabs>
          <w:tab w:pos="645" w:val="left" w:leader="none"/>
          <w:tab w:pos="646" w:val="left" w:leader="none"/>
        </w:tabs>
        <w:spacing w:line="240" w:lineRule="auto" w:before="0" w:after="0"/>
        <w:ind w:left="645" w:right="0" w:hanging="481"/>
        <w:jc w:val="left"/>
      </w:pPr>
      <w:r>
        <w:rPr>
          <w:color w:val="009483"/>
        </w:rPr>
        <w:t>Prices</w:t>
      </w:r>
    </w:p>
    <w:p>
      <w:pPr>
        <w:pStyle w:val="ListParagraph"/>
        <w:numPr>
          <w:ilvl w:val="0"/>
          <w:numId w:val="51"/>
        </w:numPr>
        <w:tabs>
          <w:tab w:pos="645" w:val="left" w:leader="none"/>
          <w:tab w:pos="646" w:val="left" w:leader="none"/>
        </w:tabs>
        <w:spacing w:line="232" w:lineRule="auto" w:before="109" w:after="0"/>
        <w:ind w:left="165" w:right="188" w:firstLine="0"/>
        <w:jc w:val="left"/>
        <w:rPr>
          <w:sz w:val="18"/>
        </w:rPr>
      </w:pPr>
      <w:r>
        <w:rPr>
          <w:color w:val="231F20"/>
          <w:sz w:val="18"/>
        </w:rPr>
        <w:t>The Bank’s sterling commodity price index had risen by 1.3% in May, bringing its annual inflation rate to -10.6%. Excluding oil prices, the index rose by 0.6% on the month to a </w:t>
      </w:r>
      <w:r>
        <w:rPr>
          <w:color w:val="231F20"/>
          <w:spacing w:val="-4"/>
          <w:sz w:val="18"/>
        </w:rPr>
        <w:t>level </w:t>
      </w:r>
      <w:r>
        <w:rPr>
          <w:color w:val="231F20"/>
          <w:sz w:val="18"/>
        </w:rPr>
        <w:t>7.0% lower than in May 1997. A fall in metals prices had been more than offset by rises in food and oil prices in May. But oil prices had fallen again in June—despite O</w:t>
      </w:r>
      <w:r>
        <w:rPr>
          <w:color w:val="231F20"/>
          <w:sz w:val="14"/>
        </w:rPr>
        <w:t>PEC</w:t>
      </w:r>
      <w:r>
        <w:rPr>
          <w:color w:val="231F20"/>
          <w:sz w:val="18"/>
        </w:rPr>
        <w:t>’s agreement</w:t>
      </w:r>
      <w:r>
        <w:rPr>
          <w:color w:val="231F20"/>
          <w:spacing w:val="-1"/>
          <w:sz w:val="18"/>
        </w:rPr>
        <w:t> </w:t>
      </w:r>
      <w:r>
        <w:rPr>
          <w:color w:val="231F20"/>
          <w:sz w:val="18"/>
        </w:rPr>
        <w:t>on</w:t>
      </w:r>
    </w:p>
    <w:p>
      <w:pPr>
        <w:pStyle w:val="BodyText"/>
        <w:spacing w:line="232" w:lineRule="auto"/>
        <w:ind w:left="165" w:right="176"/>
      </w:pPr>
      <w:r>
        <w:rPr>
          <w:color w:val="231F20"/>
        </w:rPr>
        <w:t>24 June to make further supply cuts—by 7.3% compared with May, as supply remained above demand. The oil price remained erratic, but the trend was probably flat.</w:t>
      </w:r>
    </w:p>
    <w:p>
      <w:pPr>
        <w:pStyle w:val="BodyText"/>
        <w:spacing w:before="9"/>
        <w:rPr>
          <w:sz w:val="16"/>
        </w:rPr>
      </w:pPr>
    </w:p>
    <w:p>
      <w:pPr>
        <w:pStyle w:val="ListParagraph"/>
        <w:numPr>
          <w:ilvl w:val="0"/>
          <w:numId w:val="51"/>
        </w:numPr>
        <w:tabs>
          <w:tab w:pos="645" w:val="left" w:leader="none"/>
          <w:tab w:pos="646" w:val="left" w:leader="none"/>
        </w:tabs>
        <w:spacing w:line="232" w:lineRule="auto" w:before="1" w:after="0"/>
        <w:ind w:left="165" w:right="185" w:firstLine="0"/>
        <w:jc w:val="left"/>
        <w:rPr>
          <w:sz w:val="18"/>
        </w:rPr>
      </w:pPr>
      <w:r>
        <w:rPr>
          <w:color w:val="231F20"/>
          <w:sz w:val="18"/>
        </w:rPr>
        <w:t>Annual input price deflation had persisted—input prices were last as low in 1988 (excluding April), and they fell by 17.4% in the two years to May—and the June C</w:t>
      </w:r>
      <w:r>
        <w:rPr>
          <w:color w:val="231F20"/>
          <w:sz w:val="14"/>
        </w:rPr>
        <w:t>IPS </w:t>
      </w:r>
      <w:r>
        <w:rPr>
          <w:color w:val="231F20"/>
          <w:sz w:val="18"/>
        </w:rPr>
        <w:t>survey had suggested further falls, although the ONS data showed a 0.3% rise in input prices in May, bringing the annual inflation rate to -8.9%. Output prices were also falling. Excluding taxes and excise duties they </w:t>
      </w:r>
      <w:r>
        <w:rPr>
          <w:color w:val="231F20"/>
          <w:spacing w:val="-7"/>
          <w:sz w:val="18"/>
        </w:rPr>
        <w:t>had </w:t>
      </w:r>
      <w:r>
        <w:rPr>
          <w:color w:val="231F20"/>
          <w:sz w:val="18"/>
        </w:rPr>
        <w:t>fallen in the first four months of 1998 and were flat in May; the annual rate of inflation of PPIY had fallen to -0.4% in May, the lowest since 1974 (when the series begins). The June CBI survey had suggested further output price falls—the balance of expected prices (seasonally adjusted) had reached another all-time low in June of -19. The breakdown of the Bank’s manufacturing margins data had suggested that unit labour costs were still rising quickly— by 5% in the year to May—but evidence from the Bank’s Agents suggested that manufacturers found it difficult to pass higher labour costs on to their customers. RPIX goods inflation and producer output-price inflation had been closely correlated in the past.</w:t>
      </w:r>
    </w:p>
    <w:p>
      <w:pPr>
        <w:pStyle w:val="BodyText"/>
        <w:spacing w:before="2"/>
        <w:rPr>
          <w:sz w:val="16"/>
        </w:rPr>
      </w:pPr>
    </w:p>
    <w:p>
      <w:pPr>
        <w:pStyle w:val="ListParagraph"/>
        <w:numPr>
          <w:ilvl w:val="0"/>
          <w:numId w:val="51"/>
        </w:numPr>
        <w:tabs>
          <w:tab w:pos="645" w:val="left" w:leader="none"/>
          <w:tab w:pos="646" w:val="left" w:leader="none"/>
        </w:tabs>
        <w:spacing w:line="232" w:lineRule="auto" w:before="0" w:after="0"/>
        <w:ind w:left="165" w:right="508" w:firstLine="0"/>
        <w:jc w:val="left"/>
        <w:rPr>
          <w:sz w:val="18"/>
        </w:rPr>
      </w:pPr>
      <w:r>
        <w:rPr>
          <w:color w:val="231F20"/>
          <w:sz w:val="18"/>
        </w:rPr>
        <w:t>Trade prices had fallen again in April: import prices excluding oil by 0.4%, and export prices by 0.2%. But </w:t>
      </w:r>
      <w:r>
        <w:rPr>
          <w:color w:val="231F20"/>
          <w:spacing w:val="-3"/>
          <w:sz w:val="18"/>
        </w:rPr>
        <w:t>non-EU </w:t>
      </w:r>
      <w:r>
        <w:rPr>
          <w:color w:val="231F20"/>
          <w:sz w:val="18"/>
        </w:rPr>
        <w:t>foreign trade prices had both risen in May: by 1.3% and 0.7% respectively. The picture had not changed appreciably in</w:t>
      </w:r>
    </w:p>
    <w:p>
      <w:pPr>
        <w:pStyle w:val="BodyText"/>
        <w:spacing w:line="232" w:lineRule="auto"/>
        <w:ind w:left="165" w:right="207"/>
      </w:pPr>
      <w:r>
        <w:rPr>
          <w:color w:val="231F20"/>
        </w:rPr>
        <w:t>1998, with annual inflation of both import and export prices close to -4%. Retailers’ margins were estimated to have narrowed </w:t>
      </w:r>
      <w:r>
        <w:rPr>
          <w:color w:val="231F20"/>
          <w:spacing w:val="-3"/>
        </w:rPr>
        <w:t>further </w:t>
      </w:r>
      <w:r>
        <w:rPr>
          <w:color w:val="231F20"/>
        </w:rPr>
        <w:t>in Q1. Estimated retail margins were close to their long-run average.</w:t>
      </w:r>
    </w:p>
    <w:p>
      <w:pPr>
        <w:pStyle w:val="BodyText"/>
        <w:spacing w:before="10"/>
        <w:rPr>
          <w:sz w:val="16"/>
        </w:rPr>
      </w:pPr>
    </w:p>
    <w:p>
      <w:pPr>
        <w:pStyle w:val="ListParagraph"/>
        <w:numPr>
          <w:ilvl w:val="0"/>
          <w:numId w:val="51"/>
        </w:numPr>
        <w:tabs>
          <w:tab w:pos="645" w:val="left" w:leader="none"/>
          <w:tab w:pos="646" w:val="left" w:leader="none"/>
        </w:tabs>
        <w:spacing w:line="232" w:lineRule="auto" w:before="0" w:after="0"/>
        <w:ind w:left="165" w:right="238" w:firstLine="0"/>
        <w:jc w:val="left"/>
        <w:rPr>
          <w:sz w:val="18"/>
        </w:rPr>
      </w:pPr>
      <w:r>
        <w:rPr>
          <w:color w:val="231F20"/>
          <w:sz w:val="18"/>
        </w:rPr>
        <w:t>The annual rate of both GDP (at factor cost) and retail sales deflator inflation, at 1.6% and 1.1% respectively, remained below all headline measures of RPI inflation in the first quarter. This </w:t>
      </w:r>
      <w:r>
        <w:rPr>
          <w:color w:val="231F20"/>
          <w:spacing w:val="-6"/>
          <w:sz w:val="18"/>
        </w:rPr>
        <w:t>was </w:t>
      </w:r>
      <w:r>
        <w:rPr>
          <w:color w:val="231F20"/>
          <w:sz w:val="18"/>
        </w:rPr>
        <w:t>principally accounted for by the investment and government consumption deflators. But the annual inflation rate of the consumers’ expenditure deflator at market prices was also lower than RPIX inflation in the first quarter: the two measures differ in both construction and coverage.</w:t>
      </w:r>
    </w:p>
    <w:p>
      <w:pPr>
        <w:pStyle w:val="BodyText"/>
        <w:spacing w:before="5"/>
        <w:rPr>
          <w:sz w:val="16"/>
        </w:rPr>
      </w:pPr>
    </w:p>
    <w:p>
      <w:pPr>
        <w:pStyle w:val="ListParagraph"/>
        <w:numPr>
          <w:ilvl w:val="0"/>
          <w:numId w:val="51"/>
        </w:numPr>
        <w:tabs>
          <w:tab w:pos="645" w:val="left" w:leader="none"/>
          <w:tab w:pos="646" w:val="left" w:leader="none"/>
        </w:tabs>
        <w:spacing w:line="204" w:lineRule="exact" w:before="0" w:after="0"/>
        <w:ind w:left="645" w:right="0" w:hanging="481"/>
        <w:jc w:val="left"/>
        <w:rPr>
          <w:sz w:val="18"/>
        </w:rPr>
      </w:pPr>
      <w:r>
        <w:rPr>
          <w:color w:val="231F20"/>
          <w:sz w:val="18"/>
        </w:rPr>
        <w:t>The annual rate of H</w:t>
      </w:r>
      <w:r>
        <w:rPr>
          <w:color w:val="231F20"/>
          <w:sz w:val="14"/>
        </w:rPr>
        <w:t>ICP </w:t>
      </w:r>
      <w:r>
        <w:rPr>
          <w:color w:val="231F20"/>
          <w:sz w:val="18"/>
        </w:rPr>
        <w:t>inflation had increased</w:t>
      </w:r>
      <w:r>
        <w:rPr>
          <w:color w:val="231F20"/>
          <w:spacing w:val="8"/>
          <w:sz w:val="18"/>
        </w:rPr>
        <w:t> </w:t>
      </w:r>
      <w:r>
        <w:rPr>
          <w:color w:val="231F20"/>
          <w:sz w:val="18"/>
        </w:rPr>
        <w:t>by</w:t>
      </w:r>
    </w:p>
    <w:p>
      <w:pPr>
        <w:pStyle w:val="BodyText"/>
        <w:spacing w:line="232" w:lineRule="auto" w:before="2"/>
        <w:ind w:left="165" w:right="184"/>
      </w:pPr>
      <w:r>
        <w:rPr>
          <w:color w:val="231F20"/>
        </w:rPr>
        <w:t>0.1 percentage point in May, to 2.0%. The difference between the two measures had increased to 1.2 percentage points, the biggest yet recorded. This seemed to be largely because of two factors: </w:t>
      </w:r>
      <w:r>
        <w:rPr>
          <w:color w:val="231F20"/>
          <w:spacing w:val="-6"/>
        </w:rPr>
        <w:t>the </w:t>
      </w:r>
      <w:r>
        <w:rPr>
          <w:color w:val="231F20"/>
        </w:rPr>
        <w:t>difference made by the use of the geometric mean in the calculation of the H</w:t>
      </w:r>
      <w:r>
        <w:rPr>
          <w:color w:val="231F20"/>
          <w:sz w:val="14"/>
        </w:rPr>
        <w:t>ICP</w:t>
      </w:r>
      <w:r>
        <w:rPr>
          <w:color w:val="231F20"/>
        </w:rPr>
        <w:t>, compared with the arithmetic mean in the calculation of RPIX, increased by 0.05 percentage points; and housing depreciation, which was included in RPIX but not in the H</w:t>
      </w:r>
      <w:r>
        <w:rPr>
          <w:color w:val="231F20"/>
          <w:sz w:val="14"/>
        </w:rPr>
        <w:t>ICP</w:t>
      </w:r>
      <w:r>
        <w:rPr>
          <w:color w:val="231F20"/>
        </w:rPr>
        <w:t>, had contributed a further 0.1 percentage point to the increase in the difference. The recent profile of the UK’s H</w:t>
      </w:r>
      <w:r>
        <w:rPr>
          <w:color w:val="231F20"/>
          <w:sz w:val="14"/>
        </w:rPr>
        <w:t>ICP </w:t>
      </w:r>
      <w:r>
        <w:rPr>
          <w:color w:val="231F20"/>
        </w:rPr>
        <w:t>inflation rate had been very similar to that of the European Union as a whole, but remained about 1 percentage point above the H</w:t>
      </w:r>
      <w:r>
        <w:rPr>
          <w:color w:val="231F20"/>
          <w:sz w:val="14"/>
        </w:rPr>
        <w:t>ICP </w:t>
      </w:r>
      <w:r>
        <w:rPr>
          <w:color w:val="231F20"/>
        </w:rPr>
        <w:t>inflation rates</w:t>
      </w:r>
      <w:r>
        <w:rPr>
          <w:color w:val="231F20"/>
          <w:spacing w:val="8"/>
        </w:rPr>
        <w:t> </w:t>
      </w:r>
      <w:r>
        <w:rPr>
          <w:color w:val="231F20"/>
        </w:rPr>
        <w:t>in</w:t>
      </w:r>
    </w:p>
    <w:p>
      <w:pPr>
        <w:spacing w:after="0" w:line="232" w:lineRule="auto"/>
        <w:sectPr>
          <w:type w:val="continuous"/>
          <w:pgSz w:w="11900" w:h="16840"/>
          <w:pgMar w:top="1220" w:bottom="280" w:left="620" w:right="640"/>
          <w:cols w:num="2" w:equalWidth="0">
            <w:col w:w="5090" w:space="300"/>
            <w:col w:w="5250"/>
          </w:cols>
        </w:sectPr>
      </w:pPr>
    </w:p>
    <w:p>
      <w:pPr>
        <w:pStyle w:val="BodyText"/>
        <w:rPr>
          <w:sz w:val="20"/>
        </w:rPr>
      </w:pPr>
    </w:p>
    <w:p>
      <w:pPr>
        <w:spacing w:after="0"/>
        <w:rPr>
          <w:sz w:val="20"/>
        </w:rPr>
        <w:sectPr>
          <w:pgSz w:w="11900" w:h="16840"/>
          <w:pgMar w:header="566" w:footer="597" w:top="760" w:bottom="780" w:left="620" w:right="640"/>
        </w:sectPr>
      </w:pPr>
    </w:p>
    <w:p>
      <w:pPr>
        <w:pStyle w:val="BodyText"/>
        <w:spacing w:before="7"/>
        <w:rPr>
          <w:sz w:val="19"/>
        </w:rPr>
      </w:pPr>
    </w:p>
    <w:p>
      <w:pPr>
        <w:pStyle w:val="BodyText"/>
        <w:spacing w:line="232" w:lineRule="auto" w:before="1"/>
        <w:ind w:left="174" w:right="285"/>
      </w:pPr>
      <w:r>
        <w:rPr>
          <w:color w:val="231F20"/>
        </w:rPr>
        <w:t>Germany and France. Part of the recent rise in inflation in the United Kingdom—fresh food prices—had also occurred in these countries.</w:t>
      </w:r>
    </w:p>
    <w:p>
      <w:pPr>
        <w:pStyle w:val="BodyText"/>
        <w:spacing w:before="10"/>
      </w:pPr>
    </w:p>
    <w:p>
      <w:pPr>
        <w:pStyle w:val="ListParagraph"/>
        <w:numPr>
          <w:ilvl w:val="0"/>
          <w:numId w:val="51"/>
        </w:numPr>
        <w:tabs>
          <w:tab w:pos="654" w:val="left" w:leader="none"/>
          <w:tab w:pos="655" w:val="left" w:leader="none"/>
        </w:tabs>
        <w:spacing w:line="232" w:lineRule="auto" w:before="0" w:after="0"/>
        <w:ind w:left="174" w:right="56" w:firstLine="0"/>
        <w:jc w:val="left"/>
        <w:rPr>
          <w:sz w:val="18"/>
        </w:rPr>
      </w:pPr>
      <w:r>
        <w:rPr>
          <w:color w:val="231F20"/>
          <w:sz w:val="18"/>
        </w:rPr>
        <w:t>Against expectations, all the main RPI inflation measures had risen in May: RPIX to 3.2%; RPI to 4.2%; and RPIY to </w:t>
      </w:r>
      <w:r>
        <w:rPr>
          <w:color w:val="231F20"/>
          <w:spacing w:val="-4"/>
          <w:sz w:val="18"/>
        </w:rPr>
        <w:t>2.5%. </w:t>
      </w:r>
      <w:r>
        <w:rPr>
          <w:color w:val="231F20"/>
          <w:sz w:val="18"/>
        </w:rPr>
        <w:t>The surprise had come almost exclusively from goods prices, although housing depreciation had also been higher than expected. The main contributors to the surprise in goods prices inflation were seasonal food, clothing and footwear, and household goods.</w:t>
      </w:r>
    </w:p>
    <w:p>
      <w:pPr>
        <w:pStyle w:val="BodyText"/>
        <w:spacing w:before="8"/>
      </w:pPr>
    </w:p>
    <w:p>
      <w:pPr>
        <w:pStyle w:val="ListParagraph"/>
        <w:numPr>
          <w:ilvl w:val="0"/>
          <w:numId w:val="51"/>
        </w:numPr>
        <w:tabs>
          <w:tab w:pos="654" w:val="left" w:leader="none"/>
          <w:tab w:pos="655" w:val="left" w:leader="none"/>
        </w:tabs>
        <w:spacing w:line="232" w:lineRule="auto" w:before="1" w:after="0"/>
        <w:ind w:left="174" w:right="72" w:firstLine="0"/>
        <w:jc w:val="left"/>
        <w:rPr>
          <w:sz w:val="18"/>
        </w:rPr>
      </w:pPr>
      <w:r>
        <w:rPr>
          <w:color w:val="231F20"/>
          <w:sz w:val="18"/>
        </w:rPr>
        <w:t>Seasonal food prices had risen by 8.3% in May, as bad weather in April destroyed crops. This shock may not have been fully unwound in June, but is unlikely to have any medium-term implications. Both clothing and footwear and household goods prices are highly seasonal. In both sectors, discounting at sales appeared to be increasing, and discounting at mid-season furniture sales in April was greater than in previous years. It might be that the price rises, particularly in household goods, were partly to enable greater discounting in the July sales. And evidence from </w:t>
      </w:r>
      <w:r>
        <w:rPr>
          <w:color w:val="231F20"/>
          <w:spacing w:val="-4"/>
          <w:sz w:val="18"/>
        </w:rPr>
        <w:t>the </w:t>
      </w:r>
      <w:r>
        <w:rPr>
          <w:color w:val="231F20"/>
          <w:sz w:val="18"/>
        </w:rPr>
        <w:t>Agents and the ONS suggests that the fine weather in early May, following the wet weather in April, might have stimulated demand for clothing. Prices could therefore fall in June, and fall by more than is usual in July, and have little medium-term implication. But the price rises may signal a smaller appreciation effect, or stronger domestic demand, than had been previously been expected, so </w:t>
      </w:r>
      <w:r>
        <w:rPr>
          <w:color w:val="231F20"/>
          <w:spacing w:val="-4"/>
          <w:sz w:val="18"/>
        </w:rPr>
        <w:t>there </w:t>
      </w:r>
      <w:r>
        <w:rPr>
          <w:color w:val="231F20"/>
          <w:sz w:val="18"/>
        </w:rPr>
        <w:t>were clear upside risks.</w:t>
      </w:r>
    </w:p>
    <w:p>
      <w:pPr>
        <w:pStyle w:val="BodyText"/>
        <w:spacing w:before="3"/>
        <w:rPr>
          <w:sz w:val="16"/>
        </w:rPr>
      </w:pPr>
    </w:p>
    <w:p>
      <w:pPr>
        <w:pStyle w:val="ListParagraph"/>
        <w:numPr>
          <w:ilvl w:val="0"/>
          <w:numId w:val="51"/>
        </w:numPr>
        <w:tabs>
          <w:tab w:pos="654" w:val="left" w:leader="none"/>
          <w:tab w:pos="655" w:val="left" w:leader="none"/>
        </w:tabs>
        <w:spacing w:line="232" w:lineRule="auto" w:before="0" w:after="0"/>
        <w:ind w:left="174" w:right="47" w:firstLine="0"/>
        <w:jc w:val="left"/>
        <w:rPr>
          <w:sz w:val="18"/>
        </w:rPr>
      </w:pPr>
      <w:r>
        <w:rPr>
          <w:color w:val="231F20"/>
          <w:sz w:val="18"/>
        </w:rPr>
        <w:t>Housing depreciation was a relatively new component of the RPI, having been introduced in 1995. It was based on the D</w:t>
      </w:r>
      <w:r>
        <w:rPr>
          <w:color w:val="231F20"/>
          <w:sz w:val="14"/>
        </w:rPr>
        <w:t>ETR </w:t>
      </w:r>
      <w:r>
        <w:rPr>
          <w:color w:val="231F20"/>
          <w:spacing w:val="-6"/>
          <w:sz w:val="18"/>
        </w:rPr>
        <w:t>and </w:t>
      </w:r>
      <w:r>
        <w:rPr>
          <w:color w:val="231F20"/>
          <w:sz w:val="18"/>
        </w:rPr>
        <w:t>Halifax house price measures. The D</w:t>
      </w:r>
      <w:r>
        <w:rPr>
          <w:color w:val="231F20"/>
          <w:sz w:val="14"/>
        </w:rPr>
        <w:t>ETR </w:t>
      </w:r>
      <w:r>
        <w:rPr>
          <w:color w:val="231F20"/>
          <w:sz w:val="18"/>
        </w:rPr>
        <w:t>measure of house-price inflation had shown a sharp increase in March and April, at a time when both the Halifax and Nationwide measures were roughly stable, so the sharp increase in housing depreciation inflation might prove temporary.</w:t>
      </w:r>
    </w:p>
    <w:p>
      <w:pPr>
        <w:pStyle w:val="BodyText"/>
        <w:spacing w:before="2"/>
        <w:rPr>
          <w:sz w:val="20"/>
        </w:rPr>
      </w:pPr>
    </w:p>
    <w:p>
      <w:pPr>
        <w:pStyle w:val="Heading6"/>
        <w:numPr>
          <w:ilvl w:val="0"/>
          <w:numId w:val="52"/>
        </w:numPr>
        <w:tabs>
          <w:tab w:pos="654" w:val="left" w:leader="none"/>
          <w:tab w:pos="655" w:val="left" w:leader="none"/>
        </w:tabs>
        <w:spacing w:line="240" w:lineRule="auto" w:before="1" w:after="0"/>
        <w:ind w:left="654" w:right="0" w:hanging="481"/>
        <w:jc w:val="left"/>
      </w:pPr>
      <w:r>
        <w:rPr>
          <w:color w:val="009483"/>
        </w:rPr>
        <w:t>Financial</w:t>
      </w:r>
      <w:r>
        <w:rPr>
          <w:color w:val="009483"/>
          <w:spacing w:val="-1"/>
        </w:rPr>
        <w:t> </w:t>
      </w:r>
      <w:r>
        <w:rPr>
          <w:color w:val="009483"/>
        </w:rPr>
        <w:t>markets</w:t>
      </w:r>
    </w:p>
    <w:p>
      <w:pPr>
        <w:spacing w:before="104"/>
        <w:ind w:left="174" w:right="0" w:firstLine="0"/>
        <w:jc w:val="left"/>
        <w:rPr>
          <w:i/>
          <w:sz w:val="18"/>
        </w:rPr>
      </w:pPr>
      <w:r>
        <w:rPr>
          <w:i/>
          <w:color w:val="009483"/>
          <w:sz w:val="18"/>
        </w:rPr>
        <w:t>Foreign exchange</w:t>
      </w:r>
    </w:p>
    <w:p>
      <w:pPr>
        <w:pStyle w:val="ListParagraph"/>
        <w:numPr>
          <w:ilvl w:val="0"/>
          <w:numId w:val="51"/>
        </w:numPr>
        <w:tabs>
          <w:tab w:pos="654" w:val="left" w:leader="none"/>
          <w:tab w:pos="655" w:val="left" w:leader="none"/>
        </w:tabs>
        <w:spacing w:line="232" w:lineRule="auto" w:before="118" w:after="0"/>
        <w:ind w:left="174" w:right="38" w:firstLine="0"/>
        <w:jc w:val="left"/>
        <w:rPr>
          <w:sz w:val="18"/>
        </w:rPr>
      </w:pPr>
      <w:r>
        <w:rPr>
          <w:color w:val="231F20"/>
          <w:sz w:val="18"/>
        </w:rPr>
        <w:t>Yen volatility was a key feature of the month. On a longer time-horizon, there had been a general weakening of the yen against other major currencies, but a strengthening against East Asian currencies (which together are as important to Japanese exporters as the European Union). The yen had moved less against an intermediate group of currencies, including the Canadian dollar, the Australian dollar and the rand, which had tended to weaken in the face of lower commodity prices.  For much of June the yen had been weak, reflecting the weakness of the economy, problems in </w:t>
      </w:r>
      <w:r>
        <w:rPr>
          <w:color w:val="231F20"/>
          <w:spacing w:val="-6"/>
          <w:sz w:val="18"/>
        </w:rPr>
        <w:t>the </w:t>
      </w:r>
      <w:r>
        <w:rPr>
          <w:color w:val="231F20"/>
          <w:sz w:val="18"/>
        </w:rPr>
        <w:t>banking sector and uncertainties over fiscal policy. On 17 June, there was a well-timed intervention by the Bank of Japan and the US Federal Reserve, and the yen initially rose sharply against the dollar, from ¥142 to ¥137. But when no new policy </w:t>
      </w:r>
      <w:r>
        <w:rPr>
          <w:color w:val="231F20"/>
          <w:spacing w:val="-2"/>
          <w:sz w:val="18"/>
        </w:rPr>
        <w:t>announcements </w:t>
      </w:r>
      <w:r>
        <w:rPr>
          <w:color w:val="231F20"/>
          <w:sz w:val="18"/>
        </w:rPr>
        <w:t>were made following the G7 meeting in Tokyo, the yen drifted back towards pre-intervention levels.</w:t>
      </w:r>
    </w:p>
    <w:p>
      <w:pPr>
        <w:pStyle w:val="BodyText"/>
        <w:spacing w:before="11"/>
        <w:rPr>
          <w:sz w:val="15"/>
        </w:rPr>
      </w:pPr>
    </w:p>
    <w:p>
      <w:pPr>
        <w:pStyle w:val="ListParagraph"/>
        <w:numPr>
          <w:ilvl w:val="0"/>
          <w:numId w:val="51"/>
        </w:numPr>
        <w:tabs>
          <w:tab w:pos="654" w:val="left" w:leader="none"/>
          <w:tab w:pos="655" w:val="left" w:leader="none"/>
        </w:tabs>
        <w:spacing w:line="203" w:lineRule="exact" w:before="0" w:after="0"/>
        <w:ind w:left="654" w:right="0" w:hanging="481"/>
        <w:jc w:val="left"/>
        <w:rPr>
          <w:sz w:val="18"/>
        </w:rPr>
      </w:pPr>
      <w:r>
        <w:rPr>
          <w:color w:val="231F20"/>
          <w:sz w:val="18"/>
        </w:rPr>
        <w:t>Information from options markets had shown that the</w:t>
      </w:r>
    </w:p>
    <w:p>
      <w:pPr>
        <w:pStyle w:val="BodyText"/>
        <w:spacing w:line="200" w:lineRule="exact"/>
        <w:ind w:left="174"/>
      </w:pPr>
      <w:r>
        <w:rPr>
          <w:color w:val="231F20"/>
        </w:rPr>
        <w:t>one-month implied volatility for $/yen was typically higher than for</w:t>
      </w:r>
    </w:p>
    <w:p>
      <w:pPr>
        <w:pStyle w:val="BodyText"/>
        <w:spacing w:line="232" w:lineRule="auto" w:before="1"/>
        <w:ind w:left="174" w:right="75"/>
      </w:pPr>
      <w:r>
        <w:rPr>
          <w:color w:val="231F20"/>
        </w:rPr>
        <w:t>$/Mark. However, the differential was greater than at any time in the previous ten years. Uncertainty about the $/yen exchange rate, as measured by the width of the 70% confidence band from the implied probability distribution for the exchange rate level three months ahead, had risen sharply over the month. At the same time, the distribution had become more skewed in favour of yen weakness. The BoJ/Fed intervention had had no lasting impact on either of these measures. The implied twelve-month implied correlation between the dollar and yen (using the Swiss franc as numeraire) had fallen sharply over the month, from 0.39 to 0.27, and the effect of the intervention was again temporary.</w:t>
      </w:r>
    </w:p>
    <w:p>
      <w:pPr>
        <w:pStyle w:val="BodyText"/>
        <w:spacing w:before="5"/>
      </w:pPr>
    </w:p>
    <w:p>
      <w:pPr>
        <w:pStyle w:val="ListParagraph"/>
        <w:numPr>
          <w:ilvl w:val="0"/>
          <w:numId w:val="51"/>
        </w:numPr>
        <w:tabs>
          <w:tab w:pos="654" w:val="left" w:leader="none"/>
          <w:tab w:pos="655" w:val="left" w:leader="none"/>
        </w:tabs>
        <w:spacing w:line="232" w:lineRule="auto" w:before="0" w:after="0"/>
        <w:ind w:left="174" w:right="227" w:firstLine="0"/>
        <w:jc w:val="left"/>
        <w:rPr>
          <w:sz w:val="18"/>
        </w:rPr>
      </w:pPr>
      <w:r>
        <w:rPr>
          <w:color w:val="231F20"/>
          <w:sz w:val="18"/>
        </w:rPr>
        <w:t>The DM had weakened to DM 1.82 against the dollar—the lowest level since Easter. Events in Russia, and perhaps reduced</w:t>
      </w:r>
    </w:p>
    <w:p>
      <w:pPr>
        <w:pStyle w:val="BodyText"/>
        <w:spacing w:before="7"/>
        <w:rPr>
          <w:sz w:val="19"/>
        </w:rPr>
      </w:pPr>
      <w:r>
        <w:rPr/>
        <w:br w:type="column"/>
      </w:r>
      <w:r>
        <w:rPr>
          <w:sz w:val="19"/>
        </w:rPr>
      </w:r>
    </w:p>
    <w:p>
      <w:pPr>
        <w:pStyle w:val="BodyText"/>
        <w:spacing w:line="232" w:lineRule="auto" w:before="1"/>
        <w:ind w:left="174" w:right="155"/>
      </w:pPr>
      <w:r>
        <w:rPr>
          <w:color w:val="231F20"/>
        </w:rPr>
        <w:t>expectations of interest rate increases in Europe, had been </w:t>
      </w:r>
      <w:r>
        <w:rPr>
          <w:color w:val="231F20"/>
          <w:spacing w:val="-3"/>
        </w:rPr>
        <w:t>dominant </w:t>
      </w:r>
      <w:r>
        <w:rPr>
          <w:color w:val="231F20"/>
        </w:rPr>
        <w:t>factors. Meanwhile sterling had appreciated steadily during the month by 3% in effective terms. The rise in interest rates on 4 June had taken the market completely by surprise with sterling rising by more than a cent to $1.65 and by more than three pfennigs to</w:t>
      </w:r>
    </w:p>
    <w:p>
      <w:pPr>
        <w:pStyle w:val="BodyText"/>
        <w:spacing w:line="232" w:lineRule="auto"/>
        <w:ind w:left="174" w:right="155"/>
      </w:pPr>
      <w:r>
        <w:rPr>
          <w:color w:val="231F20"/>
        </w:rPr>
        <w:t>DM 2.93. But by the end of the day, sterling was back at its </w:t>
      </w:r>
      <w:r>
        <w:rPr>
          <w:color w:val="231F20"/>
          <w:spacing w:val="-3"/>
        </w:rPr>
        <w:t>starting </w:t>
      </w:r>
      <w:r>
        <w:rPr>
          <w:color w:val="231F20"/>
        </w:rPr>
        <w:t>levels. Since domestic interest rates were up across the board, the fall had not been because the market thought interest rates had peaked, and changes in volatility measures suggest that it was not entirely consistent with a view that MPC would be more likely to move rates either up or down. Alternatively, the answer might have been sterling’s failure to break a technical resistance point at</w:t>
      </w:r>
    </w:p>
    <w:p>
      <w:pPr>
        <w:pStyle w:val="BodyText"/>
        <w:spacing w:line="232" w:lineRule="auto"/>
        <w:ind w:left="174" w:right="155"/>
      </w:pPr>
      <w:r>
        <w:rPr>
          <w:color w:val="231F20"/>
        </w:rPr>
        <w:t>DM 2.93. Following 4 June, there had been a two-week period in which sterling was relatively flat against the dollar, as the dollar appreciated against the yen, and rose against the Mark. So Asia and Russia-related ‘safe-haven’ flows may have been a factor. The following week, stronger-than-expected data had led to a rise in sterling. Since then, there had been a slow and steady appreciation of sterling against the Mark, but a stable period against the dollar.</w:t>
      </w:r>
    </w:p>
    <w:p>
      <w:pPr>
        <w:pStyle w:val="BodyText"/>
        <w:spacing w:before="1"/>
        <w:rPr>
          <w:sz w:val="19"/>
        </w:rPr>
      </w:pPr>
    </w:p>
    <w:p>
      <w:pPr>
        <w:spacing w:before="0"/>
        <w:ind w:left="174" w:right="0" w:firstLine="0"/>
        <w:jc w:val="left"/>
        <w:rPr>
          <w:i/>
          <w:sz w:val="18"/>
        </w:rPr>
      </w:pPr>
      <w:r>
        <w:rPr>
          <w:i/>
          <w:color w:val="009483"/>
          <w:sz w:val="18"/>
        </w:rPr>
        <w:t>Bond and money markets</w:t>
      </w:r>
    </w:p>
    <w:p>
      <w:pPr>
        <w:pStyle w:val="ListParagraph"/>
        <w:numPr>
          <w:ilvl w:val="0"/>
          <w:numId w:val="51"/>
        </w:numPr>
        <w:tabs>
          <w:tab w:pos="654" w:val="left" w:leader="none"/>
          <w:tab w:pos="655" w:val="left" w:leader="none"/>
        </w:tabs>
        <w:spacing w:line="232" w:lineRule="auto" w:before="118" w:after="0"/>
        <w:ind w:left="174" w:right="159" w:firstLine="0"/>
        <w:jc w:val="left"/>
        <w:rPr>
          <w:sz w:val="18"/>
        </w:rPr>
      </w:pPr>
      <w:r>
        <w:rPr>
          <w:color w:val="231F20"/>
          <w:sz w:val="18"/>
        </w:rPr>
        <w:t>The MPC’s decision to raise interest rates on 4 June had surprised the markets. Implied future three-month interest rates </w:t>
      </w:r>
      <w:r>
        <w:rPr>
          <w:color w:val="231F20"/>
          <w:spacing w:val="-4"/>
          <w:sz w:val="18"/>
        </w:rPr>
        <w:t>had </w:t>
      </w:r>
      <w:r>
        <w:rPr>
          <w:color w:val="231F20"/>
          <w:sz w:val="18"/>
        </w:rPr>
        <w:t>risen by just over 0.25% at the short end (September and December 1998 short sterling contracts), and by 15 basis points at the two </w:t>
      </w:r>
      <w:r>
        <w:rPr>
          <w:color w:val="231F20"/>
          <w:spacing w:val="-5"/>
          <w:sz w:val="18"/>
        </w:rPr>
        <w:t>year </w:t>
      </w:r>
      <w:r>
        <w:rPr>
          <w:color w:val="231F20"/>
          <w:sz w:val="18"/>
        </w:rPr>
        <w:t>maturity—the biggest one-day movement for several years.  As well as being surprised by the rise, some contacts had said that they were now more uncertain about the path of official rates and about the MPC process itself. The other main influence on the money market was UK data, particularly RPIX, retail sales and the labour market data. The market had interpreted the data as something that the MPC may react to in the future, and in total the short sterling curve had moved up by 70 basis points in the period since the previous MPC meeting. The probability distribution for short-term interest rates in March 1999 derived from options prices had shifted to the right during the month, reflecting the increase in the mean rate. And there had also been an increase in uncertainty (as measured by the standard deviation). However, the rise in uncertainty did not occur on the day of the interest rate change, but appears to have happened later in the month as data were published. One interpretation is that the increase in market uncertainty mainly reflected the new data, rather than questions about how MPC was likely to react to any given set of data.</w:t>
      </w:r>
    </w:p>
    <w:p>
      <w:pPr>
        <w:pStyle w:val="BodyText"/>
        <w:spacing w:before="8"/>
        <w:rPr>
          <w:sz w:val="17"/>
        </w:rPr>
      </w:pPr>
    </w:p>
    <w:p>
      <w:pPr>
        <w:pStyle w:val="ListParagraph"/>
        <w:numPr>
          <w:ilvl w:val="0"/>
          <w:numId w:val="51"/>
        </w:numPr>
        <w:tabs>
          <w:tab w:pos="654" w:val="left" w:leader="none"/>
          <w:tab w:pos="655" w:val="left" w:leader="none"/>
        </w:tabs>
        <w:spacing w:line="232" w:lineRule="auto" w:before="0" w:after="0"/>
        <w:ind w:left="174" w:right="199" w:firstLine="0"/>
        <w:jc w:val="left"/>
        <w:rPr>
          <w:sz w:val="18"/>
        </w:rPr>
      </w:pPr>
      <w:r>
        <w:rPr>
          <w:color w:val="231F20"/>
          <w:sz w:val="18"/>
        </w:rPr>
        <w:t>In the bond market there had been a further inversion of the yield curve. At two years ahead, the forward rate had risen about 35 basis points, whereas at 20 years they had fallen around 40 </w:t>
      </w:r>
      <w:r>
        <w:rPr>
          <w:color w:val="231F20"/>
          <w:spacing w:val="-4"/>
          <w:sz w:val="18"/>
        </w:rPr>
        <w:t>basis </w:t>
      </w:r>
      <w:r>
        <w:rPr>
          <w:color w:val="231F20"/>
          <w:sz w:val="18"/>
        </w:rPr>
        <w:t>points. In the part of the month when UK yields were falling most clearly, so too were yields in major overseas markets. Deflationary potential from Asia seemed likely to have been a factor in lower world yields, although the direct impact of Japanese and other Asian news on UK gilt yields had not been great. This period also included the Chancellor’s fiscal statement.</w:t>
      </w:r>
    </w:p>
    <w:p>
      <w:pPr>
        <w:pStyle w:val="BodyText"/>
        <w:spacing w:before="9"/>
        <w:rPr>
          <w:sz w:val="19"/>
        </w:rPr>
      </w:pPr>
    </w:p>
    <w:p>
      <w:pPr>
        <w:spacing w:before="0"/>
        <w:ind w:left="174" w:right="0" w:firstLine="0"/>
        <w:jc w:val="left"/>
        <w:rPr>
          <w:i/>
          <w:sz w:val="18"/>
        </w:rPr>
      </w:pPr>
      <w:r>
        <w:rPr>
          <w:i/>
          <w:color w:val="009483"/>
          <w:sz w:val="18"/>
        </w:rPr>
        <w:t>Equity markets</w:t>
      </w:r>
    </w:p>
    <w:p>
      <w:pPr>
        <w:pStyle w:val="ListParagraph"/>
        <w:numPr>
          <w:ilvl w:val="0"/>
          <w:numId w:val="51"/>
        </w:numPr>
        <w:tabs>
          <w:tab w:pos="654" w:val="left" w:leader="none"/>
          <w:tab w:pos="655" w:val="left" w:leader="none"/>
        </w:tabs>
        <w:spacing w:line="232" w:lineRule="auto" w:before="138" w:after="0"/>
        <w:ind w:left="174" w:right="205" w:firstLine="0"/>
        <w:jc w:val="left"/>
        <w:rPr>
          <w:sz w:val="14"/>
        </w:rPr>
      </w:pPr>
      <w:r>
        <w:rPr>
          <w:color w:val="231F20"/>
          <w:sz w:val="18"/>
        </w:rPr>
        <w:t>The F</w:t>
      </w:r>
      <w:r>
        <w:rPr>
          <w:color w:val="231F20"/>
          <w:sz w:val="14"/>
        </w:rPr>
        <w:t>T-SE </w:t>
      </w:r>
      <w:r>
        <w:rPr>
          <w:color w:val="231F20"/>
          <w:sz w:val="18"/>
        </w:rPr>
        <w:t>All-Share index was unchanged over the month whereas equity markets in other major economies had risen in </w:t>
      </w:r>
      <w:r>
        <w:rPr>
          <w:color w:val="231F20"/>
          <w:spacing w:val="-4"/>
          <w:sz w:val="18"/>
        </w:rPr>
        <w:t>local </w:t>
      </w:r>
      <w:r>
        <w:rPr>
          <w:color w:val="231F20"/>
          <w:sz w:val="18"/>
        </w:rPr>
        <w:t>currency terms. This relative underperformance in the</w:t>
      </w:r>
      <w:r>
        <w:rPr>
          <w:color w:val="231F20"/>
          <w:spacing w:val="-1"/>
          <w:sz w:val="18"/>
        </w:rPr>
        <w:t> </w:t>
      </w:r>
      <w:r>
        <w:rPr>
          <w:color w:val="231F20"/>
          <w:sz w:val="18"/>
        </w:rPr>
        <w:t>F</w:t>
      </w:r>
      <w:r>
        <w:rPr>
          <w:color w:val="231F20"/>
          <w:sz w:val="14"/>
        </w:rPr>
        <w:t>T-SE</w:t>
      </w:r>
    </w:p>
    <w:p>
      <w:pPr>
        <w:pStyle w:val="BodyText"/>
        <w:spacing w:line="232" w:lineRule="auto"/>
        <w:ind w:left="174" w:right="422"/>
      </w:pPr>
      <w:r>
        <w:rPr>
          <w:color w:val="231F20"/>
        </w:rPr>
        <w:t>All-Share index had reflected in particular a fall in the value of smaller stocks and in the General Industrials sector of the index.</w:t>
      </w:r>
    </w:p>
    <w:p>
      <w:pPr>
        <w:pStyle w:val="BodyText"/>
        <w:spacing w:before="7"/>
        <w:rPr>
          <w:sz w:val="20"/>
        </w:rPr>
      </w:pPr>
    </w:p>
    <w:p>
      <w:pPr>
        <w:pStyle w:val="ListParagraph"/>
        <w:numPr>
          <w:ilvl w:val="0"/>
          <w:numId w:val="51"/>
        </w:numPr>
        <w:tabs>
          <w:tab w:pos="654" w:val="left" w:leader="none"/>
          <w:tab w:pos="655" w:val="left" w:leader="none"/>
        </w:tabs>
        <w:spacing w:line="232" w:lineRule="auto" w:before="0" w:after="0"/>
        <w:ind w:left="174" w:right="170" w:firstLine="0"/>
        <w:jc w:val="left"/>
        <w:rPr>
          <w:sz w:val="18"/>
        </w:rPr>
      </w:pPr>
      <w:r>
        <w:rPr>
          <w:color w:val="231F20"/>
          <w:sz w:val="18"/>
        </w:rPr>
        <w:t>A survey conducted roughly every six months provided evidence on the expectations of academic and city forecasters for nominal corporate profit growth up to six years ahead. The six </w:t>
      </w:r>
      <w:r>
        <w:rPr>
          <w:color w:val="231F20"/>
          <w:spacing w:val="-5"/>
          <w:sz w:val="18"/>
        </w:rPr>
        <w:t>year </w:t>
      </w:r>
      <w:r>
        <w:rPr>
          <w:color w:val="231F20"/>
          <w:sz w:val="18"/>
        </w:rPr>
        <w:t>ahead forecast had fallen from around 11% per annum in 1993 to about 6% per annum in late 1995, since when it had been roughly constant. But inflation expectations derived from the gilts market had been falling during this period. This implies that expected profits growth for six years ahead had risen from around 3.5% per annum in later 1995 to about 3.9% per annum in May 1998.</w:t>
      </w:r>
    </w:p>
    <w:p>
      <w:pPr>
        <w:spacing w:after="0" w:line="232" w:lineRule="auto"/>
        <w:jc w:val="left"/>
        <w:rPr>
          <w:sz w:val="18"/>
        </w:rPr>
        <w:sectPr>
          <w:type w:val="continuous"/>
          <w:pgSz w:w="11900" w:h="16840"/>
          <w:pgMar w:top="1220" w:bottom="280" w:left="620" w:right="640"/>
          <w:cols w:num="2" w:equalWidth="0">
            <w:col w:w="5133" w:space="267"/>
            <w:col w:w="5240"/>
          </w:cols>
        </w:sectPr>
      </w:pPr>
    </w:p>
    <w:p>
      <w:pPr>
        <w:pStyle w:val="BodyText"/>
        <w:rPr>
          <w:sz w:val="20"/>
        </w:rPr>
      </w:pPr>
    </w:p>
    <w:p>
      <w:pPr>
        <w:pStyle w:val="BodyText"/>
        <w:spacing w:before="7"/>
        <w:rPr>
          <w:sz w:val="19"/>
        </w:rPr>
      </w:pPr>
    </w:p>
    <w:p>
      <w:pPr>
        <w:pStyle w:val="BodyText"/>
        <w:spacing w:line="232" w:lineRule="auto" w:before="1"/>
        <w:ind w:left="160" w:right="5610"/>
      </w:pPr>
      <w:r>
        <w:rPr>
          <w:color w:val="231F20"/>
        </w:rPr>
        <w:t>Making a number of very strict assumptions, it was also possible to derive an indicative estimate of the equity risk premium that these forecasts for profits growth might imply. The implied equity risk premium derived in this way had fallen from around 7% in June 1993 to about 4% in May 1998. Taken together, these estimates provided a sense of the market views that might underlie the level of the UK equity market.</w:t>
      </w:r>
    </w:p>
    <w:p>
      <w:pPr>
        <w:spacing w:after="0" w:line="232" w:lineRule="auto"/>
        <w:sectPr>
          <w:pgSz w:w="11900" w:h="16840"/>
          <w:pgMar w:header="566" w:footer="597" w:top="760" w:bottom="780" w:left="620" w:right="640"/>
        </w:sectPr>
      </w:pPr>
    </w:p>
    <w:p>
      <w:pPr>
        <w:pStyle w:val="BodyText"/>
        <w:rPr>
          <w:sz w:val="20"/>
        </w:rPr>
      </w:pPr>
    </w:p>
    <w:p>
      <w:pPr>
        <w:spacing w:line="357" w:lineRule="auto" w:before="218"/>
        <w:ind w:left="190" w:right="3953" w:firstLine="0"/>
        <w:jc w:val="left"/>
        <w:rPr>
          <w:b/>
          <w:sz w:val="28"/>
        </w:rPr>
      </w:pPr>
      <w:bookmarkStart w:name="July press notice" w:id="111"/>
      <w:bookmarkEnd w:id="111"/>
      <w:r>
        <w:rPr/>
      </w:r>
      <w:bookmarkStart w:name="_bookmark51" w:id="112"/>
      <w:bookmarkEnd w:id="112"/>
      <w:r>
        <w:rPr/>
      </w:r>
      <w:r>
        <w:rPr>
          <w:b/>
          <w:color w:val="009483"/>
          <w:sz w:val="28"/>
        </w:rPr>
        <w:t>Text of Bank of England press notice of 9 July 1998 Bank of England leaves interest rates unchanged</w:t>
      </w:r>
    </w:p>
    <w:p>
      <w:pPr>
        <w:pStyle w:val="BodyText"/>
        <w:spacing w:before="244"/>
        <w:ind w:left="194"/>
      </w:pPr>
      <w:r>
        <w:rPr>
          <w:color w:val="231F20"/>
        </w:rPr>
        <w:t>The Bank of England’s Monetary Policy Committee today voted to leave the Bank’s repo rate unchanged at 7.50%.</w:t>
      </w:r>
    </w:p>
    <w:p>
      <w:pPr>
        <w:pStyle w:val="BodyText"/>
        <w:spacing w:before="2"/>
        <w:rPr>
          <w:sz w:val="17"/>
        </w:rPr>
      </w:pPr>
    </w:p>
    <w:p>
      <w:pPr>
        <w:pStyle w:val="BodyText"/>
        <w:spacing w:line="232" w:lineRule="auto"/>
        <w:ind w:left="194" w:right="247"/>
      </w:pPr>
      <w:r>
        <w:rPr>
          <w:color w:val="231F20"/>
        </w:rPr>
        <w:t>Minutes of today’s Monetary Policy Committee meeting will be published on Wednesday 12 August. Minutes of the meeting held in June will be published on Wednesday 15 July.</w:t>
      </w:r>
    </w:p>
    <w:p>
      <w:pPr>
        <w:spacing w:after="0" w:line="232" w:lineRule="auto"/>
        <w:sectPr>
          <w:pgSz w:w="11900" w:h="16840"/>
          <w:pgMar w:header="566" w:footer="597" w:top="760" w:bottom="780" w:left="620" w:right="640"/>
        </w:sectPr>
      </w:pPr>
    </w:p>
    <w:p>
      <w:pPr>
        <w:pStyle w:val="BodyText"/>
        <w:spacing w:before="6"/>
        <w:rPr>
          <w:sz w:val="29"/>
        </w:rPr>
      </w:pPr>
    </w:p>
    <w:p>
      <w:pPr>
        <w:pStyle w:val="Heading2"/>
        <w:spacing w:line="357" w:lineRule="auto" w:before="88"/>
        <w:ind w:left="179" w:right="3953"/>
      </w:pPr>
      <w:bookmarkStart w:name="August press notice" w:id="113"/>
      <w:bookmarkEnd w:id="113"/>
      <w:r>
        <w:rPr>
          <w:b w:val="0"/>
        </w:rPr>
      </w:r>
      <w:bookmarkStart w:name="_bookmark52" w:id="114"/>
      <w:bookmarkEnd w:id="114"/>
      <w:r>
        <w:rPr>
          <w:b w:val="0"/>
        </w:rPr>
      </w:r>
      <w:bookmarkStart w:name="_bookmark53" w:id="115"/>
      <w:bookmarkEnd w:id="115"/>
      <w:r>
        <w:rPr>
          <w:b w:val="0"/>
        </w:rPr>
      </w:r>
      <w:r>
        <w:rPr>
          <w:color w:val="009483"/>
        </w:rPr>
        <w:t>Text of Bank of England press notice of 6 August 1998 Bank of England leaves interest rates unchanged</w:t>
      </w:r>
    </w:p>
    <w:p>
      <w:pPr>
        <w:pStyle w:val="BodyText"/>
        <w:spacing w:before="1"/>
        <w:rPr>
          <w:b/>
          <w:sz w:val="14"/>
        </w:rPr>
      </w:pPr>
    </w:p>
    <w:p>
      <w:pPr>
        <w:pStyle w:val="BodyText"/>
        <w:spacing w:line="463" w:lineRule="auto" w:before="92"/>
        <w:ind w:left="185" w:right="2112"/>
      </w:pPr>
      <w:r>
        <w:rPr>
          <w:color w:val="231F20"/>
        </w:rPr>
        <w:t>The Bank of England’s Monetary Policy Committee today voted to leave the Bank’s repo rate unchanged at 7.50%. The </w:t>
      </w:r>
      <w:r>
        <w:rPr>
          <w:i/>
          <w:color w:val="231F20"/>
        </w:rPr>
        <w:t>Inflation Report </w:t>
      </w:r>
      <w:r>
        <w:rPr>
          <w:color w:val="231F20"/>
        </w:rPr>
        <w:t>will be published next Wednesday (12 August).</w:t>
      </w:r>
    </w:p>
    <w:p>
      <w:pPr>
        <w:pStyle w:val="BodyText"/>
        <w:spacing w:line="232" w:lineRule="auto" w:before="6"/>
        <w:ind w:left="185" w:right="135"/>
      </w:pPr>
      <w:r>
        <w:rPr>
          <w:color w:val="231F20"/>
        </w:rPr>
        <w:t>The minutes of today’s Monetary Policy Committee meeting will be published on Wednesday 16 September. The minutes of the meeting held in July will be published on Wednesday 12 August.</w:t>
      </w:r>
    </w:p>
    <w:p>
      <w:pPr>
        <w:spacing w:after="0" w:line="232" w:lineRule="auto"/>
        <w:sectPr>
          <w:pgSz w:w="11900" w:h="16840"/>
          <w:pgMar w:header="566" w:footer="597" w:top="760" w:bottom="780" w:left="620" w:right="640"/>
        </w:sectPr>
      </w:pPr>
    </w:p>
    <w:p>
      <w:pPr>
        <w:pStyle w:val="Heading3"/>
        <w:spacing w:before="74"/>
        <w:ind w:left="1264" w:right="1264"/>
        <w:jc w:val="center"/>
      </w:pPr>
      <w:r>
        <w:rPr>
          <w:color w:val="00958E"/>
        </w:rPr>
        <w:t>Quarterly Bulletin and Inflation Report subscription details</w:t>
      </w:r>
    </w:p>
    <w:p>
      <w:pPr>
        <w:pStyle w:val="BodyText"/>
        <w:rPr>
          <w:b/>
          <w:sz w:val="20"/>
        </w:rPr>
      </w:pPr>
    </w:p>
    <w:p>
      <w:pPr>
        <w:pStyle w:val="BodyText"/>
        <w:rPr>
          <w:b/>
          <w:sz w:val="20"/>
        </w:rPr>
      </w:pPr>
    </w:p>
    <w:p>
      <w:pPr>
        <w:spacing w:line="249" w:lineRule="auto" w:before="1"/>
        <w:ind w:left="185" w:right="0" w:firstLine="0"/>
        <w:jc w:val="left"/>
        <w:rPr>
          <w:sz w:val="20"/>
        </w:rPr>
      </w:pPr>
      <w:r>
        <w:rPr/>
        <w:pict>
          <v:line style="position:absolute;mso-position-horizontal-relative:page;mso-position-vertical-relative:paragraph;z-index:-20791808" from="147pt,88.875931pt" to="183.12pt,88.875931pt" stroked="true" strokeweight=".125pt" strokecolor="#231f20">
            <v:stroke dashstyle="solid"/>
            <w10:wrap type="none"/>
          </v:line>
        </w:pict>
      </w:r>
      <w:r>
        <w:rPr/>
        <w:pict>
          <v:line style="position:absolute;mso-position-horizontal-relative:page;mso-position-vertical-relative:paragraph;z-index:-20791296" from="194.369995pt,89.375931pt" to="216.619995pt,89.375931pt" stroked="true" strokeweight=".125pt" strokecolor="#231f20">
            <v:stroke dashstyle="solid"/>
            <w10:wrap type="none"/>
          </v:line>
        </w:pict>
      </w:r>
      <w:r>
        <w:rPr/>
        <w:pict>
          <v:line style="position:absolute;mso-position-horizontal-relative:page;mso-position-vertical-relative:paragraph;z-index:-20790784" from="282.25pt,89.375931pt" to="312pt,89.375931pt" stroked="true" strokeweight=".125pt" strokecolor="#231f20">
            <v:stroke dashstyle="solid"/>
            <w10:wrap type="none"/>
          </v:line>
        </w:pict>
      </w:r>
      <w:r>
        <w:rPr/>
        <w:pict>
          <v:line style="position:absolute;mso-position-horizontal-relative:page;mso-position-vertical-relative:paragraph;z-index:-20790272" from="239.75pt,89.375931pt" to="274.5pt,89.375931pt" stroked="true" strokeweight=".125pt" strokecolor="#231f20">
            <v:stroke dashstyle="solid"/>
            <w10:wrap type="none"/>
          </v:line>
        </w:pict>
      </w:r>
      <w:r>
        <w:rPr/>
        <w:pict>
          <v:line style="position:absolute;mso-position-horizontal-relative:page;mso-position-vertical-relative:paragraph;z-index:-20789760" from="390.75pt,89.375931pt" to="413pt,89.375931pt" stroked="true" strokeweight=".125pt" strokecolor="#231f20">
            <v:stroke dashstyle="solid"/>
            <w10:wrap type="none"/>
          </v:line>
        </w:pict>
      </w:r>
      <w:r>
        <w:rPr/>
        <w:pict>
          <v:line style="position:absolute;mso-position-horizontal-relative:page;mso-position-vertical-relative:paragraph;z-index:-20789248" from="440.369995pt,89.375931pt" to="466.999995pt,89.375931pt" stroked="true" strokeweight=".125pt" strokecolor="#231f20">
            <v:stroke dashstyle="solid"/>
            <w10:wrap type="none"/>
          </v:line>
        </w:pict>
      </w:r>
      <w:r>
        <w:rPr/>
        <w:pict>
          <v:line style="position:absolute;mso-position-horizontal-relative:page;mso-position-vertical-relative:paragraph;z-index:-20788736" from="339.119995pt,89.375931pt" to="376.869995pt,89.375931pt" stroked="true" strokeweight=".125pt" strokecolor="#231f20">
            <v:stroke dashstyle="solid"/>
            <w10:wrap type="none"/>
          </v:line>
        </w:pict>
      </w:r>
      <w:r>
        <w:rPr/>
        <w:pict>
          <v:line style="position:absolute;mso-position-horizontal-relative:page;mso-position-vertical-relative:paragraph;z-index:-20788224" from="478.369995pt,89.375931pt" to="502.619995pt,89.375931pt" stroked="true" strokeweight=".125pt" strokecolor="#231f20">
            <v:stroke dashstyle="solid"/>
            <w10:wrap type="none"/>
          </v:line>
        </w:pict>
      </w:r>
      <w:r>
        <w:rPr/>
        <w:pict>
          <v:line style="position:absolute;mso-position-horizontal-relative:page;mso-position-vertical-relative:paragraph;z-index:-20787712" from="145.869995pt,70.625931pt" to="229.249995pt,70.625931pt" stroked="true" strokeweight=".125pt" strokecolor="#231f20">
            <v:stroke dashstyle="solid"/>
            <w10:wrap type="none"/>
          </v:line>
        </w:pict>
      </w:r>
      <w:r>
        <w:rPr/>
        <w:pict>
          <v:line style="position:absolute;mso-position-horizontal-relative:page;mso-position-vertical-relative:paragraph;z-index:-20787200" from="246.25pt,70.625931pt" to="311.37pt,70.625931pt" stroked="true" strokeweight=".125pt" strokecolor="#231f20">
            <v:stroke dashstyle="solid"/>
            <w10:wrap type="none"/>
          </v:line>
        </w:pict>
      </w:r>
      <w:r>
        <w:rPr/>
        <w:pict>
          <v:line style="position:absolute;mso-position-horizontal-relative:page;mso-position-vertical-relative:paragraph;z-index:-20786688" from="337.869995pt,70.625931pt" to="420.119995pt,70.625931pt" stroked="true" strokeweight=".125pt" strokecolor="#231f20">
            <v:stroke dashstyle="solid"/>
            <w10:wrap type="none"/>
          </v:line>
        </w:pict>
      </w:r>
      <w:r>
        <w:rPr/>
        <w:pict>
          <v:line style="position:absolute;mso-position-horizontal-relative:page;mso-position-vertical-relative:paragraph;z-index:-20786176" from="439.369995pt,70.625931pt" to="512.619995pt,70.625931pt" stroked="true" strokeweight=".125pt" strokecolor="#231f20">
            <v:stroke dashstyle="solid"/>
            <w10:wrap type="none"/>
          </v:line>
        </w:pict>
      </w:r>
      <w:r>
        <w:rPr/>
        <w:pict>
          <v:line style="position:absolute;mso-position-horizontal-relative:page;mso-position-vertical-relative:paragraph;z-index:-20785664" from="235.369995pt,50.005932pt" to="235.369995pt,232.625932pt" stroked="true" strokeweight=".125pt" strokecolor="#231f20">
            <v:stroke dashstyle="solid"/>
            <w10:wrap type="none"/>
          </v:line>
        </w:pict>
      </w:r>
      <w:r>
        <w:rPr/>
        <w:pict>
          <v:line style="position:absolute;mso-position-horizontal-relative:page;mso-position-vertical-relative:paragraph;z-index:-20785152" from="426.369995pt,49.505932pt" to="426.369995pt,234.755932pt" stroked="true" strokeweight=".125pt" strokecolor="#231f20">
            <v:stroke dashstyle="solid"/>
            <w10:wrap type="none"/>
          </v:line>
        </w:pict>
      </w:r>
      <w:r>
        <w:rPr>
          <w:color w:val="231F20"/>
          <w:sz w:val="20"/>
        </w:rPr>
        <w:t>Copies of the </w:t>
      </w:r>
      <w:r>
        <w:rPr>
          <w:i/>
          <w:color w:val="231F20"/>
          <w:sz w:val="20"/>
        </w:rPr>
        <w:t>Bulletin </w:t>
      </w:r>
      <w:r>
        <w:rPr>
          <w:color w:val="231F20"/>
          <w:sz w:val="20"/>
        </w:rPr>
        <w:t>and </w:t>
      </w:r>
      <w:r>
        <w:rPr>
          <w:i/>
          <w:color w:val="231F20"/>
          <w:sz w:val="20"/>
        </w:rPr>
        <w:t>Inflation Report </w:t>
      </w:r>
      <w:r>
        <w:rPr>
          <w:color w:val="231F20"/>
          <w:sz w:val="20"/>
        </w:rPr>
        <w:t>are available from the Bank as a </w:t>
      </w:r>
      <w:r>
        <w:rPr>
          <w:b/>
          <w:color w:val="231F20"/>
          <w:sz w:val="20"/>
        </w:rPr>
        <w:t>combined </w:t>
      </w:r>
      <w:r>
        <w:rPr>
          <w:color w:val="231F20"/>
          <w:sz w:val="20"/>
        </w:rPr>
        <w:t>package: the </w:t>
      </w:r>
      <w:r>
        <w:rPr>
          <w:i/>
          <w:color w:val="231F20"/>
          <w:sz w:val="20"/>
        </w:rPr>
        <w:t>Inflation Report </w:t>
      </w:r>
      <w:r>
        <w:rPr>
          <w:color w:val="231F20"/>
          <w:sz w:val="20"/>
        </w:rPr>
        <w:t>is </w:t>
      </w:r>
      <w:r>
        <w:rPr>
          <w:color w:val="231F20"/>
          <w:spacing w:val="-4"/>
          <w:sz w:val="20"/>
        </w:rPr>
        <w:t>also </w:t>
      </w:r>
      <w:r>
        <w:rPr>
          <w:color w:val="231F20"/>
          <w:sz w:val="20"/>
        </w:rPr>
        <w:t>available separately. The prices are set out below:</w:t>
      </w:r>
    </w:p>
    <w:p>
      <w:pPr>
        <w:pStyle w:val="BodyText"/>
        <w:rPr>
          <w:sz w:val="11"/>
        </w:rPr>
      </w:pPr>
    </w:p>
    <w:tbl>
      <w:tblPr>
        <w:tblW w:w="0" w:type="auto"/>
        <w:jc w:val="left"/>
        <w:tblInd w:w="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9"/>
        <w:gridCol w:w="1848"/>
        <w:gridCol w:w="1821"/>
        <w:gridCol w:w="2100"/>
        <w:gridCol w:w="1846"/>
      </w:tblGrid>
      <w:tr>
        <w:trPr>
          <w:trHeight w:val="311" w:hRule="atLeast"/>
        </w:trPr>
        <w:tc>
          <w:tcPr>
            <w:tcW w:w="1949" w:type="dxa"/>
            <w:tcBorders>
              <w:top w:val="single" w:sz="4" w:space="0" w:color="231F20"/>
              <w:left w:val="single" w:sz="4" w:space="0" w:color="231F20"/>
              <w:bottom w:val="single" w:sz="2" w:space="0" w:color="231F20"/>
              <w:right w:val="single" w:sz="2" w:space="0" w:color="231F20"/>
            </w:tcBorders>
          </w:tcPr>
          <w:p>
            <w:pPr>
              <w:pStyle w:val="TableParagraph"/>
              <w:spacing w:before="42"/>
              <w:ind w:left="115"/>
              <w:rPr>
                <w:sz w:val="16"/>
              </w:rPr>
            </w:pPr>
            <w:r>
              <w:rPr>
                <w:color w:val="231F20"/>
                <w:sz w:val="16"/>
              </w:rPr>
              <w:t>Destination</w:t>
            </w:r>
          </w:p>
        </w:tc>
        <w:tc>
          <w:tcPr>
            <w:tcW w:w="3669" w:type="dxa"/>
            <w:gridSpan w:val="2"/>
            <w:tcBorders>
              <w:top w:val="single" w:sz="4" w:space="0" w:color="231F20"/>
              <w:left w:val="single" w:sz="2" w:space="0" w:color="231F20"/>
              <w:bottom w:val="single" w:sz="2" w:space="0" w:color="231F20"/>
              <w:right w:val="single" w:sz="2" w:space="0" w:color="231F20"/>
            </w:tcBorders>
          </w:tcPr>
          <w:p>
            <w:pPr>
              <w:pStyle w:val="TableParagraph"/>
              <w:spacing w:before="42"/>
              <w:ind w:left="1391" w:right="1913"/>
              <w:jc w:val="center"/>
              <w:rPr>
                <w:sz w:val="16"/>
              </w:rPr>
            </w:pPr>
            <w:r>
              <w:rPr>
                <w:color w:val="231F20"/>
                <w:sz w:val="16"/>
              </w:rPr>
              <w:t>1998</w:t>
            </w:r>
          </w:p>
        </w:tc>
        <w:tc>
          <w:tcPr>
            <w:tcW w:w="3946" w:type="dxa"/>
            <w:gridSpan w:val="2"/>
            <w:tcBorders>
              <w:top w:val="single" w:sz="4" w:space="0" w:color="231F20"/>
              <w:left w:val="single" w:sz="2" w:space="0" w:color="231F20"/>
              <w:bottom w:val="single" w:sz="2" w:space="0" w:color="231F20"/>
              <w:right w:val="single" w:sz="4" w:space="0" w:color="231F20"/>
            </w:tcBorders>
          </w:tcPr>
          <w:p>
            <w:pPr>
              <w:pStyle w:val="TableParagraph"/>
              <w:spacing w:before="42"/>
              <w:ind w:left="1520" w:right="2057"/>
              <w:jc w:val="center"/>
              <w:rPr>
                <w:sz w:val="16"/>
              </w:rPr>
            </w:pPr>
            <w:r>
              <w:rPr>
                <w:color w:val="231F20"/>
                <w:sz w:val="16"/>
              </w:rPr>
              <w:t>1997</w:t>
            </w:r>
          </w:p>
        </w:tc>
      </w:tr>
      <w:tr>
        <w:trPr>
          <w:trHeight w:val="266" w:hRule="atLeast"/>
        </w:trPr>
        <w:tc>
          <w:tcPr>
            <w:tcW w:w="1949" w:type="dxa"/>
            <w:vMerge w:val="restart"/>
            <w:tcBorders>
              <w:top w:val="single" w:sz="2" w:space="0" w:color="231F20"/>
              <w:left w:val="single" w:sz="4" w:space="0" w:color="231F20"/>
              <w:bottom w:val="single" w:sz="4" w:space="0" w:color="231F20"/>
              <w:right w:val="single" w:sz="2" w:space="0" w:color="231F2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line="182" w:lineRule="exact" w:before="137"/>
              <w:ind w:left="35"/>
              <w:rPr>
                <w:sz w:val="16"/>
              </w:rPr>
            </w:pPr>
            <w:r>
              <w:rPr>
                <w:color w:val="231F20"/>
                <w:sz w:val="16"/>
              </w:rPr>
              <w:t>United Kingdom</w:t>
            </w:r>
          </w:p>
          <w:p>
            <w:pPr>
              <w:pStyle w:val="TableParagraph"/>
              <w:spacing w:line="182" w:lineRule="exact"/>
              <w:ind w:left="155"/>
              <w:rPr>
                <w:sz w:val="12"/>
              </w:rPr>
            </w:pPr>
            <w:r>
              <w:rPr>
                <w:color w:val="231F20"/>
                <w:sz w:val="16"/>
              </w:rPr>
              <w:t>by first class mail </w:t>
            </w:r>
            <w:r>
              <w:rPr>
                <w:color w:val="231F20"/>
                <w:sz w:val="12"/>
              </w:rPr>
              <w:t>(2)</w:t>
            </w:r>
          </w:p>
          <w:p>
            <w:pPr>
              <w:pStyle w:val="TableParagraph"/>
              <w:spacing w:line="182" w:lineRule="exact" w:before="157"/>
              <w:ind w:left="35"/>
              <w:rPr>
                <w:b/>
                <w:i/>
                <w:sz w:val="16"/>
              </w:rPr>
            </w:pPr>
            <w:r>
              <w:rPr>
                <w:i/>
                <w:color w:val="231F20"/>
                <w:sz w:val="16"/>
              </w:rPr>
              <w:t>Academics, </w:t>
            </w:r>
            <w:r>
              <w:rPr>
                <w:b/>
                <w:i/>
                <w:color w:val="231F20"/>
                <w:sz w:val="16"/>
              </w:rPr>
              <w:t>UK only</w:t>
            </w:r>
          </w:p>
          <w:p>
            <w:pPr>
              <w:pStyle w:val="TableParagraph"/>
              <w:spacing w:line="182" w:lineRule="exact"/>
              <w:ind w:left="35"/>
              <w:rPr>
                <w:b/>
                <w:i/>
                <w:sz w:val="16"/>
              </w:rPr>
            </w:pPr>
            <w:r>
              <w:rPr>
                <w:i/>
                <w:color w:val="231F20"/>
                <w:sz w:val="16"/>
              </w:rPr>
              <w:t>Students, </w:t>
            </w:r>
            <w:r>
              <w:rPr>
                <w:b/>
                <w:i/>
                <w:color w:val="231F20"/>
                <w:sz w:val="16"/>
              </w:rPr>
              <w:t>UK only</w:t>
            </w:r>
          </w:p>
          <w:p>
            <w:pPr>
              <w:pStyle w:val="TableParagraph"/>
              <w:spacing w:line="235" w:lineRule="auto" w:before="159"/>
              <w:ind w:left="155" w:right="135" w:hanging="120"/>
              <w:rPr>
                <w:sz w:val="16"/>
              </w:rPr>
            </w:pPr>
            <w:r>
              <w:rPr>
                <w:color w:val="231F20"/>
                <w:sz w:val="16"/>
              </w:rPr>
              <w:t>European countries including the Republic of Ireland, by letter service</w:t>
            </w:r>
          </w:p>
          <w:p>
            <w:pPr>
              <w:pStyle w:val="TableParagraph"/>
              <w:spacing w:line="235" w:lineRule="auto" w:before="159"/>
              <w:ind w:left="115" w:right="215" w:hanging="80"/>
              <w:rPr>
                <w:sz w:val="16"/>
              </w:rPr>
            </w:pPr>
            <w:r>
              <w:rPr>
                <w:color w:val="231F20"/>
                <w:sz w:val="16"/>
              </w:rPr>
              <w:t>Countries outside Europe: Surface mail</w:t>
            </w:r>
          </w:p>
          <w:p>
            <w:pPr>
              <w:pStyle w:val="TableParagraph"/>
              <w:tabs>
                <w:tab w:pos="939" w:val="left" w:leader="none"/>
              </w:tabs>
              <w:spacing w:before="156"/>
              <w:ind w:right="256"/>
              <w:jc w:val="right"/>
              <w:rPr>
                <w:sz w:val="12"/>
              </w:rPr>
            </w:pPr>
            <w:r>
              <w:rPr>
                <w:color w:val="231F20"/>
                <w:sz w:val="16"/>
              </w:rPr>
              <w:t>Air mail:</w:t>
              <w:tab/>
              <w:t>Zone 1</w:t>
            </w:r>
            <w:r>
              <w:rPr>
                <w:color w:val="231F20"/>
                <w:spacing w:val="-4"/>
                <w:sz w:val="16"/>
              </w:rPr>
              <w:t> </w:t>
            </w:r>
            <w:r>
              <w:rPr>
                <w:color w:val="231F20"/>
                <w:sz w:val="12"/>
              </w:rPr>
              <w:t>(3)</w:t>
            </w:r>
          </w:p>
          <w:p>
            <w:pPr>
              <w:pStyle w:val="TableParagraph"/>
              <w:spacing w:before="156"/>
              <w:ind w:right="256"/>
              <w:jc w:val="right"/>
              <w:rPr>
                <w:sz w:val="12"/>
              </w:rPr>
            </w:pPr>
            <w:r>
              <w:rPr>
                <w:color w:val="231F20"/>
                <w:sz w:val="16"/>
              </w:rPr>
              <w:t>Zone 2</w:t>
            </w:r>
            <w:r>
              <w:rPr>
                <w:color w:val="231F20"/>
                <w:spacing w:val="-4"/>
                <w:sz w:val="16"/>
              </w:rPr>
              <w:t> </w:t>
            </w:r>
            <w:r>
              <w:rPr>
                <w:color w:val="231F20"/>
                <w:sz w:val="12"/>
              </w:rPr>
              <w:t>(4)</w:t>
            </w:r>
          </w:p>
        </w:tc>
        <w:tc>
          <w:tcPr>
            <w:tcW w:w="1848" w:type="dxa"/>
            <w:tcBorders>
              <w:top w:val="single" w:sz="2" w:space="0" w:color="231F20"/>
              <w:left w:val="single" w:sz="2" w:space="0" w:color="231F20"/>
            </w:tcBorders>
          </w:tcPr>
          <w:p>
            <w:pPr>
              <w:pStyle w:val="TableParagraph"/>
              <w:spacing w:line="160" w:lineRule="exact" w:before="85"/>
              <w:ind w:left="148"/>
              <w:rPr>
                <w:i/>
                <w:sz w:val="16"/>
              </w:rPr>
            </w:pPr>
            <w:r>
              <w:rPr>
                <w:i/>
                <w:color w:val="231F20"/>
                <w:sz w:val="16"/>
              </w:rPr>
              <w:t>Quarterly Bulletin and</w:t>
            </w:r>
          </w:p>
        </w:tc>
        <w:tc>
          <w:tcPr>
            <w:tcW w:w="1821" w:type="dxa"/>
            <w:tcBorders>
              <w:top w:val="single" w:sz="2" w:space="0" w:color="231F20"/>
              <w:right w:val="single" w:sz="2" w:space="0" w:color="231F20"/>
            </w:tcBorders>
          </w:tcPr>
          <w:p>
            <w:pPr>
              <w:pStyle w:val="TableParagraph"/>
              <w:spacing w:line="160" w:lineRule="exact" w:before="85"/>
              <w:ind w:left="303"/>
              <w:rPr>
                <w:i/>
                <w:sz w:val="16"/>
              </w:rPr>
            </w:pPr>
            <w:r>
              <w:rPr>
                <w:i/>
                <w:color w:val="231F20"/>
                <w:sz w:val="16"/>
              </w:rPr>
              <w:t>Inflation Report</w:t>
            </w:r>
          </w:p>
        </w:tc>
        <w:tc>
          <w:tcPr>
            <w:tcW w:w="2100" w:type="dxa"/>
            <w:tcBorders>
              <w:top w:val="single" w:sz="2" w:space="0" w:color="231F20"/>
              <w:left w:val="single" w:sz="2" w:space="0" w:color="231F20"/>
            </w:tcBorders>
          </w:tcPr>
          <w:p>
            <w:pPr>
              <w:pStyle w:val="TableParagraph"/>
              <w:spacing w:line="160" w:lineRule="exact" w:before="85"/>
              <w:ind w:left="299"/>
              <w:rPr>
                <w:i/>
                <w:sz w:val="16"/>
              </w:rPr>
            </w:pPr>
            <w:r>
              <w:rPr>
                <w:i/>
                <w:color w:val="231F20"/>
                <w:sz w:val="16"/>
              </w:rPr>
              <w:t>Quarterly Bulletin and</w:t>
            </w:r>
          </w:p>
        </w:tc>
        <w:tc>
          <w:tcPr>
            <w:tcW w:w="1846" w:type="dxa"/>
            <w:tcBorders>
              <w:top w:val="single" w:sz="2" w:space="0" w:color="231F20"/>
              <w:right w:val="single" w:sz="4" w:space="0" w:color="231F20"/>
            </w:tcBorders>
          </w:tcPr>
          <w:p>
            <w:pPr>
              <w:pStyle w:val="TableParagraph"/>
              <w:spacing w:line="160" w:lineRule="exact" w:before="85"/>
              <w:ind w:left="242"/>
              <w:rPr>
                <w:i/>
                <w:sz w:val="16"/>
              </w:rPr>
            </w:pPr>
            <w:r>
              <w:rPr>
                <w:i/>
                <w:color w:val="231F20"/>
                <w:sz w:val="16"/>
              </w:rPr>
              <w:t>Inflation Report</w:t>
            </w:r>
          </w:p>
        </w:tc>
      </w:tr>
      <w:tr>
        <w:trPr>
          <w:trHeight w:val="260" w:hRule="atLeast"/>
        </w:trPr>
        <w:tc>
          <w:tcPr>
            <w:tcW w:w="1949" w:type="dxa"/>
            <w:vMerge/>
            <w:tcBorders>
              <w:top w:val="nil"/>
              <w:left w:val="single" w:sz="4" w:space="0" w:color="231F20"/>
              <w:bottom w:val="single" w:sz="4" w:space="0" w:color="231F20"/>
              <w:right w:val="single" w:sz="2" w:space="0" w:color="231F20"/>
            </w:tcBorders>
          </w:tcPr>
          <w:p>
            <w:pPr>
              <w:rPr>
                <w:sz w:val="2"/>
                <w:szCs w:val="2"/>
              </w:rPr>
            </w:pPr>
          </w:p>
        </w:tc>
        <w:tc>
          <w:tcPr>
            <w:tcW w:w="1848" w:type="dxa"/>
            <w:tcBorders>
              <w:left w:val="single" w:sz="2" w:space="0" w:color="231F20"/>
            </w:tcBorders>
          </w:tcPr>
          <w:p>
            <w:pPr>
              <w:pStyle w:val="TableParagraph"/>
              <w:spacing w:line="174" w:lineRule="exact"/>
              <w:ind w:left="148"/>
              <w:rPr>
                <w:sz w:val="16"/>
              </w:rPr>
            </w:pPr>
            <w:r>
              <w:rPr>
                <w:i/>
                <w:color w:val="231F20"/>
                <w:sz w:val="16"/>
              </w:rPr>
              <w:t>Inflation Report </w:t>
            </w:r>
            <w:r>
              <w:rPr>
                <w:color w:val="231F20"/>
                <w:sz w:val="16"/>
              </w:rPr>
              <w:t>package</w:t>
            </w:r>
          </w:p>
        </w:tc>
        <w:tc>
          <w:tcPr>
            <w:tcW w:w="1821" w:type="dxa"/>
            <w:tcBorders>
              <w:right w:val="single" w:sz="2" w:space="0" w:color="231F20"/>
            </w:tcBorders>
          </w:tcPr>
          <w:p>
            <w:pPr>
              <w:pStyle w:val="TableParagraph"/>
              <w:spacing w:line="174" w:lineRule="exact"/>
              <w:ind w:left="303"/>
              <w:rPr>
                <w:sz w:val="12"/>
              </w:rPr>
            </w:pPr>
            <w:r>
              <w:rPr>
                <w:color w:val="231F20"/>
                <w:sz w:val="16"/>
              </w:rPr>
              <w:t>only </w:t>
            </w:r>
            <w:r>
              <w:rPr>
                <w:color w:val="231F20"/>
                <w:sz w:val="12"/>
              </w:rPr>
              <w:t>(1)</w:t>
            </w:r>
          </w:p>
        </w:tc>
        <w:tc>
          <w:tcPr>
            <w:tcW w:w="2100" w:type="dxa"/>
            <w:tcBorders>
              <w:left w:val="single" w:sz="2" w:space="0" w:color="231F20"/>
            </w:tcBorders>
          </w:tcPr>
          <w:p>
            <w:pPr>
              <w:pStyle w:val="TableParagraph"/>
              <w:spacing w:line="174" w:lineRule="exact"/>
              <w:ind w:left="299"/>
              <w:rPr>
                <w:sz w:val="16"/>
              </w:rPr>
            </w:pPr>
            <w:r>
              <w:rPr>
                <w:i/>
                <w:color w:val="231F20"/>
                <w:sz w:val="16"/>
              </w:rPr>
              <w:t>Inflation Report </w:t>
            </w:r>
            <w:r>
              <w:rPr>
                <w:color w:val="231F20"/>
                <w:sz w:val="16"/>
              </w:rPr>
              <w:t>package</w:t>
            </w:r>
          </w:p>
        </w:tc>
        <w:tc>
          <w:tcPr>
            <w:tcW w:w="1846" w:type="dxa"/>
            <w:tcBorders>
              <w:right w:val="single" w:sz="4" w:space="0" w:color="231F20"/>
            </w:tcBorders>
          </w:tcPr>
          <w:p>
            <w:pPr>
              <w:pStyle w:val="TableParagraph"/>
              <w:spacing w:line="174" w:lineRule="exact"/>
              <w:ind w:left="242"/>
              <w:rPr>
                <w:sz w:val="12"/>
              </w:rPr>
            </w:pPr>
            <w:r>
              <w:rPr>
                <w:color w:val="231F20"/>
                <w:sz w:val="16"/>
              </w:rPr>
              <w:t>only </w:t>
            </w:r>
            <w:r>
              <w:rPr>
                <w:color w:val="231F20"/>
                <w:sz w:val="12"/>
              </w:rPr>
              <w:t>(1)</w:t>
            </w:r>
          </w:p>
        </w:tc>
      </w:tr>
      <w:tr>
        <w:trPr>
          <w:trHeight w:val="430" w:hRule="atLeast"/>
        </w:trPr>
        <w:tc>
          <w:tcPr>
            <w:tcW w:w="1949" w:type="dxa"/>
            <w:vMerge/>
            <w:tcBorders>
              <w:top w:val="nil"/>
              <w:left w:val="single" w:sz="4" w:space="0" w:color="231F20"/>
              <w:bottom w:val="single" w:sz="4" w:space="0" w:color="231F20"/>
              <w:right w:val="single" w:sz="2" w:space="0" w:color="231F20"/>
            </w:tcBorders>
          </w:tcPr>
          <w:p>
            <w:pPr>
              <w:rPr>
                <w:sz w:val="2"/>
                <w:szCs w:val="2"/>
              </w:rPr>
            </w:pPr>
          </w:p>
        </w:tc>
        <w:tc>
          <w:tcPr>
            <w:tcW w:w="1848" w:type="dxa"/>
            <w:tcBorders>
              <w:left w:val="single" w:sz="2" w:space="0" w:color="231F20"/>
            </w:tcBorders>
          </w:tcPr>
          <w:p>
            <w:pPr>
              <w:pStyle w:val="TableParagraph"/>
              <w:tabs>
                <w:tab w:pos="1108" w:val="left" w:leader="none"/>
              </w:tabs>
              <w:spacing w:before="79"/>
              <w:ind w:left="148"/>
              <w:rPr>
                <w:sz w:val="16"/>
              </w:rPr>
            </w:pPr>
            <w:r>
              <w:rPr>
                <w:color w:val="231F20"/>
                <w:sz w:val="16"/>
              </w:rPr>
              <w:t>Annual</w:t>
              <w:tab/>
              <w:t>Single</w:t>
            </w:r>
          </w:p>
        </w:tc>
        <w:tc>
          <w:tcPr>
            <w:tcW w:w="1821" w:type="dxa"/>
            <w:tcBorders>
              <w:right w:val="single" w:sz="2" w:space="0" w:color="231F20"/>
            </w:tcBorders>
          </w:tcPr>
          <w:p>
            <w:pPr>
              <w:pStyle w:val="TableParagraph"/>
              <w:tabs>
                <w:tab w:pos="1038" w:val="left" w:leader="none"/>
              </w:tabs>
              <w:spacing w:before="79"/>
              <w:ind w:left="183"/>
              <w:rPr>
                <w:sz w:val="16"/>
              </w:rPr>
            </w:pPr>
            <w:r>
              <w:rPr>
                <w:color w:val="231F20"/>
                <w:sz w:val="16"/>
              </w:rPr>
              <w:t>Annual</w:t>
              <w:tab/>
              <w:t>Single</w:t>
            </w:r>
          </w:p>
        </w:tc>
        <w:tc>
          <w:tcPr>
            <w:tcW w:w="2100" w:type="dxa"/>
            <w:tcBorders>
              <w:left w:val="single" w:sz="2" w:space="0" w:color="231F20"/>
            </w:tcBorders>
          </w:tcPr>
          <w:p>
            <w:pPr>
              <w:pStyle w:val="TableParagraph"/>
              <w:tabs>
                <w:tab w:pos="1379" w:val="left" w:leader="none"/>
              </w:tabs>
              <w:spacing w:before="79"/>
              <w:ind w:left="359"/>
              <w:rPr>
                <w:sz w:val="16"/>
              </w:rPr>
            </w:pPr>
            <w:r>
              <w:rPr>
                <w:color w:val="231F20"/>
                <w:sz w:val="16"/>
              </w:rPr>
              <w:t>Annual</w:t>
              <w:tab/>
              <w:t>Single</w:t>
            </w:r>
          </w:p>
        </w:tc>
        <w:tc>
          <w:tcPr>
            <w:tcW w:w="1846" w:type="dxa"/>
            <w:tcBorders>
              <w:right w:val="single" w:sz="4" w:space="0" w:color="231F20"/>
            </w:tcBorders>
          </w:tcPr>
          <w:p>
            <w:pPr>
              <w:pStyle w:val="TableParagraph"/>
              <w:tabs>
                <w:tab w:pos="962" w:val="left" w:leader="none"/>
              </w:tabs>
              <w:spacing w:before="79"/>
              <w:ind w:left="222"/>
              <w:rPr>
                <w:sz w:val="16"/>
              </w:rPr>
            </w:pPr>
            <w:r>
              <w:rPr>
                <w:color w:val="231F20"/>
                <w:sz w:val="16"/>
              </w:rPr>
              <w:t>Annual</w:t>
              <w:tab/>
              <w:t>Single</w:t>
            </w:r>
          </w:p>
        </w:tc>
      </w:tr>
      <w:tr>
        <w:trPr>
          <w:trHeight w:val="420" w:hRule="atLeast"/>
        </w:trPr>
        <w:tc>
          <w:tcPr>
            <w:tcW w:w="1949" w:type="dxa"/>
            <w:vMerge/>
            <w:tcBorders>
              <w:top w:val="nil"/>
              <w:left w:val="single" w:sz="4" w:space="0" w:color="231F20"/>
              <w:bottom w:val="single" w:sz="4" w:space="0" w:color="231F20"/>
              <w:right w:val="single" w:sz="2" w:space="0" w:color="231F20"/>
            </w:tcBorders>
          </w:tcPr>
          <w:p>
            <w:pPr>
              <w:rPr>
                <w:sz w:val="2"/>
                <w:szCs w:val="2"/>
              </w:rPr>
            </w:pPr>
          </w:p>
        </w:tc>
        <w:tc>
          <w:tcPr>
            <w:tcW w:w="1848" w:type="dxa"/>
            <w:tcBorders>
              <w:left w:val="single" w:sz="2" w:space="0" w:color="231F20"/>
            </w:tcBorders>
          </w:tcPr>
          <w:p>
            <w:pPr>
              <w:pStyle w:val="TableParagraph"/>
              <w:tabs>
                <w:tab w:pos="1056" w:val="left" w:leader="none"/>
              </w:tabs>
              <w:spacing w:before="159"/>
              <w:ind w:left="188"/>
              <w:rPr>
                <w:sz w:val="16"/>
              </w:rPr>
            </w:pPr>
            <w:r>
              <w:rPr>
                <w:color w:val="231F20"/>
                <w:sz w:val="16"/>
              </w:rPr>
              <w:t>£40.00</w:t>
              <w:tab/>
              <w:t>£10.00</w:t>
            </w:r>
          </w:p>
        </w:tc>
        <w:tc>
          <w:tcPr>
            <w:tcW w:w="1821" w:type="dxa"/>
            <w:tcBorders>
              <w:right w:val="single" w:sz="2" w:space="0" w:color="231F20"/>
            </w:tcBorders>
          </w:tcPr>
          <w:p>
            <w:pPr>
              <w:pStyle w:val="TableParagraph"/>
              <w:tabs>
                <w:tab w:pos="1062" w:val="left" w:leader="none"/>
              </w:tabs>
              <w:spacing w:before="159"/>
              <w:ind w:left="118"/>
              <w:rPr>
                <w:sz w:val="16"/>
              </w:rPr>
            </w:pPr>
            <w:r>
              <w:rPr>
                <w:color w:val="231F20"/>
                <w:sz w:val="16"/>
              </w:rPr>
              <w:t>£12.00</w:t>
              <w:tab/>
              <w:t>£3.00</w:t>
            </w:r>
          </w:p>
        </w:tc>
        <w:tc>
          <w:tcPr>
            <w:tcW w:w="2100" w:type="dxa"/>
            <w:tcBorders>
              <w:left w:val="single" w:sz="2" w:space="0" w:color="231F20"/>
            </w:tcBorders>
          </w:tcPr>
          <w:p>
            <w:pPr>
              <w:pStyle w:val="TableParagraph"/>
              <w:tabs>
                <w:tab w:pos="1376" w:val="left" w:leader="none"/>
              </w:tabs>
              <w:spacing w:before="159"/>
              <w:ind w:left="519"/>
              <w:rPr>
                <w:sz w:val="16"/>
              </w:rPr>
            </w:pPr>
            <w:r>
              <w:rPr>
                <w:color w:val="231F20"/>
                <w:sz w:val="16"/>
              </w:rPr>
              <w:t>£40.00</w:t>
              <w:tab/>
              <w:t>£10.00</w:t>
            </w:r>
          </w:p>
        </w:tc>
        <w:tc>
          <w:tcPr>
            <w:tcW w:w="1846" w:type="dxa"/>
            <w:tcBorders>
              <w:right w:val="single" w:sz="4" w:space="0" w:color="231F20"/>
            </w:tcBorders>
          </w:tcPr>
          <w:p>
            <w:pPr>
              <w:pStyle w:val="TableParagraph"/>
              <w:tabs>
                <w:tab w:pos="1041" w:val="left" w:leader="none"/>
              </w:tabs>
              <w:spacing w:before="159"/>
              <w:ind w:left="262"/>
              <w:rPr>
                <w:sz w:val="16"/>
              </w:rPr>
            </w:pPr>
            <w:r>
              <w:rPr>
                <w:color w:val="231F20"/>
                <w:sz w:val="16"/>
              </w:rPr>
              <w:t>£12.00</w:t>
              <w:tab/>
              <w:t>£3.00</w:t>
            </w:r>
          </w:p>
        </w:tc>
      </w:tr>
      <w:tr>
        <w:trPr>
          <w:trHeight w:val="250" w:hRule="atLeast"/>
        </w:trPr>
        <w:tc>
          <w:tcPr>
            <w:tcW w:w="1949" w:type="dxa"/>
            <w:vMerge/>
            <w:tcBorders>
              <w:top w:val="nil"/>
              <w:left w:val="single" w:sz="4" w:space="0" w:color="231F20"/>
              <w:bottom w:val="single" w:sz="4" w:space="0" w:color="231F20"/>
              <w:right w:val="single" w:sz="2" w:space="0" w:color="231F20"/>
            </w:tcBorders>
          </w:tcPr>
          <w:p>
            <w:pPr>
              <w:rPr>
                <w:sz w:val="2"/>
                <w:szCs w:val="2"/>
              </w:rPr>
            </w:pPr>
          </w:p>
        </w:tc>
        <w:tc>
          <w:tcPr>
            <w:tcW w:w="1848" w:type="dxa"/>
            <w:tcBorders>
              <w:left w:val="single" w:sz="2" w:space="0" w:color="231F20"/>
            </w:tcBorders>
          </w:tcPr>
          <w:p>
            <w:pPr>
              <w:pStyle w:val="TableParagraph"/>
              <w:tabs>
                <w:tab w:pos="1136" w:val="left" w:leader="none"/>
              </w:tabs>
              <w:spacing w:line="160" w:lineRule="exact" w:before="69"/>
              <w:ind w:left="188"/>
              <w:rPr>
                <w:i/>
                <w:sz w:val="16"/>
              </w:rPr>
            </w:pPr>
            <w:r>
              <w:rPr>
                <w:i/>
                <w:color w:val="231F20"/>
                <w:sz w:val="16"/>
              </w:rPr>
              <w:t>£27.00</w:t>
              <w:tab/>
              <w:t>£6.75</w:t>
            </w:r>
          </w:p>
        </w:tc>
        <w:tc>
          <w:tcPr>
            <w:tcW w:w="1821" w:type="dxa"/>
            <w:tcBorders>
              <w:right w:val="single" w:sz="2" w:space="0" w:color="231F20"/>
            </w:tcBorders>
          </w:tcPr>
          <w:p>
            <w:pPr>
              <w:pStyle w:val="TableParagraph"/>
              <w:tabs>
                <w:tab w:pos="1062" w:val="left" w:leader="none"/>
              </w:tabs>
              <w:spacing w:line="160" w:lineRule="exact" w:before="69"/>
              <w:ind w:left="198"/>
              <w:rPr>
                <w:i/>
                <w:sz w:val="16"/>
              </w:rPr>
            </w:pPr>
            <w:r>
              <w:rPr>
                <w:i/>
                <w:color w:val="231F20"/>
                <w:sz w:val="16"/>
              </w:rPr>
              <w:t>£8.00</w:t>
              <w:tab/>
              <w:t>£2.00</w:t>
            </w:r>
          </w:p>
        </w:tc>
        <w:tc>
          <w:tcPr>
            <w:tcW w:w="2100" w:type="dxa"/>
            <w:tcBorders>
              <w:left w:val="single" w:sz="2" w:space="0" w:color="231F20"/>
            </w:tcBorders>
          </w:tcPr>
          <w:p>
            <w:pPr>
              <w:pStyle w:val="TableParagraph"/>
              <w:tabs>
                <w:tab w:pos="1416" w:val="left" w:leader="none"/>
              </w:tabs>
              <w:spacing w:line="160" w:lineRule="exact" w:before="69"/>
              <w:ind w:left="519"/>
              <w:rPr>
                <w:i/>
                <w:sz w:val="16"/>
              </w:rPr>
            </w:pPr>
            <w:r>
              <w:rPr>
                <w:i/>
                <w:color w:val="231F20"/>
                <w:sz w:val="16"/>
              </w:rPr>
              <w:t>£27.00</w:t>
              <w:tab/>
              <w:t>£6.75</w:t>
            </w:r>
          </w:p>
        </w:tc>
        <w:tc>
          <w:tcPr>
            <w:tcW w:w="1846" w:type="dxa"/>
            <w:tcBorders>
              <w:right w:val="single" w:sz="4" w:space="0" w:color="231F20"/>
            </w:tcBorders>
          </w:tcPr>
          <w:p>
            <w:pPr>
              <w:pStyle w:val="TableParagraph"/>
              <w:tabs>
                <w:tab w:pos="1041" w:val="left" w:leader="none"/>
              </w:tabs>
              <w:spacing w:line="160" w:lineRule="exact" w:before="69"/>
              <w:ind w:left="302"/>
              <w:rPr>
                <w:i/>
                <w:sz w:val="16"/>
              </w:rPr>
            </w:pPr>
            <w:r>
              <w:rPr>
                <w:i/>
                <w:color w:val="231F20"/>
                <w:sz w:val="16"/>
              </w:rPr>
              <w:t>£8.00</w:t>
              <w:tab/>
              <w:t>£2.00</w:t>
            </w:r>
          </w:p>
        </w:tc>
      </w:tr>
      <w:tr>
        <w:trPr>
          <w:trHeight w:val="430" w:hRule="atLeast"/>
        </w:trPr>
        <w:tc>
          <w:tcPr>
            <w:tcW w:w="1949" w:type="dxa"/>
            <w:vMerge/>
            <w:tcBorders>
              <w:top w:val="nil"/>
              <w:left w:val="single" w:sz="4" w:space="0" w:color="231F20"/>
              <w:bottom w:val="single" w:sz="4" w:space="0" w:color="231F20"/>
              <w:right w:val="single" w:sz="2" w:space="0" w:color="231F20"/>
            </w:tcBorders>
          </w:tcPr>
          <w:p>
            <w:pPr>
              <w:rPr>
                <w:sz w:val="2"/>
                <w:szCs w:val="2"/>
              </w:rPr>
            </w:pPr>
          </w:p>
        </w:tc>
        <w:tc>
          <w:tcPr>
            <w:tcW w:w="1848" w:type="dxa"/>
            <w:tcBorders>
              <w:left w:val="single" w:sz="2" w:space="0" w:color="231F20"/>
            </w:tcBorders>
          </w:tcPr>
          <w:p>
            <w:pPr>
              <w:pStyle w:val="TableParagraph"/>
              <w:tabs>
                <w:tab w:pos="1136" w:val="left" w:leader="none"/>
              </w:tabs>
              <w:spacing w:line="174" w:lineRule="exact"/>
              <w:ind w:left="188"/>
              <w:rPr>
                <w:i/>
                <w:sz w:val="16"/>
              </w:rPr>
            </w:pPr>
            <w:r>
              <w:rPr>
                <w:i/>
                <w:color w:val="231F20"/>
                <w:sz w:val="16"/>
              </w:rPr>
              <w:t>£14.00</w:t>
              <w:tab/>
              <w:t>£3.50</w:t>
            </w:r>
          </w:p>
        </w:tc>
        <w:tc>
          <w:tcPr>
            <w:tcW w:w="1821" w:type="dxa"/>
            <w:tcBorders>
              <w:right w:val="single" w:sz="2" w:space="0" w:color="231F20"/>
            </w:tcBorders>
          </w:tcPr>
          <w:p>
            <w:pPr>
              <w:pStyle w:val="TableParagraph"/>
              <w:tabs>
                <w:tab w:pos="1062" w:val="left" w:leader="none"/>
              </w:tabs>
              <w:spacing w:line="174" w:lineRule="exact"/>
              <w:ind w:left="198"/>
              <w:rPr>
                <w:i/>
                <w:sz w:val="16"/>
              </w:rPr>
            </w:pPr>
            <w:r>
              <w:rPr>
                <w:i/>
                <w:color w:val="231F20"/>
                <w:sz w:val="16"/>
              </w:rPr>
              <w:t>£4.50</w:t>
              <w:tab/>
              <w:t>£1.50</w:t>
            </w:r>
          </w:p>
        </w:tc>
        <w:tc>
          <w:tcPr>
            <w:tcW w:w="2100" w:type="dxa"/>
            <w:tcBorders>
              <w:left w:val="single" w:sz="2" w:space="0" w:color="231F20"/>
            </w:tcBorders>
          </w:tcPr>
          <w:p>
            <w:pPr>
              <w:pStyle w:val="TableParagraph"/>
              <w:tabs>
                <w:tab w:pos="1416" w:val="left" w:leader="none"/>
              </w:tabs>
              <w:spacing w:line="174" w:lineRule="exact"/>
              <w:ind w:left="519"/>
              <w:rPr>
                <w:i/>
                <w:sz w:val="16"/>
              </w:rPr>
            </w:pPr>
            <w:r>
              <w:rPr>
                <w:i/>
                <w:color w:val="231F20"/>
                <w:sz w:val="16"/>
              </w:rPr>
              <w:t>£14.00</w:t>
              <w:tab/>
              <w:t>£3.50</w:t>
            </w:r>
          </w:p>
        </w:tc>
        <w:tc>
          <w:tcPr>
            <w:tcW w:w="1846" w:type="dxa"/>
            <w:tcBorders>
              <w:right w:val="single" w:sz="4" w:space="0" w:color="231F20"/>
            </w:tcBorders>
          </w:tcPr>
          <w:p>
            <w:pPr>
              <w:pStyle w:val="TableParagraph"/>
              <w:tabs>
                <w:tab w:pos="1041" w:val="left" w:leader="none"/>
              </w:tabs>
              <w:spacing w:line="174" w:lineRule="exact"/>
              <w:ind w:left="302"/>
              <w:rPr>
                <w:i/>
                <w:sz w:val="16"/>
              </w:rPr>
            </w:pPr>
            <w:r>
              <w:rPr>
                <w:i/>
                <w:color w:val="231F20"/>
                <w:sz w:val="16"/>
              </w:rPr>
              <w:t>£4.50</w:t>
              <w:tab/>
              <w:t>£1.50</w:t>
            </w:r>
          </w:p>
        </w:tc>
      </w:tr>
      <w:tr>
        <w:trPr>
          <w:trHeight w:val="600" w:hRule="atLeast"/>
        </w:trPr>
        <w:tc>
          <w:tcPr>
            <w:tcW w:w="1949" w:type="dxa"/>
            <w:vMerge/>
            <w:tcBorders>
              <w:top w:val="nil"/>
              <w:left w:val="single" w:sz="4" w:space="0" w:color="231F20"/>
              <w:bottom w:val="single" w:sz="4" w:space="0" w:color="231F20"/>
              <w:right w:val="single" w:sz="2" w:space="0" w:color="231F20"/>
            </w:tcBorders>
          </w:tcPr>
          <w:p>
            <w:pPr>
              <w:rPr>
                <w:sz w:val="2"/>
                <w:szCs w:val="2"/>
              </w:rPr>
            </w:pPr>
          </w:p>
        </w:tc>
        <w:tc>
          <w:tcPr>
            <w:tcW w:w="1848" w:type="dxa"/>
            <w:tcBorders>
              <w:left w:val="single" w:sz="2" w:space="0" w:color="231F20"/>
            </w:tcBorders>
          </w:tcPr>
          <w:p>
            <w:pPr>
              <w:pStyle w:val="TableParagraph"/>
              <w:spacing w:before="8"/>
              <w:rPr>
                <w:sz w:val="21"/>
              </w:rPr>
            </w:pPr>
          </w:p>
          <w:p>
            <w:pPr>
              <w:pStyle w:val="TableParagraph"/>
              <w:tabs>
                <w:tab w:pos="1056" w:val="left" w:leader="none"/>
              </w:tabs>
              <w:ind w:left="188"/>
              <w:rPr>
                <w:sz w:val="16"/>
              </w:rPr>
            </w:pPr>
            <w:r>
              <w:rPr>
                <w:color w:val="231F20"/>
                <w:sz w:val="16"/>
              </w:rPr>
              <w:t>£48.00</w:t>
              <w:tab/>
              <w:t>£12.00</w:t>
            </w:r>
          </w:p>
        </w:tc>
        <w:tc>
          <w:tcPr>
            <w:tcW w:w="1821" w:type="dxa"/>
            <w:tcBorders>
              <w:right w:val="single" w:sz="2" w:space="0" w:color="231F20"/>
            </w:tcBorders>
          </w:tcPr>
          <w:p>
            <w:pPr>
              <w:pStyle w:val="TableParagraph"/>
              <w:spacing w:before="8"/>
              <w:rPr>
                <w:sz w:val="21"/>
              </w:rPr>
            </w:pPr>
          </w:p>
          <w:p>
            <w:pPr>
              <w:pStyle w:val="TableParagraph"/>
              <w:tabs>
                <w:tab w:pos="1063" w:val="left" w:leader="none"/>
              </w:tabs>
              <w:ind w:left="118"/>
              <w:rPr>
                <w:sz w:val="16"/>
              </w:rPr>
            </w:pPr>
            <w:r>
              <w:rPr>
                <w:color w:val="231F20"/>
                <w:sz w:val="16"/>
              </w:rPr>
              <w:t>£14.00</w:t>
              <w:tab/>
              <w:t>£3.50</w:t>
            </w:r>
          </w:p>
        </w:tc>
        <w:tc>
          <w:tcPr>
            <w:tcW w:w="2100" w:type="dxa"/>
            <w:tcBorders>
              <w:left w:val="single" w:sz="2" w:space="0" w:color="231F20"/>
            </w:tcBorders>
          </w:tcPr>
          <w:p>
            <w:pPr>
              <w:pStyle w:val="TableParagraph"/>
              <w:spacing w:before="8"/>
              <w:rPr>
                <w:sz w:val="21"/>
              </w:rPr>
            </w:pPr>
          </w:p>
          <w:p>
            <w:pPr>
              <w:pStyle w:val="TableParagraph"/>
              <w:tabs>
                <w:tab w:pos="1376" w:val="left" w:leader="none"/>
              </w:tabs>
              <w:ind w:left="519"/>
              <w:rPr>
                <w:sz w:val="16"/>
              </w:rPr>
            </w:pPr>
            <w:r>
              <w:rPr>
                <w:color w:val="231F20"/>
                <w:sz w:val="16"/>
              </w:rPr>
              <w:t>£48.00</w:t>
              <w:tab/>
              <w:t>£12.00</w:t>
            </w:r>
          </w:p>
        </w:tc>
        <w:tc>
          <w:tcPr>
            <w:tcW w:w="1846" w:type="dxa"/>
            <w:tcBorders>
              <w:right w:val="single" w:sz="4" w:space="0" w:color="231F20"/>
            </w:tcBorders>
          </w:tcPr>
          <w:p>
            <w:pPr>
              <w:pStyle w:val="TableParagraph"/>
              <w:spacing w:before="8"/>
              <w:rPr>
                <w:sz w:val="21"/>
              </w:rPr>
            </w:pPr>
          </w:p>
          <w:p>
            <w:pPr>
              <w:pStyle w:val="TableParagraph"/>
              <w:tabs>
                <w:tab w:pos="1042" w:val="left" w:leader="none"/>
              </w:tabs>
              <w:ind w:left="262"/>
              <w:rPr>
                <w:sz w:val="16"/>
              </w:rPr>
            </w:pPr>
            <w:r>
              <w:rPr>
                <w:color w:val="231F20"/>
                <w:sz w:val="16"/>
              </w:rPr>
              <w:t>£14.00</w:t>
              <w:tab/>
              <w:t>£3.50</w:t>
            </w:r>
          </w:p>
        </w:tc>
      </w:tr>
      <w:tr>
        <w:trPr>
          <w:trHeight w:val="420" w:hRule="atLeast"/>
        </w:trPr>
        <w:tc>
          <w:tcPr>
            <w:tcW w:w="1949" w:type="dxa"/>
            <w:vMerge/>
            <w:tcBorders>
              <w:top w:val="nil"/>
              <w:left w:val="single" w:sz="4" w:space="0" w:color="231F20"/>
              <w:bottom w:val="single" w:sz="4" w:space="0" w:color="231F20"/>
              <w:right w:val="single" w:sz="2" w:space="0" w:color="231F20"/>
            </w:tcBorders>
          </w:tcPr>
          <w:p>
            <w:pPr>
              <w:rPr>
                <w:sz w:val="2"/>
                <w:szCs w:val="2"/>
              </w:rPr>
            </w:pPr>
          </w:p>
        </w:tc>
        <w:tc>
          <w:tcPr>
            <w:tcW w:w="1848" w:type="dxa"/>
            <w:tcBorders>
              <w:left w:val="single" w:sz="2" w:space="0" w:color="231F20"/>
            </w:tcBorders>
          </w:tcPr>
          <w:p>
            <w:pPr>
              <w:pStyle w:val="TableParagraph"/>
              <w:tabs>
                <w:tab w:pos="1056" w:val="left" w:leader="none"/>
              </w:tabs>
              <w:spacing w:before="159"/>
              <w:ind w:left="188"/>
              <w:rPr>
                <w:sz w:val="16"/>
              </w:rPr>
            </w:pPr>
            <w:r>
              <w:rPr>
                <w:color w:val="231F20"/>
                <w:sz w:val="16"/>
              </w:rPr>
              <w:t>£48.00</w:t>
              <w:tab/>
              <w:t>£12.00</w:t>
            </w:r>
          </w:p>
        </w:tc>
        <w:tc>
          <w:tcPr>
            <w:tcW w:w="1821" w:type="dxa"/>
            <w:tcBorders>
              <w:right w:val="single" w:sz="2" w:space="0" w:color="231F20"/>
            </w:tcBorders>
          </w:tcPr>
          <w:p>
            <w:pPr>
              <w:pStyle w:val="TableParagraph"/>
              <w:tabs>
                <w:tab w:pos="1063" w:val="left" w:leader="none"/>
              </w:tabs>
              <w:spacing w:before="159"/>
              <w:ind w:left="118"/>
              <w:rPr>
                <w:sz w:val="16"/>
              </w:rPr>
            </w:pPr>
            <w:r>
              <w:rPr>
                <w:color w:val="231F20"/>
                <w:sz w:val="16"/>
              </w:rPr>
              <w:t>£14.00</w:t>
              <w:tab/>
              <w:t>£3.50</w:t>
            </w:r>
          </w:p>
        </w:tc>
        <w:tc>
          <w:tcPr>
            <w:tcW w:w="2100" w:type="dxa"/>
            <w:tcBorders>
              <w:left w:val="single" w:sz="2" w:space="0" w:color="231F20"/>
            </w:tcBorders>
          </w:tcPr>
          <w:p>
            <w:pPr>
              <w:pStyle w:val="TableParagraph"/>
              <w:tabs>
                <w:tab w:pos="1376" w:val="left" w:leader="none"/>
              </w:tabs>
              <w:spacing w:before="159"/>
              <w:ind w:left="519"/>
              <w:rPr>
                <w:sz w:val="16"/>
              </w:rPr>
            </w:pPr>
            <w:r>
              <w:rPr>
                <w:color w:val="231F20"/>
                <w:sz w:val="16"/>
              </w:rPr>
              <w:t>£48.00</w:t>
              <w:tab/>
              <w:t>£12.00</w:t>
            </w:r>
          </w:p>
        </w:tc>
        <w:tc>
          <w:tcPr>
            <w:tcW w:w="1846" w:type="dxa"/>
            <w:tcBorders>
              <w:right w:val="single" w:sz="4" w:space="0" w:color="231F20"/>
            </w:tcBorders>
          </w:tcPr>
          <w:p>
            <w:pPr>
              <w:pStyle w:val="TableParagraph"/>
              <w:tabs>
                <w:tab w:pos="1042" w:val="left" w:leader="none"/>
              </w:tabs>
              <w:spacing w:before="159"/>
              <w:ind w:left="262"/>
              <w:rPr>
                <w:sz w:val="16"/>
              </w:rPr>
            </w:pPr>
            <w:r>
              <w:rPr>
                <w:color w:val="231F20"/>
                <w:sz w:val="16"/>
              </w:rPr>
              <w:t>£14.00</w:t>
              <w:tab/>
              <w:t>£3.50</w:t>
            </w:r>
          </w:p>
        </w:tc>
      </w:tr>
      <w:tr>
        <w:trPr>
          <w:trHeight w:val="330" w:hRule="atLeast"/>
        </w:trPr>
        <w:tc>
          <w:tcPr>
            <w:tcW w:w="1949" w:type="dxa"/>
            <w:vMerge/>
            <w:tcBorders>
              <w:top w:val="nil"/>
              <w:left w:val="single" w:sz="4" w:space="0" w:color="231F20"/>
              <w:bottom w:val="single" w:sz="4" w:space="0" w:color="231F20"/>
              <w:right w:val="single" w:sz="2" w:space="0" w:color="231F20"/>
            </w:tcBorders>
          </w:tcPr>
          <w:p>
            <w:pPr>
              <w:rPr>
                <w:sz w:val="2"/>
                <w:szCs w:val="2"/>
              </w:rPr>
            </w:pPr>
          </w:p>
        </w:tc>
        <w:tc>
          <w:tcPr>
            <w:tcW w:w="1848" w:type="dxa"/>
            <w:tcBorders>
              <w:left w:val="single" w:sz="2" w:space="0" w:color="231F20"/>
            </w:tcBorders>
          </w:tcPr>
          <w:p>
            <w:pPr>
              <w:pStyle w:val="TableParagraph"/>
              <w:tabs>
                <w:tab w:pos="1056" w:val="left" w:leader="none"/>
              </w:tabs>
              <w:spacing w:before="69"/>
              <w:ind w:left="188"/>
              <w:rPr>
                <w:sz w:val="16"/>
              </w:rPr>
            </w:pPr>
            <w:r>
              <w:rPr>
                <w:color w:val="231F20"/>
                <w:sz w:val="16"/>
              </w:rPr>
              <w:t>£64.00</w:t>
              <w:tab/>
              <w:t>£16.00</w:t>
            </w:r>
          </w:p>
        </w:tc>
        <w:tc>
          <w:tcPr>
            <w:tcW w:w="1821" w:type="dxa"/>
            <w:tcBorders>
              <w:right w:val="single" w:sz="2" w:space="0" w:color="231F20"/>
            </w:tcBorders>
          </w:tcPr>
          <w:p>
            <w:pPr>
              <w:pStyle w:val="TableParagraph"/>
              <w:tabs>
                <w:tab w:pos="1062" w:val="left" w:leader="none"/>
              </w:tabs>
              <w:spacing w:before="69"/>
              <w:ind w:left="118"/>
              <w:rPr>
                <w:sz w:val="16"/>
              </w:rPr>
            </w:pPr>
            <w:r>
              <w:rPr>
                <w:color w:val="231F20"/>
                <w:sz w:val="16"/>
              </w:rPr>
              <w:t>£21.00</w:t>
              <w:tab/>
              <w:t>£5.25</w:t>
            </w:r>
          </w:p>
        </w:tc>
        <w:tc>
          <w:tcPr>
            <w:tcW w:w="2100" w:type="dxa"/>
            <w:tcBorders>
              <w:left w:val="single" w:sz="2" w:space="0" w:color="231F20"/>
            </w:tcBorders>
          </w:tcPr>
          <w:p>
            <w:pPr>
              <w:pStyle w:val="TableParagraph"/>
              <w:tabs>
                <w:tab w:pos="1376" w:val="left" w:leader="none"/>
              </w:tabs>
              <w:spacing w:before="69"/>
              <w:ind w:left="519"/>
              <w:rPr>
                <w:sz w:val="16"/>
              </w:rPr>
            </w:pPr>
            <w:r>
              <w:rPr>
                <w:color w:val="231F20"/>
                <w:sz w:val="16"/>
              </w:rPr>
              <w:t>£64.00</w:t>
              <w:tab/>
              <w:t>£16.00</w:t>
            </w:r>
          </w:p>
        </w:tc>
        <w:tc>
          <w:tcPr>
            <w:tcW w:w="1846" w:type="dxa"/>
            <w:tcBorders>
              <w:right w:val="single" w:sz="4" w:space="0" w:color="231F20"/>
            </w:tcBorders>
          </w:tcPr>
          <w:p>
            <w:pPr>
              <w:pStyle w:val="TableParagraph"/>
              <w:tabs>
                <w:tab w:pos="1041" w:val="left" w:leader="none"/>
              </w:tabs>
              <w:spacing w:before="69"/>
              <w:ind w:left="262"/>
              <w:rPr>
                <w:sz w:val="16"/>
              </w:rPr>
            </w:pPr>
            <w:r>
              <w:rPr>
                <w:color w:val="231F20"/>
                <w:sz w:val="16"/>
              </w:rPr>
              <w:t>£21.00</w:t>
              <w:tab/>
              <w:t>£5.25</w:t>
            </w:r>
          </w:p>
        </w:tc>
      </w:tr>
      <w:tr>
        <w:trPr>
          <w:trHeight w:val="347" w:hRule="atLeast"/>
        </w:trPr>
        <w:tc>
          <w:tcPr>
            <w:tcW w:w="1949" w:type="dxa"/>
            <w:vMerge/>
            <w:tcBorders>
              <w:top w:val="nil"/>
              <w:left w:val="single" w:sz="4" w:space="0" w:color="231F20"/>
              <w:bottom w:val="single" w:sz="4" w:space="0" w:color="231F20"/>
              <w:right w:val="single" w:sz="2" w:space="0" w:color="231F20"/>
            </w:tcBorders>
          </w:tcPr>
          <w:p>
            <w:pPr>
              <w:rPr>
                <w:sz w:val="2"/>
                <w:szCs w:val="2"/>
              </w:rPr>
            </w:pPr>
          </w:p>
        </w:tc>
        <w:tc>
          <w:tcPr>
            <w:tcW w:w="1848" w:type="dxa"/>
            <w:tcBorders>
              <w:left w:val="single" w:sz="2" w:space="0" w:color="231F20"/>
              <w:bottom w:val="single" w:sz="4" w:space="0" w:color="231F20"/>
            </w:tcBorders>
          </w:tcPr>
          <w:p>
            <w:pPr>
              <w:pStyle w:val="TableParagraph"/>
              <w:tabs>
                <w:tab w:pos="1056" w:val="left" w:leader="none"/>
              </w:tabs>
              <w:spacing w:before="69"/>
              <w:ind w:left="188"/>
              <w:rPr>
                <w:sz w:val="16"/>
              </w:rPr>
            </w:pPr>
            <w:r>
              <w:rPr>
                <w:color w:val="231F20"/>
                <w:sz w:val="16"/>
              </w:rPr>
              <w:t>£66.00</w:t>
              <w:tab/>
              <w:t>£16.50</w:t>
            </w:r>
          </w:p>
        </w:tc>
        <w:tc>
          <w:tcPr>
            <w:tcW w:w="1821" w:type="dxa"/>
            <w:tcBorders>
              <w:bottom w:val="single" w:sz="4" w:space="0" w:color="231F20"/>
              <w:right w:val="single" w:sz="2" w:space="0" w:color="231F20"/>
            </w:tcBorders>
          </w:tcPr>
          <w:p>
            <w:pPr>
              <w:pStyle w:val="TableParagraph"/>
              <w:tabs>
                <w:tab w:pos="1062" w:val="left" w:leader="none"/>
              </w:tabs>
              <w:spacing w:before="69"/>
              <w:ind w:left="118"/>
              <w:rPr>
                <w:sz w:val="16"/>
              </w:rPr>
            </w:pPr>
            <w:r>
              <w:rPr>
                <w:color w:val="231F20"/>
                <w:sz w:val="16"/>
              </w:rPr>
              <w:t>£22.00</w:t>
              <w:tab/>
              <w:t>£5.50</w:t>
            </w:r>
          </w:p>
        </w:tc>
        <w:tc>
          <w:tcPr>
            <w:tcW w:w="2100" w:type="dxa"/>
            <w:tcBorders>
              <w:left w:val="single" w:sz="2" w:space="0" w:color="231F20"/>
              <w:bottom w:val="single" w:sz="4" w:space="0" w:color="231F20"/>
            </w:tcBorders>
          </w:tcPr>
          <w:p>
            <w:pPr>
              <w:pStyle w:val="TableParagraph"/>
              <w:tabs>
                <w:tab w:pos="1376" w:val="left" w:leader="none"/>
              </w:tabs>
              <w:spacing w:before="69"/>
              <w:ind w:left="519"/>
              <w:rPr>
                <w:sz w:val="16"/>
              </w:rPr>
            </w:pPr>
            <w:r>
              <w:rPr>
                <w:color w:val="231F20"/>
                <w:sz w:val="16"/>
              </w:rPr>
              <w:t>£66.00</w:t>
              <w:tab/>
              <w:t>£16.50</w:t>
            </w:r>
          </w:p>
        </w:tc>
        <w:tc>
          <w:tcPr>
            <w:tcW w:w="1846" w:type="dxa"/>
            <w:tcBorders>
              <w:bottom w:val="single" w:sz="4" w:space="0" w:color="231F20"/>
              <w:right w:val="single" w:sz="4" w:space="0" w:color="231F20"/>
            </w:tcBorders>
          </w:tcPr>
          <w:p>
            <w:pPr>
              <w:pStyle w:val="TableParagraph"/>
              <w:tabs>
                <w:tab w:pos="1041" w:val="left" w:leader="none"/>
              </w:tabs>
              <w:spacing w:before="69"/>
              <w:ind w:left="262"/>
              <w:rPr>
                <w:sz w:val="16"/>
              </w:rPr>
            </w:pPr>
            <w:r>
              <w:rPr>
                <w:color w:val="231F20"/>
                <w:sz w:val="16"/>
              </w:rPr>
              <w:t>£22.00</w:t>
              <w:tab/>
              <w:t>£5.50</w:t>
            </w:r>
          </w:p>
        </w:tc>
      </w:tr>
    </w:tbl>
    <w:p>
      <w:pPr>
        <w:pStyle w:val="ListParagraph"/>
        <w:numPr>
          <w:ilvl w:val="0"/>
          <w:numId w:val="53"/>
        </w:numPr>
        <w:tabs>
          <w:tab w:pos="426" w:val="left" w:leader="none"/>
        </w:tabs>
        <w:spacing w:line="150" w:lineRule="exact" w:before="11" w:after="0"/>
        <w:ind w:left="425" w:right="0" w:hanging="225"/>
        <w:jc w:val="left"/>
        <w:rPr>
          <w:sz w:val="14"/>
        </w:rPr>
      </w:pPr>
      <w:r>
        <w:rPr>
          <w:color w:val="231F20"/>
          <w:sz w:val="14"/>
        </w:rPr>
        <w:t>There is a 25% discount if five copies or more are purchased.</w:t>
      </w:r>
    </w:p>
    <w:p>
      <w:pPr>
        <w:pStyle w:val="ListParagraph"/>
        <w:numPr>
          <w:ilvl w:val="0"/>
          <w:numId w:val="53"/>
        </w:numPr>
        <w:tabs>
          <w:tab w:pos="426" w:val="left" w:leader="none"/>
        </w:tabs>
        <w:spacing w:line="208" w:lineRule="auto" w:before="6" w:after="0"/>
        <w:ind w:left="425" w:right="485" w:hanging="224"/>
        <w:jc w:val="left"/>
        <w:rPr>
          <w:sz w:val="14"/>
        </w:rPr>
      </w:pPr>
      <w:r>
        <w:rPr>
          <w:color w:val="231F20"/>
          <w:sz w:val="14"/>
        </w:rPr>
        <w:t>Subscribers who wish to collect their copy(ies) of the </w:t>
      </w:r>
      <w:r>
        <w:rPr>
          <w:i/>
          <w:color w:val="231F20"/>
          <w:sz w:val="14"/>
        </w:rPr>
        <w:t>Bulletin </w:t>
      </w:r>
      <w:r>
        <w:rPr>
          <w:color w:val="231F20"/>
          <w:sz w:val="14"/>
        </w:rPr>
        <w:t>and/or </w:t>
      </w:r>
      <w:r>
        <w:rPr>
          <w:i/>
          <w:color w:val="231F20"/>
          <w:sz w:val="14"/>
        </w:rPr>
        <w:t>Inflation Report </w:t>
      </w:r>
      <w:r>
        <w:rPr>
          <w:color w:val="231F20"/>
          <w:sz w:val="14"/>
        </w:rPr>
        <w:t>may make arrangements to do so by writing to the address given below. Copies will </w:t>
      </w:r>
      <w:r>
        <w:rPr>
          <w:color w:val="231F20"/>
          <w:spacing w:val="-7"/>
          <w:sz w:val="14"/>
        </w:rPr>
        <w:t>be </w:t>
      </w:r>
      <w:r>
        <w:rPr>
          <w:color w:val="231F20"/>
          <w:sz w:val="14"/>
        </w:rPr>
        <w:t>available to personal callers at the Bank from 10.30 am on the day of issue and from 8.30 am on the following day.</w:t>
      </w:r>
    </w:p>
    <w:p>
      <w:pPr>
        <w:pStyle w:val="ListParagraph"/>
        <w:numPr>
          <w:ilvl w:val="0"/>
          <w:numId w:val="53"/>
        </w:numPr>
        <w:tabs>
          <w:tab w:pos="426" w:val="left" w:leader="none"/>
        </w:tabs>
        <w:spacing w:line="133" w:lineRule="exact" w:before="0" w:after="0"/>
        <w:ind w:left="425" w:right="0" w:hanging="225"/>
        <w:jc w:val="left"/>
        <w:rPr>
          <w:sz w:val="14"/>
        </w:rPr>
      </w:pPr>
      <w:r>
        <w:rPr>
          <w:color w:val="231F20"/>
          <w:sz w:val="14"/>
        </w:rPr>
        <w:t>All other countries other than those in Zone 2.</w:t>
      </w:r>
    </w:p>
    <w:p>
      <w:pPr>
        <w:pStyle w:val="ListParagraph"/>
        <w:numPr>
          <w:ilvl w:val="0"/>
          <w:numId w:val="53"/>
        </w:numPr>
        <w:tabs>
          <w:tab w:pos="426" w:val="left" w:leader="none"/>
        </w:tabs>
        <w:spacing w:line="150" w:lineRule="exact" w:before="0" w:after="0"/>
        <w:ind w:left="425" w:right="0" w:hanging="225"/>
        <w:jc w:val="left"/>
        <w:rPr>
          <w:sz w:val="14"/>
        </w:rPr>
      </w:pPr>
      <w:r>
        <w:rPr>
          <w:color w:val="231F20"/>
          <w:sz w:val="14"/>
        </w:rPr>
        <w:t>Australasia, Japan, China, The Philippines and Korea.</w:t>
      </w:r>
    </w:p>
    <w:p>
      <w:pPr>
        <w:pStyle w:val="Heading9"/>
        <w:spacing w:line="249" w:lineRule="auto" w:before="143"/>
        <w:ind w:left="185" w:right="289"/>
      </w:pPr>
      <w:r>
        <w:rPr>
          <w:color w:val="231F20"/>
        </w:rPr>
        <w:t>Readers who wish to become </w:t>
      </w:r>
      <w:r>
        <w:rPr>
          <w:b/>
          <w:color w:val="231F20"/>
        </w:rPr>
        <w:t>regular subscribers</w:t>
      </w:r>
      <w:r>
        <w:rPr>
          <w:color w:val="231F20"/>
        </w:rPr>
        <w:t>, or who wish to purchase single copies, should send to the Bank, at the address given below, the appropriate remittance, payable to the Bank of England, together with full address details, including the name, or position, of recipients in companies or institutions. Existing subscribers will be invited to renew their subscriptions automatically. Copies can also be obtained over the counter at the Bank’s front entrance or at the Bank Museum in Bartholomew Lane.</w:t>
      </w:r>
    </w:p>
    <w:p>
      <w:pPr>
        <w:spacing w:line="249" w:lineRule="auto" w:before="184"/>
        <w:ind w:left="185" w:right="465" w:firstLine="0"/>
        <w:jc w:val="left"/>
        <w:rPr>
          <w:sz w:val="20"/>
        </w:rPr>
      </w:pPr>
      <w:r>
        <w:rPr>
          <w:color w:val="231F20"/>
          <w:sz w:val="20"/>
        </w:rPr>
        <w:t>The </w:t>
      </w:r>
      <w:r>
        <w:rPr>
          <w:b/>
          <w:color w:val="231F20"/>
          <w:sz w:val="20"/>
        </w:rPr>
        <w:t>concessionary rates </w:t>
      </w:r>
      <w:r>
        <w:rPr>
          <w:color w:val="231F20"/>
          <w:sz w:val="20"/>
        </w:rPr>
        <w:t>for the combined </w:t>
      </w:r>
      <w:r>
        <w:rPr>
          <w:i/>
          <w:color w:val="231F20"/>
          <w:sz w:val="20"/>
        </w:rPr>
        <w:t>Quarterly Bulletin/Inflation Report </w:t>
      </w:r>
      <w:r>
        <w:rPr>
          <w:color w:val="231F20"/>
          <w:sz w:val="20"/>
        </w:rPr>
        <w:t>package and the separate </w:t>
      </w:r>
      <w:r>
        <w:rPr>
          <w:i/>
          <w:color w:val="231F20"/>
          <w:sz w:val="20"/>
        </w:rPr>
        <w:t>Inflation Report </w:t>
      </w:r>
      <w:r>
        <w:rPr>
          <w:color w:val="231F20"/>
          <w:sz w:val="20"/>
        </w:rPr>
        <w:t>are noted above in </w:t>
      </w:r>
      <w:r>
        <w:rPr>
          <w:i/>
          <w:color w:val="231F20"/>
          <w:sz w:val="20"/>
        </w:rPr>
        <w:t>italics</w:t>
      </w:r>
      <w:r>
        <w:rPr>
          <w:color w:val="231F20"/>
          <w:sz w:val="20"/>
        </w:rPr>
        <w:t>. </w:t>
      </w:r>
      <w:r>
        <w:rPr>
          <w:b/>
          <w:color w:val="231F20"/>
          <w:sz w:val="20"/>
        </w:rPr>
        <w:t>Academics at UK institutions </w:t>
      </w:r>
      <w:r>
        <w:rPr>
          <w:color w:val="231F20"/>
          <w:sz w:val="20"/>
        </w:rPr>
        <w:t>of further and higher education are entitled to a concessionary rate. They should apply on their institution’s note paper giving details of their current post.</w:t>
      </w:r>
    </w:p>
    <w:p>
      <w:pPr>
        <w:pStyle w:val="Heading9"/>
        <w:spacing w:line="249" w:lineRule="auto" w:before="183"/>
        <w:ind w:left="185" w:right="221"/>
      </w:pPr>
      <w:r>
        <w:rPr>
          <w:color w:val="231F20"/>
        </w:rPr>
        <w:t>S</w:t>
      </w:r>
      <w:r>
        <w:rPr>
          <w:b/>
          <w:color w:val="231F20"/>
        </w:rPr>
        <w:t>tudents and secondary schools in the United Kingdom </w:t>
      </w:r>
      <w:r>
        <w:rPr>
          <w:color w:val="231F20"/>
        </w:rPr>
        <w:t>are also entitled to a concessionary rate. Requests for concessionary copies should be accompanied by an explanatory letter: students should provide details of their course and the institution at which they are studying.</w:t>
      </w:r>
    </w:p>
    <w:p>
      <w:pPr>
        <w:spacing w:line="249" w:lineRule="auto" w:before="182"/>
        <w:ind w:left="185" w:right="247" w:firstLine="0"/>
        <w:jc w:val="left"/>
        <w:rPr>
          <w:sz w:val="20"/>
        </w:rPr>
      </w:pPr>
      <w:r>
        <w:rPr>
          <w:color w:val="231F20"/>
          <w:sz w:val="20"/>
        </w:rPr>
        <w:t>The </w:t>
      </w:r>
      <w:r>
        <w:rPr>
          <w:i/>
          <w:color w:val="231F20"/>
          <w:sz w:val="20"/>
        </w:rPr>
        <w:t>Quarterly Bulletin </w:t>
      </w:r>
      <w:r>
        <w:rPr>
          <w:color w:val="231F20"/>
          <w:sz w:val="20"/>
        </w:rPr>
        <w:t>is also available on microfilm: enquiries from customers in Japan and North and South America should be addressed to University Microfilms International, 300 North Zeeb Road, Ann Arbor, Michigan 48106, United States of America; customers from all other countries should apply to White Swan House, Godstone, Surrey, RH9 8LW, telephone 01444 445000.</w:t>
      </w:r>
    </w:p>
    <w:p>
      <w:pPr>
        <w:spacing w:line="249" w:lineRule="auto" w:before="183"/>
        <w:ind w:left="185" w:right="743" w:firstLine="0"/>
        <w:jc w:val="both"/>
        <w:rPr>
          <w:sz w:val="20"/>
        </w:rPr>
      </w:pPr>
      <w:r>
        <w:rPr>
          <w:color w:val="231F20"/>
          <w:sz w:val="20"/>
        </w:rPr>
        <w:t>Bound volumes of the </w:t>
      </w:r>
      <w:r>
        <w:rPr>
          <w:i/>
          <w:color w:val="231F20"/>
          <w:sz w:val="20"/>
        </w:rPr>
        <w:t>Quarterly Bulletin </w:t>
      </w:r>
      <w:r>
        <w:rPr>
          <w:color w:val="231F20"/>
          <w:sz w:val="20"/>
        </w:rPr>
        <w:t>for the period 1960 to 1985 (in reprint form for the period 1960 to 1980) can be obtained from Schmidt Periodicals GmbH, Dettendorf, D-83075 Bad Feilnbach 2, Germany, at a price of DM 180.00 per volume or DM 4,100.00 per set.</w:t>
      </w:r>
    </w:p>
    <w:p>
      <w:pPr>
        <w:pStyle w:val="BodyText"/>
        <w:spacing w:before="7"/>
        <w:rPr>
          <w:sz w:val="17"/>
        </w:rPr>
      </w:pPr>
    </w:p>
    <w:p>
      <w:pPr>
        <w:spacing w:line="249" w:lineRule="auto" w:before="0"/>
        <w:ind w:left="185" w:right="1355" w:firstLine="0"/>
        <w:jc w:val="left"/>
        <w:rPr>
          <w:b/>
          <w:sz w:val="20"/>
        </w:rPr>
      </w:pPr>
      <w:r>
        <w:rPr>
          <w:b/>
          <w:color w:val="231F20"/>
          <w:sz w:val="18"/>
        </w:rPr>
        <w:t>I</w:t>
      </w:r>
      <w:r>
        <w:rPr>
          <w:b/>
          <w:color w:val="231F20"/>
          <w:sz w:val="20"/>
        </w:rPr>
        <w:t>ssued by the Publications Group, Inflation Report Division, Bank of England, London, EC2R 8AH; </w:t>
      </w:r>
      <w:hyperlink r:id="rId101">
        <w:r>
          <w:rPr>
            <w:b/>
            <w:color w:val="231F20"/>
            <w:sz w:val="20"/>
          </w:rPr>
          <w:t>telephone 0171-601 4030; email mapublications@bankofengland.co.uk.</w:t>
        </w:r>
      </w:hyperlink>
      <w:r>
        <w:rPr>
          <w:b/>
          <w:color w:val="231F20"/>
          <w:sz w:val="20"/>
        </w:rPr>
        <w:t> The Bank’s Internet pages are at</w:t>
      </w:r>
    </w:p>
    <w:p>
      <w:pPr>
        <w:spacing w:line="228" w:lineRule="exact" w:before="2"/>
        <w:ind w:left="185" w:right="0" w:firstLine="0"/>
        <w:jc w:val="left"/>
        <w:rPr>
          <w:b/>
          <w:sz w:val="20"/>
        </w:rPr>
      </w:pPr>
      <w:hyperlink r:id="rId102">
        <w:r>
          <w:rPr>
            <w:b/>
            <w:color w:val="231F20"/>
            <w:sz w:val="20"/>
          </w:rPr>
          <w:t>http://www.bankofengland.co.uk.</w:t>
        </w:r>
      </w:hyperlink>
      <w:r>
        <w:rPr>
          <w:b/>
          <w:color w:val="231F20"/>
          <w:sz w:val="20"/>
        </w:rPr>
        <w:t> General enquiries about the Bank of England should be made to 0171-601 4444.</w:t>
      </w:r>
    </w:p>
    <w:p>
      <w:pPr>
        <w:pStyle w:val="BodyText"/>
        <w:tabs>
          <w:tab w:pos="10344" w:val="left" w:leader="none"/>
        </w:tabs>
        <w:spacing w:line="190" w:lineRule="exact"/>
        <w:ind w:left="185"/>
      </w:pPr>
      <w:r>
        <w:rPr>
          <w:rFonts w:ascii="Wingdings" w:hAnsi="Wingdings"/>
          <w:color w:val="231F20"/>
        </w:rPr>
        <w:t></w:t>
      </w:r>
      <w:r>
        <w:rPr>
          <w:color w:val="231F20"/>
          <w:spacing w:val="36"/>
        </w:rPr>
        <w:t> </w:t>
      </w:r>
      <w:r>
        <w:rPr>
          <w:rFonts w:ascii="Wingdings" w:hAnsi="Wingdings"/>
          <w:color w:val="231F20"/>
          <w:u w:val="dotted" w:color="231F20"/>
        </w:rPr>
        <w:t></w:t>
      </w:r>
      <w:r>
        <w:rPr>
          <w:color w:val="231F20"/>
          <w:u w:val="dotted" w:color="231F20"/>
        </w:rPr>
        <w:tab/>
      </w:r>
    </w:p>
    <w:p>
      <w:pPr>
        <w:tabs>
          <w:tab w:pos="1132" w:val="left" w:leader="none"/>
          <w:tab w:pos="5647" w:val="left" w:leader="none"/>
          <w:tab w:pos="5905" w:val="left" w:leader="none"/>
        </w:tabs>
        <w:spacing w:line="195" w:lineRule="exact" w:before="42"/>
        <w:ind w:left="185" w:right="0" w:firstLine="0"/>
        <w:jc w:val="left"/>
        <w:rPr>
          <w:i/>
          <w:sz w:val="20"/>
        </w:rPr>
      </w:pPr>
      <w:r>
        <w:rPr>
          <w:color w:val="231F20"/>
          <w:sz w:val="20"/>
        </w:rPr>
        <w:t>Name:</w:t>
        <w:tab/>
      </w:r>
      <w:r>
        <w:rPr>
          <w:color w:val="231F20"/>
          <w:sz w:val="20"/>
          <w:u w:val="dotted" w:color="231F20"/>
        </w:rPr>
        <w:t> </w:t>
        <w:tab/>
      </w:r>
      <w:r>
        <w:rPr>
          <w:color w:val="231F20"/>
          <w:sz w:val="20"/>
        </w:rPr>
        <w:tab/>
        <w:t>Publication:  </w:t>
      </w:r>
      <w:r>
        <w:rPr>
          <w:i/>
          <w:color w:val="231F20"/>
          <w:sz w:val="20"/>
        </w:rPr>
        <w:t>Inflation Report </w:t>
      </w:r>
      <w:r>
        <w:rPr>
          <w:color w:val="231F20"/>
          <w:sz w:val="20"/>
        </w:rPr>
        <w:t>and/or </w:t>
      </w:r>
      <w:r>
        <w:rPr>
          <w:i/>
          <w:color w:val="231F20"/>
          <w:sz w:val="20"/>
        </w:rPr>
        <w:t>Quarterly</w:t>
      </w:r>
      <w:r>
        <w:rPr>
          <w:i/>
          <w:color w:val="231F20"/>
          <w:spacing w:val="-2"/>
          <w:sz w:val="20"/>
        </w:rPr>
        <w:t> </w:t>
      </w:r>
      <w:r>
        <w:rPr>
          <w:i/>
          <w:color w:val="231F20"/>
          <w:sz w:val="20"/>
        </w:rPr>
        <w:t>Bulletin</w:t>
      </w:r>
    </w:p>
    <w:p>
      <w:pPr>
        <w:pStyle w:val="Heading9"/>
        <w:spacing w:line="195" w:lineRule="exact" w:before="0"/>
        <w:ind w:left="6055"/>
      </w:pPr>
      <w:r>
        <w:rPr>
          <w:color w:val="231F20"/>
        </w:rPr>
        <w:t>package (delete as appropriate)</w:t>
      </w:r>
    </w:p>
    <w:p>
      <w:pPr>
        <w:tabs>
          <w:tab w:pos="1164" w:val="left" w:leader="none"/>
          <w:tab w:pos="5559" w:val="left" w:leader="none"/>
          <w:tab w:pos="5945" w:val="left" w:leader="none"/>
        </w:tabs>
        <w:spacing w:line="168" w:lineRule="auto" w:before="146"/>
        <w:ind w:left="185" w:right="3203" w:firstLine="0"/>
        <w:jc w:val="left"/>
        <w:rPr>
          <w:sz w:val="20"/>
        </w:rPr>
      </w:pPr>
      <w:r>
        <w:rPr/>
        <w:pict>
          <v:rect style="position:absolute;margin-left:434.5pt;margin-top:15.455159pt;width:91pt;height:17pt;mso-position-horizontal-relative:page;mso-position-vertical-relative:paragraph;z-index:16143360" filled="false" stroked="true" strokeweight="1pt" strokecolor="#231f20">
            <v:stroke dashstyle="solid"/>
            <w10:wrap type="none"/>
          </v:rect>
        </w:pict>
      </w:r>
      <w:r>
        <w:rPr>
          <w:color w:val="231F20"/>
          <w:sz w:val="20"/>
        </w:rPr>
        <w:t>Position:</w:t>
        <w:tab/>
      </w:r>
      <w:r>
        <w:rPr>
          <w:color w:val="231F20"/>
          <w:sz w:val="20"/>
          <w:u w:val="dotted" w:color="231F20"/>
        </w:rPr>
        <w:t> </w:t>
        <w:tab/>
      </w:r>
      <w:r>
        <w:rPr>
          <w:color w:val="231F20"/>
          <w:sz w:val="20"/>
        </w:rPr>
        <w:tab/>
        <w:t>Number of </w:t>
      </w:r>
      <w:r>
        <w:rPr>
          <w:color w:val="231F20"/>
          <w:spacing w:val="-3"/>
          <w:sz w:val="20"/>
        </w:rPr>
        <w:t>copies: </w:t>
      </w:r>
      <w:r>
        <w:rPr>
          <w:color w:val="231F20"/>
          <w:sz w:val="20"/>
        </w:rPr>
        <w:t>(if applicable)</w:t>
      </w:r>
    </w:p>
    <w:p>
      <w:pPr>
        <w:tabs>
          <w:tab w:pos="5619" w:val="left" w:leader="none"/>
          <w:tab w:pos="5905" w:val="left" w:leader="none"/>
        </w:tabs>
        <w:spacing w:line="168" w:lineRule="auto" w:before="0"/>
        <w:ind w:left="185" w:right="2899" w:firstLine="5720"/>
        <w:jc w:val="left"/>
        <w:rPr>
          <w:sz w:val="20"/>
        </w:rPr>
      </w:pPr>
      <w:r>
        <w:rPr>
          <w:color w:val="231F20"/>
          <w:sz w:val="20"/>
        </w:rPr>
        <w:t>Annual subscription </w:t>
      </w:r>
      <w:r>
        <w:rPr>
          <w:color w:val="231F20"/>
          <w:spacing w:val="-9"/>
          <w:sz w:val="20"/>
        </w:rPr>
        <w:t>or </w:t>
      </w:r>
      <w:r>
        <w:rPr>
          <w:color w:val="231F20"/>
          <w:sz w:val="20"/>
        </w:rPr>
        <w:t>Company:</w:t>
      </w:r>
      <w:r>
        <w:rPr>
          <w:color w:val="231F20"/>
          <w:sz w:val="20"/>
          <w:u w:val="dotted" w:color="231F20"/>
        </w:rPr>
        <w:t> </w:t>
        <w:tab/>
      </w:r>
      <w:r>
        <w:rPr>
          <w:color w:val="231F20"/>
          <w:sz w:val="20"/>
        </w:rPr>
        <w:tab/>
        <w:t>single issue:</w:t>
      </w:r>
    </w:p>
    <w:p>
      <w:pPr>
        <w:tabs>
          <w:tab w:pos="1132" w:val="left" w:leader="none"/>
          <w:tab w:pos="5607" w:val="left" w:leader="none"/>
        </w:tabs>
        <w:spacing w:line="168" w:lineRule="exact" w:before="100"/>
        <w:ind w:left="185" w:right="0" w:firstLine="0"/>
        <w:jc w:val="left"/>
        <w:rPr>
          <w:sz w:val="20"/>
        </w:rPr>
      </w:pPr>
      <w:r>
        <w:rPr>
          <w:color w:val="231F20"/>
          <w:sz w:val="20"/>
        </w:rPr>
        <w:t>Address:</w:t>
        <w:tab/>
      </w:r>
      <w:r>
        <w:rPr>
          <w:color w:val="231F20"/>
          <w:sz w:val="20"/>
          <w:u w:val="dotted" w:color="231F20"/>
        </w:rPr>
        <w:t> </w:t>
        <w:tab/>
      </w:r>
    </w:p>
    <w:p>
      <w:pPr>
        <w:spacing w:line="222" w:lineRule="exact" w:before="0"/>
        <w:ind w:left="5905" w:right="0" w:firstLine="0"/>
        <w:jc w:val="left"/>
        <w:rPr>
          <w:sz w:val="20"/>
        </w:rPr>
      </w:pPr>
      <w:r>
        <w:rPr/>
        <w:pict>
          <v:shape style="position:absolute;margin-left:88.620003pt;margin-top:13.295856pt;width:223.75pt;height:.1pt;mso-position-horizontal-relative:page;mso-position-vertical-relative:paragraph;z-index:-15322624;mso-wrap-distance-left:0;mso-wrap-distance-right:0" coordorigin="1772,266" coordsize="4475,0" path="m1772,266l6247,266e" filled="false" stroked="true" strokeweight=".125pt" strokecolor="#231f20">
            <v:path arrowok="t"/>
            <v:stroke dashstyle="shortdash"/>
            <w10:wrap type="topAndBottom"/>
          </v:shape>
        </w:pict>
      </w:r>
      <w:r>
        <w:rPr>
          <w:color w:val="231F20"/>
          <w:sz w:val="20"/>
        </w:rPr>
        <w:t>I enclose a cheque, crossed and made payable to the</w:t>
      </w:r>
    </w:p>
    <w:p>
      <w:pPr>
        <w:tabs>
          <w:tab w:pos="5587" w:val="left" w:leader="none"/>
          <w:tab w:pos="5905" w:val="left" w:leader="none"/>
        </w:tabs>
        <w:spacing w:before="15"/>
        <w:ind w:left="1152" w:right="0" w:firstLine="0"/>
        <w:jc w:val="left"/>
        <w:rPr>
          <w:sz w:val="20"/>
        </w:rPr>
      </w:pPr>
      <w:r>
        <w:rPr>
          <w:color w:val="231F20"/>
          <w:sz w:val="20"/>
          <w:u w:val="dotted" w:color="231F20"/>
        </w:rPr>
        <w:t> </w:t>
        <w:tab/>
      </w:r>
      <w:r>
        <w:rPr>
          <w:color w:val="231F20"/>
          <w:sz w:val="20"/>
        </w:rPr>
        <w:tab/>
        <w:t>Bank of England for: £</w:t>
      </w:r>
    </w:p>
    <w:p>
      <w:pPr>
        <w:pStyle w:val="BodyText"/>
        <w:spacing w:before="2"/>
        <w:rPr>
          <w:sz w:val="14"/>
        </w:rPr>
      </w:pPr>
      <w:r>
        <w:rPr/>
        <w:pict>
          <v:shape style="position:absolute;margin-left:88.620003pt;margin-top:10.200976pt;width:223.75pt;height:.1pt;mso-position-horizontal-relative:page;mso-position-vertical-relative:paragraph;z-index:-15322112;mso-wrap-distance-left:0;mso-wrap-distance-right:0" coordorigin="1772,204" coordsize="4475,0" path="m1772,204l6247,204e" filled="false" stroked="true" strokeweight=".125pt" strokecolor="#231f20">
            <v:path arrowok="t"/>
            <v:stroke dashstyle="shortdash"/>
            <w10:wrap type="topAndBottom"/>
          </v:shape>
        </w:pict>
      </w:r>
      <w:r>
        <w:rPr/>
        <w:pict>
          <v:shape style="position:absolute;margin-left:90.25pt;margin-top:21.200977pt;width:219.75pt;height:.1pt;mso-position-horizontal-relative:page;mso-position-vertical-relative:paragraph;z-index:-15321600;mso-wrap-distance-left:0;mso-wrap-distance-right:0" coordorigin="1805,424" coordsize="4395,0" path="m1805,424l6200,424e" filled="false" stroked="true" strokeweight=".125pt" strokecolor="#231f20">
            <v:path arrowok="t"/>
            <v:stroke dashstyle="shortdash"/>
            <w10:wrap type="topAndBottom"/>
          </v:shape>
        </w:pict>
      </w:r>
    </w:p>
    <w:p>
      <w:pPr>
        <w:pStyle w:val="BodyText"/>
        <w:spacing w:before="10"/>
        <w:rPr>
          <w:sz w:val="12"/>
        </w:rPr>
      </w:pPr>
    </w:p>
    <w:sectPr>
      <w:headerReference w:type="even" r:id="rId111"/>
      <w:footerReference w:type="even" r:id="rId112"/>
      <w:pgSz w:w="11900" w:h="16840"/>
      <w:pgMar w:header="0" w:footer="0" w:top="1140" w:bottom="280" w:left="62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51.780029pt;margin-top:801.141113pt;width:4.25pt;height:10.9pt;mso-position-horizontal-relative:page;mso-position-vertical-relative:page;z-index:-21199360" type="#_x0000_t202" filled="false" stroked="false">
          <v:textbox inset="0,0,0,0">
            <w:txbxContent>
              <w:p>
                <w:pPr>
                  <w:spacing w:before="13"/>
                  <w:ind w:left="20" w:right="0" w:firstLine="0"/>
                  <w:jc w:val="left"/>
                  <w:rPr>
                    <w:sz w:val="16"/>
                  </w:rPr>
                </w:pPr>
                <w:r>
                  <w:rPr>
                    <w:color w:val="231F20"/>
                    <w:sz w:val="16"/>
                  </w:rPr>
                  <w:t>i</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3.450012pt;margin-top:801.141113pt;width:14pt;height:10.9pt;mso-position-horizontal-relative:page;mso-position-vertical-relative:page;z-index:-21192192"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11</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pt;margin-top:800.641113pt;width:14pt;height:10.9pt;mso-position-horizontal-relative:page;mso-position-vertical-relative:page;z-index:-21191680"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12</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3.450012pt;margin-top:801.141113pt;width:14pt;height:10.9pt;mso-position-horizontal-relative:page;mso-position-vertical-relative:page;z-index:-21189632"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13</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720001pt;margin-top:801.141113pt;width:14pt;height:10.9pt;mso-position-horizontal-relative:page;mso-position-vertical-relative:page;z-index:-21189120"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14</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4pt;margin-top:801.141113pt;width:14pt;height:10.9pt;mso-position-horizontal-relative:page;mso-position-vertical-relative:page;z-index:-21188608"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15</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279999pt;margin-top:800.841064pt;width:14pt;height:10.9pt;mso-position-horizontal-relative:page;mso-position-vertical-relative:page;z-index:-21188096"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16</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4pt;margin-top:801.141113pt;width:14pt;height:10.9pt;mso-position-horizontal-relative:page;mso-position-vertical-relative:page;z-index:-21186048"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17</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279999pt;margin-top:801.141113pt;width:14pt;height:10.9pt;mso-position-horizontal-relative:page;mso-position-vertical-relative:page;z-index:-21185536"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18</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181952" from="48.779999pt,735pt" to="43.779999pt,735pt" stroked="true" strokeweight=".5pt" strokecolor="#000000">
          <v:stroke dashstyle="solid"/>
          <w10:wrap type="none"/>
        </v:line>
      </w:pict>
    </w:r>
    <w:r>
      <w:rPr/>
      <w:pict>
        <v:shape style="position:absolute;margin-left:51.779999pt;margin-top:731pt;width:151pt;height:4pt;mso-position-horizontal-relative:page;mso-position-vertical-relative:page;z-index:-21181440" coordorigin="1036,14620" coordsize="3020,80" path="m1036,14700l4056,14700m1036,14700l1036,14660m1116,14700l1116,14660m1196,14700l1196,14660m1276,14700l1276,14660m1376,14700l1376,14660m1456,14700l1456,14660m1536,14700l1536,14660m1616,14700l1616,14660m1696,14700l1696,14660m1776,14700l1776,14660m1856,14700l1856,14660m1936,14700l1936,14660m2016,14700l2016,14660m2096,14700l2096,14660m2176,14700l2176,14660m2256,14700l2256,14660m2356,14700l2356,14660m2436,14700l2436,14660m2516,14700l2516,14660m2596,14700l2596,14660m2676,14700l2676,14660m2756,14700l2756,14660m2836,14700l2836,14660m2916,14700l2916,14660m2996,14700l2996,14660m3076,14700l3076,14660m3156,14700l3156,14660m3236,14700l3236,14660m3316,14700l3316,14660m3396,14700l3396,14660m3476,14700l3476,14660m3556,14700l3556,14660m3636,14700l3636,14660m3736,14700l3736,14660m3816,14700l3816,14660m3896,14700l3896,14660m3976,14700l3976,14660m4056,14700l4056,14660m1036,14700l1036,14620m1376,14700l1376,14620m1696,14700l1696,14620m2016,14700l2016,14620m2356,14700l2356,14620m2676,14700l2676,14620m2996,14700l2996,14620m3316,14700l3316,14620m3636,14700l3636,14620m3976,14700l3976,14620e" filled="false" stroked="true" strokeweight=".5pt" strokecolor="#000000">
          <v:path arrowok="t"/>
          <v:stroke dashstyle="solid"/>
          <w10:wrap type="none"/>
        </v:shape>
      </w:pict>
    </w:r>
    <w:r>
      <w:rPr/>
      <w:pict>
        <v:line style="position:absolute;mso-position-horizontal-relative:page;mso-position-vertical-relative:page;z-index:-21180928" from="209.779999pt,735pt" to="205.779999pt,735pt" stroked="true" strokeweight=".5pt" strokecolor="#000000">
          <v:stroke dashstyle="solid"/>
          <w10:wrap type="none"/>
        </v:line>
      </w:pict>
    </w:r>
    <w:r>
      <w:rPr/>
      <w:pict>
        <v:shape style="position:absolute;margin-left:39.279999pt;margin-top:801.141113pt;width:10pt;height:10.9pt;mso-position-horizontal-relative:page;mso-position-vertical-relative:page;z-index:-21180416" type="#_x0000_t202" filled="false" stroked="false">
          <v:textbox inset="0,0,0,0">
            <w:txbxContent>
              <w:p>
                <w:pPr>
                  <w:spacing w:before="13"/>
                  <w:ind w:left="20" w:right="0" w:firstLine="0"/>
                  <w:jc w:val="left"/>
                  <w:rPr>
                    <w:sz w:val="16"/>
                  </w:rPr>
                </w:pPr>
                <w:r>
                  <w:rPr>
                    <w:color w:val="231F20"/>
                    <w:sz w:val="16"/>
                  </w:rPr>
                  <w:t>20</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4pt;margin-top:801.141113pt;width:14pt;height:10.9pt;mso-position-horizontal-relative:page;mso-position-vertical-relative:page;z-index:-21179904" type="#_x0000_t202" filled="false" stroked="false">
          <v:textbox inset="0,0,0,0">
            <w:txbxContent>
              <w:p>
                <w:pPr>
                  <w:spacing w:before="13"/>
                  <w:ind w:left="60" w:right="0" w:firstLine="0"/>
                  <w:jc w:val="left"/>
                  <w:rPr>
                    <w:sz w:val="16"/>
                  </w:rPr>
                </w:pPr>
                <w:r>
                  <w:rPr>
                    <w:color w:val="231F20"/>
                    <w:sz w:val="16"/>
                  </w:rPr>
                  <w:t>21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279999pt;margin-top:801.141113pt;width:14pt;height:10.9pt;mso-position-horizontal-relative:page;mso-position-vertical-relative:page;z-index:-21177856"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22</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4pt;margin-top:801.141113pt;width:14pt;height:10.9pt;mso-position-horizontal-relative:page;mso-position-vertical-relative:page;z-index:-21177344"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23</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801.141113pt;width:14pt;height:10.9pt;mso-position-horizontal-relative:page;mso-position-vertical-relative:page;z-index:-21176832"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24</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2.280029pt;margin-top:800.141113pt;width:14pt;height:10.9pt;mso-position-horizontal-relative:page;mso-position-vertical-relative:page;z-index:-21176320"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25</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801.141113pt;width:14pt;height:10.9pt;mso-position-horizontal-relative:page;mso-position-vertical-relative:page;z-index:-21174272"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26</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2.280029pt;margin-top:800.141113pt;width:14pt;height:10.9pt;mso-position-horizontal-relative:page;mso-position-vertical-relative:page;z-index:-21173760"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27</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801.141113pt;width:14pt;height:10.9pt;mso-position-horizontal-relative:page;mso-position-vertical-relative:page;z-index:-21171200"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28</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2.280029pt;margin-top:800.141113pt;width:14pt;height:10.9pt;mso-position-horizontal-relative:page;mso-position-vertical-relative:page;z-index:-21170688"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29</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801.141113pt;width:14pt;height:10.9pt;mso-position-horizontal-relative:page;mso-position-vertical-relative:page;z-index:-21169152"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30</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2.280029pt;margin-top:800.141113pt;width:14pt;height:10.9pt;mso-position-horizontal-relative:page;mso-position-vertical-relative:page;z-index:-21168640"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31</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7.330017pt;margin-top:801.141113pt;width:8.7pt;height:10.9pt;mso-position-horizontal-relative:page;mso-position-vertical-relative:page;z-index:-21198848" type="#_x0000_t202" filled="false" stroked="false">
          <v:textbox inset="0,0,0,0">
            <w:txbxContent>
              <w:p>
                <w:pPr>
                  <w:spacing w:before="13"/>
                  <w:ind w:left="20" w:right="0" w:firstLine="0"/>
                  <w:jc w:val="left"/>
                  <w:rPr>
                    <w:sz w:val="16"/>
                  </w:rPr>
                </w:pPr>
                <w:r>
                  <w:rPr>
                    <w:color w:val="231F20"/>
                    <w:sz w:val="16"/>
                  </w:rPr>
                  <w:t>iii</w:t>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801.141113pt;width:14pt;height:10.9pt;mso-position-horizontal-relative:page;mso-position-vertical-relative:page;z-index:-21167104"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32</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2.280029pt;margin-top:800.141113pt;width:14pt;height:10.9pt;mso-position-horizontal-relative:page;mso-position-vertical-relative:page;z-index:-21166592"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33</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801.141113pt;width:14pt;height:10.9pt;mso-position-horizontal-relative:page;mso-position-vertical-relative:page;z-index:-21166080"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34</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2.280029pt;margin-top:800.141113pt;width:14pt;height:10.9pt;mso-position-horizontal-relative:page;mso-position-vertical-relative:page;z-index:-21165568"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35</w:t>
                </w:r>
                <w:r>
                  <w:rPr/>
                  <w:fldChar w:fldCharType="end"/>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279999pt;margin-top:801.141113pt;width:14.75pt;height:10.9pt;mso-position-horizontal-relative:page;mso-position-vertical-relative:page;z-index:-21163520" type="#_x0000_t202" filled="false" stroked="false">
          <v:textbox inset="0,0,0,0">
            <w:txbxContent>
              <w:p>
                <w:pPr>
                  <w:spacing w:before="13"/>
                  <w:ind w:left="74" w:right="0" w:firstLine="0"/>
                  <w:jc w:val="left"/>
                  <w:rPr>
                    <w:sz w:val="16"/>
                  </w:rPr>
                </w:pPr>
                <w:r>
                  <w:rPr/>
                  <w:fldChar w:fldCharType="begin"/>
                </w:r>
                <w:r>
                  <w:rPr>
                    <w:color w:val="231F20"/>
                    <w:sz w:val="16"/>
                  </w:rPr>
                  <w:instrText> PAGE </w:instrText>
                </w:r>
                <w:r>
                  <w:rPr/>
                  <w:fldChar w:fldCharType="separate"/>
                </w:r>
                <w:r>
                  <w:rPr/>
                  <w:t>36</w:t>
                </w:r>
                <w:r>
                  <w:rPr/>
                  <w:fldChar w:fldCharType="end"/>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2.280029pt;margin-top:800.141113pt;width:14pt;height:10.9pt;mso-position-horizontal-relative:page;mso-position-vertical-relative:page;z-index:-21163008"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37</w:t>
                </w:r>
                <w:r>
                  <w:rPr/>
                  <w:fldChar w:fldCharType="end"/>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2.280396pt;margin-top:800.141113pt;width:14pt;height:10.9pt;mso-position-horizontal-relative:page;mso-position-vertical-relative:page;z-index:-21161472"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39</w:t>
                </w:r>
                <w:r>
                  <w:rPr/>
                  <w:fldChar w:fldCharType="end"/>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801.141113pt;width:14pt;height:10.9pt;mso-position-horizontal-relative:page;mso-position-vertical-relative:page;z-index:-21160960"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40</w:t>
                </w:r>
                <w:r>
                  <w:rPr/>
                  <w:fldChar w:fldCharType="end"/>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4pt;margin-top:801.141113pt;width:14pt;height:10.9pt;mso-position-horizontal-relative:page;mso-position-vertical-relative:page;z-index:-21160448"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41</w:t>
                </w:r>
                <w:r>
                  <w:rPr/>
                  <w:fldChar w:fldCharType="end"/>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279999pt;margin-top:801.141113pt;width:14pt;height:10.9pt;mso-position-horizontal-relative:page;mso-position-vertical-relative:page;z-index:-21159936"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42</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279999pt;margin-top:801.141113pt;width:14pt;height:10.9pt;mso-position-horizontal-relative:page;mso-position-vertical-relative:page;z-index:-21158400"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44</w:t>
                </w:r>
                <w:r>
                  <w:rPr/>
                  <w:fldChar w:fldCharType="end"/>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4pt;margin-top:801.141113pt;width:14pt;height:10.9pt;mso-position-horizontal-relative:page;mso-position-vertical-relative:page;z-index:-21157888"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45</w:t>
                </w:r>
                <w:r>
                  <w:rPr/>
                  <w:fldChar w:fldCharType="end"/>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801.141113pt;width:14pt;height:10.9pt;mso-position-horizontal-relative:page;mso-position-vertical-relative:page;z-index:-21155840"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46</w:t>
                </w:r>
                <w:r>
                  <w:rPr/>
                  <w:fldChar w:fldCharType="end"/>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3.280029pt;margin-top:801.141113pt;width:14pt;height:10.9pt;mso-position-horizontal-relative:page;mso-position-vertical-relative:page;z-index:-21155328"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47</w:t>
                </w:r>
                <w:r>
                  <w:rPr/>
                  <w:fldChar w:fldCharType="end"/>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153280" from="278pt,768pt" to="555pt,768pt" stroked="true" strokeweight=".125pt" strokecolor="#231f20">
          <v:stroke dashstyle="solid"/>
          <w10:wrap type="none"/>
        </v:line>
      </w:pict>
    </w:r>
    <w:r>
      <w:rPr/>
      <w:pict>
        <v:shape style="position:absolute;margin-left:38pt;margin-top:801.141113pt;width:14pt;height:10.9pt;mso-position-horizontal-relative:page;mso-position-vertical-relative:page;z-index:-21152768"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48</w:t>
                </w:r>
                <w:r>
                  <w:rPr/>
                  <w:fldChar w:fldCharType="end"/>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3.280029pt;margin-top:801.141113pt;width:14pt;height:10.9pt;mso-position-horizontal-relative:page;mso-position-vertical-relative:page;z-index:-21152256"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49</w:t>
                </w:r>
                <w:r>
                  <w:rPr/>
                  <w:fldChar w:fldCharType="end"/>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0pt;margin-top:801.141113pt;width:10pt;height:10.9pt;mso-position-horizontal-relative:page;mso-position-vertical-relative:page;z-index:-21150208" type="#_x0000_t202" filled="false" stroked="false">
          <v:textbox inset="0,0,0,0">
            <w:txbxContent>
              <w:p>
                <w:pPr>
                  <w:spacing w:before="13"/>
                  <w:ind w:left="20" w:right="0" w:firstLine="0"/>
                  <w:jc w:val="left"/>
                  <w:rPr>
                    <w:sz w:val="16"/>
                  </w:rPr>
                </w:pPr>
                <w:r>
                  <w:rPr>
                    <w:color w:val="231F20"/>
                    <w:sz w:val="16"/>
                  </w:rPr>
                  <w:t>52</w:t>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3.280029pt;margin-top:801.141113pt;width:14pt;height:10.9pt;mso-position-horizontal-relative:page;mso-position-vertical-relative:page;z-index:-21149696" type="#_x0000_t202" filled="false" stroked="false">
          <v:textbox inset="0,0,0,0">
            <w:txbxContent>
              <w:p>
                <w:pPr>
                  <w:spacing w:before="13"/>
                  <w:ind w:left="60" w:right="0" w:firstLine="0"/>
                  <w:jc w:val="left"/>
                  <w:rPr>
                    <w:sz w:val="16"/>
                  </w:rPr>
                </w:pPr>
                <w:r>
                  <w:rPr>
                    <w:color w:val="231F20"/>
                    <w:sz w:val="16"/>
                  </w:rPr>
                  <w:t>53</w:t>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4pt;margin-top:801.141113pt;width:14pt;height:10.9pt;mso-position-horizontal-relative:page;mso-position-vertical-relative:page;z-index:-21149184"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55</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4pt;margin-top:801.141113pt;width:14pt;height:10.9pt;mso-position-horizontal-relative:page;mso-position-vertical-relative:page;z-index:-21148672"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57</w:t>
                </w:r>
                <w:r>
                  <w:rPr/>
                  <w:fldChar w:fldCharType="end"/>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279999pt;margin-top:801.141113pt;width:14pt;height:10.9pt;mso-position-horizontal-relative:page;mso-position-vertical-relative:page;z-index:-21146624"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58</w:t>
                </w:r>
                <w:r>
                  <w:rPr/>
                  <w:fldChar w:fldCharType="end"/>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4pt;margin-top:801.141113pt;width:14pt;height:10.9pt;mso-position-horizontal-relative:page;mso-position-vertical-relative:page;z-index:-21146112"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59</w:t>
                </w:r>
                <w:r>
                  <w:rPr/>
                  <w:fldChar w:fldCharType="end"/>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7.450012pt;margin-top:801.141113pt;width:10pt;height:10.9pt;mso-position-horizontal-relative:page;mso-position-vertical-relative:page;z-index:-21198336"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3</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720001pt;margin-top:801.141113pt;width:14pt;height:10.9pt;mso-position-horizontal-relative:page;mso-position-vertical-relative:page;z-index:-21197824"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10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7.450012pt;margin-top:801.141113pt;width:10pt;height:10.9pt;mso-position-horizontal-relative:page;mso-position-vertical-relative:page;z-index:-21195776"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5</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720001pt;margin-top:801.141113pt;width:10pt;height:10.9pt;mso-position-horizontal-relative:page;mso-position-vertical-relative:page;z-index:-21195264"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6</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75pt;margin-top:28.461094pt;width:519pt;height:10.9pt;mso-position-horizontal-relative:page;mso-position-vertical-relative:page;z-index:-21197312" type="#_x0000_t202" filled="false" stroked="false">
          <v:textbox inset="0,0,0,0">
            <w:txbxContent>
              <w:p>
                <w:pPr>
                  <w:tabs>
                    <w:tab w:pos="10359" w:val="left" w:leader="none"/>
                  </w:tabs>
                  <w:spacing w:before="13"/>
                  <w:ind w:left="20" w:right="0" w:firstLine="0"/>
                  <w:jc w:val="left"/>
                  <w:rPr>
                    <w:sz w:val="16"/>
                  </w:rPr>
                </w:pPr>
                <w:r>
                  <w:rPr>
                    <w:color w:val="231F20"/>
                    <w:spacing w:val="-21"/>
                    <w:sz w:val="16"/>
                    <w:u w:val="single" w:color="231F20"/>
                  </w:rPr>
                  <w:t> </w:t>
                </w:r>
                <w:r>
                  <w:rPr>
                    <w:color w:val="231F20"/>
                    <w:sz w:val="16"/>
                    <w:u w:val="single" w:color="231F20"/>
                  </w:rPr>
                  <w:t>Inflation Report:  August 1998</w:t>
                  <w:tab/>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25pt;margin-top:28.461094pt;width:519pt;height:10.9pt;mso-position-horizontal-relative:page;mso-position-vertical-relative:page;z-index:-21185024" type="#_x0000_t202" filled="false" stroked="false">
          <v:textbox inset="0,0,0,0">
            <w:txbxContent>
              <w:p>
                <w:pPr>
                  <w:tabs>
                    <w:tab w:pos="10359" w:val="left" w:leader="none"/>
                  </w:tabs>
                  <w:spacing w:before="13"/>
                  <w:ind w:left="20" w:right="0" w:firstLine="0"/>
                  <w:jc w:val="left"/>
                  <w:rPr>
                    <w:sz w:val="16"/>
                  </w:rPr>
                </w:pPr>
                <w:r>
                  <w:rPr>
                    <w:color w:val="231F20"/>
                    <w:spacing w:val="-20"/>
                    <w:sz w:val="16"/>
                    <w:u w:val="single" w:color="231F20"/>
                  </w:rPr>
                  <w:t> </w:t>
                </w:r>
                <w:r>
                  <w:rPr>
                    <w:color w:val="231F20"/>
                    <w:sz w:val="16"/>
                    <w:u w:val="single" w:color="231F20"/>
                  </w:rPr>
                  <w:t>Inflation Report:  August 1998</w:t>
                  <w:tab/>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184512" from="39pt,38pt" to="556pt,38pt" stroked="true" strokeweight=".125pt" strokecolor="#231f20">
          <v:stroke dashstyle="solid"/>
          <w10:wrap type="none"/>
        </v:line>
      </w:pict>
    </w:r>
    <w:r>
      <w:rPr/>
      <w:pict>
        <v:shape style="position:absolute;margin-left:490.450012pt;margin-top:28.461094pt;width:65.6pt;height:10.9pt;mso-position-horizontal-relative:page;mso-position-vertical-relative:page;z-index:-21184000" type="#_x0000_t202" filled="false" stroked="false">
          <v:textbox inset="0,0,0,0">
            <w:txbxContent>
              <w:p>
                <w:pPr>
                  <w:spacing w:before="13"/>
                  <w:ind w:left="20" w:right="0" w:firstLine="0"/>
                  <w:jc w:val="left"/>
                  <w:rPr>
                    <w:i/>
                    <w:sz w:val="16"/>
                  </w:rPr>
                </w:pPr>
                <w:r>
                  <w:rPr>
                    <w:i/>
                    <w:color w:val="231F20"/>
                    <w:sz w:val="16"/>
                  </w:rPr>
                  <w:t>Demand and output</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25pt;margin-top:28.461094pt;width:519pt;height:10.9pt;mso-position-horizontal-relative:page;mso-position-vertical-relative:page;z-index:-21183488" type="#_x0000_t202" filled="false" stroked="false">
          <v:textbox inset="0,0,0,0">
            <w:txbxContent>
              <w:p>
                <w:pPr>
                  <w:tabs>
                    <w:tab w:pos="10359" w:val="left" w:leader="none"/>
                  </w:tabs>
                  <w:spacing w:before="13"/>
                  <w:ind w:left="20" w:right="0" w:firstLine="0"/>
                  <w:jc w:val="left"/>
                  <w:rPr>
                    <w:sz w:val="16"/>
                  </w:rPr>
                </w:pPr>
                <w:r>
                  <w:rPr>
                    <w:color w:val="231F20"/>
                    <w:spacing w:val="-20"/>
                    <w:sz w:val="16"/>
                    <w:u w:val="single" w:color="231F20"/>
                  </w:rPr>
                  <w:t> </w:t>
                </w:r>
                <w:r>
                  <w:rPr>
                    <w:color w:val="231F20"/>
                    <w:sz w:val="16"/>
                    <w:u w:val="single" w:color="231F20"/>
                  </w:rPr>
                  <w:t>Inflation Report:  August 1998</w:t>
                  <w:tab/>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182976" from="39pt,38pt" to="556pt,38pt" stroked="true" strokeweight=".125pt" strokecolor="#231f20">
          <v:stroke dashstyle="solid"/>
          <w10:wrap type="none"/>
        </v:line>
      </w:pict>
    </w:r>
    <w:r>
      <w:rPr/>
      <w:pict>
        <v:shape style="position:absolute;margin-left:490.450012pt;margin-top:28.461094pt;width:65.6pt;height:10.9pt;mso-position-horizontal-relative:page;mso-position-vertical-relative:page;z-index:-21182464" type="#_x0000_t202" filled="false" stroked="false">
          <v:textbox inset="0,0,0,0">
            <w:txbxContent>
              <w:p>
                <w:pPr>
                  <w:spacing w:before="13"/>
                  <w:ind w:left="20" w:right="0" w:firstLine="0"/>
                  <w:jc w:val="left"/>
                  <w:rPr>
                    <w:i/>
                    <w:sz w:val="16"/>
                  </w:rPr>
                </w:pPr>
                <w:r>
                  <w:rPr>
                    <w:i/>
                    <w:color w:val="231F20"/>
                    <w:sz w:val="16"/>
                  </w:rPr>
                  <w:t>Demand and output</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25pt;margin-top:28.461094pt;width:519pt;height:10.9pt;mso-position-horizontal-relative:page;mso-position-vertical-relative:page;z-index:-21179392" type="#_x0000_t202" filled="false" stroked="false">
          <v:textbox inset="0,0,0,0">
            <w:txbxContent>
              <w:p>
                <w:pPr>
                  <w:tabs>
                    <w:tab w:pos="10359" w:val="left" w:leader="none"/>
                  </w:tabs>
                  <w:spacing w:before="13"/>
                  <w:ind w:left="20" w:right="0" w:firstLine="0"/>
                  <w:jc w:val="left"/>
                  <w:rPr>
                    <w:sz w:val="16"/>
                  </w:rPr>
                </w:pPr>
                <w:r>
                  <w:rPr>
                    <w:color w:val="231F20"/>
                    <w:spacing w:val="-20"/>
                    <w:sz w:val="16"/>
                    <w:u w:val="single" w:color="231F20"/>
                  </w:rPr>
                  <w:t> </w:t>
                </w:r>
                <w:r>
                  <w:rPr>
                    <w:color w:val="231F20"/>
                    <w:sz w:val="16"/>
                    <w:u w:val="single" w:color="231F20"/>
                  </w:rPr>
                  <w:t>Inflation Report:  August 1998</w:t>
                  <w:tab/>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178880" from="39pt,38pt" to="556pt,38pt" stroked="true" strokeweight=".125pt" strokecolor="#231f20">
          <v:stroke dashstyle="solid"/>
          <w10:wrap type="none"/>
        </v:line>
      </w:pict>
    </w:r>
    <w:r>
      <w:rPr/>
      <w:pict>
        <v:shape style="position:absolute;margin-left:490.450012pt;margin-top:28.461094pt;width:65.6pt;height:10.9pt;mso-position-horizontal-relative:page;mso-position-vertical-relative:page;z-index:-21178368" type="#_x0000_t202" filled="false" stroked="false">
          <v:textbox inset="0,0,0,0">
            <w:txbxContent>
              <w:p>
                <w:pPr>
                  <w:spacing w:before="13"/>
                  <w:ind w:left="20" w:right="0" w:firstLine="0"/>
                  <w:jc w:val="left"/>
                  <w:rPr>
                    <w:i/>
                    <w:sz w:val="16"/>
                  </w:rPr>
                </w:pPr>
                <w:r>
                  <w:rPr>
                    <w:i/>
                    <w:color w:val="231F20"/>
                    <w:sz w:val="16"/>
                  </w:rPr>
                  <w:t>Demand and output</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175808" from="38.25pt,39pt" to="555.25pt,39pt" stroked="true" strokeweight=".125pt" strokecolor="#231f20">
          <v:stroke dashstyle="solid"/>
          <w10:wrap type="none"/>
        </v:line>
      </w:pict>
    </w:r>
    <w:r>
      <w:rPr/>
      <w:pict>
        <v:shape style="position:absolute;margin-left:493.730011pt;margin-top:29.461094pt;width:61.6pt;height:10.9pt;mso-position-horizontal-relative:page;mso-position-vertical-relative:page;z-index:-21175296" type="#_x0000_t202" filled="false" stroked="false">
          <v:textbox inset="0,0,0,0">
            <w:txbxContent>
              <w:p>
                <w:pPr>
                  <w:spacing w:before="13"/>
                  <w:ind w:left="20" w:right="0" w:firstLine="0"/>
                  <w:jc w:val="left"/>
                  <w:rPr>
                    <w:i/>
                    <w:sz w:val="16"/>
                  </w:rPr>
                </w:pPr>
                <w:r>
                  <w:rPr>
                    <w:i/>
                    <w:color w:val="231F20"/>
                    <w:sz w:val="16"/>
                  </w:rPr>
                  <w:t>The labour market</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9pt;margin-top:29.461094pt;width:100.7pt;height:10.9pt;mso-position-horizontal-relative:page;mso-position-vertical-relative:page;z-index:-21174784" type="#_x0000_t202" filled="false" stroked="false">
          <v:textbox inset="0,0,0,0">
            <w:txbxContent>
              <w:p>
                <w:pPr>
                  <w:spacing w:before="13"/>
                  <w:ind w:left="20" w:right="0" w:firstLine="0"/>
                  <w:jc w:val="left"/>
                  <w:rPr>
                    <w:sz w:val="16"/>
                  </w:rPr>
                </w:pPr>
                <w:r>
                  <w:rPr>
                    <w:color w:val="231F20"/>
                    <w:sz w:val="16"/>
                  </w:rPr>
                  <w:t>Inflation Report: August 1998</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29.461094pt;width:519pt;height:10.9pt;mso-position-horizontal-relative:page;mso-position-vertical-relative:page;z-index:-21173248" type="#_x0000_t202" filled="false" stroked="false">
          <v:textbox inset="0,0,0,0">
            <w:txbxContent>
              <w:p>
                <w:pPr>
                  <w:tabs>
                    <w:tab w:pos="10359" w:val="left" w:leader="none"/>
                  </w:tabs>
                  <w:spacing w:before="13"/>
                  <w:ind w:left="20" w:right="0" w:firstLine="0"/>
                  <w:jc w:val="left"/>
                  <w:rPr>
                    <w:sz w:val="16"/>
                  </w:rPr>
                </w:pPr>
                <w:r>
                  <w:rPr>
                    <w:color w:val="231F20"/>
                    <w:spacing w:val="-20"/>
                    <w:sz w:val="16"/>
                    <w:u w:val="single" w:color="231F20"/>
                  </w:rPr>
                  <w:t> </w:t>
                </w:r>
                <w:r>
                  <w:rPr>
                    <w:color w:val="231F20"/>
                    <w:sz w:val="16"/>
                    <w:u w:val="single" w:color="231F20"/>
                  </w:rPr>
                  <w:t>Inflation Report:  August 1998</w:t>
                  <w:tab/>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196800" from="38.5pt,38pt" to="555.5pt,38pt" stroked="true" strokeweight=".125pt" strokecolor="#231f20">
          <v:stroke dashstyle="solid"/>
          <w10:wrap type="none"/>
        </v:line>
      </w:pict>
    </w:r>
    <w:r>
      <w:rPr/>
      <w:pict>
        <v:shape style="position:absolute;margin-left:459.920013pt;margin-top:28.461094pt;width:95.55pt;height:10.9pt;mso-position-horizontal-relative:page;mso-position-vertical-relative:page;z-index:-21196288" type="#_x0000_t202" filled="false" stroked="false">
          <v:textbox inset="0,0,0,0">
            <w:txbxContent>
              <w:p>
                <w:pPr>
                  <w:spacing w:before="13"/>
                  <w:ind w:left="20" w:right="0" w:firstLine="0"/>
                  <w:jc w:val="left"/>
                  <w:rPr>
                    <w:i/>
                    <w:sz w:val="16"/>
                  </w:rPr>
                </w:pPr>
                <w:r>
                  <w:rPr>
                    <w:i/>
                    <w:color w:val="231F20"/>
                    <w:sz w:val="16"/>
                  </w:rPr>
                  <w:t>Money and financial markets</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172736" from="38.25pt,39pt" to="555.25pt,39pt" stroked="true" strokeweight=".125pt" strokecolor="#231f20">
          <v:stroke dashstyle="solid"/>
          <w10:wrap type="none"/>
        </v:line>
      </w:pict>
    </w:r>
    <w:r>
      <w:rPr/>
      <w:pict>
        <v:line style="position:absolute;mso-position-horizontal-relative:page;mso-position-vertical-relative:page;z-index:-21172224" from="207.447006pt,128.542007pt" to="203.447006pt,128.542007pt" stroked="true" strokeweight=".5pt" strokecolor="#000000">
          <v:stroke dashstyle="solid"/>
          <w10:wrap type="none"/>
        </v:line>
      </w:pict>
    </w:r>
    <w:r>
      <w:rPr/>
      <w:pict>
        <v:shape style="position:absolute;margin-left:493.730011pt;margin-top:29.461094pt;width:61.6pt;height:10.9pt;mso-position-horizontal-relative:page;mso-position-vertical-relative:page;z-index:-21171712" type="#_x0000_t202" filled="false" stroked="false">
          <v:textbox inset="0,0,0,0">
            <w:txbxContent>
              <w:p>
                <w:pPr>
                  <w:spacing w:before="13"/>
                  <w:ind w:left="20" w:right="0" w:firstLine="0"/>
                  <w:jc w:val="left"/>
                  <w:rPr>
                    <w:i/>
                    <w:sz w:val="16"/>
                  </w:rPr>
                </w:pPr>
                <w:r>
                  <w:rPr>
                    <w:i/>
                    <w:color w:val="231F20"/>
                    <w:sz w:val="16"/>
                  </w:rPr>
                  <w:t>The labour market</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9pt;margin-top:29.461094pt;width:100.7pt;height:10.9pt;mso-position-horizontal-relative:page;mso-position-vertical-relative:page;z-index:-21170176" type="#_x0000_t202" filled="false" stroked="false">
          <v:textbox inset="0,0,0,0">
            <w:txbxContent>
              <w:p>
                <w:pPr>
                  <w:spacing w:before="13"/>
                  <w:ind w:left="20" w:right="0" w:firstLine="0"/>
                  <w:jc w:val="left"/>
                  <w:rPr>
                    <w:sz w:val="16"/>
                  </w:rPr>
                </w:pPr>
                <w:r>
                  <w:rPr>
                    <w:color w:val="231F20"/>
                    <w:sz w:val="16"/>
                  </w:rPr>
                  <w:t>Inflation Report: August 1998</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3.730011pt;margin-top:29.461094pt;width:61.6pt;height:10.9pt;mso-position-horizontal-relative:page;mso-position-vertical-relative:page;z-index:-21169664" type="#_x0000_t202" filled="false" stroked="false">
          <v:textbox inset="0,0,0,0">
            <w:txbxContent>
              <w:p>
                <w:pPr>
                  <w:spacing w:before="13"/>
                  <w:ind w:left="20" w:right="0" w:firstLine="0"/>
                  <w:jc w:val="left"/>
                  <w:rPr>
                    <w:i/>
                    <w:sz w:val="16"/>
                  </w:rPr>
                </w:pPr>
                <w:r>
                  <w:rPr>
                    <w:i/>
                    <w:color w:val="231F20"/>
                    <w:sz w:val="16"/>
                  </w:rPr>
                  <w:t>The labour market</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29.461094pt;width:519pt;height:10.9pt;mso-position-horizontal-relative:page;mso-position-vertical-relative:page;z-index:-21168128" type="#_x0000_t202" filled="false" stroked="false">
          <v:textbox inset="0,0,0,0">
            <w:txbxContent>
              <w:p>
                <w:pPr>
                  <w:tabs>
                    <w:tab w:pos="10359" w:val="left" w:leader="none"/>
                  </w:tabs>
                  <w:spacing w:before="13"/>
                  <w:ind w:left="20" w:right="0" w:firstLine="0"/>
                  <w:jc w:val="left"/>
                  <w:rPr>
                    <w:sz w:val="16"/>
                  </w:rPr>
                </w:pPr>
                <w:r>
                  <w:rPr>
                    <w:color w:val="231F20"/>
                    <w:spacing w:val="-20"/>
                    <w:sz w:val="16"/>
                    <w:u w:val="single" w:color="231F20"/>
                  </w:rPr>
                  <w:t> </w:t>
                </w:r>
                <w:r>
                  <w:rPr>
                    <w:color w:val="231F20"/>
                    <w:sz w:val="16"/>
                    <w:u w:val="single" w:color="231F20"/>
                  </w:rPr>
                  <w:t>Inflation Report:  August 1998</w:t>
                  <w:tab/>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3.730011pt;margin-top:29.461094pt;width:61.6pt;height:10.9pt;mso-position-horizontal-relative:page;mso-position-vertical-relative:page;z-index:-21167616" type="#_x0000_t202" filled="false" stroked="false">
          <v:textbox inset="0,0,0,0">
            <w:txbxContent>
              <w:p>
                <w:pPr>
                  <w:spacing w:before="13"/>
                  <w:ind w:left="20" w:right="0" w:firstLine="0"/>
                  <w:jc w:val="left"/>
                  <w:rPr>
                    <w:i/>
                    <w:sz w:val="16"/>
                  </w:rPr>
                </w:pPr>
                <w:r>
                  <w:rPr>
                    <w:i/>
                    <w:color w:val="231F20"/>
                    <w:sz w:val="16"/>
                  </w:rPr>
                  <w:t>The labour market</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165056" from="38.25pt,39pt" to="555.25pt,39pt" stroked="true" strokeweight=".125pt" strokecolor="#231f20">
          <v:stroke dashstyle="solid"/>
          <w10:wrap type="none"/>
        </v:line>
      </w:pict>
    </w:r>
    <w:r>
      <w:rPr/>
      <w:pict>
        <v:shape style="position:absolute;margin-left:499.950012pt;margin-top:29.461094pt;width:55.35pt;height:10.9pt;mso-position-horizontal-relative:page;mso-position-vertical-relative:page;z-index:-21164544" type="#_x0000_t202" filled="false" stroked="false">
          <v:textbox inset="0,0,0,0">
            <w:txbxContent>
              <w:p>
                <w:pPr>
                  <w:spacing w:before="13"/>
                  <w:ind w:left="20" w:right="0" w:firstLine="0"/>
                  <w:jc w:val="left"/>
                  <w:rPr>
                    <w:i/>
                    <w:sz w:val="16"/>
                  </w:rPr>
                </w:pPr>
                <w:r>
                  <w:rPr>
                    <w:i/>
                    <w:color w:val="231F20"/>
                    <w:sz w:val="16"/>
                  </w:rPr>
                  <w:t>Costs and prices</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7.25pt;margin-top:28.461094pt;width:519pt;height:10.9pt;mso-position-horizontal-relative:page;mso-position-vertical-relative:page;z-index:-21164032" type="#_x0000_t202" filled="false" stroked="false">
          <v:textbox inset="0,0,0,0">
            <w:txbxContent>
              <w:p>
                <w:pPr>
                  <w:tabs>
                    <w:tab w:pos="10359" w:val="left" w:leader="none"/>
                  </w:tabs>
                  <w:spacing w:before="13"/>
                  <w:ind w:left="20" w:right="0" w:firstLine="0"/>
                  <w:jc w:val="left"/>
                  <w:rPr>
                    <w:sz w:val="16"/>
                  </w:rPr>
                </w:pPr>
                <w:r>
                  <w:rPr>
                    <w:color w:val="231F20"/>
                    <w:spacing w:val="-20"/>
                    <w:sz w:val="16"/>
                    <w:u w:val="single" w:color="231F20"/>
                  </w:rPr>
                  <w:t> </w:t>
                </w:r>
                <w:r>
                  <w:rPr>
                    <w:color w:val="231F20"/>
                    <w:sz w:val="16"/>
                    <w:u w:val="single" w:color="231F20"/>
                  </w:rPr>
                  <w:t>Inflation Report:  August 1998</w:t>
                  <w:tab/>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9.950012pt;margin-top:29.461094pt;width:55.35pt;height:10.9pt;mso-position-horizontal-relative:page;mso-position-vertical-relative:page;z-index:-21162496" type="#_x0000_t202" filled="false" stroked="false">
          <v:textbox inset="0,0,0,0">
            <w:txbxContent>
              <w:p>
                <w:pPr>
                  <w:spacing w:before="13"/>
                  <w:ind w:left="20" w:right="0" w:firstLine="0"/>
                  <w:jc w:val="left"/>
                  <w:rPr>
                    <w:i/>
                    <w:sz w:val="16"/>
                  </w:rPr>
                </w:pPr>
                <w:r>
                  <w:rPr>
                    <w:i/>
                    <w:color w:val="231F20"/>
                    <w:sz w:val="16"/>
                  </w:rPr>
                  <w:t>Costs and prices</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29.461094pt;width:519pt;height:10.9pt;mso-position-horizontal-relative:page;mso-position-vertical-relative:page;z-index:-21161984" type="#_x0000_t202" filled="false" stroked="false">
          <v:textbox inset="0,0,0,0">
            <w:txbxContent>
              <w:p>
                <w:pPr>
                  <w:tabs>
                    <w:tab w:pos="10359" w:val="left" w:leader="none"/>
                  </w:tabs>
                  <w:spacing w:before="13"/>
                  <w:ind w:left="20" w:right="0" w:firstLine="0"/>
                  <w:jc w:val="left"/>
                  <w:rPr>
                    <w:sz w:val="16"/>
                  </w:rPr>
                </w:pPr>
                <w:r>
                  <w:rPr>
                    <w:color w:val="231F20"/>
                    <w:spacing w:val="-20"/>
                    <w:sz w:val="16"/>
                    <w:u w:val="single" w:color="231F20"/>
                  </w:rPr>
                  <w:t> </w:t>
                </w:r>
                <w:r>
                  <w:rPr>
                    <w:color w:val="231F20"/>
                    <w:sz w:val="16"/>
                    <w:u w:val="single" w:color="231F20"/>
                  </w:rPr>
                  <w:t>Inflation Report:  August 1998</w:t>
                  <w:tab/>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194752" from="38.5pt,38pt" to="555.5pt,38pt" stroked="true" strokeweight=".125pt" strokecolor="#231f20">
          <v:stroke dashstyle="solid"/>
          <w10:wrap type="none"/>
        </v:line>
      </w:pict>
    </w:r>
    <w:r>
      <w:rPr/>
      <w:pict>
        <v:line style="position:absolute;mso-position-horizontal-relative:page;mso-position-vertical-relative:page;z-index:-21194240" from="46.557999pt,106.735001pt" to="41.702999pt,106.735001pt" stroked="true" strokeweight=".5pt" strokecolor="#000000">
          <v:stroke dashstyle="solid"/>
          <w10:wrap type="none"/>
        </v:line>
      </w:pict>
    </w:r>
    <w:r>
      <w:rPr/>
      <w:pict>
        <v:line style="position:absolute;mso-position-horizontal-relative:page;mso-position-vertical-relative:page;z-index:-21193728" from="204.535993pt,106.735001pt" to="200.651993pt,106.735001pt" stroked="true" strokeweight=".5pt" strokecolor="#000000">
          <v:stroke dashstyle="solid"/>
          <w10:wrap type="none"/>
        </v:line>
      </w:pict>
    </w:r>
    <w:r>
      <w:rPr/>
      <w:pict>
        <v:shape style="position:absolute;margin-left:459.920013pt;margin-top:28.461094pt;width:95.55pt;height:10.9pt;mso-position-horizontal-relative:page;mso-position-vertical-relative:page;z-index:-21193216" type="#_x0000_t202" filled="false" stroked="false">
          <v:textbox inset="0,0,0,0">
            <w:txbxContent>
              <w:p>
                <w:pPr>
                  <w:spacing w:before="13"/>
                  <w:ind w:left="20" w:right="0" w:firstLine="0"/>
                  <w:jc w:val="left"/>
                  <w:rPr>
                    <w:i/>
                    <w:sz w:val="16"/>
                  </w:rPr>
                </w:pPr>
                <w:r>
                  <w:rPr>
                    <w:i/>
                    <w:color w:val="231F20"/>
                    <w:sz w:val="16"/>
                  </w:rPr>
                  <w:t>Money and financial markets</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25pt;margin-top:28.461094pt;width:519pt;height:10.9pt;mso-position-horizontal-relative:page;mso-position-vertical-relative:page;z-index:-21159424" type="#_x0000_t202" filled="false" stroked="false">
          <v:textbox inset="0,0,0,0">
            <w:txbxContent>
              <w:p>
                <w:pPr>
                  <w:tabs>
                    <w:tab w:pos="10359" w:val="left" w:leader="none"/>
                  </w:tabs>
                  <w:spacing w:before="13"/>
                  <w:ind w:left="20" w:right="0" w:firstLine="0"/>
                  <w:jc w:val="left"/>
                  <w:rPr>
                    <w:sz w:val="16"/>
                  </w:rPr>
                </w:pPr>
                <w:r>
                  <w:rPr>
                    <w:color w:val="231F20"/>
                    <w:spacing w:val="-20"/>
                    <w:sz w:val="16"/>
                    <w:u w:val="single" w:color="231F20"/>
                  </w:rPr>
                  <w:t> </w:t>
                </w:r>
                <w:r>
                  <w:rPr>
                    <w:color w:val="231F20"/>
                    <w:sz w:val="16"/>
                    <w:u w:val="single" w:color="231F20"/>
                  </w:rPr>
                  <w:t>Inflation Report:  August 1998</w:t>
                  <w:tab/>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25pt;margin-top:28.461094pt;width:519pt;height:10.9pt;mso-position-horizontal-relative:page;mso-position-vertical-relative:page;z-index:-21158912" type="#_x0000_t202" filled="false" stroked="false">
          <v:textbox inset="0,0,0,0">
            <w:txbxContent>
              <w:p>
                <w:pPr>
                  <w:tabs>
                    <w:tab w:pos="10359" w:val="left" w:leader="none"/>
                  </w:tabs>
                  <w:spacing w:before="13"/>
                  <w:ind w:left="20" w:right="0" w:firstLine="0"/>
                  <w:jc w:val="left"/>
                  <w:rPr>
                    <w:sz w:val="16"/>
                  </w:rPr>
                </w:pPr>
                <w:r>
                  <w:rPr>
                    <w:color w:val="231F20"/>
                    <w:spacing w:val="-20"/>
                    <w:sz w:val="16"/>
                    <w:u w:val="single" w:color="231F20"/>
                  </w:rPr>
                  <w:t> </w:t>
                </w:r>
                <w:r>
                  <w:rPr>
                    <w:color w:val="231F20"/>
                    <w:sz w:val="16"/>
                    <w:u w:val="single" w:color="231F20"/>
                  </w:rPr>
                  <w:t>Inflation Report:  August 1998</w:t>
                  <w:tab/>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28.461094pt;width:519pt;height:10.9pt;mso-position-horizontal-relative:page;mso-position-vertical-relative:page;z-index:-21157376" type="#_x0000_t202" filled="false" stroked="false">
          <v:textbox inset="0,0,0,0">
            <w:txbxContent>
              <w:p>
                <w:pPr>
                  <w:tabs>
                    <w:tab w:pos="10359" w:val="left" w:leader="none"/>
                  </w:tabs>
                  <w:spacing w:before="13"/>
                  <w:ind w:left="20" w:right="0" w:firstLine="0"/>
                  <w:jc w:val="left"/>
                  <w:rPr>
                    <w:sz w:val="16"/>
                  </w:rPr>
                </w:pPr>
                <w:r>
                  <w:rPr>
                    <w:color w:val="231F20"/>
                    <w:spacing w:val="-20"/>
                    <w:sz w:val="16"/>
                    <w:u w:val="single" w:color="231F20"/>
                  </w:rPr>
                  <w:t> </w:t>
                </w:r>
                <w:r>
                  <w:rPr>
                    <w:color w:val="231F20"/>
                    <w:sz w:val="16"/>
                    <w:u w:val="single" w:color="231F20"/>
                  </w:rPr>
                  <w:t>Inflation Report:  August 1998</w:t>
                  <w:tab/>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156864" from="38.25pt,38pt" to="555.25pt,38pt" stroked="true" strokeweight=".125pt" strokecolor="#231f20">
          <v:stroke dashstyle="solid"/>
          <w10:wrap type="none"/>
        </v:line>
      </w:pict>
    </w:r>
    <w:r>
      <w:rPr/>
      <w:pict>
        <v:shape style="position:absolute;margin-left:481.279999pt;margin-top:28.461094pt;width:74pt;height:10.9pt;mso-position-horizontal-relative:page;mso-position-vertical-relative:page;z-index:-21156352" type="#_x0000_t202" filled="false" stroked="false">
          <v:textbox inset="0,0,0,0">
            <w:txbxContent>
              <w:p>
                <w:pPr>
                  <w:spacing w:before="13"/>
                  <w:ind w:left="20" w:right="0" w:firstLine="0"/>
                  <w:jc w:val="left"/>
                  <w:rPr>
                    <w:i/>
                    <w:sz w:val="16"/>
                  </w:rPr>
                </w:pPr>
                <w:r>
                  <w:rPr>
                    <w:i/>
                    <w:color w:val="231F20"/>
                    <w:sz w:val="16"/>
                  </w:rPr>
                  <w:t>Prospects for inflation</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28.461094pt;width:519pt;height:10.9pt;mso-position-horizontal-relative:page;mso-position-vertical-relative:page;z-index:-21154816" type="#_x0000_t202" filled="false" stroked="false">
          <v:textbox inset="0,0,0,0">
            <w:txbxContent>
              <w:p>
                <w:pPr>
                  <w:tabs>
                    <w:tab w:pos="10359" w:val="left" w:leader="none"/>
                  </w:tabs>
                  <w:spacing w:before="13"/>
                  <w:ind w:left="20" w:right="0" w:firstLine="0"/>
                  <w:jc w:val="left"/>
                  <w:rPr>
                    <w:sz w:val="16"/>
                  </w:rPr>
                </w:pPr>
                <w:r>
                  <w:rPr>
                    <w:color w:val="231F20"/>
                    <w:spacing w:val="-20"/>
                    <w:sz w:val="16"/>
                    <w:u w:val="single" w:color="231F20"/>
                  </w:rPr>
                  <w:t> </w:t>
                </w:r>
                <w:r>
                  <w:rPr>
                    <w:color w:val="231F20"/>
                    <w:sz w:val="16"/>
                    <w:u w:val="single" w:color="231F20"/>
                  </w:rPr>
                  <w:t>Inflation Report:  August 1998</w:t>
                  <w:tab/>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154304" from="38.25pt,38pt" to="555.25pt,38pt" stroked="true" strokeweight=".125pt" strokecolor="#231f20">
          <v:stroke dashstyle="solid"/>
          <w10:wrap type="none"/>
        </v:line>
      </w:pict>
    </w:r>
    <w:r>
      <w:rPr/>
      <w:pict>
        <v:shape style="position:absolute;margin-left:481.279999pt;margin-top:28.461094pt;width:74pt;height:10.9pt;mso-position-horizontal-relative:page;mso-position-vertical-relative:page;z-index:-21153792" type="#_x0000_t202" filled="false" stroked="false">
          <v:textbox inset="0,0,0,0">
            <w:txbxContent>
              <w:p>
                <w:pPr>
                  <w:spacing w:before="13"/>
                  <w:ind w:left="20" w:right="0" w:firstLine="0"/>
                  <w:jc w:val="left"/>
                  <w:rPr>
                    <w:i/>
                    <w:sz w:val="16"/>
                  </w:rPr>
                </w:pPr>
                <w:r>
                  <w:rPr>
                    <w:i/>
                    <w:color w:val="231F20"/>
                    <w:sz w:val="16"/>
                  </w:rPr>
                  <w:t>Prospects for inflation</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28.461094pt;width:519pt;height:10.9pt;mso-position-horizontal-relative:page;mso-position-vertical-relative:page;z-index:-21151744" type="#_x0000_t202" filled="false" stroked="false">
          <v:textbox inset="0,0,0,0">
            <w:txbxContent>
              <w:p>
                <w:pPr>
                  <w:tabs>
                    <w:tab w:pos="10359" w:val="left" w:leader="none"/>
                  </w:tabs>
                  <w:spacing w:before="13"/>
                  <w:ind w:left="20" w:right="0" w:firstLine="0"/>
                  <w:jc w:val="left"/>
                  <w:rPr>
                    <w:sz w:val="16"/>
                  </w:rPr>
                </w:pPr>
                <w:r>
                  <w:rPr>
                    <w:color w:val="231F20"/>
                    <w:spacing w:val="-20"/>
                    <w:sz w:val="16"/>
                    <w:u w:val="single" w:color="231F20"/>
                  </w:rPr>
                  <w:t> </w:t>
                </w:r>
                <w:r>
                  <w:rPr>
                    <w:color w:val="231F20"/>
                    <w:sz w:val="16"/>
                    <w:u w:val="single" w:color="231F20"/>
                  </w:rPr>
                  <w:t>Inflation Report:  August 1998</w:t>
                  <w:tab/>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9pt;margin-top:28.461094pt;width:100.7pt;height:10.9pt;mso-position-horizontal-relative:page;mso-position-vertical-relative:page;z-index:-21192704" type="#_x0000_t202" filled="false" stroked="false">
          <v:textbox inset="0,0,0,0">
            <w:txbxContent>
              <w:p>
                <w:pPr>
                  <w:spacing w:before="13"/>
                  <w:ind w:left="20" w:right="0" w:firstLine="0"/>
                  <w:jc w:val="left"/>
                  <w:rPr>
                    <w:sz w:val="16"/>
                  </w:rPr>
                </w:pPr>
                <w:r>
                  <w:rPr>
                    <w:color w:val="231F20"/>
                    <w:sz w:val="16"/>
                  </w:rPr>
                  <w:t>Inflation Report: August 1998</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151232" from="38.25pt,38pt" to="555.25pt,38pt" stroked="true" strokeweight=".125pt" strokecolor="#231f20">
          <v:stroke dashstyle="solid"/>
          <w10:wrap type="none"/>
        </v:line>
      </w:pict>
    </w:r>
    <w:r>
      <w:rPr/>
      <w:pict>
        <v:shape style="position:absolute;margin-left:481.279999pt;margin-top:28.461094pt;width:74pt;height:10.9pt;mso-position-horizontal-relative:page;mso-position-vertical-relative:page;z-index:-21150720" type="#_x0000_t202" filled="false" stroked="false">
          <v:textbox inset="0,0,0,0">
            <w:txbxContent>
              <w:p>
                <w:pPr>
                  <w:spacing w:before="13"/>
                  <w:ind w:left="20" w:right="0" w:firstLine="0"/>
                  <w:jc w:val="left"/>
                  <w:rPr>
                    <w:i/>
                    <w:sz w:val="16"/>
                  </w:rPr>
                </w:pPr>
                <w:r>
                  <w:rPr>
                    <w:i/>
                    <w:color w:val="231F20"/>
                    <w:sz w:val="16"/>
                  </w:rPr>
                  <w:t>Prospects for inflation</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148160" from="39pt,38pt" to="556pt,38pt" stroked="true" strokeweight=".125pt" strokecolor="#231f20">
          <v:stroke dashstyle="solid"/>
          <w10:wrap type="none"/>
        </v:line>
      </w:pict>
    </w:r>
    <w:r>
      <w:rPr/>
      <w:pict>
        <v:shape style="position:absolute;margin-left:463.809998pt;margin-top:28.461094pt;width:92.2pt;height:10.9pt;mso-position-horizontal-relative:page;mso-position-vertical-relative:page;z-index:-21147648" type="#_x0000_t202" filled="false" stroked="false">
          <v:textbox inset="0,0,0,0">
            <w:txbxContent>
              <w:p>
                <w:pPr>
                  <w:spacing w:before="13"/>
                  <w:ind w:left="20" w:right="0" w:firstLine="0"/>
                  <w:jc w:val="left"/>
                  <w:rPr>
                    <w:i/>
                    <w:sz w:val="16"/>
                  </w:rPr>
                </w:pPr>
                <w:r>
                  <w:rPr>
                    <w:i/>
                    <w:color w:val="231F20"/>
                    <w:sz w:val="16"/>
                  </w:rPr>
                  <w:t>Monetary Policy Committee</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25pt;margin-top:28.461094pt;width:519pt;height:10.9pt;mso-position-horizontal-relative:page;mso-position-vertical-relative:page;z-index:-21147136" type="#_x0000_t202" filled="false" stroked="false">
          <v:textbox inset="0,0,0,0">
            <w:txbxContent>
              <w:p>
                <w:pPr>
                  <w:tabs>
                    <w:tab w:pos="10359" w:val="left" w:leader="none"/>
                  </w:tabs>
                  <w:spacing w:before="13"/>
                  <w:ind w:left="20" w:right="0" w:firstLine="0"/>
                  <w:jc w:val="left"/>
                  <w:rPr>
                    <w:sz w:val="16"/>
                  </w:rPr>
                </w:pPr>
                <w:r>
                  <w:rPr>
                    <w:color w:val="231F20"/>
                    <w:spacing w:val="-20"/>
                    <w:sz w:val="16"/>
                    <w:u w:val="single" w:color="231F20"/>
                  </w:rPr>
                  <w:t> </w:t>
                </w:r>
                <w:r>
                  <w:rPr>
                    <w:color w:val="231F20"/>
                    <w:sz w:val="16"/>
                    <w:u w:val="single" w:color="231F20"/>
                  </w:rPr>
                  <w:t>Inflation Report:  August 1998</w:t>
                  <w:tab/>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191168" from="38.5pt,38pt" to="555.5pt,38pt" stroked="true" strokeweight=".125pt" strokecolor="#231f20">
          <v:stroke dashstyle="solid"/>
          <w10:wrap type="none"/>
        </v:line>
      </w:pict>
    </w:r>
    <w:r>
      <w:rPr/>
      <w:pict>
        <v:shape style="position:absolute;margin-left:459.920013pt;margin-top:28.461094pt;width:95.55pt;height:10.9pt;mso-position-horizontal-relative:page;mso-position-vertical-relative:page;z-index:-21190656" type="#_x0000_t202" filled="false" stroked="false">
          <v:textbox inset="0,0,0,0">
            <w:txbxContent>
              <w:p>
                <w:pPr>
                  <w:spacing w:before="13"/>
                  <w:ind w:left="20" w:right="0" w:firstLine="0"/>
                  <w:jc w:val="left"/>
                  <w:rPr>
                    <w:i/>
                    <w:sz w:val="16"/>
                  </w:rPr>
                </w:pPr>
                <w:r>
                  <w:rPr>
                    <w:i/>
                    <w:color w:val="231F20"/>
                    <w:sz w:val="16"/>
                  </w:rPr>
                  <w:t>Money and financial markets</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75pt;margin-top:28.461094pt;width:519pt;height:10.9pt;mso-position-horizontal-relative:page;mso-position-vertical-relative:page;z-index:-21190144" type="#_x0000_t202" filled="false" stroked="false">
          <v:textbox inset="0,0,0,0">
            <w:txbxContent>
              <w:p>
                <w:pPr>
                  <w:tabs>
                    <w:tab w:pos="10359" w:val="left" w:leader="none"/>
                  </w:tabs>
                  <w:spacing w:before="13"/>
                  <w:ind w:left="20" w:right="0" w:firstLine="0"/>
                  <w:jc w:val="left"/>
                  <w:rPr>
                    <w:sz w:val="16"/>
                  </w:rPr>
                </w:pPr>
                <w:r>
                  <w:rPr>
                    <w:color w:val="231F20"/>
                    <w:spacing w:val="-21"/>
                    <w:sz w:val="16"/>
                    <w:u w:val="single" w:color="231F20"/>
                  </w:rPr>
                  <w:t> </w:t>
                </w:r>
                <w:r>
                  <w:rPr>
                    <w:color w:val="231F20"/>
                    <w:sz w:val="16"/>
                    <w:u w:val="single" w:color="231F20"/>
                  </w:rPr>
                  <w:t>Inflation Report:  August 1998</w:t>
                  <w:tab/>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9.369999pt;margin-top:28.461094pt;width:100.7pt;height:10.9pt;mso-position-horizontal-relative:page;mso-position-vertical-relative:page;z-index:-21187584" type="#_x0000_t202" filled="false" stroked="false">
          <v:textbox inset="0,0,0,0">
            <w:txbxContent>
              <w:p>
                <w:pPr>
                  <w:spacing w:before="13"/>
                  <w:ind w:left="20" w:right="0" w:firstLine="0"/>
                  <w:jc w:val="left"/>
                  <w:rPr>
                    <w:sz w:val="16"/>
                  </w:rPr>
                </w:pPr>
                <w:r>
                  <w:rPr>
                    <w:color w:val="231F20"/>
                    <w:sz w:val="16"/>
                  </w:rPr>
                  <w:t>Inflation Report: August 1998</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187072" from="39pt,38pt" to="556pt,38pt" stroked="true" strokeweight=".125pt" strokecolor="#231f20">
          <v:stroke dashstyle="solid"/>
          <w10:wrap type="none"/>
        </v:line>
      </w:pict>
    </w:r>
    <w:r>
      <w:rPr/>
      <w:pict>
        <v:shape style="position:absolute;margin-left:490.450012pt;margin-top:28.461094pt;width:65.6pt;height:10.9pt;mso-position-horizontal-relative:page;mso-position-vertical-relative:page;z-index:-21186560" type="#_x0000_t202" filled="false" stroked="false">
          <v:textbox inset="0,0,0,0">
            <w:txbxContent>
              <w:p>
                <w:pPr>
                  <w:spacing w:before="13"/>
                  <w:ind w:left="20" w:right="0" w:firstLine="0"/>
                  <w:jc w:val="left"/>
                  <w:rPr>
                    <w:i/>
                    <w:sz w:val="16"/>
                  </w:rPr>
                </w:pPr>
                <w:r>
                  <w:rPr>
                    <w:i/>
                    <w:color w:val="231F20"/>
                    <w:sz w:val="16"/>
                  </w:rPr>
                  <w:t>Demand and output</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2">
    <w:multiLevelType w:val="hybridMultilevel"/>
    <w:lvl w:ilvl="0">
      <w:start w:val="1"/>
      <w:numFmt w:val="decimal"/>
      <w:lvlText w:val="(%1)"/>
      <w:lvlJc w:val="left"/>
      <w:pPr>
        <w:ind w:left="425" w:hanging="224"/>
        <w:jc w:val="left"/>
      </w:pPr>
      <w:rPr>
        <w:rFonts w:hint="default" w:ascii="Times New Roman" w:hAnsi="Times New Roman" w:eastAsia="Times New Roman" w:cs="Times New Roman"/>
        <w:color w:val="231F20"/>
        <w:spacing w:val="-10"/>
        <w:w w:val="100"/>
        <w:sz w:val="14"/>
        <w:szCs w:val="14"/>
        <w:lang w:val="en-US" w:eastAsia="en-US" w:bidi="ar-SA"/>
      </w:rPr>
    </w:lvl>
    <w:lvl w:ilvl="1">
      <w:start w:val="0"/>
      <w:numFmt w:val="bullet"/>
      <w:lvlText w:val="•"/>
      <w:lvlJc w:val="left"/>
      <w:pPr>
        <w:ind w:left="6020" w:hanging="224"/>
      </w:pPr>
      <w:rPr>
        <w:rFonts w:hint="default"/>
        <w:lang w:val="en-US" w:eastAsia="en-US" w:bidi="ar-SA"/>
      </w:rPr>
    </w:lvl>
    <w:lvl w:ilvl="2">
      <w:start w:val="0"/>
      <w:numFmt w:val="bullet"/>
      <w:lvlText w:val="•"/>
      <w:lvlJc w:val="left"/>
      <w:pPr>
        <w:ind w:left="6533" w:hanging="224"/>
      </w:pPr>
      <w:rPr>
        <w:rFonts w:hint="default"/>
        <w:lang w:val="en-US" w:eastAsia="en-US" w:bidi="ar-SA"/>
      </w:rPr>
    </w:lvl>
    <w:lvl w:ilvl="3">
      <w:start w:val="0"/>
      <w:numFmt w:val="bullet"/>
      <w:lvlText w:val="•"/>
      <w:lvlJc w:val="left"/>
      <w:pPr>
        <w:ind w:left="7046" w:hanging="224"/>
      </w:pPr>
      <w:rPr>
        <w:rFonts w:hint="default"/>
        <w:lang w:val="en-US" w:eastAsia="en-US" w:bidi="ar-SA"/>
      </w:rPr>
    </w:lvl>
    <w:lvl w:ilvl="4">
      <w:start w:val="0"/>
      <w:numFmt w:val="bullet"/>
      <w:lvlText w:val="•"/>
      <w:lvlJc w:val="left"/>
      <w:pPr>
        <w:ind w:left="7560" w:hanging="224"/>
      </w:pPr>
      <w:rPr>
        <w:rFonts w:hint="default"/>
        <w:lang w:val="en-US" w:eastAsia="en-US" w:bidi="ar-SA"/>
      </w:rPr>
    </w:lvl>
    <w:lvl w:ilvl="5">
      <w:start w:val="0"/>
      <w:numFmt w:val="bullet"/>
      <w:lvlText w:val="•"/>
      <w:lvlJc w:val="left"/>
      <w:pPr>
        <w:ind w:left="8073" w:hanging="224"/>
      </w:pPr>
      <w:rPr>
        <w:rFonts w:hint="default"/>
        <w:lang w:val="en-US" w:eastAsia="en-US" w:bidi="ar-SA"/>
      </w:rPr>
    </w:lvl>
    <w:lvl w:ilvl="6">
      <w:start w:val="0"/>
      <w:numFmt w:val="bullet"/>
      <w:lvlText w:val="•"/>
      <w:lvlJc w:val="left"/>
      <w:pPr>
        <w:ind w:left="8586" w:hanging="224"/>
      </w:pPr>
      <w:rPr>
        <w:rFonts w:hint="default"/>
        <w:lang w:val="en-US" w:eastAsia="en-US" w:bidi="ar-SA"/>
      </w:rPr>
    </w:lvl>
    <w:lvl w:ilvl="7">
      <w:start w:val="0"/>
      <w:numFmt w:val="bullet"/>
      <w:lvlText w:val="•"/>
      <w:lvlJc w:val="left"/>
      <w:pPr>
        <w:ind w:left="9100" w:hanging="224"/>
      </w:pPr>
      <w:rPr>
        <w:rFonts w:hint="default"/>
        <w:lang w:val="en-US" w:eastAsia="en-US" w:bidi="ar-SA"/>
      </w:rPr>
    </w:lvl>
    <w:lvl w:ilvl="8">
      <w:start w:val="0"/>
      <w:numFmt w:val="bullet"/>
      <w:lvlText w:val="•"/>
      <w:lvlJc w:val="left"/>
      <w:pPr>
        <w:ind w:left="9613" w:hanging="224"/>
      </w:pPr>
      <w:rPr>
        <w:rFonts w:hint="default"/>
        <w:lang w:val="en-US" w:eastAsia="en-US" w:bidi="ar-SA"/>
      </w:rPr>
    </w:lvl>
  </w:abstractNum>
  <w:abstractNum w:abstractNumId="51">
    <w:multiLevelType w:val="hybridMultilevel"/>
    <w:lvl w:ilvl="0">
      <w:start w:val="1"/>
      <w:numFmt w:val="upperRoman"/>
      <w:lvlText w:val="%1"/>
      <w:lvlJc w:val="left"/>
      <w:pPr>
        <w:ind w:left="684" w:hanging="481"/>
        <w:jc w:val="left"/>
      </w:pPr>
      <w:rPr>
        <w:rFonts w:hint="default" w:ascii="Times New Roman" w:hAnsi="Times New Roman" w:eastAsia="Times New Roman" w:cs="Times New Roman"/>
        <w:b/>
        <w:bCs/>
        <w:color w:val="009483"/>
        <w:w w:val="100"/>
        <w:sz w:val="22"/>
        <w:szCs w:val="22"/>
        <w:lang w:val="en-US" w:eastAsia="en-US" w:bidi="ar-SA"/>
      </w:rPr>
    </w:lvl>
    <w:lvl w:ilvl="1">
      <w:start w:val="0"/>
      <w:numFmt w:val="bullet"/>
      <w:lvlText w:val="•"/>
      <w:lvlJc w:val="left"/>
      <w:pPr>
        <w:ind w:left="1126" w:hanging="481"/>
      </w:pPr>
      <w:rPr>
        <w:rFonts w:hint="default"/>
        <w:lang w:val="en-US" w:eastAsia="en-US" w:bidi="ar-SA"/>
      </w:rPr>
    </w:lvl>
    <w:lvl w:ilvl="2">
      <w:start w:val="0"/>
      <w:numFmt w:val="bullet"/>
      <w:lvlText w:val="•"/>
      <w:lvlJc w:val="left"/>
      <w:pPr>
        <w:ind w:left="1572" w:hanging="481"/>
      </w:pPr>
      <w:rPr>
        <w:rFonts w:hint="default"/>
        <w:lang w:val="en-US" w:eastAsia="en-US" w:bidi="ar-SA"/>
      </w:rPr>
    </w:lvl>
    <w:lvl w:ilvl="3">
      <w:start w:val="0"/>
      <w:numFmt w:val="bullet"/>
      <w:lvlText w:val="•"/>
      <w:lvlJc w:val="left"/>
      <w:pPr>
        <w:ind w:left="2019" w:hanging="481"/>
      </w:pPr>
      <w:rPr>
        <w:rFonts w:hint="default"/>
        <w:lang w:val="en-US" w:eastAsia="en-US" w:bidi="ar-SA"/>
      </w:rPr>
    </w:lvl>
    <w:lvl w:ilvl="4">
      <w:start w:val="0"/>
      <w:numFmt w:val="bullet"/>
      <w:lvlText w:val="•"/>
      <w:lvlJc w:val="left"/>
      <w:pPr>
        <w:ind w:left="2465" w:hanging="481"/>
      </w:pPr>
      <w:rPr>
        <w:rFonts w:hint="default"/>
        <w:lang w:val="en-US" w:eastAsia="en-US" w:bidi="ar-SA"/>
      </w:rPr>
    </w:lvl>
    <w:lvl w:ilvl="5">
      <w:start w:val="0"/>
      <w:numFmt w:val="bullet"/>
      <w:lvlText w:val="•"/>
      <w:lvlJc w:val="left"/>
      <w:pPr>
        <w:ind w:left="2911" w:hanging="481"/>
      </w:pPr>
      <w:rPr>
        <w:rFonts w:hint="default"/>
        <w:lang w:val="en-US" w:eastAsia="en-US" w:bidi="ar-SA"/>
      </w:rPr>
    </w:lvl>
    <w:lvl w:ilvl="6">
      <w:start w:val="0"/>
      <w:numFmt w:val="bullet"/>
      <w:lvlText w:val="•"/>
      <w:lvlJc w:val="left"/>
      <w:pPr>
        <w:ind w:left="3358" w:hanging="481"/>
      </w:pPr>
      <w:rPr>
        <w:rFonts w:hint="default"/>
        <w:lang w:val="en-US" w:eastAsia="en-US" w:bidi="ar-SA"/>
      </w:rPr>
    </w:lvl>
    <w:lvl w:ilvl="7">
      <w:start w:val="0"/>
      <w:numFmt w:val="bullet"/>
      <w:lvlText w:val="•"/>
      <w:lvlJc w:val="left"/>
      <w:pPr>
        <w:ind w:left="3804" w:hanging="481"/>
      </w:pPr>
      <w:rPr>
        <w:rFonts w:hint="default"/>
        <w:lang w:val="en-US" w:eastAsia="en-US" w:bidi="ar-SA"/>
      </w:rPr>
    </w:lvl>
    <w:lvl w:ilvl="8">
      <w:start w:val="0"/>
      <w:numFmt w:val="bullet"/>
      <w:lvlText w:val="•"/>
      <w:lvlJc w:val="left"/>
      <w:pPr>
        <w:ind w:left="4250" w:hanging="481"/>
      </w:pPr>
      <w:rPr>
        <w:rFonts w:hint="default"/>
        <w:lang w:val="en-US" w:eastAsia="en-US" w:bidi="ar-SA"/>
      </w:rPr>
    </w:lvl>
  </w:abstractNum>
  <w:abstractNum w:abstractNumId="50">
    <w:multiLevelType w:val="hybridMultilevel"/>
    <w:lvl w:ilvl="0">
      <w:start w:val="1"/>
      <w:numFmt w:val="decimal"/>
      <w:lvlText w:val="%1"/>
      <w:lvlJc w:val="left"/>
      <w:pPr>
        <w:ind w:left="204" w:hanging="481"/>
        <w:jc w:val="left"/>
      </w:pPr>
      <w:rPr>
        <w:rFonts w:hint="default" w:ascii="Times New Roman" w:hAnsi="Times New Roman" w:eastAsia="Times New Roman" w:cs="Times New Roman"/>
        <w:color w:val="231F20"/>
        <w:spacing w:val="-6"/>
        <w:w w:val="100"/>
        <w:sz w:val="18"/>
        <w:szCs w:val="18"/>
        <w:lang w:val="en-US" w:eastAsia="en-US" w:bidi="ar-SA"/>
      </w:rPr>
    </w:lvl>
    <w:lvl w:ilvl="1">
      <w:start w:val="0"/>
      <w:numFmt w:val="bullet"/>
      <w:lvlText w:val="•"/>
      <w:lvlJc w:val="left"/>
      <w:pPr>
        <w:ind w:left="694" w:hanging="481"/>
      </w:pPr>
      <w:rPr>
        <w:rFonts w:hint="default"/>
        <w:lang w:val="en-US" w:eastAsia="en-US" w:bidi="ar-SA"/>
      </w:rPr>
    </w:lvl>
    <w:lvl w:ilvl="2">
      <w:start w:val="0"/>
      <w:numFmt w:val="bullet"/>
      <w:lvlText w:val="•"/>
      <w:lvlJc w:val="left"/>
      <w:pPr>
        <w:ind w:left="1188" w:hanging="481"/>
      </w:pPr>
      <w:rPr>
        <w:rFonts w:hint="default"/>
        <w:lang w:val="en-US" w:eastAsia="en-US" w:bidi="ar-SA"/>
      </w:rPr>
    </w:lvl>
    <w:lvl w:ilvl="3">
      <w:start w:val="0"/>
      <w:numFmt w:val="bullet"/>
      <w:lvlText w:val="•"/>
      <w:lvlJc w:val="left"/>
      <w:pPr>
        <w:ind w:left="1683" w:hanging="481"/>
      </w:pPr>
      <w:rPr>
        <w:rFonts w:hint="default"/>
        <w:lang w:val="en-US" w:eastAsia="en-US" w:bidi="ar-SA"/>
      </w:rPr>
    </w:lvl>
    <w:lvl w:ilvl="4">
      <w:start w:val="0"/>
      <w:numFmt w:val="bullet"/>
      <w:lvlText w:val="•"/>
      <w:lvlJc w:val="left"/>
      <w:pPr>
        <w:ind w:left="2177" w:hanging="481"/>
      </w:pPr>
      <w:rPr>
        <w:rFonts w:hint="default"/>
        <w:lang w:val="en-US" w:eastAsia="en-US" w:bidi="ar-SA"/>
      </w:rPr>
    </w:lvl>
    <w:lvl w:ilvl="5">
      <w:start w:val="0"/>
      <w:numFmt w:val="bullet"/>
      <w:lvlText w:val="•"/>
      <w:lvlJc w:val="left"/>
      <w:pPr>
        <w:ind w:left="2671" w:hanging="481"/>
      </w:pPr>
      <w:rPr>
        <w:rFonts w:hint="default"/>
        <w:lang w:val="en-US" w:eastAsia="en-US" w:bidi="ar-SA"/>
      </w:rPr>
    </w:lvl>
    <w:lvl w:ilvl="6">
      <w:start w:val="0"/>
      <w:numFmt w:val="bullet"/>
      <w:lvlText w:val="•"/>
      <w:lvlJc w:val="left"/>
      <w:pPr>
        <w:ind w:left="3166" w:hanging="481"/>
      </w:pPr>
      <w:rPr>
        <w:rFonts w:hint="default"/>
        <w:lang w:val="en-US" w:eastAsia="en-US" w:bidi="ar-SA"/>
      </w:rPr>
    </w:lvl>
    <w:lvl w:ilvl="7">
      <w:start w:val="0"/>
      <w:numFmt w:val="bullet"/>
      <w:lvlText w:val="•"/>
      <w:lvlJc w:val="left"/>
      <w:pPr>
        <w:ind w:left="3660" w:hanging="481"/>
      </w:pPr>
      <w:rPr>
        <w:rFonts w:hint="default"/>
        <w:lang w:val="en-US" w:eastAsia="en-US" w:bidi="ar-SA"/>
      </w:rPr>
    </w:lvl>
    <w:lvl w:ilvl="8">
      <w:start w:val="0"/>
      <w:numFmt w:val="bullet"/>
      <w:lvlText w:val="•"/>
      <w:lvlJc w:val="left"/>
      <w:pPr>
        <w:ind w:left="4154" w:hanging="481"/>
      </w:pPr>
      <w:rPr>
        <w:rFonts w:hint="default"/>
        <w:lang w:val="en-US" w:eastAsia="en-US" w:bidi="ar-SA"/>
      </w:rPr>
    </w:lvl>
  </w:abstractNum>
  <w:abstractNum w:abstractNumId="49">
    <w:multiLevelType w:val="hybridMultilevel"/>
    <w:lvl w:ilvl="0">
      <w:start w:val="1"/>
      <w:numFmt w:val="decimal"/>
      <w:lvlText w:val="%1"/>
      <w:lvlJc w:val="left"/>
      <w:pPr>
        <w:ind w:left="165" w:hanging="481"/>
        <w:jc w:val="left"/>
      </w:pPr>
      <w:rPr>
        <w:rFonts w:hint="default" w:ascii="Times New Roman" w:hAnsi="Times New Roman" w:eastAsia="Times New Roman" w:cs="Times New Roman"/>
        <w:color w:val="231F20"/>
        <w:spacing w:val="-2"/>
        <w:w w:val="100"/>
        <w:sz w:val="18"/>
        <w:szCs w:val="18"/>
        <w:lang w:val="en-US" w:eastAsia="en-US" w:bidi="ar-SA"/>
      </w:rPr>
    </w:lvl>
    <w:lvl w:ilvl="1">
      <w:start w:val="0"/>
      <w:numFmt w:val="bullet"/>
      <w:lvlText w:val="•"/>
      <w:lvlJc w:val="left"/>
      <w:pPr>
        <w:ind w:left="654" w:hanging="481"/>
      </w:pPr>
      <w:rPr>
        <w:rFonts w:hint="default"/>
        <w:lang w:val="en-US" w:eastAsia="en-US" w:bidi="ar-SA"/>
      </w:rPr>
    </w:lvl>
    <w:lvl w:ilvl="2">
      <w:start w:val="0"/>
      <w:numFmt w:val="bullet"/>
      <w:lvlText w:val="•"/>
      <w:lvlJc w:val="left"/>
      <w:pPr>
        <w:ind w:left="1149" w:hanging="481"/>
      </w:pPr>
      <w:rPr>
        <w:rFonts w:hint="default"/>
        <w:lang w:val="en-US" w:eastAsia="en-US" w:bidi="ar-SA"/>
      </w:rPr>
    </w:lvl>
    <w:lvl w:ilvl="3">
      <w:start w:val="0"/>
      <w:numFmt w:val="bullet"/>
      <w:lvlText w:val="•"/>
      <w:lvlJc w:val="left"/>
      <w:pPr>
        <w:ind w:left="1644" w:hanging="481"/>
      </w:pPr>
      <w:rPr>
        <w:rFonts w:hint="default"/>
        <w:lang w:val="en-US" w:eastAsia="en-US" w:bidi="ar-SA"/>
      </w:rPr>
    </w:lvl>
    <w:lvl w:ilvl="4">
      <w:start w:val="0"/>
      <w:numFmt w:val="bullet"/>
      <w:lvlText w:val="•"/>
      <w:lvlJc w:val="left"/>
      <w:pPr>
        <w:ind w:left="2139" w:hanging="481"/>
      </w:pPr>
      <w:rPr>
        <w:rFonts w:hint="default"/>
        <w:lang w:val="en-US" w:eastAsia="en-US" w:bidi="ar-SA"/>
      </w:rPr>
    </w:lvl>
    <w:lvl w:ilvl="5">
      <w:start w:val="0"/>
      <w:numFmt w:val="bullet"/>
      <w:lvlText w:val="•"/>
      <w:lvlJc w:val="left"/>
      <w:pPr>
        <w:ind w:left="2634" w:hanging="481"/>
      </w:pPr>
      <w:rPr>
        <w:rFonts w:hint="default"/>
        <w:lang w:val="en-US" w:eastAsia="en-US" w:bidi="ar-SA"/>
      </w:rPr>
    </w:lvl>
    <w:lvl w:ilvl="6">
      <w:start w:val="0"/>
      <w:numFmt w:val="bullet"/>
      <w:lvlText w:val="•"/>
      <w:lvlJc w:val="left"/>
      <w:pPr>
        <w:ind w:left="3129" w:hanging="481"/>
      </w:pPr>
      <w:rPr>
        <w:rFonts w:hint="default"/>
        <w:lang w:val="en-US" w:eastAsia="en-US" w:bidi="ar-SA"/>
      </w:rPr>
    </w:lvl>
    <w:lvl w:ilvl="7">
      <w:start w:val="0"/>
      <w:numFmt w:val="bullet"/>
      <w:lvlText w:val="•"/>
      <w:lvlJc w:val="left"/>
      <w:pPr>
        <w:ind w:left="3624" w:hanging="481"/>
      </w:pPr>
      <w:rPr>
        <w:rFonts w:hint="default"/>
        <w:lang w:val="en-US" w:eastAsia="en-US" w:bidi="ar-SA"/>
      </w:rPr>
    </w:lvl>
    <w:lvl w:ilvl="8">
      <w:start w:val="0"/>
      <w:numFmt w:val="bullet"/>
      <w:lvlText w:val="•"/>
      <w:lvlJc w:val="left"/>
      <w:pPr>
        <w:ind w:left="4119" w:hanging="481"/>
      </w:pPr>
      <w:rPr>
        <w:rFonts w:hint="default"/>
        <w:lang w:val="en-US" w:eastAsia="en-US" w:bidi="ar-SA"/>
      </w:rPr>
    </w:lvl>
  </w:abstractNum>
  <w:abstractNum w:abstractNumId="48">
    <w:multiLevelType w:val="hybridMultilevel"/>
    <w:lvl w:ilvl="0">
      <w:start w:val="0"/>
      <w:numFmt w:val="bullet"/>
      <w:lvlText w:val="—"/>
      <w:lvlJc w:val="left"/>
      <w:pPr>
        <w:ind w:left="680" w:hanging="481"/>
      </w:pPr>
      <w:rPr>
        <w:rFonts w:hint="default" w:ascii="Times New Roman" w:hAnsi="Times New Roman" w:eastAsia="Times New Roman" w:cs="Times New Roman"/>
        <w:color w:val="231F20"/>
        <w:w w:val="100"/>
        <w:sz w:val="18"/>
        <w:szCs w:val="18"/>
        <w:lang w:val="en-US" w:eastAsia="en-US" w:bidi="ar-SA"/>
      </w:rPr>
    </w:lvl>
    <w:lvl w:ilvl="1">
      <w:start w:val="0"/>
      <w:numFmt w:val="bullet"/>
      <w:lvlText w:val="•"/>
      <w:lvlJc w:val="left"/>
      <w:pPr>
        <w:ind w:left="1676" w:hanging="481"/>
      </w:pPr>
      <w:rPr>
        <w:rFonts w:hint="default"/>
        <w:lang w:val="en-US" w:eastAsia="en-US" w:bidi="ar-SA"/>
      </w:rPr>
    </w:lvl>
    <w:lvl w:ilvl="2">
      <w:start w:val="0"/>
      <w:numFmt w:val="bullet"/>
      <w:lvlText w:val="•"/>
      <w:lvlJc w:val="left"/>
      <w:pPr>
        <w:ind w:left="2672" w:hanging="481"/>
      </w:pPr>
      <w:rPr>
        <w:rFonts w:hint="default"/>
        <w:lang w:val="en-US" w:eastAsia="en-US" w:bidi="ar-SA"/>
      </w:rPr>
    </w:lvl>
    <w:lvl w:ilvl="3">
      <w:start w:val="0"/>
      <w:numFmt w:val="bullet"/>
      <w:lvlText w:val="•"/>
      <w:lvlJc w:val="left"/>
      <w:pPr>
        <w:ind w:left="3668" w:hanging="481"/>
      </w:pPr>
      <w:rPr>
        <w:rFonts w:hint="default"/>
        <w:lang w:val="en-US" w:eastAsia="en-US" w:bidi="ar-SA"/>
      </w:rPr>
    </w:lvl>
    <w:lvl w:ilvl="4">
      <w:start w:val="0"/>
      <w:numFmt w:val="bullet"/>
      <w:lvlText w:val="•"/>
      <w:lvlJc w:val="left"/>
      <w:pPr>
        <w:ind w:left="4664" w:hanging="481"/>
      </w:pPr>
      <w:rPr>
        <w:rFonts w:hint="default"/>
        <w:lang w:val="en-US" w:eastAsia="en-US" w:bidi="ar-SA"/>
      </w:rPr>
    </w:lvl>
    <w:lvl w:ilvl="5">
      <w:start w:val="0"/>
      <w:numFmt w:val="bullet"/>
      <w:lvlText w:val="•"/>
      <w:lvlJc w:val="left"/>
      <w:pPr>
        <w:ind w:left="5660" w:hanging="481"/>
      </w:pPr>
      <w:rPr>
        <w:rFonts w:hint="default"/>
        <w:lang w:val="en-US" w:eastAsia="en-US" w:bidi="ar-SA"/>
      </w:rPr>
    </w:lvl>
    <w:lvl w:ilvl="6">
      <w:start w:val="0"/>
      <w:numFmt w:val="bullet"/>
      <w:lvlText w:val="•"/>
      <w:lvlJc w:val="left"/>
      <w:pPr>
        <w:ind w:left="6656" w:hanging="481"/>
      </w:pPr>
      <w:rPr>
        <w:rFonts w:hint="default"/>
        <w:lang w:val="en-US" w:eastAsia="en-US" w:bidi="ar-SA"/>
      </w:rPr>
    </w:lvl>
    <w:lvl w:ilvl="7">
      <w:start w:val="0"/>
      <w:numFmt w:val="bullet"/>
      <w:lvlText w:val="•"/>
      <w:lvlJc w:val="left"/>
      <w:pPr>
        <w:ind w:left="7652" w:hanging="481"/>
      </w:pPr>
      <w:rPr>
        <w:rFonts w:hint="default"/>
        <w:lang w:val="en-US" w:eastAsia="en-US" w:bidi="ar-SA"/>
      </w:rPr>
    </w:lvl>
    <w:lvl w:ilvl="8">
      <w:start w:val="0"/>
      <w:numFmt w:val="bullet"/>
      <w:lvlText w:val="•"/>
      <w:lvlJc w:val="left"/>
      <w:pPr>
        <w:ind w:left="8648" w:hanging="481"/>
      </w:pPr>
      <w:rPr>
        <w:rFonts w:hint="default"/>
        <w:lang w:val="en-US" w:eastAsia="en-US" w:bidi="ar-SA"/>
      </w:rPr>
    </w:lvl>
  </w:abstractNum>
  <w:abstractNum w:abstractNumId="47">
    <w:multiLevelType w:val="hybridMultilevel"/>
    <w:lvl w:ilvl="0">
      <w:start w:val="16"/>
      <w:numFmt w:val="decimal"/>
      <w:lvlText w:val="%1"/>
      <w:lvlJc w:val="left"/>
      <w:pPr>
        <w:ind w:left="194" w:hanging="481"/>
        <w:jc w:val="left"/>
      </w:pPr>
      <w:rPr>
        <w:rFonts w:hint="default" w:ascii="Times New Roman" w:hAnsi="Times New Roman" w:eastAsia="Times New Roman" w:cs="Times New Roman"/>
        <w:color w:val="231F20"/>
        <w:spacing w:val="-3"/>
        <w:w w:val="100"/>
        <w:sz w:val="18"/>
        <w:szCs w:val="18"/>
        <w:lang w:val="en-US" w:eastAsia="en-US" w:bidi="ar-SA"/>
      </w:rPr>
    </w:lvl>
    <w:lvl w:ilvl="1">
      <w:start w:val="1"/>
      <w:numFmt w:val="lowerLetter"/>
      <w:lvlText w:val="(%2)"/>
      <w:lvlJc w:val="left"/>
      <w:pPr>
        <w:ind w:left="1240" w:hanging="321"/>
        <w:jc w:val="left"/>
      </w:pPr>
      <w:rPr>
        <w:rFonts w:hint="default" w:ascii="Times New Roman" w:hAnsi="Times New Roman" w:eastAsia="Times New Roman" w:cs="Times New Roman"/>
        <w:color w:val="231F20"/>
        <w:spacing w:val="-15"/>
        <w:w w:val="100"/>
        <w:sz w:val="18"/>
        <w:szCs w:val="18"/>
        <w:lang w:val="en-US" w:eastAsia="en-US" w:bidi="ar-SA"/>
      </w:rPr>
    </w:lvl>
    <w:lvl w:ilvl="2">
      <w:start w:val="0"/>
      <w:numFmt w:val="bullet"/>
      <w:lvlText w:val="•"/>
      <w:lvlJc w:val="left"/>
      <w:pPr>
        <w:ind w:left="1685" w:hanging="321"/>
      </w:pPr>
      <w:rPr>
        <w:rFonts w:hint="default"/>
        <w:lang w:val="en-US" w:eastAsia="en-US" w:bidi="ar-SA"/>
      </w:rPr>
    </w:lvl>
    <w:lvl w:ilvl="3">
      <w:start w:val="0"/>
      <w:numFmt w:val="bullet"/>
      <w:lvlText w:val="•"/>
      <w:lvlJc w:val="left"/>
      <w:pPr>
        <w:ind w:left="2130" w:hanging="321"/>
      </w:pPr>
      <w:rPr>
        <w:rFonts w:hint="default"/>
        <w:lang w:val="en-US" w:eastAsia="en-US" w:bidi="ar-SA"/>
      </w:rPr>
    </w:lvl>
    <w:lvl w:ilvl="4">
      <w:start w:val="0"/>
      <w:numFmt w:val="bullet"/>
      <w:lvlText w:val="•"/>
      <w:lvlJc w:val="left"/>
      <w:pPr>
        <w:ind w:left="2575" w:hanging="321"/>
      </w:pPr>
      <w:rPr>
        <w:rFonts w:hint="default"/>
        <w:lang w:val="en-US" w:eastAsia="en-US" w:bidi="ar-SA"/>
      </w:rPr>
    </w:lvl>
    <w:lvl w:ilvl="5">
      <w:start w:val="0"/>
      <w:numFmt w:val="bullet"/>
      <w:lvlText w:val="•"/>
      <w:lvlJc w:val="left"/>
      <w:pPr>
        <w:ind w:left="3020" w:hanging="321"/>
      </w:pPr>
      <w:rPr>
        <w:rFonts w:hint="default"/>
        <w:lang w:val="en-US" w:eastAsia="en-US" w:bidi="ar-SA"/>
      </w:rPr>
    </w:lvl>
    <w:lvl w:ilvl="6">
      <w:start w:val="0"/>
      <w:numFmt w:val="bullet"/>
      <w:lvlText w:val="•"/>
      <w:lvlJc w:val="left"/>
      <w:pPr>
        <w:ind w:left="3466" w:hanging="321"/>
      </w:pPr>
      <w:rPr>
        <w:rFonts w:hint="default"/>
        <w:lang w:val="en-US" w:eastAsia="en-US" w:bidi="ar-SA"/>
      </w:rPr>
    </w:lvl>
    <w:lvl w:ilvl="7">
      <w:start w:val="0"/>
      <w:numFmt w:val="bullet"/>
      <w:lvlText w:val="•"/>
      <w:lvlJc w:val="left"/>
      <w:pPr>
        <w:ind w:left="3911" w:hanging="321"/>
      </w:pPr>
      <w:rPr>
        <w:rFonts w:hint="default"/>
        <w:lang w:val="en-US" w:eastAsia="en-US" w:bidi="ar-SA"/>
      </w:rPr>
    </w:lvl>
    <w:lvl w:ilvl="8">
      <w:start w:val="0"/>
      <w:numFmt w:val="bullet"/>
      <w:lvlText w:val="•"/>
      <w:lvlJc w:val="left"/>
      <w:pPr>
        <w:ind w:left="4356" w:hanging="321"/>
      </w:pPr>
      <w:rPr>
        <w:rFonts w:hint="default"/>
        <w:lang w:val="en-US" w:eastAsia="en-US" w:bidi="ar-SA"/>
      </w:rPr>
    </w:lvl>
  </w:abstractNum>
  <w:abstractNum w:abstractNumId="46">
    <w:multiLevelType w:val="hybridMultilevel"/>
    <w:lvl w:ilvl="0">
      <w:start w:val="1"/>
      <w:numFmt w:val="upperRoman"/>
      <w:lvlText w:val="%1"/>
      <w:lvlJc w:val="left"/>
      <w:pPr>
        <w:ind w:left="674" w:hanging="481"/>
        <w:jc w:val="left"/>
      </w:pPr>
      <w:rPr>
        <w:rFonts w:hint="default" w:ascii="Times New Roman" w:hAnsi="Times New Roman" w:eastAsia="Times New Roman" w:cs="Times New Roman"/>
        <w:b/>
        <w:bCs/>
        <w:color w:val="009483"/>
        <w:w w:val="100"/>
        <w:sz w:val="22"/>
        <w:szCs w:val="22"/>
        <w:lang w:val="en-US" w:eastAsia="en-US" w:bidi="ar-SA"/>
      </w:rPr>
    </w:lvl>
    <w:lvl w:ilvl="1">
      <w:start w:val="0"/>
      <w:numFmt w:val="bullet"/>
      <w:lvlText w:val="•"/>
      <w:lvlJc w:val="left"/>
      <w:pPr>
        <w:ind w:left="1125" w:hanging="481"/>
      </w:pPr>
      <w:rPr>
        <w:rFonts w:hint="default"/>
        <w:lang w:val="en-US" w:eastAsia="en-US" w:bidi="ar-SA"/>
      </w:rPr>
    </w:lvl>
    <w:lvl w:ilvl="2">
      <w:start w:val="0"/>
      <w:numFmt w:val="bullet"/>
      <w:lvlText w:val="•"/>
      <w:lvlJc w:val="left"/>
      <w:pPr>
        <w:ind w:left="1571" w:hanging="481"/>
      </w:pPr>
      <w:rPr>
        <w:rFonts w:hint="default"/>
        <w:lang w:val="en-US" w:eastAsia="en-US" w:bidi="ar-SA"/>
      </w:rPr>
    </w:lvl>
    <w:lvl w:ilvl="3">
      <w:start w:val="0"/>
      <w:numFmt w:val="bullet"/>
      <w:lvlText w:val="•"/>
      <w:lvlJc w:val="left"/>
      <w:pPr>
        <w:ind w:left="2017" w:hanging="481"/>
      </w:pPr>
      <w:rPr>
        <w:rFonts w:hint="default"/>
        <w:lang w:val="en-US" w:eastAsia="en-US" w:bidi="ar-SA"/>
      </w:rPr>
    </w:lvl>
    <w:lvl w:ilvl="4">
      <w:start w:val="0"/>
      <w:numFmt w:val="bullet"/>
      <w:lvlText w:val="•"/>
      <w:lvlJc w:val="left"/>
      <w:pPr>
        <w:ind w:left="2463" w:hanging="481"/>
      </w:pPr>
      <w:rPr>
        <w:rFonts w:hint="default"/>
        <w:lang w:val="en-US" w:eastAsia="en-US" w:bidi="ar-SA"/>
      </w:rPr>
    </w:lvl>
    <w:lvl w:ilvl="5">
      <w:start w:val="0"/>
      <w:numFmt w:val="bullet"/>
      <w:lvlText w:val="•"/>
      <w:lvlJc w:val="left"/>
      <w:pPr>
        <w:ind w:left="2909" w:hanging="481"/>
      </w:pPr>
      <w:rPr>
        <w:rFonts w:hint="default"/>
        <w:lang w:val="en-US" w:eastAsia="en-US" w:bidi="ar-SA"/>
      </w:rPr>
    </w:lvl>
    <w:lvl w:ilvl="6">
      <w:start w:val="0"/>
      <w:numFmt w:val="bullet"/>
      <w:lvlText w:val="•"/>
      <w:lvlJc w:val="left"/>
      <w:pPr>
        <w:ind w:left="3354" w:hanging="481"/>
      </w:pPr>
      <w:rPr>
        <w:rFonts w:hint="default"/>
        <w:lang w:val="en-US" w:eastAsia="en-US" w:bidi="ar-SA"/>
      </w:rPr>
    </w:lvl>
    <w:lvl w:ilvl="7">
      <w:start w:val="0"/>
      <w:numFmt w:val="bullet"/>
      <w:lvlText w:val="•"/>
      <w:lvlJc w:val="left"/>
      <w:pPr>
        <w:ind w:left="3800" w:hanging="481"/>
      </w:pPr>
      <w:rPr>
        <w:rFonts w:hint="default"/>
        <w:lang w:val="en-US" w:eastAsia="en-US" w:bidi="ar-SA"/>
      </w:rPr>
    </w:lvl>
    <w:lvl w:ilvl="8">
      <w:start w:val="0"/>
      <w:numFmt w:val="bullet"/>
      <w:lvlText w:val="•"/>
      <w:lvlJc w:val="left"/>
      <w:pPr>
        <w:ind w:left="4246" w:hanging="481"/>
      </w:pPr>
      <w:rPr>
        <w:rFonts w:hint="default"/>
        <w:lang w:val="en-US" w:eastAsia="en-US" w:bidi="ar-SA"/>
      </w:rPr>
    </w:lvl>
  </w:abstractNum>
  <w:abstractNum w:abstractNumId="45">
    <w:multiLevelType w:val="hybridMultilevel"/>
    <w:lvl w:ilvl="0">
      <w:start w:val="1"/>
      <w:numFmt w:val="decimal"/>
      <w:lvlText w:val="%1"/>
      <w:lvlJc w:val="left"/>
      <w:pPr>
        <w:ind w:left="194" w:hanging="481"/>
        <w:jc w:val="left"/>
      </w:pPr>
      <w:rPr>
        <w:rFonts w:hint="default" w:ascii="Times New Roman" w:hAnsi="Times New Roman" w:eastAsia="Times New Roman" w:cs="Times New Roman"/>
        <w:color w:val="231F20"/>
        <w:spacing w:val="-4"/>
        <w:w w:val="100"/>
        <w:sz w:val="18"/>
        <w:szCs w:val="18"/>
        <w:lang w:val="en-US" w:eastAsia="en-US" w:bidi="ar-SA"/>
      </w:rPr>
    </w:lvl>
    <w:lvl w:ilvl="1">
      <w:start w:val="0"/>
      <w:numFmt w:val="bullet"/>
      <w:lvlText w:val="•"/>
      <w:lvlJc w:val="left"/>
      <w:pPr>
        <w:ind w:left="693" w:hanging="481"/>
      </w:pPr>
      <w:rPr>
        <w:rFonts w:hint="default"/>
        <w:lang w:val="en-US" w:eastAsia="en-US" w:bidi="ar-SA"/>
      </w:rPr>
    </w:lvl>
    <w:lvl w:ilvl="2">
      <w:start w:val="0"/>
      <w:numFmt w:val="bullet"/>
      <w:lvlText w:val="•"/>
      <w:lvlJc w:val="left"/>
      <w:pPr>
        <w:ind w:left="1187" w:hanging="481"/>
      </w:pPr>
      <w:rPr>
        <w:rFonts w:hint="default"/>
        <w:lang w:val="en-US" w:eastAsia="en-US" w:bidi="ar-SA"/>
      </w:rPr>
    </w:lvl>
    <w:lvl w:ilvl="3">
      <w:start w:val="0"/>
      <w:numFmt w:val="bullet"/>
      <w:lvlText w:val="•"/>
      <w:lvlJc w:val="left"/>
      <w:pPr>
        <w:ind w:left="1681" w:hanging="481"/>
      </w:pPr>
      <w:rPr>
        <w:rFonts w:hint="default"/>
        <w:lang w:val="en-US" w:eastAsia="en-US" w:bidi="ar-SA"/>
      </w:rPr>
    </w:lvl>
    <w:lvl w:ilvl="4">
      <w:start w:val="0"/>
      <w:numFmt w:val="bullet"/>
      <w:lvlText w:val="•"/>
      <w:lvlJc w:val="left"/>
      <w:pPr>
        <w:ind w:left="2175" w:hanging="481"/>
      </w:pPr>
      <w:rPr>
        <w:rFonts w:hint="default"/>
        <w:lang w:val="en-US" w:eastAsia="en-US" w:bidi="ar-SA"/>
      </w:rPr>
    </w:lvl>
    <w:lvl w:ilvl="5">
      <w:start w:val="0"/>
      <w:numFmt w:val="bullet"/>
      <w:lvlText w:val="•"/>
      <w:lvlJc w:val="left"/>
      <w:pPr>
        <w:ind w:left="2669" w:hanging="481"/>
      </w:pPr>
      <w:rPr>
        <w:rFonts w:hint="default"/>
        <w:lang w:val="en-US" w:eastAsia="en-US" w:bidi="ar-SA"/>
      </w:rPr>
    </w:lvl>
    <w:lvl w:ilvl="6">
      <w:start w:val="0"/>
      <w:numFmt w:val="bullet"/>
      <w:lvlText w:val="•"/>
      <w:lvlJc w:val="left"/>
      <w:pPr>
        <w:ind w:left="3162" w:hanging="481"/>
      </w:pPr>
      <w:rPr>
        <w:rFonts w:hint="default"/>
        <w:lang w:val="en-US" w:eastAsia="en-US" w:bidi="ar-SA"/>
      </w:rPr>
    </w:lvl>
    <w:lvl w:ilvl="7">
      <w:start w:val="0"/>
      <w:numFmt w:val="bullet"/>
      <w:lvlText w:val="•"/>
      <w:lvlJc w:val="left"/>
      <w:pPr>
        <w:ind w:left="3656" w:hanging="481"/>
      </w:pPr>
      <w:rPr>
        <w:rFonts w:hint="default"/>
        <w:lang w:val="en-US" w:eastAsia="en-US" w:bidi="ar-SA"/>
      </w:rPr>
    </w:lvl>
    <w:lvl w:ilvl="8">
      <w:start w:val="0"/>
      <w:numFmt w:val="bullet"/>
      <w:lvlText w:val="•"/>
      <w:lvlJc w:val="left"/>
      <w:pPr>
        <w:ind w:left="4150" w:hanging="481"/>
      </w:pPr>
      <w:rPr>
        <w:rFonts w:hint="default"/>
        <w:lang w:val="en-US" w:eastAsia="en-US" w:bidi="ar-SA"/>
      </w:rPr>
    </w:lvl>
  </w:abstractNum>
  <w:abstractNum w:abstractNumId="44">
    <w:multiLevelType w:val="hybridMultilevel"/>
    <w:lvl w:ilvl="0">
      <w:start w:val="1"/>
      <w:numFmt w:val="decimal"/>
      <w:lvlText w:val="%1"/>
      <w:lvlJc w:val="left"/>
      <w:pPr>
        <w:ind w:left="180" w:hanging="481"/>
        <w:jc w:val="left"/>
      </w:pPr>
      <w:rPr>
        <w:rFonts w:hint="default" w:ascii="Times New Roman" w:hAnsi="Times New Roman" w:eastAsia="Times New Roman" w:cs="Times New Roman"/>
        <w:color w:val="231F20"/>
        <w:spacing w:val="-6"/>
        <w:w w:val="100"/>
        <w:sz w:val="18"/>
        <w:szCs w:val="18"/>
        <w:lang w:val="en-US" w:eastAsia="en-US" w:bidi="ar-SA"/>
      </w:rPr>
    </w:lvl>
    <w:lvl w:ilvl="1">
      <w:start w:val="0"/>
      <w:numFmt w:val="bullet"/>
      <w:lvlText w:val="•"/>
      <w:lvlJc w:val="left"/>
      <w:pPr>
        <w:ind w:left="675" w:hanging="481"/>
      </w:pPr>
      <w:rPr>
        <w:rFonts w:hint="default"/>
        <w:lang w:val="en-US" w:eastAsia="en-US" w:bidi="ar-SA"/>
      </w:rPr>
    </w:lvl>
    <w:lvl w:ilvl="2">
      <w:start w:val="0"/>
      <w:numFmt w:val="bullet"/>
      <w:lvlText w:val="•"/>
      <w:lvlJc w:val="left"/>
      <w:pPr>
        <w:ind w:left="1170" w:hanging="481"/>
      </w:pPr>
      <w:rPr>
        <w:rFonts w:hint="default"/>
        <w:lang w:val="en-US" w:eastAsia="en-US" w:bidi="ar-SA"/>
      </w:rPr>
    </w:lvl>
    <w:lvl w:ilvl="3">
      <w:start w:val="0"/>
      <w:numFmt w:val="bullet"/>
      <w:lvlText w:val="•"/>
      <w:lvlJc w:val="left"/>
      <w:pPr>
        <w:ind w:left="1665" w:hanging="481"/>
      </w:pPr>
      <w:rPr>
        <w:rFonts w:hint="default"/>
        <w:lang w:val="en-US" w:eastAsia="en-US" w:bidi="ar-SA"/>
      </w:rPr>
    </w:lvl>
    <w:lvl w:ilvl="4">
      <w:start w:val="0"/>
      <w:numFmt w:val="bullet"/>
      <w:lvlText w:val="•"/>
      <w:lvlJc w:val="left"/>
      <w:pPr>
        <w:ind w:left="2161" w:hanging="481"/>
      </w:pPr>
      <w:rPr>
        <w:rFonts w:hint="default"/>
        <w:lang w:val="en-US" w:eastAsia="en-US" w:bidi="ar-SA"/>
      </w:rPr>
    </w:lvl>
    <w:lvl w:ilvl="5">
      <w:start w:val="0"/>
      <w:numFmt w:val="bullet"/>
      <w:lvlText w:val="•"/>
      <w:lvlJc w:val="left"/>
      <w:pPr>
        <w:ind w:left="2656" w:hanging="481"/>
      </w:pPr>
      <w:rPr>
        <w:rFonts w:hint="default"/>
        <w:lang w:val="en-US" w:eastAsia="en-US" w:bidi="ar-SA"/>
      </w:rPr>
    </w:lvl>
    <w:lvl w:ilvl="6">
      <w:start w:val="0"/>
      <w:numFmt w:val="bullet"/>
      <w:lvlText w:val="•"/>
      <w:lvlJc w:val="left"/>
      <w:pPr>
        <w:ind w:left="3151" w:hanging="481"/>
      </w:pPr>
      <w:rPr>
        <w:rFonts w:hint="default"/>
        <w:lang w:val="en-US" w:eastAsia="en-US" w:bidi="ar-SA"/>
      </w:rPr>
    </w:lvl>
    <w:lvl w:ilvl="7">
      <w:start w:val="0"/>
      <w:numFmt w:val="bullet"/>
      <w:lvlText w:val="•"/>
      <w:lvlJc w:val="left"/>
      <w:pPr>
        <w:ind w:left="3647" w:hanging="481"/>
      </w:pPr>
      <w:rPr>
        <w:rFonts w:hint="default"/>
        <w:lang w:val="en-US" w:eastAsia="en-US" w:bidi="ar-SA"/>
      </w:rPr>
    </w:lvl>
    <w:lvl w:ilvl="8">
      <w:start w:val="0"/>
      <w:numFmt w:val="bullet"/>
      <w:lvlText w:val="•"/>
      <w:lvlJc w:val="left"/>
      <w:pPr>
        <w:ind w:left="4142" w:hanging="481"/>
      </w:pPr>
      <w:rPr>
        <w:rFonts w:hint="default"/>
        <w:lang w:val="en-US" w:eastAsia="en-US" w:bidi="ar-SA"/>
      </w:rPr>
    </w:lvl>
  </w:abstractNum>
  <w:abstractNum w:abstractNumId="43">
    <w:multiLevelType w:val="hybridMultilevel"/>
    <w:lvl w:ilvl="0">
      <w:start w:val="1"/>
      <w:numFmt w:val="upperRoman"/>
      <w:lvlText w:val="%1"/>
      <w:lvlJc w:val="left"/>
      <w:pPr>
        <w:ind w:left="670" w:hanging="481"/>
        <w:jc w:val="left"/>
      </w:pPr>
      <w:rPr>
        <w:rFonts w:hint="default" w:ascii="Times New Roman" w:hAnsi="Times New Roman" w:eastAsia="Times New Roman" w:cs="Times New Roman"/>
        <w:b/>
        <w:bCs/>
        <w:color w:val="009483"/>
        <w:w w:val="100"/>
        <w:sz w:val="22"/>
        <w:szCs w:val="22"/>
        <w:lang w:val="en-US" w:eastAsia="en-US" w:bidi="ar-SA"/>
      </w:rPr>
    </w:lvl>
    <w:lvl w:ilvl="1">
      <w:start w:val="0"/>
      <w:numFmt w:val="bullet"/>
      <w:lvlText w:val="•"/>
      <w:lvlJc w:val="left"/>
      <w:pPr>
        <w:ind w:left="1124" w:hanging="481"/>
      </w:pPr>
      <w:rPr>
        <w:rFonts w:hint="default"/>
        <w:lang w:val="en-US" w:eastAsia="en-US" w:bidi="ar-SA"/>
      </w:rPr>
    </w:lvl>
    <w:lvl w:ilvl="2">
      <w:start w:val="0"/>
      <w:numFmt w:val="bullet"/>
      <w:lvlText w:val="•"/>
      <w:lvlJc w:val="left"/>
      <w:pPr>
        <w:ind w:left="1569" w:hanging="481"/>
      </w:pPr>
      <w:rPr>
        <w:rFonts w:hint="default"/>
        <w:lang w:val="en-US" w:eastAsia="en-US" w:bidi="ar-SA"/>
      </w:rPr>
    </w:lvl>
    <w:lvl w:ilvl="3">
      <w:start w:val="0"/>
      <w:numFmt w:val="bullet"/>
      <w:lvlText w:val="•"/>
      <w:lvlJc w:val="left"/>
      <w:pPr>
        <w:ind w:left="2014" w:hanging="481"/>
      </w:pPr>
      <w:rPr>
        <w:rFonts w:hint="default"/>
        <w:lang w:val="en-US" w:eastAsia="en-US" w:bidi="ar-SA"/>
      </w:rPr>
    </w:lvl>
    <w:lvl w:ilvl="4">
      <w:start w:val="0"/>
      <w:numFmt w:val="bullet"/>
      <w:lvlText w:val="•"/>
      <w:lvlJc w:val="left"/>
      <w:pPr>
        <w:ind w:left="2459" w:hanging="481"/>
      </w:pPr>
      <w:rPr>
        <w:rFonts w:hint="default"/>
        <w:lang w:val="en-US" w:eastAsia="en-US" w:bidi="ar-SA"/>
      </w:rPr>
    </w:lvl>
    <w:lvl w:ilvl="5">
      <w:start w:val="0"/>
      <w:numFmt w:val="bullet"/>
      <w:lvlText w:val="•"/>
      <w:lvlJc w:val="left"/>
      <w:pPr>
        <w:ind w:left="2904" w:hanging="481"/>
      </w:pPr>
      <w:rPr>
        <w:rFonts w:hint="default"/>
        <w:lang w:val="en-US" w:eastAsia="en-US" w:bidi="ar-SA"/>
      </w:rPr>
    </w:lvl>
    <w:lvl w:ilvl="6">
      <w:start w:val="0"/>
      <w:numFmt w:val="bullet"/>
      <w:lvlText w:val="•"/>
      <w:lvlJc w:val="left"/>
      <w:pPr>
        <w:ind w:left="3349" w:hanging="481"/>
      </w:pPr>
      <w:rPr>
        <w:rFonts w:hint="default"/>
        <w:lang w:val="en-US" w:eastAsia="en-US" w:bidi="ar-SA"/>
      </w:rPr>
    </w:lvl>
    <w:lvl w:ilvl="7">
      <w:start w:val="0"/>
      <w:numFmt w:val="bullet"/>
      <w:lvlText w:val="•"/>
      <w:lvlJc w:val="left"/>
      <w:pPr>
        <w:ind w:left="3794" w:hanging="481"/>
      </w:pPr>
      <w:rPr>
        <w:rFonts w:hint="default"/>
        <w:lang w:val="en-US" w:eastAsia="en-US" w:bidi="ar-SA"/>
      </w:rPr>
    </w:lvl>
    <w:lvl w:ilvl="8">
      <w:start w:val="0"/>
      <w:numFmt w:val="bullet"/>
      <w:lvlText w:val="•"/>
      <w:lvlJc w:val="left"/>
      <w:pPr>
        <w:ind w:left="4239" w:hanging="481"/>
      </w:pPr>
      <w:rPr>
        <w:rFonts w:hint="default"/>
        <w:lang w:val="en-US" w:eastAsia="en-US" w:bidi="ar-SA"/>
      </w:rPr>
    </w:lvl>
  </w:abstractNum>
  <w:abstractNum w:abstractNumId="42">
    <w:multiLevelType w:val="hybridMultilevel"/>
    <w:lvl w:ilvl="0">
      <w:start w:val="1"/>
      <w:numFmt w:val="decimal"/>
      <w:lvlText w:val="%1"/>
      <w:lvlJc w:val="left"/>
      <w:pPr>
        <w:ind w:left="190" w:hanging="481"/>
        <w:jc w:val="left"/>
      </w:pPr>
      <w:rPr>
        <w:rFonts w:hint="default" w:ascii="Times New Roman" w:hAnsi="Times New Roman" w:eastAsia="Times New Roman" w:cs="Times New Roman"/>
        <w:color w:val="231F20"/>
        <w:spacing w:val="-4"/>
        <w:w w:val="100"/>
        <w:sz w:val="18"/>
        <w:szCs w:val="18"/>
        <w:lang w:val="en-US" w:eastAsia="en-US" w:bidi="ar-SA"/>
      </w:rPr>
    </w:lvl>
    <w:lvl w:ilvl="1">
      <w:start w:val="0"/>
      <w:numFmt w:val="bullet"/>
      <w:lvlText w:val="•"/>
      <w:lvlJc w:val="left"/>
      <w:pPr>
        <w:ind w:left="692" w:hanging="481"/>
      </w:pPr>
      <w:rPr>
        <w:rFonts w:hint="default"/>
        <w:lang w:val="en-US" w:eastAsia="en-US" w:bidi="ar-SA"/>
      </w:rPr>
    </w:lvl>
    <w:lvl w:ilvl="2">
      <w:start w:val="0"/>
      <w:numFmt w:val="bullet"/>
      <w:lvlText w:val="•"/>
      <w:lvlJc w:val="left"/>
      <w:pPr>
        <w:ind w:left="1185" w:hanging="481"/>
      </w:pPr>
      <w:rPr>
        <w:rFonts w:hint="default"/>
        <w:lang w:val="en-US" w:eastAsia="en-US" w:bidi="ar-SA"/>
      </w:rPr>
    </w:lvl>
    <w:lvl w:ilvl="3">
      <w:start w:val="0"/>
      <w:numFmt w:val="bullet"/>
      <w:lvlText w:val="•"/>
      <w:lvlJc w:val="left"/>
      <w:pPr>
        <w:ind w:left="1678" w:hanging="481"/>
      </w:pPr>
      <w:rPr>
        <w:rFonts w:hint="default"/>
        <w:lang w:val="en-US" w:eastAsia="en-US" w:bidi="ar-SA"/>
      </w:rPr>
    </w:lvl>
    <w:lvl w:ilvl="4">
      <w:start w:val="0"/>
      <w:numFmt w:val="bullet"/>
      <w:lvlText w:val="•"/>
      <w:lvlJc w:val="left"/>
      <w:pPr>
        <w:ind w:left="2171" w:hanging="481"/>
      </w:pPr>
      <w:rPr>
        <w:rFonts w:hint="default"/>
        <w:lang w:val="en-US" w:eastAsia="en-US" w:bidi="ar-SA"/>
      </w:rPr>
    </w:lvl>
    <w:lvl w:ilvl="5">
      <w:start w:val="0"/>
      <w:numFmt w:val="bullet"/>
      <w:lvlText w:val="•"/>
      <w:lvlJc w:val="left"/>
      <w:pPr>
        <w:ind w:left="2664" w:hanging="481"/>
      </w:pPr>
      <w:rPr>
        <w:rFonts w:hint="default"/>
        <w:lang w:val="en-US" w:eastAsia="en-US" w:bidi="ar-SA"/>
      </w:rPr>
    </w:lvl>
    <w:lvl w:ilvl="6">
      <w:start w:val="0"/>
      <w:numFmt w:val="bullet"/>
      <w:lvlText w:val="•"/>
      <w:lvlJc w:val="left"/>
      <w:pPr>
        <w:ind w:left="3157" w:hanging="481"/>
      </w:pPr>
      <w:rPr>
        <w:rFonts w:hint="default"/>
        <w:lang w:val="en-US" w:eastAsia="en-US" w:bidi="ar-SA"/>
      </w:rPr>
    </w:lvl>
    <w:lvl w:ilvl="7">
      <w:start w:val="0"/>
      <w:numFmt w:val="bullet"/>
      <w:lvlText w:val="•"/>
      <w:lvlJc w:val="left"/>
      <w:pPr>
        <w:ind w:left="3650" w:hanging="481"/>
      </w:pPr>
      <w:rPr>
        <w:rFonts w:hint="default"/>
        <w:lang w:val="en-US" w:eastAsia="en-US" w:bidi="ar-SA"/>
      </w:rPr>
    </w:lvl>
    <w:lvl w:ilvl="8">
      <w:start w:val="0"/>
      <w:numFmt w:val="bullet"/>
      <w:lvlText w:val="•"/>
      <w:lvlJc w:val="left"/>
      <w:pPr>
        <w:ind w:left="4143" w:hanging="481"/>
      </w:pPr>
      <w:rPr>
        <w:rFonts w:hint="default"/>
        <w:lang w:val="en-US" w:eastAsia="en-US" w:bidi="ar-SA"/>
      </w:rPr>
    </w:lvl>
  </w:abstractNum>
  <w:abstractNum w:abstractNumId="41">
    <w:multiLevelType w:val="hybridMultilevel"/>
    <w:lvl w:ilvl="0">
      <w:start w:val="40"/>
      <w:numFmt w:val="decimal"/>
      <w:lvlText w:val="%1"/>
      <w:lvlJc w:val="left"/>
      <w:pPr>
        <w:ind w:left="160" w:hanging="481"/>
        <w:jc w:val="left"/>
      </w:pPr>
      <w:rPr>
        <w:rFonts w:hint="default" w:ascii="Times New Roman" w:hAnsi="Times New Roman" w:eastAsia="Times New Roman" w:cs="Times New Roman"/>
        <w:color w:val="231F20"/>
        <w:spacing w:val="-6"/>
        <w:w w:val="100"/>
        <w:sz w:val="18"/>
        <w:szCs w:val="18"/>
        <w:lang w:val="en-US" w:eastAsia="en-US" w:bidi="ar-SA"/>
      </w:rPr>
    </w:lvl>
    <w:lvl w:ilvl="1">
      <w:start w:val="0"/>
      <w:numFmt w:val="bullet"/>
      <w:lvlText w:val="•"/>
      <w:lvlJc w:val="left"/>
      <w:pPr>
        <w:ind w:left="668" w:hanging="481"/>
      </w:pPr>
      <w:rPr>
        <w:rFonts w:hint="default"/>
        <w:lang w:val="en-US" w:eastAsia="en-US" w:bidi="ar-SA"/>
      </w:rPr>
    </w:lvl>
    <w:lvl w:ilvl="2">
      <w:start w:val="0"/>
      <w:numFmt w:val="bullet"/>
      <w:lvlText w:val="•"/>
      <w:lvlJc w:val="left"/>
      <w:pPr>
        <w:ind w:left="1176" w:hanging="481"/>
      </w:pPr>
      <w:rPr>
        <w:rFonts w:hint="default"/>
        <w:lang w:val="en-US" w:eastAsia="en-US" w:bidi="ar-SA"/>
      </w:rPr>
    </w:lvl>
    <w:lvl w:ilvl="3">
      <w:start w:val="0"/>
      <w:numFmt w:val="bullet"/>
      <w:lvlText w:val="•"/>
      <w:lvlJc w:val="left"/>
      <w:pPr>
        <w:ind w:left="1684" w:hanging="481"/>
      </w:pPr>
      <w:rPr>
        <w:rFonts w:hint="default"/>
        <w:lang w:val="en-US" w:eastAsia="en-US" w:bidi="ar-SA"/>
      </w:rPr>
    </w:lvl>
    <w:lvl w:ilvl="4">
      <w:start w:val="0"/>
      <w:numFmt w:val="bullet"/>
      <w:lvlText w:val="•"/>
      <w:lvlJc w:val="left"/>
      <w:pPr>
        <w:ind w:left="2192" w:hanging="481"/>
      </w:pPr>
      <w:rPr>
        <w:rFonts w:hint="default"/>
        <w:lang w:val="en-US" w:eastAsia="en-US" w:bidi="ar-SA"/>
      </w:rPr>
    </w:lvl>
    <w:lvl w:ilvl="5">
      <w:start w:val="0"/>
      <w:numFmt w:val="bullet"/>
      <w:lvlText w:val="•"/>
      <w:lvlJc w:val="left"/>
      <w:pPr>
        <w:ind w:left="2700" w:hanging="481"/>
      </w:pPr>
      <w:rPr>
        <w:rFonts w:hint="default"/>
        <w:lang w:val="en-US" w:eastAsia="en-US" w:bidi="ar-SA"/>
      </w:rPr>
    </w:lvl>
    <w:lvl w:ilvl="6">
      <w:start w:val="0"/>
      <w:numFmt w:val="bullet"/>
      <w:lvlText w:val="•"/>
      <w:lvlJc w:val="left"/>
      <w:pPr>
        <w:ind w:left="3208" w:hanging="481"/>
      </w:pPr>
      <w:rPr>
        <w:rFonts w:hint="default"/>
        <w:lang w:val="en-US" w:eastAsia="en-US" w:bidi="ar-SA"/>
      </w:rPr>
    </w:lvl>
    <w:lvl w:ilvl="7">
      <w:start w:val="0"/>
      <w:numFmt w:val="bullet"/>
      <w:lvlText w:val="•"/>
      <w:lvlJc w:val="left"/>
      <w:pPr>
        <w:ind w:left="3716" w:hanging="481"/>
      </w:pPr>
      <w:rPr>
        <w:rFonts w:hint="default"/>
        <w:lang w:val="en-US" w:eastAsia="en-US" w:bidi="ar-SA"/>
      </w:rPr>
    </w:lvl>
    <w:lvl w:ilvl="8">
      <w:start w:val="0"/>
      <w:numFmt w:val="bullet"/>
      <w:lvlText w:val="•"/>
      <w:lvlJc w:val="left"/>
      <w:pPr>
        <w:ind w:left="4224" w:hanging="481"/>
      </w:pPr>
      <w:rPr>
        <w:rFonts w:hint="default"/>
        <w:lang w:val="en-US" w:eastAsia="en-US" w:bidi="ar-SA"/>
      </w:rPr>
    </w:lvl>
  </w:abstractNum>
  <w:abstractNum w:abstractNumId="40">
    <w:multiLevelType w:val="hybridMultilevel"/>
    <w:lvl w:ilvl="0">
      <w:start w:val="1"/>
      <w:numFmt w:val="decimal"/>
      <w:lvlText w:val="%1"/>
      <w:lvlJc w:val="left"/>
      <w:pPr>
        <w:ind w:left="180" w:hanging="481"/>
        <w:jc w:val="left"/>
      </w:pPr>
      <w:rPr>
        <w:rFonts w:hint="default" w:ascii="Times New Roman" w:hAnsi="Times New Roman" w:eastAsia="Times New Roman" w:cs="Times New Roman"/>
        <w:color w:val="231F20"/>
        <w:spacing w:val="-9"/>
        <w:w w:val="100"/>
        <w:sz w:val="18"/>
        <w:szCs w:val="18"/>
        <w:lang w:val="en-US" w:eastAsia="en-US" w:bidi="ar-SA"/>
      </w:rPr>
    </w:lvl>
    <w:lvl w:ilvl="1">
      <w:start w:val="0"/>
      <w:numFmt w:val="bullet"/>
      <w:lvlText w:val="•"/>
      <w:lvlJc w:val="left"/>
      <w:pPr>
        <w:ind w:left="673" w:hanging="481"/>
      </w:pPr>
      <w:rPr>
        <w:rFonts w:hint="default"/>
        <w:lang w:val="en-US" w:eastAsia="en-US" w:bidi="ar-SA"/>
      </w:rPr>
    </w:lvl>
    <w:lvl w:ilvl="2">
      <w:start w:val="0"/>
      <w:numFmt w:val="bullet"/>
      <w:lvlText w:val="•"/>
      <w:lvlJc w:val="left"/>
      <w:pPr>
        <w:ind w:left="1167" w:hanging="481"/>
      </w:pPr>
      <w:rPr>
        <w:rFonts w:hint="default"/>
        <w:lang w:val="en-US" w:eastAsia="en-US" w:bidi="ar-SA"/>
      </w:rPr>
    </w:lvl>
    <w:lvl w:ilvl="3">
      <w:start w:val="0"/>
      <w:numFmt w:val="bullet"/>
      <w:lvlText w:val="•"/>
      <w:lvlJc w:val="left"/>
      <w:pPr>
        <w:ind w:left="1661" w:hanging="481"/>
      </w:pPr>
      <w:rPr>
        <w:rFonts w:hint="default"/>
        <w:lang w:val="en-US" w:eastAsia="en-US" w:bidi="ar-SA"/>
      </w:rPr>
    </w:lvl>
    <w:lvl w:ilvl="4">
      <w:start w:val="0"/>
      <w:numFmt w:val="bullet"/>
      <w:lvlText w:val="•"/>
      <w:lvlJc w:val="left"/>
      <w:pPr>
        <w:ind w:left="2155" w:hanging="481"/>
      </w:pPr>
      <w:rPr>
        <w:rFonts w:hint="default"/>
        <w:lang w:val="en-US" w:eastAsia="en-US" w:bidi="ar-SA"/>
      </w:rPr>
    </w:lvl>
    <w:lvl w:ilvl="5">
      <w:start w:val="0"/>
      <w:numFmt w:val="bullet"/>
      <w:lvlText w:val="•"/>
      <w:lvlJc w:val="left"/>
      <w:pPr>
        <w:ind w:left="2649" w:hanging="481"/>
      </w:pPr>
      <w:rPr>
        <w:rFonts w:hint="default"/>
        <w:lang w:val="en-US" w:eastAsia="en-US" w:bidi="ar-SA"/>
      </w:rPr>
    </w:lvl>
    <w:lvl w:ilvl="6">
      <w:start w:val="0"/>
      <w:numFmt w:val="bullet"/>
      <w:lvlText w:val="•"/>
      <w:lvlJc w:val="left"/>
      <w:pPr>
        <w:ind w:left="3143" w:hanging="481"/>
      </w:pPr>
      <w:rPr>
        <w:rFonts w:hint="default"/>
        <w:lang w:val="en-US" w:eastAsia="en-US" w:bidi="ar-SA"/>
      </w:rPr>
    </w:lvl>
    <w:lvl w:ilvl="7">
      <w:start w:val="0"/>
      <w:numFmt w:val="bullet"/>
      <w:lvlText w:val="•"/>
      <w:lvlJc w:val="left"/>
      <w:pPr>
        <w:ind w:left="3637" w:hanging="481"/>
      </w:pPr>
      <w:rPr>
        <w:rFonts w:hint="default"/>
        <w:lang w:val="en-US" w:eastAsia="en-US" w:bidi="ar-SA"/>
      </w:rPr>
    </w:lvl>
    <w:lvl w:ilvl="8">
      <w:start w:val="0"/>
      <w:numFmt w:val="bullet"/>
      <w:lvlText w:val="•"/>
      <w:lvlJc w:val="left"/>
      <w:pPr>
        <w:ind w:left="4130" w:hanging="481"/>
      </w:pPr>
      <w:rPr>
        <w:rFonts w:hint="default"/>
        <w:lang w:val="en-US" w:eastAsia="en-US" w:bidi="ar-SA"/>
      </w:rPr>
    </w:lvl>
  </w:abstractNum>
  <w:abstractNum w:abstractNumId="39">
    <w:multiLevelType w:val="hybridMultilevel"/>
    <w:lvl w:ilvl="0">
      <w:start w:val="1"/>
      <w:numFmt w:val="lowerLetter"/>
      <w:lvlText w:val="(%1)"/>
      <w:lvlJc w:val="left"/>
      <w:pPr>
        <w:ind w:left="415"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829" w:hanging="240"/>
      </w:pPr>
      <w:rPr>
        <w:rFonts w:hint="default"/>
        <w:lang w:val="en-US" w:eastAsia="en-US" w:bidi="ar-SA"/>
      </w:rPr>
    </w:lvl>
    <w:lvl w:ilvl="2">
      <w:start w:val="0"/>
      <w:numFmt w:val="bullet"/>
      <w:lvlText w:val="•"/>
      <w:lvlJc w:val="left"/>
      <w:pPr>
        <w:ind w:left="1238" w:hanging="240"/>
      </w:pPr>
      <w:rPr>
        <w:rFonts w:hint="default"/>
        <w:lang w:val="en-US" w:eastAsia="en-US" w:bidi="ar-SA"/>
      </w:rPr>
    </w:lvl>
    <w:lvl w:ilvl="3">
      <w:start w:val="0"/>
      <w:numFmt w:val="bullet"/>
      <w:lvlText w:val="•"/>
      <w:lvlJc w:val="left"/>
      <w:pPr>
        <w:ind w:left="1648" w:hanging="240"/>
      </w:pPr>
      <w:rPr>
        <w:rFonts w:hint="default"/>
        <w:lang w:val="en-US" w:eastAsia="en-US" w:bidi="ar-SA"/>
      </w:rPr>
    </w:lvl>
    <w:lvl w:ilvl="4">
      <w:start w:val="0"/>
      <w:numFmt w:val="bullet"/>
      <w:lvlText w:val="•"/>
      <w:lvlJc w:val="left"/>
      <w:pPr>
        <w:ind w:left="2057" w:hanging="240"/>
      </w:pPr>
      <w:rPr>
        <w:rFonts w:hint="default"/>
        <w:lang w:val="en-US" w:eastAsia="en-US" w:bidi="ar-SA"/>
      </w:rPr>
    </w:lvl>
    <w:lvl w:ilvl="5">
      <w:start w:val="0"/>
      <w:numFmt w:val="bullet"/>
      <w:lvlText w:val="•"/>
      <w:lvlJc w:val="left"/>
      <w:pPr>
        <w:ind w:left="2466" w:hanging="240"/>
      </w:pPr>
      <w:rPr>
        <w:rFonts w:hint="default"/>
        <w:lang w:val="en-US" w:eastAsia="en-US" w:bidi="ar-SA"/>
      </w:rPr>
    </w:lvl>
    <w:lvl w:ilvl="6">
      <w:start w:val="0"/>
      <w:numFmt w:val="bullet"/>
      <w:lvlText w:val="•"/>
      <w:lvlJc w:val="left"/>
      <w:pPr>
        <w:ind w:left="2876" w:hanging="240"/>
      </w:pPr>
      <w:rPr>
        <w:rFonts w:hint="default"/>
        <w:lang w:val="en-US" w:eastAsia="en-US" w:bidi="ar-SA"/>
      </w:rPr>
    </w:lvl>
    <w:lvl w:ilvl="7">
      <w:start w:val="0"/>
      <w:numFmt w:val="bullet"/>
      <w:lvlText w:val="•"/>
      <w:lvlJc w:val="left"/>
      <w:pPr>
        <w:ind w:left="3285" w:hanging="240"/>
      </w:pPr>
      <w:rPr>
        <w:rFonts w:hint="default"/>
        <w:lang w:val="en-US" w:eastAsia="en-US" w:bidi="ar-SA"/>
      </w:rPr>
    </w:lvl>
    <w:lvl w:ilvl="8">
      <w:start w:val="0"/>
      <w:numFmt w:val="bullet"/>
      <w:lvlText w:val="•"/>
      <w:lvlJc w:val="left"/>
      <w:pPr>
        <w:ind w:left="3694" w:hanging="240"/>
      </w:pPr>
      <w:rPr>
        <w:rFonts w:hint="default"/>
        <w:lang w:val="en-US" w:eastAsia="en-US" w:bidi="ar-SA"/>
      </w:rPr>
    </w:lvl>
  </w:abstractNum>
  <w:abstractNum w:abstractNumId="38">
    <w:multiLevelType w:val="hybridMultilevel"/>
    <w:lvl w:ilvl="0">
      <w:start w:val="1"/>
      <w:numFmt w:val="lowerLetter"/>
      <w:lvlText w:val="(%1)"/>
      <w:lvlJc w:val="left"/>
      <w:pPr>
        <w:ind w:left="449" w:hanging="241"/>
        <w:jc w:val="left"/>
      </w:pPr>
      <w:rPr>
        <w:rFonts w:hint="default" w:ascii="Times New Roman" w:hAnsi="Times New Roman" w:eastAsia="Times New Roman" w:cs="Times New Roman"/>
        <w:color w:val="231F20"/>
        <w:spacing w:val="-18"/>
        <w:w w:val="100"/>
        <w:sz w:val="16"/>
        <w:szCs w:val="16"/>
        <w:lang w:val="en-US" w:eastAsia="en-US" w:bidi="ar-SA"/>
      </w:rPr>
    </w:lvl>
    <w:lvl w:ilvl="1">
      <w:start w:val="0"/>
      <w:numFmt w:val="bullet"/>
      <w:lvlText w:val="•"/>
      <w:lvlJc w:val="left"/>
      <w:pPr>
        <w:ind w:left="1460" w:hanging="241"/>
      </w:pPr>
      <w:rPr>
        <w:rFonts w:hint="default"/>
        <w:lang w:val="en-US" w:eastAsia="en-US" w:bidi="ar-SA"/>
      </w:rPr>
    </w:lvl>
    <w:lvl w:ilvl="2">
      <w:start w:val="0"/>
      <w:numFmt w:val="bullet"/>
      <w:lvlText w:val="•"/>
      <w:lvlJc w:val="left"/>
      <w:pPr>
        <w:ind w:left="2480" w:hanging="241"/>
      </w:pPr>
      <w:rPr>
        <w:rFonts w:hint="default"/>
        <w:lang w:val="en-US" w:eastAsia="en-US" w:bidi="ar-SA"/>
      </w:rPr>
    </w:lvl>
    <w:lvl w:ilvl="3">
      <w:start w:val="0"/>
      <w:numFmt w:val="bullet"/>
      <w:lvlText w:val="•"/>
      <w:lvlJc w:val="left"/>
      <w:pPr>
        <w:ind w:left="3500" w:hanging="241"/>
      </w:pPr>
      <w:rPr>
        <w:rFonts w:hint="default"/>
        <w:lang w:val="en-US" w:eastAsia="en-US" w:bidi="ar-SA"/>
      </w:rPr>
    </w:lvl>
    <w:lvl w:ilvl="4">
      <w:start w:val="0"/>
      <w:numFmt w:val="bullet"/>
      <w:lvlText w:val="•"/>
      <w:lvlJc w:val="left"/>
      <w:pPr>
        <w:ind w:left="4520" w:hanging="241"/>
      </w:pPr>
      <w:rPr>
        <w:rFonts w:hint="default"/>
        <w:lang w:val="en-US" w:eastAsia="en-US" w:bidi="ar-SA"/>
      </w:rPr>
    </w:lvl>
    <w:lvl w:ilvl="5">
      <w:start w:val="0"/>
      <w:numFmt w:val="bullet"/>
      <w:lvlText w:val="•"/>
      <w:lvlJc w:val="left"/>
      <w:pPr>
        <w:ind w:left="5540" w:hanging="241"/>
      </w:pPr>
      <w:rPr>
        <w:rFonts w:hint="default"/>
        <w:lang w:val="en-US" w:eastAsia="en-US" w:bidi="ar-SA"/>
      </w:rPr>
    </w:lvl>
    <w:lvl w:ilvl="6">
      <w:start w:val="0"/>
      <w:numFmt w:val="bullet"/>
      <w:lvlText w:val="•"/>
      <w:lvlJc w:val="left"/>
      <w:pPr>
        <w:ind w:left="6560" w:hanging="241"/>
      </w:pPr>
      <w:rPr>
        <w:rFonts w:hint="default"/>
        <w:lang w:val="en-US" w:eastAsia="en-US" w:bidi="ar-SA"/>
      </w:rPr>
    </w:lvl>
    <w:lvl w:ilvl="7">
      <w:start w:val="0"/>
      <w:numFmt w:val="bullet"/>
      <w:lvlText w:val="•"/>
      <w:lvlJc w:val="left"/>
      <w:pPr>
        <w:ind w:left="7580" w:hanging="241"/>
      </w:pPr>
      <w:rPr>
        <w:rFonts w:hint="default"/>
        <w:lang w:val="en-US" w:eastAsia="en-US" w:bidi="ar-SA"/>
      </w:rPr>
    </w:lvl>
    <w:lvl w:ilvl="8">
      <w:start w:val="0"/>
      <w:numFmt w:val="bullet"/>
      <w:lvlText w:val="•"/>
      <w:lvlJc w:val="left"/>
      <w:pPr>
        <w:ind w:left="8600" w:hanging="241"/>
      </w:pPr>
      <w:rPr>
        <w:rFonts w:hint="default"/>
        <w:lang w:val="en-US" w:eastAsia="en-US" w:bidi="ar-SA"/>
      </w:rPr>
    </w:lvl>
  </w:abstractNum>
  <w:abstractNum w:abstractNumId="37">
    <w:multiLevelType w:val="hybridMultilevel"/>
    <w:lvl w:ilvl="0">
      <w:start w:val="1"/>
      <w:numFmt w:val="decimal"/>
      <w:lvlText w:val="(%1)"/>
      <w:lvlJc w:val="left"/>
      <w:pPr>
        <w:ind w:left="458" w:hanging="241"/>
        <w:jc w:val="left"/>
      </w:pPr>
      <w:rPr>
        <w:rFonts w:hint="default" w:ascii="Times New Roman" w:hAnsi="Times New Roman" w:eastAsia="Times New Roman" w:cs="Times New Roman"/>
        <w:color w:val="231F20"/>
        <w:w w:val="100"/>
        <w:sz w:val="16"/>
        <w:szCs w:val="16"/>
        <w:lang w:val="en-US" w:eastAsia="en-US" w:bidi="ar-SA"/>
      </w:rPr>
    </w:lvl>
    <w:lvl w:ilvl="1">
      <w:start w:val="1"/>
      <w:numFmt w:val="decimal"/>
      <w:lvlText w:val="(%2)"/>
      <w:lvlJc w:val="left"/>
      <w:pPr>
        <w:ind w:left="5240" w:hanging="241"/>
        <w:jc w:val="left"/>
      </w:pPr>
      <w:rPr>
        <w:rFonts w:hint="default" w:ascii="Times New Roman" w:hAnsi="Times New Roman" w:eastAsia="Times New Roman" w:cs="Times New Roman"/>
        <w:color w:val="231F20"/>
        <w:w w:val="100"/>
        <w:sz w:val="16"/>
        <w:szCs w:val="16"/>
        <w:lang w:val="en-US" w:eastAsia="en-US" w:bidi="ar-SA"/>
      </w:rPr>
    </w:lvl>
    <w:lvl w:ilvl="2">
      <w:start w:val="0"/>
      <w:numFmt w:val="bullet"/>
      <w:lvlText w:val="•"/>
      <w:lvlJc w:val="left"/>
      <w:pPr>
        <w:ind w:left="5310" w:hanging="241"/>
      </w:pPr>
      <w:rPr>
        <w:rFonts w:hint="default"/>
        <w:lang w:val="en-US" w:eastAsia="en-US" w:bidi="ar-SA"/>
      </w:rPr>
    </w:lvl>
    <w:lvl w:ilvl="3">
      <w:start w:val="0"/>
      <w:numFmt w:val="bullet"/>
      <w:lvlText w:val="•"/>
      <w:lvlJc w:val="left"/>
      <w:pPr>
        <w:ind w:left="5380" w:hanging="241"/>
      </w:pPr>
      <w:rPr>
        <w:rFonts w:hint="default"/>
        <w:lang w:val="en-US" w:eastAsia="en-US" w:bidi="ar-SA"/>
      </w:rPr>
    </w:lvl>
    <w:lvl w:ilvl="4">
      <w:start w:val="0"/>
      <w:numFmt w:val="bullet"/>
      <w:lvlText w:val="•"/>
      <w:lvlJc w:val="left"/>
      <w:pPr>
        <w:ind w:left="5451" w:hanging="241"/>
      </w:pPr>
      <w:rPr>
        <w:rFonts w:hint="default"/>
        <w:lang w:val="en-US" w:eastAsia="en-US" w:bidi="ar-SA"/>
      </w:rPr>
    </w:lvl>
    <w:lvl w:ilvl="5">
      <w:start w:val="0"/>
      <w:numFmt w:val="bullet"/>
      <w:lvlText w:val="•"/>
      <w:lvlJc w:val="left"/>
      <w:pPr>
        <w:ind w:left="5521" w:hanging="241"/>
      </w:pPr>
      <w:rPr>
        <w:rFonts w:hint="default"/>
        <w:lang w:val="en-US" w:eastAsia="en-US" w:bidi="ar-SA"/>
      </w:rPr>
    </w:lvl>
    <w:lvl w:ilvl="6">
      <w:start w:val="0"/>
      <w:numFmt w:val="bullet"/>
      <w:lvlText w:val="•"/>
      <w:lvlJc w:val="left"/>
      <w:pPr>
        <w:ind w:left="5592" w:hanging="241"/>
      </w:pPr>
      <w:rPr>
        <w:rFonts w:hint="default"/>
        <w:lang w:val="en-US" w:eastAsia="en-US" w:bidi="ar-SA"/>
      </w:rPr>
    </w:lvl>
    <w:lvl w:ilvl="7">
      <w:start w:val="0"/>
      <w:numFmt w:val="bullet"/>
      <w:lvlText w:val="•"/>
      <w:lvlJc w:val="left"/>
      <w:pPr>
        <w:ind w:left="5662" w:hanging="241"/>
      </w:pPr>
      <w:rPr>
        <w:rFonts w:hint="default"/>
        <w:lang w:val="en-US" w:eastAsia="en-US" w:bidi="ar-SA"/>
      </w:rPr>
    </w:lvl>
    <w:lvl w:ilvl="8">
      <w:start w:val="0"/>
      <w:numFmt w:val="bullet"/>
      <w:lvlText w:val="•"/>
      <w:lvlJc w:val="left"/>
      <w:pPr>
        <w:ind w:left="5733" w:hanging="241"/>
      </w:pPr>
      <w:rPr>
        <w:rFonts w:hint="default"/>
        <w:lang w:val="en-US" w:eastAsia="en-US" w:bidi="ar-SA"/>
      </w:rPr>
    </w:lvl>
  </w:abstractNum>
  <w:abstractNum w:abstractNumId="36">
    <w:multiLevelType w:val="hybridMultilevel"/>
    <w:lvl w:ilvl="0">
      <w:start w:val="6"/>
      <w:numFmt w:val="decimal"/>
      <w:lvlText w:val="%1"/>
      <w:lvlJc w:val="left"/>
      <w:pPr>
        <w:ind w:left="5706" w:hanging="721"/>
        <w:jc w:val="left"/>
      </w:pPr>
      <w:rPr>
        <w:rFonts w:hint="default"/>
        <w:lang w:val="en-US" w:eastAsia="en-US" w:bidi="ar-SA"/>
      </w:rPr>
    </w:lvl>
    <w:lvl w:ilvl="1">
      <w:start w:val="2"/>
      <w:numFmt w:val="decimal"/>
      <w:lvlText w:val="%1.%2"/>
      <w:lvlJc w:val="left"/>
      <w:pPr>
        <w:ind w:left="5706" w:hanging="721"/>
        <w:jc w:val="right"/>
      </w:pPr>
      <w:rPr>
        <w:rFonts w:hint="default" w:ascii="Times New Roman" w:hAnsi="Times New Roman" w:eastAsia="Times New Roman" w:cs="Times New Roman"/>
        <w:b/>
        <w:bCs/>
        <w:color w:val="009483"/>
        <w:spacing w:val="-12"/>
        <w:w w:val="100"/>
        <w:sz w:val="28"/>
        <w:szCs w:val="28"/>
        <w:u w:val="thick" w:color="0093C1"/>
        <w:lang w:val="en-US" w:eastAsia="en-US" w:bidi="ar-SA"/>
      </w:rPr>
    </w:lvl>
    <w:lvl w:ilvl="2">
      <w:start w:val="0"/>
      <w:numFmt w:val="bullet"/>
      <w:lvlText w:val="•"/>
      <w:lvlJc w:val="left"/>
      <w:pPr>
        <w:ind w:left="6688" w:hanging="721"/>
      </w:pPr>
      <w:rPr>
        <w:rFonts w:hint="default"/>
        <w:lang w:val="en-US" w:eastAsia="en-US" w:bidi="ar-SA"/>
      </w:rPr>
    </w:lvl>
    <w:lvl w:ilvl="3">
      <w:start w:val="0"/>
      <w:numFmt w:val="bullet"/>
      <w:lvlText w:val="•"/>
      <w:lvlJc w:val="left"/>
      <w:pPr>
        <w:ind w:left="7182" w:hanging="721"/>
      </w:pPr>
      <w:rPr>
        <w:rFonts w:hint="default"/>
        <w:lang w:val="en-US" w:eastAsia="en-US" w:bidi="ar-SA"/>
      </w:rPr>
    </w:lvl>
    <w:lvl w:ilvl="4">
      <w:start w:val="0"/>
      <w:numFmt w:val="bullet"/>
      <w:lvlText w:val="•"/>
      <w:lvlJc w:val="left"/>
      <w:pPr>
        <w:ind w:left="7676" w:hanging="721"/>
      </w:pPr>
      <w:rPr>
        <w:rFonts w:hint="default"/>
        <w:lang w:val="en-US" w:eastAsia="en-US" w:bidi="ar-SA"/>
      </w:rPr>
    </w:lvl>
    <w:lvl w:ilvl="5">
      <w:start w:val="0"/>
      <w:numFmt w:val="bullet"/>
      <w:lvlText w:val="•"/>
      <w:lvlJc w:val="left"/>
      <w:pPr>
        <w:ind w:left="8170" w:hanging="721"/>
      </w:pPr>
      <w:rPr>
        <w:rFonts w:hint="default"/>
        <w:lang w:val="en-US" w:eastAsia="en-US" w:bidi="ar-SA"/>
      </w:rPr>
    </w:lvl>
    <w:lvl w:ilvl="6">
      <w:start w:val="0"/>
      <w:numFmt w:val="bullet"/>
      <w:lvlText w:val="•"/>
      <w:lvlJc w:val="left"/>
      <w:pPr>
        <w:ind w:left="8664" w:hanging="721"/>
      </w:pPr>
      <w:rPr>
        <w:rFonts w:hint="default"/>
        <w:lang w:val="en-US" w:eastAsia="en-US" w:bidi="ar-SA"/>
      </w:rPr>
    </w:lvl>
    <w:lvl w:ilvl="7">
      <w:start w:val="0"/>
      <w:numFmt w:val="bullet"/>
      <w:lvlText w:val="•"/>
      <w:lvlJc w:val="left"/>
      <w:pPr>
        <w:ind w:left="9158" w:hanging="721"/>
      </w:pPr>
      <w:rPr>
        <w:rFonts w:hint="default"/>
        <w:lang w:val="en-US" w:eastAsia="en-US" w:bidi="ar-SA"/>
      </w:rPr>
    </w:lvl>
    <w:lvl w:ilvl="8">
      <w:start w:val="0"/>
      <w:numFmt w:val="bullet"/>
      <w:lvlText w:val="•"/>
      <w:lvlJc w:val="left"/>
      <w:pPr>
        <w:ind w:left="9652" w:hanging="721"/>
      </w:pPr>
      <w:rPr>
        <w:rFonts w:hint="default"/>
        <w:lang w:val="en-US" w:eastAsia="en-US" w:bidi="ar-SA"/>
      </w:rPr>
    </w:lvl>
  </w:abstractNum>
  <w:abstractNum w:abstractNumId="35">
    <w:multiLevelType w:val="hybridMultilevel"/>
    <w:lvl w:ilvl="0">
      <w:start w:val="1"/>
      <w:numFmt w:val="decimal"/>
      <w:lvlText w:val="(%1)"/>
      <w:lvlJc w:val="left"/>
      <w:pPr>
        <w:ind w:left="434" w:hanging="241"/>
        <w:jc w:val="left"/>
      </w:pPr>
      <w:rPr>
        <w:rFonts w:hint="default" w:ascii="Times New Roman" w:hAnsi="Times New Roman" w:eastAsia="Times New Roman" w:cs="Times New Roman"/>
        <w:color w:val="231F20"/>
        <w:w w:val="100"/>
        <w:sz w:val="16"/>
        <w:szCs w:val="16"/>
        <w:lang w:val="en-US" w:eastAsia="en-US" w:bidi="ar-SA"/>
      </w:rPr>
    </w:lvl>
    <w:lvl w:ilvl="1">
      <w:start w:val="1"/>
      <w:numFmt w:val="decimal"/>
      <w:lvlText w:val="(%2)"/>
      <w:lvlJc w:val="left"/>
      <w:pPr>
        <w:ind w:left="685" w:hanging="241"/>
        <w:jc w:val="left"/>
      </w:pPr>
      <w:rPr>
        <w:rFonts w:hint="default" w:ascii="Times New Roman" w:hAnsi="Times New Roman" w:eastAsia="Times New Roman" w:cs="Times New Roman"/>
        <w:color w:val="231F20"/>
        <w:w w:val="100"/>
        <w:sz w:val="16"/>
        <w:szCs w:val="16"/>
        <w:lang w:val="en-US" w:eastAsia="en-US" w:bidi="ar-SA"/>
      </w:rPr>
    </w:lvl>
    <w:lvl w:ilvl="2">
      <w:start w:val="0"/>
      <w:numFmt w:val="bullet"/>
      <w:lvlText w:val="•"/>
      <w:lvlJc w:val="left"/>
      <w:pPr>
        <w:ind w:left="1253" w:hanging="241"/>
      </w:pPr>
      <w:rPr>
        <w:rFonts w:hint="default"/>
        <w:lang w:val="en-US" w:eastAsia="en-US" w:bidi="ar-SA"/>
      </w:rPr>
    </w:lvl>
    <w:lvl w:ilvl="3">
      <w:start w:val="0"/>
      <w:numFmt w:val="bullet"/>
      <w:lvlText w:val="•"/>
      <w:lvlJc w:val="left"/>
      <w:pPr>
        <w:ind w:left="1826" w:hanging="241"/>
      </w:pPr>
      <w:rPr>
        <w:rFonts w:hint="default"/>
        <w:lang w:val="en-US" w:eastAsia="en-US" w:bidi="ar-SA"/>
      </w:rPr>
    </w:lvl>
    <w:lvl w:ilvl="4">
      <w:start w:val="0"/>
      <w:numFmt w:val="bullet"/>
      <w:lvlText w:val="•"/>
      <w:lvlJc w:val="left"/>
      <w:pPr>
        <w:ind w:left="2400" w:hanging="241"/>
      </w:pPr>
      <w:rPr>
        <w:rFonts w:hint="default"/>
        <w:lang w:val="en-US" w:eastAsia="en-US" w:bidi="ar-SA"/>
      </w:rPr>
    </w:lvl>
    <w:lvl w:ilvl="5">
      <w:start w:val="0"/>
      <w:numFmt w:val="bullet"/>
      <w:lvlText w:val="•"/>
      <w:lvlJc w:val="left"/>
      <w:pPr>
        <w:ind w:left="2973" w:hanging="241"/>
      </w:pPr>
      <w:rPr>
        <w:rFonts w:hint="default"/>
        <w:lang w:val="en-US" w:eastAsia="en-US" w:bidi="ar-SA"/>
      </w:rPr>
    </w:lvl>
    <w:lvl w:ilvl="6">
      <w:start w:val="0"/>
      <w:numFmt w:val="bullet"/>
      <w:lvlText w:val="•"/>
      <w:lvlJc w:val="left"/>
      <w:pPr>
        <w:ind w:left="3546" w:hanging="241"/>
      </w:pPr>
      <w:rPr>
        <w:rFonts w:hint="default"/>
        <w:lang w:val="en-US" w:eastAsia="en-US" w:bidi="ar-SA"/>
      </w:rPr>
    </w:lvl>
    <w:lvl w:ilvl="7">
      <w:start w:val="0"/>
      <w:numFmt w:val="bullet"/>
      <w:lvlText w:val="•"/>
      <w:lvlJc w:val="left"/>
      <w:pPr>
        <w:ind w:left="4120" w:hanging="241"/>
      </w:pPr>
      <w:rPr>
        <w:rFonts w:hint="default"/>
        <w:lang w:val="en-US" w:eastAsia="en-US" w:bidi="ar-SA"/>
      </w:rPr>
    </w:lvl>
    <w:lvl w:ilvl="8">
      <w:start w:val="0"/>
      <w:numFmt w:val="bullet"/>
      <w:lvlText w:val="•"/>
      <w:lvlJc w:val="left"/>
      <w:pPr>
        <w:ind w:left="4693" w:hanging="241"/>
      </w:pPr>
      <w:rPr>
        <w:rFonts w:hint="default"/>
        <w:lang w:val="en-US" w:eastAsia="en-US" w:bidi="ar-SA"/>
      </w:rPr>
    </w:lvl>
  </w:abstractNum>
  <w:abstractNum w:abstractNumId="34">
    <w:multiLevelType w:val="hybridMultilevel"/>
    <w:lvl w:ilvl="0">
      <w:start w:val="1"/>
      <w:numFmt w:val="lowerLetter"/>
      <w:lvlText w:val="(%1)"/>
      <w:lvlJc w:val="left"/>
      <w:pPr>
        <w:ind w:left="434"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843" w:hanging="240"/>
      </w:pPr>
      <w:rPr>
        <w:rFonts w:hint="default"/>
        <w:lang w:val="en-US" w:eastAsia="en-US" w:bidi="ar-SA"/>
      </w:rPr>
    </w:lvl>
    <w:lvl w:ilvl="2">
      <w:start w:val="0"/>
      <w:numFmt w:val="bullet"/>
      <w:lvlText w:val="•"/>
      <w:lvlJc w:val="left"/>
      <w:pPr>
        <w:ind w:left="1247" w:hanging="240"/>
      </w:pPr>
      <w:rPr>
        <w:rFonts w:hint="default"/>
        <w:lang w:val="en-US" w:eastAsia="en-US" w:bidi="ar-SA"/>
      </w:rPr>
    </w:lvl>
    <w:lvl w:ilvl="3">
      <w:start w:val="0"/>
      <w:numFmt w:val="bullet"/>
      <w:lvlText w:val="•"/>
      <w:lvlJc w:val="left"/>
      <w:pPr>
        <w:ind w:left="1650" w:hanging="240"/>
      </w:pPr>
      <w:rPr>
        <w:rFonts w:hint="default"/>
        <w:lang w:val="en-US" w:eastAsia="en-US" w:bidi="ar-SA"/>
      </w:rPr>
    </w:lvl>
    <w:lvl w:ilvl="4">
      <w:start w:val="0"/>
      <w:numFmt w:val="bullet"/>
      <w:lvlText w:val="•"/>
      <w:lvlJc w:val="left"/>
      <w:pPr>
        <w:ind w:left="2054" w:hanging="240"/>
      </w:pPr>
      <w:rPr>
        <w:rFonts w:hint="default"/>
        <w:lang w:val="en-US" w:eastAsia="en-US" w:bidi="ar-SA"/>
      </w:rPr>
    </w:lvl>
    <w:lvl w:ilvl="5">
      <w:start w:val="0"/>
      <w:numFmt w:val="bullet"/>
      <w:lvlText w:val="•"/>
      <w:lvlJc w:val="left"/>
      <w:pPr>
        <w:ind w:left="2458" w:hanging="240"/>
      </w:pPr>
      <w:rPr>
        <w:rFonts w:hint="default"/>
        <w:lang w:val="en-US" w:eastAsia="en-US" w:bidi="ar-SA"/>
      </w:rPr>
    </w:lvl>
    <w:lvl w:ilvl="6">
      <w:start w:val="0"/>
      <w:numFmt w:val="bullet"/>
      <w:lvlText w:val="•"/>
      <w:lvlJc w:val="left"/>
      <w:pPr>
        <w:ind w:left="2861" w:hanging="240"/>
      </w:pPr>
      <w:rPr>
        <w:rFonts w:hint="default"/>
        <w:lang w:val="en-US" w:eastAsia="en-US" w:bidi="ar-SA"/>
      </w:rPr>
    </w:lvl>
    <w:lvl w:ilvl="7">
      <w:start w:val="0"/>
      <w:numFmt w:val="bullet"/>
      <w:lvlText w:val="•"/>
      <w:lvlJc w:val="left"/>
      <w:pPr>
        <w:ind w:left="3265" w:hanging="240"/>
      </w:pPr>
      <w:rPr>
        <w:rFonts w:hint="default"/>
        <w:lang w:val="en-US" w:eastAsia="en-US" w:bidi="ar-SA"/>
      </w:rPr>
    </w:lvl>
    <w:lvl w:ilvl="8">
      <w:start w:val="0"/>
      <w:numFmt w:val="bullet"/>
      <w:lvlText w:val="•"/>
      <w:lvlJc w:val="left"/>
      <w:pPr>
        <w:ind w:left="3669" w:hanging="240"/>
      </w:pPr>
      <w:rPr>
        <w:rFonts w:hint="default"/>
        <w:lang w:val="en-US" w:eastAsia="en-US" w:bidi="ar-SA"/>
      </w:rPr>
    </w:lvl>
  </w:abstractNum>
  <w:abstractNum w:abstractNumId="33">
    <w:multiLevelType w:val="hybridMultilevel"/>
    <w:lvl w:ilvl="0">
      <w:start w:val="4"/>
      <w:numFmt w:val="decimal"/>
      <w:lvlText w:val="%1"/>
      <w:lvlJc w:val="left"/>
      <w:pPr>
        <w:ind w:left="1353" w:hanging="1159"/>
        <w:jc w:val="left"/>
      </w:pPr>
      <w:rPr>
        <w:rFonts w:hint="default"/>
        <w:lang w:val="en-US" w:eastAsia="en-US" w:bidi="ar-SA"/>
      </w:rPr>
    </w:lvl>
    <w:lvl w:ilvl="1">
      <w:start w:val="4"/>
      <w:numFmt w:val="decimal"/>
      <w:lvlText w:val="%1.%2"/>
      <w:lvlJc w:val="left"/>
      <w:pPr>
        <w:ind w:left="1353" w:hanging="1159"/>
        <w:jc w:val="right"/>
      </w:pPr>
      <w:rPr>
        <w:rFonts w:hint="default" w:ascii="Times New Roman" w:hAnsi="Times New Roman" w:eastAsia="Times New Roman" w:cs="Times New Roman"/>
        <w:b/>
        <w:bCs/>
        <w:color w:val="009483"/>
        <w:spacing w:val="-11"/>
        <w:w w:val="100"/>
        <w:sz w:val="28"/>
        <w:szCs w:val="28"/>
        <w:u w:val="thick" w:color="0093C1"/>
        <w:lang w:val="en-US" w:eastAsia="en-US" w:bidi="ar-SA"/>
      </w:rPr>
    </w:lvl>
    <w:lvl w:ilvl="2">
      <w:start w:val="1"/>
      <w:numFmt w:val="decimal"/>
      <w:lvlText w:val="(%3)"/>
      <w:lvlJc w:val="left"/>
      <w:pPr>
        <w:ind w:left="5234" w:hanging="241"/>
        <w:jc w:val="left"/>
      </w:pPr>
      <w:rPr>
        <w:rFonts w:hint="default" w:ascii="Times New Roman" w:hAnsi="Times New Roman" w:eastAsia="Times New Roman" w:cs="Times New Roman"/>
        <w:color w:val="231F20"/>
        <w:w w:val="100"/>
        <w:sz w:val="16"/>
        <w:szCs w:val="16"/>
        <w:lang w:val="en-US" w:eastAsia="en-US" w:bidi="ar-SA"/>
      </w:rPr>
    </w:lvl>
    <w:lvl w:ilvl="3">
      <w:start w:val="0"/>
      <w:numFmt w:val="bullet"/>
      <w:lvlText w:val="•"/>
      <w:lvlJc w:val="left"/>
      <w:pPr>
        <w:ind w:left="5372" w:hanging="241"/>
      </w:pPr>
      <w:rPr>
        <w:rFonts w:hint="default"/>
        <w:lang w:val="en-US" w:eastAsia="en-US" w:bidi="ar-SA"/>
      </w:rPr>
    </w:lvl>
    <w:lvl w:ilvl="4">
      <w:start w:val="0"/>
      <w:numFmt w:val="bullet"/>
      <w:lvlText w:val="•"/>
      <w:lvlJc w:val="left"/>
      <w:pPr>
        <w:ind w:left="5438" w:hanging="241"/>
      </w:pPr>
      <w:rPr>
        <w:rFonts w:hint="default"/>
        <w:lang w:val="en-US" w:eastAsia="en-US" w:bidi="ar-SA"/>
      </w:rPr>
    </w:lvl>
    <w:lvl w:ilvl="5">
      <w:start w:val="0"/>
      <w:numFmt w:val="bullet"/>
      <w:lvlText w:val="•"/>
      <w:lvlJc w:val="left"/>
      <w:pPr>
        <w:ind w:left="5504" w:hanging="241"/>
      </w:pPr>
      <w:rPr>
        <w:rFonts w:hint="default"/>
        <w:lang w:val="en-US" w:eastAsia="en-US" w:bidi="ar-SA"/>
      </w:rPr>
    </w:lvl>
    <w:lvl w:ilvl="6">
      <w:start w:val="0"/>
      <w:numFmt w:val="bullet"/>
      <w:lvlText w:val="•"/>
      <w:lvlJc w:val="left"/>
      <w:pPr>
        <w:ind w:left="5570" w:hanging="241"/>
      </w:pPr>
      <w:rPr>
        <w:rFonts w:hint="default"/>
        <w:lang w:val="en-US" w:eastAsia="en-US" w:bidi="ar-SA"/>
      </w:rPr>
    </w:lvl>
    <w:lvl w:ilvl="7">
      <w:start w:val="0"/>
      <w:numFmt w:val="bullet"/>
      <w:lvlText w:val="•"/>
      <w:lvlJc w:val="left"/>
      <w:pPr>
        <w:ind w:left="5636" w:hanging="241"/>
      </w:pPr>
      <w:rPr>
        <w:rFonts w:hint="default"/>
        <w:lang w:val="en-US" w:eastAsia="en-US" w:bidi="ar-SA"/>
      </w:rPr>
    </w:lvl>
    <w:lvl w:ilvl="8">
      <w:start w:val="0"/>
      <w:numFmt w:val="bullet"/>
      <w:lvlText w:val="•"/>
      <w:lvlJc w:val="left"/>
      <w:pPr>
        <w:ind w:left="5702" w:hanging="241"/>
      </w:pPr>
      <w:rPr>
        <w:rFonts w:hint="default"/>
        <w:lang w:val="en-US" w:eastAsia="en-US" w:bidi="ar-SA"/>
      </w:rPr>
    </w:lvl>
  </w:abstractNum>
  <w:abstractNum w:abstractNumId="32">
    <w:multiLevelType w:val="hybridMultilevel"/>
    <w:lvl w:ilvl="0">
      <w:start w:val="1"/>
      <w:numFmt w:val="lowerLetter"/>
      <w:lvlText w:val="(%1)"/>
      <w:lvlJc w:val="left"/>
      <w:pPr>
        <w:ind w:left="460"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1"/>
      <w:numFmt w:val="decimal"/>
      <w:lvlText w:val="(%2)"/>
      <w:lvlJc w:val="left"/>
      <w:pPr>
        <w:ind w:left="5234" w:hanging="241"/>
        <w:jc w:val="left"/>
      </w:pPr>
      <w:rPr>
        <w:rFonts w:hint="default" w:ascii="Times New Roman" w:hAnsi="Times New Roman" w:eastAsia="Times New Roman" w:cs="Times New Roman"/>
        <w:color w:val="231F20"/>
        <w:w w:val="100"/>
        <w:sz w:val="16"/>
        <w:szCs w:val="16"/>
        <w:lang w:val="en-US" w:eastAsia="en-US" w:bidi="ar-SA"/>
      </w:rPr>
    </w:lvl>
    <w:lvl w:ilvl="2">
      <w:start w:val="0"/>
      <w:numFmt w:val="bullet"/>
      <w:lvlText w:val="•"/>
      <w:lvlJc w:val="left"/>
      <w:pPr>
        <w:ind w:left="5158" w:hanging="241"/>
      </w:pPr>
      <w:rPr>
        <w:rFonts w:hint="default"/>
        <w:lang w:val="en-US" w:eastAsia="en-US" w:bidi="ar-SA"/>
      </w:rPr>
    </w:lvl>
    <w:lvl w:ilvl="3">
      <w:start w:val="0"/>
      <w:numFmt w:val="bullet"/>
      <w:lvlText w:val="•"/>
      <w:lvlJc w:val="left"/>
      <w:pPr>
        <w:ind w:left="5077" w:hanging="241"/>
      </w:pPr>
      <w:rPr>
        <w:rFonts w:hint="default"/>
        <w:lang w:val="en-US" w:eastAsia="en-US" w:bidi="ar-SA"/>
      </w:rPr>
    </w:lvl>
    <w:lvl w:ilvl="4">
      <w:start w:val="0"/>
      <w:numFmt w:val="bullet"/>
      <w:lvlText w:val="•"/>
      <w:lvlJc w:val="left"/>
      <w:pPr>
        <w:ind w:left="4996" w:hanging="241"/>
      </w:pPr>
      <w:rPr>
        <w:rFonts w:hint="default"/>
        <w:lang w:val="en-US" w:eastAsia="en-US" w:bidi="ar-SA"/>
      </w:rPr>
    </w:lvl>
    <w:lvl w:ilvl="5">
      <w:start w:val="0"/>
      <w:numFmt w:val="bullet"/>
      <w:lvlText w:val="•"/>
      <w:lvlJc w:val="left"/>
      <w:pPr>
        <w:ind w:left="4915" w:hanging="241"/>
      </w:pPr>
      <w:rPr>
        <w:rFonts w:hint="default"/>
        <w:lang w:val="en-US" w:eastAsia="en-US" w:bidi="ar-SA"/>
      </w:rPr>
    </w:lvl>
    <w:lvl w:ilvl="6">
      <w:start w:val="0"/>
      <w:numFmt w:val="bullet"/>
      <w:lvlText w:val="•"/>
      <w:lvlJc w:val="left"/>
      <w:pPr>
        <w:ind w:left="4833" w:hanging="241"/>
      </w:pPr>
      <w:rPr>
        <w:rFonts w:hint="default"/>
        <w:lang w:val="en-US" w:eastAsia="en-US" w:bidi="ar-SA"/>
      </w:rPr>
    </w:lvl>
    <w:lvl w:ilvl="7">
      <w:start w:val="0"/>
      <w:numFmt w:val="bullet"/>
      <w:lvlText w:val="•"/>
      <w:lvlJc w:val="left"/>
      <w:pPr>
        <w:ind w:left="4752" w:hanging="241"/>
      </w:pPr>
      <w:rPr>
        <w:rFonts w:hint="default"/>
        <w:lang w:val="en-US" w:eastAsia="en-US" w:bidi="ar-SA"/>
      </w:rPr>
    </w:lvl>
    <w:lvl w:ilvl="8">
      <w:start w:val="0"/>
      <w:numFmt w:val="bullet"/>
      <w:lvlText w:val="•"/>
      <w:lvlJc w:val="left"/>
      <w:pPr>
        <w:ind w:left="4671" w:hanging="241"/>
      </w:pPr>
      <w:rPr>
        <w:rFonts w:hint="default"/>
        <w:lang w:val="en-US" w:eastAsia="en-US" w:bidi="ar-SA"/>
      </w:rPr>
    </w:lvl>
  </w:abstractNum>
  <w:abstractNum w:abstractNumId="31">
    <w:multiLevelType w:val="hybridMultilevel"/>
    <w:lvl w:ilvl="0">
      <w:start w:val="1"/>
      <w:numFmt w:val="lowerLetter"/>
      <w:lvlText w:val="(%1)"/>
      <w:lvlJc w:val="left"/>
      <w:pPr>
        <w:ind w:left="434"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846" w:hanging="240"/>
      </w:pPr>
      <w:rPr>
        <w:rFonts w:hint="default"/>
        <w:lang w:val="en-US" w:eastAsia="en-US" w:bidi="ar-SA"/>
      </w:rPr>
    </w:lvl>
    <w:lvl w:ilvl="2">
      <w:start w:val="0"/>
      <w:numFmt w:val="bullet"/>
      <w:lvlText w:val="•"/>
      <w:lvlJc w:val="left"/>
      <w:pPr>
        <w:ind w:left="1253" w:hanging="240"/>
      </w:pPr>
      <w:rPr>
        <w:rFonts w:hint="default"/>
        <w:lang w:val="en-US" w:eastAsia="en-US" w:bidi="ar-SA"/>
      </w:rPr>
    </w:lvl>
    <w:lvl w:ilvl="3">
      <w:start w:val="0"/>
      <w:numFmt w:val="bullet"/>
      <w:lvlText w:val="•"/>
      <w:lvlJc w:val="left"/>
      <w:pPr>
        <w:ind w:left="1660" w:hanging="240"/>
      </w:pPr>
      <w:rPr>
        <w:rFonts w:hint="default"/>
        <w:lang w:val="en-US" w:eastAsia="en-US" w:bidi="ar-SA"/>
      </w:rPr>
    </w:lvl>
    <w:lvl w:ilvl="4">
      <w:start w:val="0"/>
      <w:numFmt w:val="bullet"/>
      <w:lvlText w:val="•"/>
      <w:lvlJc w:val="left"/>
      <w:pPr>
        <w:ind w:left="2067" w:hanging="240"/>
      </w:pPr>
      <w:rPr>
        <w:rFonts w:hint="default"/>
        <w:lang w:val="en-US" w:eastAsia="en-US" w:bidi="ar-SA"/>
      </w:rPr>
    </w:lvl>
    <w:lvl w:ilvl="5">
      <w:start w:val="0"/>
      <w:numFmt w:val="bullet"/>
      <w:lvlText w:val="•"/>
      <w:lvlJc w:val="left"/>
      <w:pPr>
        <w:ind w:left="2474" w:hanging="240"/>
      </w:pPr>
      <w:rPr>
        <w:rFonts w:hint="default"/>
        <w:lang w:val="en-US" w:eastAsia="en-US" w:bidi="ar-SA"/>
      </w:rPr>
    </w:lvl>
    <w:lvl w:ilvl="6">
      <w:start w:val="0"/>
      <w:numFmt w:val="bullet"/>
      <w:lvlText w:val="•"/>
      <w:lvlJc w:val="left"/>
      <w:pPr>
        <w:ind w:left="2881" w:hanging="240"/>
      </w:pPr>
      <w:rPr>
        <w:rFonts w:hint="default"/>
        <w:lang w:val="en-US" w:eastAsia="en-US" w:bidi="ar-SA"/>
      </w:rPr>
    </w:lvl>
    <w:lvl w:ilvl="7">
      <w:start w:val="0"/>
      <w:numFmt w:val="bullet"/>
      <w:lvlText w:val="•"/>
      <w:lvlJc w:val="left"/>
      <w:pPr>
        <w:ind w:left="3288" w:hanging="240"/>
      </w:pPr>
      <w:rPr>
        <w:rFonts w:hint="default"/>
        <w:lang w:val="en-US" w:eastAsia="en-US" w:bidi="ar-SA"/>
      </w:rPr>
    </w:lvl>
    <w:lvl w:ilvl="8">
      <w:start w:val="0"/>
      <w:numFmt w:val="bullet"/>
      <w:lvlText w:val="•"/>
      <w:lvlJc w:val="left"/>
      <w:pPr>
        <w:ind w:left="3695" w:hanging="240"/>
      </w:pPr>
      <w:rPr>
        <w:rFonts w:hint="default"/>
        <w:lang w:val="en-US" w:eastAsia="en-US" w:bidi="ar-SA"/>
      </w:rPr>
    </w:lvl>
  </w:abstractNum>
  <w:abstractNum w:abstractNumId="30">
    <w:multiLevelType w:val="hybridMultilevel"/>
    <w:lvl w:ilvl="0">
      <w:start w:val="4"/>
      <w:numFmt w:val="decimal"/>
      <w:lvlText w:val="%1"/>
      <w:lvlJc w:val="left"/>
      <w:pPr>
        <w:ind w:left="1133" w:hanging="950"/>
        <w:jc w:val="left"/>
      </w:pPr>
      <w:rPr>
        <w:rFonts w:hint="default"/>
        <w:lang w:val="en-US" w:eastAsia="en-US" w:bidi="ar-SA"/>
      </w:rPr>
    </w:lvl>
    <w:lvl w:ilvl="1">
      <w:start w:val="1"/>
      <w:numFmt w:val="decimal"/>
      <w:lvlText w:val="%1.%2"/>
      <w:lvlJc w:val="left"/>
      <w:pPr>
        <w:ind w:left="1133" w:hanging="950"/>
        <w:jc w:val="right"/>
      </w:pPr>
      <w:rPr>
        <w:rFonts w:hint="default" w:ascii="Times New Roman" w:hAnsi="Times New Roman" w:eastAsia="Times New Roman" w:cs="Times New Roman"/>
        <w:b/>
        <w:bCs/>
        <w:color w:val="009483"/>
        <w:spacing w:val="-11"/>
        <w:w w:val="100"/>
        <w:sz w:val="28"/>
        <w:szCs w:val="28"/>
        <w:u w:val="thick" w:color="0093C1"/>
        <w:lang w:val="en-US" w:eastAsia="en-US" w:bidi="ar-SA"/>
      </w:rPr>
    </w:lvl>
    <w:lvl w:ilvl="2">
      <w:start w:val="0"/>
      <w:numFmt w:val="bullet"/>
      <w:lvlText w:val="•"/>
      <w:lvlJc w:val="left"/>
      <w:pPr>
        <w:ind w:left="2072" w:hanging="950"/>
      </w:pPr>
      <w:rPr>
        <w:rFonts w:hint="default"/>
        <w:lang w:val="en-US" w:eastAsia="en-US" w:bidi="ar-SA"/>
      </w:rPr>
    </w:lvl>
    <w:lvl w:ilvl="3">
      <w:start w:val="0"/>
      <w:numFmt w:val="bullet"/>
      <w:lvlText w:val="•"/>
      <w:lvlJc w:val="left"/>
      <w:pPr>
        <w:ind w:left="2539" w:hanging="950"/>
      </w:pPr>
      <w:rPr>
        <w:rFonts w:hint="default"/>
        <w:lang w:val="en-US" w:eastAsia="en-US" w:bidi="ar-SA"/>
      </w:rPr>
    </w:lvl>
    <w:lvl w:ilvl="4">
      <w:start w:val="0"/>
      <w:numFmt w:val="bullet"/>
      <w:lvlText w:val="•"/>
      <w:lvlJc w:val="left"/>
      <w:pPr>
        <w:ind w:left="3005" w:hanging="950"/>
      </w:pPr>
      <w:rPr>
        <w:rFonts w:hint="default"/>
        <w:lang w:val="en-US" w:eastAsia="en-US" w:bidi="ar-SA"/>
      </w:rPr>
    </w:lvl>
    <w:lvl w:ilvl="5">
      <w:start w:val="0"/>
      <w:numFmt w:val="bullet"/>
      <w:lvlText w:val="•"/>
      <w:lvlJc w:val="left"/>
      <w:pPr>
        <w:ind w:left="3472" w:hanging="950"/>
      </w:pPr>
      <w:rPr>
        <w:rFonts w:hint="default"/>
        <w:lang w:val="en-US" w:eastAsia="en-US" w:bidi="ar-SA"/>
      </w:rPr>
    </w:lvl>
    <w:lvl w:ilvl="6">
      <w:start w:val="0"/>
      <w:numFmt w:val="bullet"/>
      <w:lvlText w:val="•"/>
      <w:lvlJc w:val="left"/>
      <w:pPr>
        <w:ind w:left="3938" w:hanging="950"/>
      </w:pPr>
      <w:rPr>
        <w:rFonts w:hint="default"/>
        <w:lang w:val="en-US" w:eastAsia="en-US" w:bidi="ar-SA"/>
      </w:rPr>
    </w:lvl>
    <w:lvl w:ilvl="7">
      <w:start w:val="0"/>
      <w:numFmt w:val="bullet"/>
      <w:lvlText w:val="•"/>
      <w:lvlJc w:val="left"/>
      <w:pPr>
        <w:ind w:left="4405" w:hanging="950"/>
      </w:pPr>
      <w:rPr>
        <w:rFonts w:hint="default"/>
        <w:lang w:val="en-US" w:eastAsia="en-US" w:bidi="ar-SA"/>
      </w:rPr>
    </w:lvl>
    <w:lvl w:ilvl="8">
      <w:start w:val="0"/>
      <w:numFmt w:val="bullet"/>
      <w:lvlText w:val="•"/>
      <w:lvlJc w:val="left"/>
      <w:pPr>
        <w:ind w:left="4871" w:hanging="950"/>
      </w:pPr>
      <w:rPr>
        <w:rFonts w:hint="default"/>
        <w:lang w:val="en-US" w:eastAsia="en-US" w:bidi="ar-SA"/>
      </w:rPr>
    </w:lvl>
  </w:abstractNum>
  <w:abstractNum w:abstractNumId="29">
    <w:multiLevelType w:val="hybridMultilevel"/>
    <w:lvl w:ilvl="0">
      <w:start w:val="1"/>
      <w:numFmt w:val="lowerLetter"/>
      <w:lvlText w:val="(%1)"/>
      <w:lvlJc w:val="left"/>
      <w:pPr>
        <w:ind w:left="457"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826" w:hanging="240"/>
      </w:pPr>
      <w:rPr>
        <w:rFonts w:hint="default"/>
        <w:lang w:val="en-US" w:eastAsia="en-US" w:bidi="ar-SA"/>
      </w:rPr>
    </w:lvl>
    <w:lvl w:ilvl="2">
      <w:start w:val="0"/>
      <w:numFmt w:val="bullet"/>
      <w:lvlText w:val="•"/>
      <w:lvlJc w:val="left"/>
      <w:pPr>
        <w:ind w:left="1192" w:hanging="240"/>
      </w:pPr>
      <w:rPr>
        <w:rFonts w:hint="default"/>
        <w:lang w:val="en-US" w:eastAsia="en-US" w:bidi="ar-SA"/>
      </w:rPr>
    </w:lvl>
    <w:lvl w:ilvl="3">
      <w:start w:val="0"/>
      <w:numFmt w:val="bullet"/>
      <w:lvlText w:val="•"/>
      <w:lvlJc w:val="left"/>
      <w:pPr>
        <w:ind w:left="1559" w:hanging="240"/>
      </w:pPr>
      <w:rPr>
        <w:rFonts w:hint="default"/>
        <w:lang w:val="en-US" w:eastAsia="en-US" w:bidi="ar-SA"/>
      </w:rPr>
    </w:lvl>
    <w:lvl w:ilvl="4">
      <w:start w:val="0"/>
      <w:numFmt w:val="bullet"/>
      <w:lvlText w:val="•"/>
      <w:lvlJc w:val="left"/>
      <w:pPr>
        <w:ind w:left="1925" w:hanging="240"/>
      </w:pPr>
      <w:rPr>
        <w:rFonts w:hint="default"/>
        <w:lang w:val="en-US" w:eastAsia="en-US" w:bidi="ar-SA"/>
      </w:rPr>
    </w:lvl>
    <w:lvl w:ilvl="5">
      <w:start w:val="0"/>
      <w:numFmt w:val="bullet"/>
      <w:lvlText w:val="•"/>
      <w:lvlJc w:val="left"/>
      <w:pPr>
        <w:ind w:left="2291" w:hanging="240"/>
      </w:pPr>
      <w:rPr>
        <w:rFonts w:hint="default"/>
        <w:lang w:val="en-US" w:eastAsia="en-US" w:bidi="ar-SA"/>
      </w:rPr>
    </w:lvl>
    <w:lvl w:ilvl="6">
      <w:start w:val="0"/>
      <w:numFmt w:val="bullet"/>
      <w:lvlText w:val="•"/>
      <w:lvlJc w:val="left"/>
      <w:pPr>
        <w:ind w:left="2658" w:hanging="240"/>
      </w:pPr>
      <w:rPr>
        <w:rFonts w:hint="default"/>
        <w:lang w:val="en-US" w:eastAsia="en-US" w:bidi="ar-SA"/>
      </w:rPr>
    </w:lvl>
    <w:lvl w:ilvl="7">
      <w:start w:val="0"/>
      <w:numFmt w:val="bullet"/>
      <w:lvlText w:val="•"/>
      <w:lvlJc w:val="left"/>
      <w:pPr>
        <w:ind w:left="3024" w:hanging="240"/>
      </w:pPr>
      <w:rPr>
        <w:rFonts w:hint="default"/>
        <w:lang w:val="en-US" w:eastAsia="en-US" w:bidi="ar-SA"/>
      </w:rPr>
    </w:lvl>
    <w:lvl w:ilvl="8">
      <w:start w:val="0"/>
      <w:numFmt w:val="bullet"/>
      <w:lvlText w:val="•"/>
      <w:lvlJc w:val="left"/>
      <w:pPr>
        <w:ind w:left="3390" w:hanging="240"/>
      </w:pPr>
      <w:rPr>
        <w:rFonts w:hint="default"/>
        <w:lang w:val="en-US" w:eastAsia="en-US" w:bidi="ar-SA"/>
      </w:rPr>
    </w:lvl>
  </w:abstractNum>
  <w:abstractNum w:abstractNumId="28">
    <w:multiLevelType w:val="hybridMultilevel"/>
    <w:lvl w:ilvl="0">
      <w:start w:val="3"/>
      <w:numFmt w:val="decimal"/>
      <w:lvlText w:val="%1"/>
      <w:lvlJc w:val="left"/>
      <w:pPr>
        <w:ind w:left="6822" w:hanging="1843"/>
        <w:jc w:val="left"/>
      </w:pPr>
      <w:rPr>
        <w:rFonts w:hint="default"/>
        <w:lang w:val="en-US" w:eastAsia="en-US" w:bidi="ar-SA"/>
      </w:rPr>
    </w:lvl>
    <w:lvl w:ilvl="1">
      <w:start w:val="3"/>
      <w:numFmt w:val="decimal"/>
      <w:lvlText w:val="%1.%2"/>
      <w:lvlJc w:val="left"/>
      <w:pPr>
        <w:ind w:left="6822" w:hanging="1843"/>
        <w:jc w:val="right"/>
      </w:pPr>
      <w:rPr>
        <w:rFonts w:hint="default" w:ascii="Times New Roman" w:hAnsi="Times New Roman" w:eastAsia="Times New Roman" w:cs="Times New Roman"/>
        <w:b/>
        <w:bCs/>
        <w:color w:val="009483"/>
        <w:spacing w:val="-11"/>
        <w:w w:val="100"/>
        <w:sz w:val="28"/>
        <w:szCs w:val="28"/>
        <w:u w:val="thick" w:color="0093C1"/>
        <w:lang w:val="en-US" w:eastAsia="en-US" w:bidi="ar-SA"/>
      </w:rPr>
    </w:lvl>
    <w:lvl w:ilvl="2">
      <w:start w:val="0"/>
      <w:numFmt w:val="bullet"/>
      <w:lvlText w:val="•"/>
      <w:lvlJc w:val="left"/>
      <w:pPr>
        <w:ind w:left="7584" w:hanging="1843"/>
      </w:pPr>
      <w:rPr>
        <w:rFonts w:hint="default"/>
        <w:lang w:val="en-US" w:eastAsia="en-US" w:bidi="ar-SA"/>
      </w:rPr>
    </w:lvl>
    <w:lvl w:ilvl="3">
      <w:start w:val="0"/>
      <w:numFmt w:val="bullet"/>
      <w:lvlText w:val="•"/>
      <w:lvlJc w:val="left"/>
      <w:pPr>
        <w:ind w:left="7966" w:hanging="1843"/>
      </w:pPr>
      <w:rPr>
        <w:rFonts w:hint="default"/>
        <w:lang w:val="en-US" w:eastAsia="en-US" w:bidi="ar-SA"/>
      </w:rPr>
    </w:lvl>
    <w:lvl w:ilvl="4">
      <w:start w:val="0"/>
      <w:numFmt w:val="bullet"/>
      <w:lvlText w:val="•"/>
      <w:lvlJc w:val="left"/>
      <w:pPr>
        <w:ind w:left="8348" w:hanging="1843"/>
      </w:pPr>
      <w:rPr>
        <w:rFonts w:hint="default"/>
        <w:lang w:val="en-US" w:eastAsia="en-US" w:bidi="ar-SA"/>
      </w:rPr>
    </w:lvl>
    <w:lvl w:ilvl="5">
      <w:start w:val="0"/>
      <w:numFmt w:val="bullet"/>
      <w:lvlText w:val="•"/>
      <w:lvlJc w:val="left"/>
      <w:pPr>
        <w:ind w:left="8730" w:hanging="1843"/>
      </w:pPr>
      <w:rPr>
        <w:rFonts w:hint="default"/>
        <w:lang w:val="en-US" w:eastAsia="en-US" w:bidi="ar-SA"/>
      </w:rPr>
    </w:lvl>
    <w:lvl w:ilvl="6">
      <w:start w:val="0"/>
      <w:numFmt w:val="bullet"/>
      <w:lvlText w:val="•"/>
      <w:lvlJc w:val="left"/>
      <w:pPr>
        <w:ind w:left="9112" w:hanging="1843"/>
      </w:pPr>
      <w:rPr>
        <w:rFonts w:hint="default"/>
        <w:lang w:val="en-US" w:eastAsia="en-US" w:bidi="ar-SA"/>
      </w:rPr>
    </w:lvl>
    <w:lvl w:ilvl="7">
      <w:start w:val="0"/>
      <w:numFmt w:val="bullet"/>
      <w:lvlText w:val="•"/>
      <w:lvlJc w:val="left"/>
      <w:pPr>
        <w:ind w:left="9494" w:hanging="1843"/>
      </w:pPr>
      <w:rPr>
        <w:rFonts w:hint="default"/>
        <w:lang w:val="en-US" w:eastAsia="en-US" w:bidi="ar-SA"/>
      </w:rPr>
    </w:lvl>
    <w:lvl w:ilvl="8">
      <w:start w:val="0"/>
      <w:numFmt w:val="bullet"/>
      <w:lvlText w:val="•"/>
      <w:lvlJc w:val="left"/>
      <w:pPr>
        <w:ind w:left="9876" w:hanging="1843"/>
      </w:pPr>
      <w:rPr>
        <w:rFonts w:hint="default"/>
        <w:lang w:val="en-US" w:eastAsia="en-US" w:bidi="ar-SA"/>
      </w:rPr>
    </w:lvl>
  </w:abstractNum>
  <w:abstractNum w:abstractNumId="27">
    <w:multiLevelType w:val="hybridMultilevel"/>
    <w:lvl w:ilvl="0">
      <w:start w:val="1"/>
      <w:numFmt w:val="decimal"/>
      <w:lvlText w:val="(%1)"/>
      <w:lvlJc w:val="left"/>
      <w:pPr>
        <w:ind w:left="665" w:hanging="241"/>
        <w:jc w:val="left"/>
      </w:pPr>
      <w:rPr>
        <w:rFonts w:hint="default" w:ascii="Times New Roman" w:hAnsi="Times New Roman" w:eastAsia="Times New Roman" w:cs="Times New Roman"/>
        <w:color w:val="231F20"/>
        <w:spacing w:val="-6"/>
        <w:w w:val="100"/>
        <w:sz w:val="12"/>
        <w:szCs w:val="12"/>
        <w:lang w:val="en-US" w:eastAsia="en-US" w:bidi="ar-SA"/>
      </w:rPr>
    </w:lvl>
    <w:lvl w:ilvl="1">
      <w:start w:val="0"/>
      <w:numFmt w:val="bullet"/>
      <w:lvlText w:val="•"/>
      <w:lvlJc w:val="left"/>
      <w:pPr>
        <w:ind w:left="1658" w:hanging="241"/>
      </w:pPr>
      <w:rPr>
        <w:rFonts w:hint="default"/>
        <w:lang w:val="en-US" w:eastAsia="en-US" w:bidi="ar-SA"/>
      </w:rPr>
    </w:lvl>
    <w:lvl w:ilvl="2">
      <w:start w:val="0"/>
      <w:numFmt w:val="bullet"/>
      <w:lvlText w:val="•"/>
      <w:lvlJc w:val="left"/>
      <w:pPr>
        <w:ind w:left="2656" w:hanging="241"/>
      </w:pPr>
      <w:rPr>
        <w:rFonts w:hint="default"/>
        <w:lang w:val="en-US" w:eastAsia="en-US" w:bidi="ar-SA"/>
      </w:rPr>
    </w:lvl>
    <w:lvl w:ilvl="3">
      <w:start w:val="0"/>
      <w:numFmt w:val="bullet"/>
      <w:lvlText w:val="•"/>
      <w:lvlJc w:val="left"/>
      <w:pPr>
        <w:ind w:left="3654" w:hanging="241"/>
      </w:pPr>
      <w:rPr>
        <w:rFonts w:hint="default"/>
        <w:lang w:val="en-US" w:eastAsia="en-US" w:bidi="ar-SA"/>
      </w:rPr>
    </w:lvl>
    <w:lvl w:ilvl="4">
      <w:start w:val="0"/>
      <w:numFmt w:val="bullet"/>
      <w:lvlText w:val="•"/>
      <w:lvlJc w:val="left"/>
      <w:pPr>
        <w:ind w:left="4652" w:hanging="241"/>
      </w:pPr>
      <w:rPr>
        <w:rFonts w:hint="default"/>
        <w:lang w:val="en-US" w:eastAsia="en-US" w:bidi="ar-SA"/>
      </w:rPr>
    </w:lvl>
    <w:lvl w:ilvl="5">
      <w:start w:val="0"/>
      <w:numFmt w:val="bullet"/>
      <w:lvlText w:val="•"/>
      <w:lvlJc w:val="left"/>
      <w:pPr>
        <w:ind w:left="5650" w:hanging="241"/>
      </w:pPr>
      <w:rPr>
        <w:rFonts w:hint="default"/>
        <w:lang w:val="en-US" w:eastAsia="en-US" w:bidi="ar-SA"/>
      </w:rPr>
    </w:lvl>
    <w:lvl w:ilvl="6">
      <w:start w:val="0"/>
      <w:numFmt w:val="bullet"/>
      <w:lvlText w:val="•"/>
      <w:lvlJc w:val="left"/>
      <w:pPr>
        <w:ind w:left="6648" w:hanging="241"/>
      </w:pPr>
      <w:rPr>
        <w:rFonts w:hint="default"/>
        <w:lang w:val="en-US" w:eastAsia="en-US" w:bidi="ar-SA"/>
      </w:rPr>
    </w:lvl>
    <w:lvl w:ilvl="7">
      <w:start w:val="0"/>
      <w:numFmt w:val="bullet"/>
      <w:lvlText w:val="•"/>
      <w:lvlJc w:val="left"/>
      <w:pPr>
        <w:ind w:left="7646" w:hanging="241"/>
      </w:pPr>
      <w:rPr>
        <w:rFonts w:hint="default"/>
        <w:lang w:val="en-US" w:eastAsia="en-US" w:bidi="ar-SA"/>
      </w:rPr>
    </w:lvl>
    <w:lvl w:ilvl="8">
      <w:start w:val="0"/>
      <w:numFmt w:val="bullet"/>
      <w:lvlText w:val="•"/>
      <w:lvlJc w:val="left"/>
      <w:pPr>
        <w:ind w:left="8644" w:hanging="241"/>
      </w:pPr>
      <w:rPr>
        <w:rFonts w:hint="default"/>
        <w:lang w:val="en-US" w:eastAsia="en-US" w:bidi="ar-SA"/>
      </w:rPr>
    </w:lvl>
  </w:abstractNum>
  <w:abstractNum w:abstractNumId="26">
    <w:multiLevelType w:val="hybridMultilevel"/>
    <w:lvl w:ilvl="0">
      <w:start w:val="1"/>
      <w:numFmt w:val="lowerLetter"/>
      <w:lvlText w:val="(%1)"/>
      <w:lvlJc w:val="left"/>
      <w:pPr>
        <w:ind w:left="426"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1"/>
      <w:numFmt w:val="decimal"/>
      <w:lvlText w:val="(%2)"/>
      <w:lvlJc w:val="left"/>
      <w:pPr>
        <w:ind w:left="5220" w:hanging="241"/>
        <w:jc w:val="left"/>
      </w:pPr>
      <w:rPr>
        <w:rFonts w:hint="default" w:ascii="Times New Roman" w:hAnsi="Times New Roman" w:eastAsia="Times New Roman" w:cs="Times New Roman"/>
        <w:color w:val="231F20"/>
        <w:w w:val="100"/>
        <w:sz w:val="16"/>
        <w:szCs w:val="16"/>
        <w:lang w:val="en-US" w:eastAsia="en-US" w:bidi="ar-SA"/>
      </w:rPr>
    </w:lvl>
    <w:lvl w:ilvl="2">
      <w:start w:val="0"/>
      <w:numFmt w:val="bullet"/>
      <w:lvlText w:val="•"/>
      <w:lvlJc w:val="left"/>
      <w:pPr>
        <w:ind w:left="5109" w:hanging="241"/>
      </w:pPr>
      <w:rPr>
        <w:rFonts w:hint="default"/>
        <w:lang w:val="en-US" w:eastAsia="en-US" w:bidi="ar-SA"/>
      </w:rPr>
    </w:lvl>
    <w:lvl w:ilvl="3">
      <w:start w:val="0"/>
      <w:numFmt w:val="bullet"/>
      <w:lvlText w:val="•"/>
      <w:lvlJc w:val="left"/>
      <w:pPr>
        <w:ind w:left="4998" w:hanging="241"/>
      </w:pPr>
      <w:rPr>
        <w:rFonts w:hint="default"/>
        <w:lang w:val="en-US" w:eastAsia="en-US" w:bidi="ar-SA"/>
      </w:rPr>
    </w:lvl>
    <w:lvl w:ilvl="4">
      <w:start w:val="0"/>
      <w:numFmt w:val="bullet"/>
      <w:lvlText w:val="•"/>
      <w:lvlJc w:val="left"/>
      <w:pPr>
        <w:ind w:left="4888" w:hanging="241"/>
      </w:pPr>
      <w:rPr>
        <w:rFonts w:hint="default"/>
        <w:lang w:val="en-US" w:eastAsia="en-US" w:bidi="ar-SA"/>
      </w:rPr>
    </w:lvl>
    <w:lvl w:ilvl="5">
      <w:start w:val="0"/>
      <w:numFmt w:val="bullet"/>
      <w:lvlText w:val="•"/>
      <w:lvlJc w:val="left"/>
      <w:pPr>
        <w:ind w:left="4777" w:hanging="241"/>
      </w:pPr>
      <w:rPr>
        <w:rFonts w:hint="default"/>
        <w:lang w:val="en-US" w:eastAsia="en-US" w:bidi="ar-SA"/>
      </w:rPr>
    </w:lvl>
    <w:lvl w:ilvl="6">
      <w:start w:val="0"/>
      <w:numFmt w:val="bullet"/>
      <w:lvlText w:val="•"/>
      <w:lvlJc w:val="left"/>
      <w:pPr>
        <w:ind w:left="4667" w:hanging="241"/>
      </w:pPr>
      <w:rPr>
        <w:rFonts w:hint="default"/>
        <w:lang w:val="en-US" w:eastAsia="en-US" w:bidi="ar-SA"/>
      </w:rPr>
    </w:lvl>
    <w:lvl w:ilvl="7">
      <w:start w:val="0"/>
      <w:numFmt w:val="bullet"/>
      <w:lvlText w:val="•"/>
      <w:lvlJc w:val="left"/>
      <w:pPr>
        <w:ind w:left="4556" w:hanging="241"/>
      </w:pPr>
      <w:rPr>
        <w:rFonts w:hint="default"/>
        <w:lang w:val="en-US" w:eastAsia="en-US" w:bidi="ar-SA"/>
      </w:rPr>
    </w:lvl>
    <w:lvl w:ilvl="8">
      <w:start w:val="0"/>
      <w:numFmt w:val="bullet"/>
      <w:lvlText w:val="•"/>
      <w:lvlJc w:val="left"/>
      <w:pPr>
        <w:ind w:left="4446" w:hanging="241"/>
      </w:pPr>
      <w:rPr>
        <w:rFonts w:hint="default"/>
        <w:lang w:val="en-US" w:eastAsia="en-US" w:bidi="ar-SA"/>
      </w:rPr>
    </w:lvl>
  </w:abstractNum>
  <w:abstractNum w:abstractNumId="25">
    <w:multiLevelType w:val="hybridMultilevel"/>
    <w:lvl w:ilvl="0">
      <w:start w:val="1"/>
      <w:numFmt w:val="lowerLetter"/>
      <w:lvlText w:val="(%1)"/>
      <w:lvlJc w:val="left"/>
      <w:pPr>
        <w:ind w:left="409"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782" w:hanging="240"/>
      </w:pPr>
      <w:rPr>
        <w:rFonts w:hint="default"/>
        <w:lang w:val="en-US" w:eastAsia="en-US" w:bidi="ar-SA"/>
      </w:rPr>
    </w:lvl>
    <w:lvl w:ilvl="2">
      <w:start w:val="0"/>
      <w:numFmt w:val="bullet"/>
      <w:lvlText w:val="•"/>
      <w:lvlJc w:val="left"/>
      <w:pPr>
        <w:ind w:left="1165" w:hanging="240"/>
      </w:pPr>
      <w:rPr>
        <w:rFonts w:hint="default"/>
        <w:lang w:val="en-US" w:eastAsia="en-US" w:bidi="ar-SA"/>
      </w:rPr>
    </w:lvl>
    <w:lvl w:ilvl="3">
      <w:start w:val="0"/>
      <w:numFmt w:val="bullet"/>
      <w:lvlText w:val="•"/>
      <w:lvlJc w:val="left"/>
      <w:pPr>
        <w:ind w:left="1547" w:hanging="240"/>
      </w:pPr>
      <w:rPr>
        <w:rFonts w:hint="default"/>
        <w:lang w:val="en-US" w:eastAsia="en-US" w:bidi="ar-SA"/>
      </w:rPr>
    </w:lvl>
    <w:lvl w:ilvl="4">
      <w:start w:val="0"/>
      <w:numFmt w:val="bullet"/>
      <w:lvlText w:val="•"/>
      <w:lvlJc w:val="left"/>
      <w:pPr>
        <w:ind w:left="1930" w:hanging="240"/>
      </w:pPr>
      <w:rPr>
        <w:rFonts w:hint="default"/>
        <w:lang w:val="en-US" w:eastAsia="en-US" w:bidi="ar-SA"/>
      </w:rPr>
    </w:lvl>
    <w:lvl w:ilvl="5">
      <w:start w:val="0"/>
      <w:numFmt w:val="bullet"/>
      <w:lvlText w:val="•"/>
      <w:lvlJc w:val="left"/>
      <w:pPr>
        <w:ind w:left="2312" w:hanging="240"/>
      </w:pPr>
      <w:rPr>
        <w:rFonts w:hint="default"/>
        <w:lang w:val="en-US" w:eastAsia="en-US" w:bidi="ar-SA"/>
      </w:rPr>
    </w:lvl>
    <w:lvl w:ilvl="6">
      <w:start w:val="0"/>
      <w:numFmt w:val="bullet"/>
      <w:lvlText w:val="•"/>
      <w:lvlJc w:val="left"/>
      <w:pPr>
        <w:ind w:left="2695" w:hanging="240"/>
      </w:pPr>
      <w:rPr>
        <w:rFonts w:hint="default"/>
        <w:lang w:val="en-US" w:eastAsia="en-US" w:bidi="ar-SA"/>
      </w:rPr>
    </w:lvl>
    <w:lvl w:ilvl="7">
      <w:start w:val="0"/>
      <w:numFmt w:val="bullet"/>
      <w:lvlText w:val="•"/>
      <w:lvlJc w:val="left"/>
      <w:pPr>
        <w:ind w:left="3077" w:hanging="240"/>
      </w:pPr>
      <w:rPr>
        <w:rFonts w:hint="default"/>
        <w:lang w:val="en-US" w:eastAsia="en-US" w:bidi="ar-SA"/>
      </w:rPr>
    </w:lvl>
    <w:lvl w:ilvl="8">
      <w:start w:val="0"/>
      <w:numFmt w:val="bullet"/>
      <w:lvlText w:val="•"/>
      <w:lvlJc w:val="left"/>
      <w:pPr>
        <w:ind w:left="3460" w:hanging="240"/>
      </w:pPr>
      <w:rPr>
        <w:rFonts w:hint="default"/>
        <w:lang w:val="en-US" w:eastAsia="en-US" w:bidi="ar-SA"/>
      </w:rPr>
    </w:lvl>
  </w:abstractNum>
  <w:abstractNum w:abstractNumId="24">
    <w:multiLevelType w:val="hybridMultilevel"/>
    <w:lvl w:ilvl="0">
      <w:start w:val="1"/>
      <w:numFmt w:val="lowerLetter"/>
      <w:lvlText w:val="(%1)"/>
      <w:lvlJc w:val="left"/>
      <w:pPr>
        <w:ind w:left="462"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788" w:hanging="240"/>
      </w:pPr>
      <w:rPr>
        <w:rFonts w:hint="default"/>
        <w:lang w:val="en-US" w:eastAsia="en-US" w:bidi="ar-SA"/>
      </w:rPr>
    </w:lvl>
    <w:lvl w:ilvl="2">
      <w:start w:val="0"/>
      <w:numFmt w:val="bullet"/>
      <w:lvlText w:val="•"/>
      <w:lvlJc w:val="left"/>
      <w:pPr>
        <w:ind w:left="1117" w:hanging="240"/>
      </w:pPr>
      <w:rPr>
        <w:rFonts w:hint="default"/>
        <w:lang w:val="en-US" w:eastAsia="en-US" w:bidi="ar-SA"/>
      </w:rPr>
    </w:lvl>
    <w:lvl w:ilvl="3">
      <w:start w:val="0"/>
      <w:numFmt w:val="bullet"/>
      <w:lvlText w:val="•"/>
      <w:lvlJc w:val="left"/>
      <w:pPr>
        <w:ind w:left="1446" w:hanging="240"/>
      </w:pPr>
      <w:rPr>
        <w:rFonts w:hint="default"/>
        <w:lang w:val="en-US" w:eastAsia="en-US" w:bidi="ar-SA"/>
      </w:rPr>
    </w:lvl>
    <w:lvl w:ilvl="4">
      <w:start w:val="0"/>
      <w:numFmt w:val="bullet"/>
      <w:lvlText w:val="•"/>
      <w:lvlJc w:val="left"/>
      <w:pPr>
        <w:ind w:left="1775" w:hanging="240"/>
      </w:pPr>
      <w:rPr>
        <w:rFonts w:hint="default"/>
        <w:lang w:val="en-US" w:eastAsia="en-US" w:bidi="ar-SA"/>
      </w:rPr>
    </w:lvl>
    <w:lvl w:ilvl="5">
      <w:start w:val="0"/>
      <w:numFmt w:val="bullet"/>
      <w:lvlText w:val="•"/>
      <w:lvlJc w:val="left"/>
      <w:pPr>
        <w:ind w:left="2104" w:hanging="240"/>
      </w:pPr>
      <w:rPr>
        <w:rFonts w:hint="default"/>
        <w:lang w:val="en-US" w:eastAsia="en-US" w:bidi="ar-SA"/>
      </w:rPr>
    </w:lvl>
    <w:lvl w:ilvl="6">
      <w:start w:val="0"/>
      <w:numFmt w:val="bullet"/>
      <w:lvlText w:val="•"/>
      <w:lvlJc w:val="left"/>
      <w:pPr>
        <w:ind w:left="2433" w:hanging="240"/>
      </w:pPr>
      <w:rPr>
        <w:rFonts w:hint="default"/>
        <w:lang w:val="en-US" w:eastAsia="en-US" w:bidi="ar-SA"/>
      </w:rPr>
    </w:lvl>
    <w:lvl w:ilvl="7">
      <w:start w:val="0"/>
      <w:numFmt w:val="bullet"/>
      <w:lvlText w:val="•"/>
      <w:lvlJc w:val="left"/>
      <w:pPr>
        <w:ind w:left="2761" w:hanging="240"/>
      </w:pPr>
      <w:rPr>
        <w:rFonts w:hint="default"/>
        <w:lang w:val="en-US" w:eastAsia="en-US" w:bidi="ar-SA"/>
      </w:rPr>
    </w:lvl>
    <w:lvl w:ilvl="8">
      <w:start w:val="0"/>
      <w:numFmt w:val="bullet"/>
      <w:lvlText w:val="•"/>
      <w:lvlJc w:val="left"/>
      <w:pPr>
        <w:ind w:left="3090" w:hanging="240"/>
      </w:pPr>
      <w:rPr>
        <w:rFonts w:hint="default"/>
        <w:lang w:val="en-US" w:eastAsia="en-US" w:bidi="ar-SA"/>
      </w:rPr>
    </w:lvl>
  </w:abstractNum>
  <w:abstractNum w:abstractNumId="23">
    <w:multiLevelType w:val="hybridMultilevel"/>
    <w:lvl w:ilvl="0">
      <w:start w:val="1"/>
      <w:numFmt w:val="lowerLetter"/>
      <w:lvlText w:val="(%1)"/>
      <w:lvlJc w:val="left"/>
      <w:pPr>
        <w:ind w:left="468"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850" w:hanging="240"/>
      </w:pPr>
      <w:rPr>
        <w:rFonts w:hint="default"/>
        <w:lang w:val="en-US" w:eastAsia="en-US" w:bidi="ar-SA"/>
      </w:rPr>
    </w:lvl>
    <w:lvl w:ilvl="2">
      <w:start w:val="0"/>
      <w:numFmt w:val="bullet"/>
      <w:lvlText w:val="•"/>
      <w:lvlJc w:val="left"/>
      <w:pPr>
        <w:ind w:left="1240" w:hanging="240"/>
      </w:pPr>
      <w:rPr>
        <w:rFonts w:hint="default"/>
        <w:lang w:val="en-US" w:eastAsia="en-US" w:bidi="ar-SA"/>
      </w:rPr>
    </w:lvl>
    <w:lvl w:ilvl="3">
      <w:start w:val="0"/>
      <w:numFmt w:val="bullet"/>
      <w:lvlText w:val="•"/>
      <w:lvlJc w:val="left"/>
      <w:pPr>
        <w:ind w:left="1631" w:hanging="240"/>
      </w:pPr>
      <w:rPr>
        <w:rFonts w:hint="default"/>
        <w:lang w:val="en-US" w:eastAsia="en-US" w:bidi="ar-SA"/>
      </w:rPr>
    </w:lvl>
    <w:lvl w:ilvl="4">
      <w:start w:val="0"/>
      <w:numFmt w:val="bullet"/>
      <w:lvlText w:val="•"/>
      <w:lvlJc w:val="left"/>
      <w:pPr>
        <w:ind w:left="2021" w:hanging="240"/>
      </w:pPr>
      <w:rPr>
        <w:rFonts w:hint="default"/>
        <w:lang w:val="en-US" w:eastAsia="en-US" w:bidi="ar-SA"/>
      </w:rPr>
    </w:lvl>
    <w:lvl w:ilvl="5">
      <w:start w:val="0"/>
      <w:numFmt w:val="bullet"/>
      <w:lvlText w:val="•"/>
      <w:lvlJc w:val="left"/>
      <w:pPr>
        <w:ind w:left="2412" w:hanging="240"/>
      </w:pPr>
      <w:rPr>
        <w:rFonts w:hint="default"/>
        <w:lang w:val="en-US" w:eastAsia="en-US" w:bidi="ar-SA"/>
      </w:rPr>
    </w:lvl>
    <w:lvl w:ilvl="6">
      <w:start w:val="0"/>
      <w:numFmt w:val="bullet"/>
      <w:lvlText w:val="•"/>
      <w:lvlJc w:val="left"/>
      <w:pPr>
        <w:ind w:left="2802" w:hanging="240"/>
      </w:pPr>
      <w:rPr>
        <w:rFonts w:hint="default"/>
        <w:lang w:val="en-US" w:eastAsia="en-US" w:bidi="ar-SA"/>
      </w:rPr>
    </w:lvl>
    <w:lvl w:ilvl="7">
      <w:start w:val="0"/>
      <w:numFmt w:val="bullet"/>
      <w:lvlText w:val="•"/>
      <w:lvlJc w:val="left"/>
      <w:pPr>
        <w:ind w:left="3192" w:hanging="240"/>
      </w:pPr>
      <w:rPr>
        <w:rFonts w:hint="default"/>
        <w:lang w:val="en-US" w:eastAsia="en-US" w:bidi="ar-SA"/>
      </w:rPr>
    </w:lvl>
    <w:lvl w:ilvl="8">
      <w:start w:val="0"/>
      <w:numFmt w:val="bullet"/>
      <w:lvlText w:val="•"/>
      <w:lvlJc w:val="left"/>
      <w:pPr>
        <w:ind w:left="3583" w:hanging="240"/>
      </w:pPr>
      <w:rPr>
        <w:rFonts w:hint="default"/>
        <w:lang w:val="en-US" w:eastAsia="en-US" w:bidi="ar-SA"/>
      </w:rPr>
    </w:lvl>
  </w:abstractNum>
  <w:abstractNum w:abstractNumId="22">
    <w:multiLevelType w:val="hybridMultilevel"/>
    <w:lvl w:ilvl="0">
      <w:start w:val="1"/>
      <w:numFmt w:val="lowerLetter"/>
      <w:lvlText w:val="(%1)"/>
      <w:lvlJc w:val="left"/>
      <w:pPr>
        <w:ind w:left="450"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814" w:hanging="240"/>
      </w:pPr>
      <w:rPr>
        <w:rFonts w:hint="default"/>
        <w:lang w:val="en-US" w:eastAsia="en-US" w:bidi="ar-SA"/>
      </w:rPr>
    </w:lvl>
    <w:lvl w:ilvl="2">
      <w:start w:val="0"/>
      <w:numFmt w:val="bullet"/>
      <w:lvlText w:val="•"/>
      <w:lvlJc w:val="left"/>
      <w:pPr>
        <w:ind w:left="1168" w:hanging="240"/>
      </w:pPr>
      <w:rPr>
        <w:rFonts w:hint="default"/>
        <w:lang w:val="en-US" w:eastAsia="en-US" w:bidi="ar-SA"/>
      </w:rPr>
    </w:lvl>
    <w:lvl w:ilvl="3">
      <w:start w:val="0"/>
      <w:numFmt w:val="bullet"/>
      <w:lvlText w:val="•"/>
      <w:lvlJc w:val="left"/>
      <w:pPr>
        <w:ind w:left="1522" w:hanging="240"/>
      </w:pPr>
      <w:rPr>
        <w:rFonts w:hint="default"/>
        <w:lang w:val="en-US" w:eastAsia="en-US" w:bidi="ar-SA"/>
      </w:rPr>
    </w:lvl>
    <w:lvl w:ilvl="4">
      <w:start w:val="0"/>
      <w:numFmt w:val="bullet"/>
      <w:lvlText w:val="•"/>
      <w:lvlJc w:val="left"/>
      <w:pPr>
        <w:ind w:left="1877" w:hanging="240"/>
      </w:pPr>
      <w:rPr>
        <w:rFonts w:hint="default"/>
        <w:lang w:val="en-US" w:eastAsia="en-US" w:bidi="ar-SA"/>
      </w:rPr>
    </w:lvl>
    <w:lvl w:ilvl="5">
      <w:start w:val="0"/>
      <w:numFmt w:val="bullet"/>
      <w:lvlText w:val="•"/>
      <w:lvlJc w:val="left"/>
      <w:pPr>
        <w:ind w:left="2231" w:hanging="240"/>
      </w:pPr>
      <w:rPr>
        <w:rFonts w:hint="default"/>
        <w:lang w:val="en-US" w:eastAsia="en-US" w:bidi="ar-SA"/>
      </w:rPr>
    </w:lvl>
    <w:lvl w:ilvl="6">
      <w:start w:val="0"/>
      <w:numFmt w:val="bullet"/>
      <w:lvlText w:val="•"/>
      <w:lvlJc w:val="left"/>
      <w:pPr>
        <w:ind w:left="2585" w:hanging="240"/>
      </w:pPr>
      <w:rPr>
        <w:rFonts w:hint="default"/>
        <w:lang w:val="en-US" w:eastAsia="en-US" w:bidi="ar-SA"/>
      </w:rPr>
    </w:lvl>
    <w:lvl w:ilvl="7">
      <w:start w:val="0"/>
      <w:numFmt w:val="bullet"/>
      <w:lvlText w:val="•"/>
      <w:lvlJc w:val="left"/>
      <w:pPr>
        <w:ind w:left="2940" w:hanging="240"/>
      </w:pPr>
      <w:rPr>
        <w:rFonts w:hint="default"/>
        <w:lang w:val="en-US" w:eastAsia="en-US" w:bidi="ar-SA"/>
      </w:rPr>
    </w:lvl>
    <w:lvl w:ilvl="8">
      <w:start w:val="0"/>
      <w:numFmt w:val="bullet"/>
      <w:lvlText w:val="•"/>
      <w:lvlJc w:val="left"/>
      <w:pPr>
        <w:ind w:left="3294" w:hanging="240"/>
      </w:pPr>
      <w:rPr>
        <w:rFonts w:hint="default"/>
        <w:lang w:val="en-US" w:eastAsia="en-US" w:bidi="ar-SA"/>
      </w:rPr>
    </w:lvl>
  </w:abstractNum>
  <w:abstractNum w:abstractNumId="21">
    <w:multiLevelType w:val="hybridMultilevel"/>
    <w:lvl w:ilvl="0">
      <w:start w:val="1"/>
      <w:numFmt w:val="lowerLetter"/>
      <w:lvlText w:val="(%1)"/>
      <w:lvlJc w:val="left"/>
      <w:pPr>
        <w:ind w:left="657"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1142" w:hanging="240"/>
      </w:pPr>
      <w:rPr>
        <w:rFonts w:hint="default"/>
        <w:lang w:val="en-US" w:eastAsia="en-US" w:bidi="ar-SA"/>
      </w:rPr>
    </w:lvl>
    <w:lvl w:ilvl="2">
      <w:start w:val="0"/>
      <w:numFmt w:val="bullet"/>
      <w:lvlText w:val="•"/>
      <w:lvlJc w:val="left"/>
      <w:pPr>
        <w:ind w:left="1625" w:hanging="240"/>
      </w:pPr>
      <w:rPr>
        <w:rFonts w:hint="default"/>
        <w:lang w:val="en-US" w:eastAsia="en-US" w:bidi="ar-SA"/>
      </w:rPr>
    </w:lvl>
    <w:lvl w:ilvl="3">
      <w:start w:val="0"/>
      <w:numFmt w:val="bullet"/>
      <w:lvlText w:val="•"/>
      <w:lvlJc w:val="left"/>
      <w:pPr>
        <w:ind w:left="2108" w:hanging="240"/>
      </w:pPr>
      <w:rPr>
        <w:rFonts w:hint="default"/>
        <w:lang w:val="en-US" w:eastAsia="en-US" w:bidi="ar-SA"/>
      </w:rPr>
    </w:lvl>
    <w:lvl w:ilvl="4">
      <w:start w:val="0"/>
      <w:numFmt w:val="bullet"/>
      <w:lvlText w:val="•"/>
      <w:lvlJc w:val="left"/>
      <w:pPr>
        <w:ind w:left="2590" w:hanging="240"/>
      </w:pPr>
      <w:rPr>
        <w:rFonts w:hint="default"/>
        <w:lang w:val="en-US" w:eastAsia="en-US" w:bidi="ar-SA"/>
      </w:rPr>
    </w:lvl>
    <w:lvl w:ilvl="5">
      <w:start w:val="0"/>
      <w:numFmt w:val="bullet"/>
      <w:lvlText w:val="•"/>
      <w:lvlJc w:val="left"/>
      <w:pPr>
        <w:ind w:left="3073" w:hanging="240"/>
      </w:pPr>
      <w:rPr>
        <w:rFonts w:hint="default"/>
        <w:lang w:val="en-US" w:eastAsia="en-US" w:bidi="ar-SA"/>
      </w:rPr>
    </w:lvl>
    <w:lvl w:ilvl="6">
      <w:start w:val="0"/>
      <w:numFmt w:val="bullet"/>
      <w:lvlText w:val="•"/>
      <w:lvlJc w:val="left"/>
      <w:pPr>
        <w:ind w:left="3556" w:hanging="240"/>
      </w:pPr>
      <w:rPr>
        <w:rFonts w:hint="default"/>
        <w:lang w:val="en-US" w:eastAsia="en-US" w:bidi="ar-SA"/>
      </w:rPr>
    </w:lvl>
    <w:lvl w:ilvl="7">
      <w:start w:val="0"/>
      <w:numFmt w:val="bullet"/>
      <w:lvlText w:val="•"/>
      <w:lvlJc w:val="left"/>
      <w:pPr>
        <w:ind w:left="4039" w:hanging="240"/>
      </w:pPr>
      <w:rPr>
        <w:rFonts w:hint="default"/>
        <w:lang w:val="en-US" w:eastAsia="en-US" w:bidi="ar-SA"/>
      </w:rPr>
    </w:lvl>
    <w:lvl w:ilvl="8">
      <w:start w:val="0"/>
      <w:numFmt w:val="bullet"/>
      <w:lvlText w:val="•"/>
      <w:lvlJc w:val="left"/>
      <w:pPr>
        <w:ind w:left="4521" w:hanging="240"/>
      </w:pPr>
      <w:rPr>
        <w:rFonts w:hint="default"/>
        <w:lang w:val="en-US" w:eastAsia="en-US" w:bidi="ar-SA"/>
      </w:rPr>
    </w:lvl>
  </w:abstractNum>
  <w:abstractNum w:abstractNumId="20">
    <w:multiLevelType w:val="hybridMultilevel"/>
    <w:lvl w:ilvl="0">
      <w:start w:val="1"/>
      <w:numFmt w:val="lowerLetter"/>
      <w:lvlText w:val="(%1)"/>
      <w:lvlJc w:val="left"/>
      <w:pPr>
        <w:ind w:left="428"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1"/>
      <w:numFmt w:val="decimal"/>
      <w:lvlText w:val="(%2)"/>
      <w:lvlJc w:val="left"/>
      <w:pPr>
        <w:ind w:left="428" w:hanging="241"/>
        <w:jc w:val="left"/>
      </w:pPr>
      <w:rPr>
        <w:rFonts w:hint="default" w:ascii="Times New Roman" w:hAnsi="Times New Roman" w:eastAsia="Times New Roman" w:cs="Times New Roman"/>
        <w:color w:val="231F20"/>
        <w:w w:val="100"/>
        <w:sz w:val="16"/>
        <w:szCs w:val="16"/>
        <w:lang w:val="en-US" w:eastAsia="en-US" w:bidi="ar-SA"/>
      </w:rPr>
    </w:lvl>
    <w:lvl w:ilvl="2">
      <w:start w:val="1"/>
      <w:numFmt w:val="decimal"/>
      <w:lvlText w:val="(%3)"/>
      <w:lvlJc w:val="left"/>
      <w:pPr>
        <w:ind w:left="5200" w:hanging="241"/>
        <w:jc w:val="left"/>
      </w:pPr>
      <w:rPr>
        <w:rFonts w:hint="default" w:ascii="Times New Roman" w:hAnsi="Times New Roman" w:eastAsia="Times New Roman" w:cs="Times New Roman"/>
        <w:color w:val="231F20"/>
        <w:w w:val="100"/>
        <w:sz w:val="16"/>
        <w:szCs w:val="16"/>
        <w:lang w:val="en-US" w:eastAsia="en-US" w:bidi="ar-SA"/>
      </w:rPr>
    </w:lvl>
    <w:lvl w:ilvl="3">
      <w:start w:val="0"/>
      <w:numFmt w:val="bullet"/>
      <w:lvlText w:val="•"/>
      <w:lvlJc w:val="left"/>
      <w:pPr>
        <w:ind w:left="3848" w:hanging="241"/>
      </w:pPr>
      <w:rPr>
        <w:rFonts w:hint="default"/>
        <w:lang w:val="en-US" w:eastAsia="en-US" w:bidi="ar-SA"/>
      </w:rPr>
    </w:lvl>
    <w:lvl w:ilvl="4">
      <w:start w:val="0"/>
      <w:numFmt w:val="bullet"/>
      <w:lvlText w:val="•"/>
      <w:lvlJc w:val="left"/>
      <w:pPr>
        <w:ind w:left="3173" w:hanging="241"/>
      </w:pPr>
      <w:rPr>
        <w:rFonts w:hint="default"/>
        <w:lang w:val="en-US" w:eastAsia="en-US" w:bidi="ar-SA"/>
      </w:rPr>
    </w:lvl>
    <w:lvl w:ilvl="5">
      <w:start w:val="0"/>
      <w:numFmt w:val="bullet"/>
      <w:lvlText w:val="•"/>
      <w:lvlJc w:val="left"/>
      <w:pPr>
        <w:ind w:left="2497" w:hanging="241"/>
      </w:pPr>
      <w:rPr>
        <w:rFonts w:hint="default"/>
        <w:lang w:val="en-US" w:eastAsia="en-US" w:bidi="ar-SA"/>
      </w:rPr>
    </w:lvl>
    <w:lvl w:ilvl="6">
      <w:start w:val="0"/>
      <w:numFmt w:val="bullet"/>
      <w:lvlText w:val="•"/>
      <w:lvlJc w:val="left"/>
      <w:pPr>
        <w:ind w:left="1822" w:hanging="241"/>
      </w:pPr>
      <w:rPr>
        <w:rFonts w:hint="default"/>
        <w:lang w:val="en-US" w:eastAsia="en-US" w:bidi="ar-SA"/>
      </w:rPr>
    </w:lvl>
    <w:lvl w:ilvl="7">
      <w:start w:val="0"/>
      <w:numFmt w:val="bullet"/>
      <w:lvlText w:val="•"/>
      <w:lvlJc w:val="left"/>
      <w:pPr>
        <w:ind w:left="1146" w:hanging="241"/>
      </w:pPr>
      <w:rPr>
        <w:rFonts w:hint="default"/>
        <w:lang w:val="en-US" w:eastAsia="en-US" w:bidi="ar-SA"/>
      </w:rPr>
    </w:lvl>
    <w:lvl w:ilvl="8">
      <w:start w:val="0"/>
      <w:numFmt w:val="bullet"/>
      <w:lvlText w:val="•"/>
      <w:lvlJc w:val="left"/>
      <w:pPr>
        <w:ind w:left="470" w:hanging="241"/>
      </w:pPr>
      <w:rPr>
        <w:rFonts w:hint="default"/>
        <w:lang w:val="en-US" w:eastAsia="en-US" w:bidi="ar-SA"/>
      </w:rPr>
    </w:lvl>
  </w:abstractNum>
  <w:abstractNum w:abstractNumId="19">
    <w:multiLevelType w:val="hybridMultilevel"/>
    <w:lvl w:ilvl="0">
      <w:start w:val="1"/>
      <w:numFmt w:val="decimal"/>
      <w:lvlText w:val="%1"/>
      <w:lvlJc w:val="left"/>
      <w:pPr>
        <w:ind w:left="200" w:hanging="360"/>
        <w:jc w:val="left"/>
      </w:pPr>
      <w:rPr>
        <w:rFonts w:hint="default"/>
        <w:lang w:val="en-US" w:eastAsia="en-US" w:bidi="ar-SA"/>
      </w:rPr>
    </w:lvl>
    <w:lvl w:ilvl="1">
      <w:start w:val="0"/>
      <w:numFmt w:val="decimal"/>
      <w:lvlText w:val="%1.%2"/>
      <w:lvlJc w:val="left"/>
      <w:pPr>
        <w:ind w:left="200" w:hanging="360"/>
        <w:jc w:val="left"/>
      </w:pPr>
      <w:rPr>
        <w:rFonts w:hint="default" w:ascii="Times New Roman" w:hAnsi="Times New Roman" w:eastAsia="Times New Roman" w:cs="Times New Roman"/>
        <w:color w:val="231F20"/>
        <w:spacing w:val="-8"/>
        <w:w w:val="100"/>
        <w:sz w:val="24"/>
        <w:szCs w:val="24"/>
        <w:lang w:val="en-US" w:eastAsia="en-US" w:bidi="ar-SA"/>
      </w:rPr>
    </w:lvl>
    <w:lvl w:ilvl="2">
      <w:start w:val="1"/>
      <w:numFmt w:val="lowerLetter"/>
      <w:lvlText w:val="(%3)"/>
      <w:lvlJc w:val="left"/>
      <w:pPr>
        <w:ind w:left="657" w:hanging="240"/>
        <w:jc w:val="left"/>
      </w:pPr>
      <w:rPr>
        <w:rFonts w:hint="default" w:ascii="Times New Roman" w:hAnsi="Times New Roman" w:eastAsia="Times New Roman" w:cs="Times New Roman"/>
        <w:color w:val="231F20"/>
        <w:spacing w:val="-14"/>
        <w:w w:val="100"/>
        <w:sz w:val="12"/>
        <w:szCs w:val="12"/>
        <w:lang w:val="en-US" w:eastAsia="en-US" w:bidi="ar-SA"/>
      </w:rPr>
    </w:lvl>
    <w:lvl w:ilvl="3">
      <w:start w:val="0"/>
      <w:numFmt w:val="bullet"/>
      <w:lvlText w:val="•"/>
      <w:lvlJc w:val="left"/>
      <w:pPr>
        <w:ind w:left="370" w:hanging="240"/>
      </w:pPr>
      <w:rPr>
        <w:rFonts w:hint="default"/>
        <w:lang w:val="en-US" w:eastAsia="en-US" w:bidi="ar-SA"/>
      </w:rPr>
    </w:lvl>
    <w:lvl w:ilvl="4">
      <w:start w:val="0"/>
      <w:numFmt w:val="bullet"/>
      <w:lvlText w:val="•"/>
      <w:lvlJc w:val="left"/>
      <w:pPr>
        <w:ind w:left="225" w:hanging="240"/>
      </w:pPr>
      <w:rPr>
        <w:rFonts w:hint="default"/>
        <w:lang w:val="en-US" w:eastAsia="en-US" w:bidi="ar-SA"/>
      </w:rPr>
    </w:lvl>
    <w:lvl w:ilvl="5">
      <w:start w:val="0"/>
      <w:numFmt w:val="bullet"/>
      <w:lvlText w:val="•"/>
      <w:lvlJc w:val="left"/>
      <w:pPr>
        <w:ind w:left="80" w:hanging="240"/>
      </w:pPr>
      <w:rPr>
        <w:rFonts w:hint="default"/>
        <w:lang w:val="en-US" w:eastAsia="en-US" w:bidi="ar-SA"/>
      </w:rPr>
    </w:lvl>
    <w:lvl w:ilvl="6">
      <w:start w:val="0"/>
      <w:numFmt w:val="bullet"/>
      <w:lvlText w:val="•"/>
      <w:lvlJc w:val="left"/>
      <w:pPr>
        <w:ind w:left="-65" w:hanging="240"/>
      </w:pPr>
      <w:rPr>
        <w:rFonts w:hint="default"/>
        <w:lang w:val="en-US" w:eastAsia="en-US" w:bidi="ar-SA"/>
      </w:rPr>
    </w:lvl>
    <w:lvl w:ilvl="7">
      <w:start w:val="0"/>
      <w:numFmt w:val="bullet"/>
      <w:lvlText w:val="•"/>
      <w:lvlJc w:val="left"/>
      <w:pPr>
        <w:ind w:left="-210" w:hanging="240"/>
      </w:pPr>
      <w:rPr>
        <w:rFonts w:hint="default"/>
        <w:lang w:val="en-US" w:eastAsia="en-US" w:bidi="ar-SA"/>
      </w:rPr>
    </w:lvl>
    <w:lvl w:ilvl="8">
      <w:start w:val="0"/>
      <w:numFmt w:val="bullet"/>
      <w:lvlText w:val="•"/>
      <w:lvlJc w:val="left"/>
      <w:pPr>
        <w:ind w:left="-355" w:hanging="240"/>
      </w:pPr>
      <w:rPr>
        <w:rFonts w:hint="default"/>
        <w:lang w:val="en-US" w:eastAsia="en-US" w:bidi="ar-SA"/>
      </w:rPr>
    </w:lvl>
  </w:abstractNum>
  <w:abstractNum w:abstractNumId="18">
    <w:multiLevelType w:val="hybridMultilevel"/>
    <w:lvl w:ilvl="0">
      <w:start w:val="1"/>
      <w:numFmt w:val="lowerLetter"/>
      <w:lvlText w:val="(%1)"/>
      <w:lvlJc w:val="left"/>
      <w:pPr>
        <w:ind w:left="439"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774" w:hanging="240"/>
      </w:pPr>
      <w:rPr>
        <w:rFonts w:hint="default"/>
        <w:lang w:val="en-US" w:eastAsia="en-US" w:bidi="ar-SA"/>
      </w:rPr>
    </w:lvl>
    <w:lvl w:ilvl="2">
      <w:start w:val="0"/>
      <w:numFmt w:val="bullet"/>
      <w:lvlText w:val="•"/>
      <w:lvlJc w:val="left"/>
      <w:pPr>
        <w:ind w:left="1109" w:hanging="240"/>
      </w:pPr>
      <w:rPr>
        <w:rFonts w:hint="default"/>
        <w:lang w:val="en-US" w:eastAsia="en-US" w:bidi="ar-SA"/>
      </w:rPr>
    </w:lvl>
    <w:lvl w:ilvl="3">
      <w:start w:val="0"/>
      <w:numFmt w:val="bullet"/>
      <w:lvlText w:val="•"/>
      <w:lvlJc w:val="left"/>
      <w:pPr>
        <w:ind w:left="1444" w:hanging="240"/>
      </w:pPr>
      <w:rPr>
        <w:rFonts w:hint="default"/>
        <w:lang w:val="en-US" w:eastAsia="en-US" w:bidi="ar-SA"/>
      </w:rPr>
    </w:lvl>
    <w:lvl w:ilvl="4">
      <w:start w:val="0"/>
      <w:numFmt w:val="bullet"/>
      <w:lvlText w:val="•"/>
      <w:lvlJc w:val="left"/>
      <w:pPr>
        <w:ind w:left="1779" w:hanging="240"/>
      </w:pPr>
      <w:rPr>
        <w:rFonts w:hint="default"/>
        <w:lang w:val="en-US" w:eastAsia="en-US" w:bidi="ar-SA"/>
      </w:rPr>
    </w:lvl>
    <w:lvl w:ilvl="5">
      <w:start w:val="0"/>
      <w:numFmt w:val="bullet"/>
      <w:lvlText w:val="•"/>
      <w:lvlJc w:val="left"/>
      <w:pPr>
        <w:ind w:left="2114" w:hanging="240"/>
      </w:pPr>
      <w:rPr>
        <w:rFonts w:hint="default"/>
        <w:lang w:val="en-US" w:eastAsia="en-US" w:bidi="ar-SA"/>
      </w:rPr>
    </w:lvl>
    <w:lvl w:ilvl="6">
      <w:start w:val="0"/>
      <w:numFmt w:val="bullet"/>
      <w:lvlText w:val="•"/>
      <w:lvlJc w:val="left"/>
      <w:pPr>
        <w:ind w:left="2449" w:hanging="240"/>
      </w:pPr>
      <w:rPr>
        <w:rFonts w:hint="default"/>
        <w:lang w:val="en-US" w:eastAsia="en-US" w:bidi="ar-SA"/>
      </w:rPr>
    </w:lvl>
    <w:lvl w:ilvl="7">
      <w:start w:val="0"/>
      <w:numFmt w:val="bullet"/>
      <w:lvlText w:val="•"/>
      <w:lvlJc w:val="left"/>
      <w:pPr>
        <w:ind w:left="2784" w:hanging="240"/>
      </w:pPr>
      <w:rPr>
        <w:rFonts w:hint="default"/>
        <w:lang w:val="en-US" w:eastAsia="en-US" w:bidi="ar-SA"/>
      </w:rPr>
    </w:lvl>
    <w:lvl w:ilvl="8">
      <w:start w:val="0"/>
      <w:numFmt w:val="bullet"/>
      <w:lvlText w:val="•"/>
      <w:lvlJc w:val="left"/>
      <w:pPr>
        <w:ind w:left="3119" w:hanging="240"/>
      </w:pPr>
      <w:rPr>
        <w:rFonts w:hint="default"/>
        <w:lang w:val="en-US" w:eastAsia="en-US" w:bidi="ar-SA"/>
      </w:rPr>
    </w:lvl>
  </w:abstractNum>
  <w:abstractNum w:abstractNumId="17">
    <w:multiLevelType w:val="hybridMultilevel"/>
    <w:lvl w:ilvl="0">
      <w:start w:val="1"/>
      <w:numFmt w:val="lowerLetter"/>
      <w:lvlText w:val="(%1)"/>
      <w:lvlJc w:val="left"/>
      <w:pPr>
        <w:ind w:left="429"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826" w:hanging="240"/>
      </w:pPr>
      <w:rPr>
        <w:rFonts w:hint="default"/>
        <w:lang w:val="en-US" w:eastAsia="en-US" w:bidi="ar-SA"/>
      </w:rPr>
    </w:lvl>
    <w:lvl w:ilvl="2">
      <w:start w:val="0"/>
      <w:numFmt w:val="bullet"/>
      <w:lvlText w:val="•"/>
      <w:lvlJc w:val="left"/>
      <w:pPr>
        <w:ind w:left="1233" w:hanging="240"/>
      </w:pPr>
      <w:rPr>
        <w:rFonts w:hint="default"/>
        <w:lang w:val="en-US" w:eastAsia="en-US" w:bidi="ar-SA"/>
      </w:rPr>
    </w:lvl>
    <w:lvl w:ilvl="3">
      <w:start w:val="0"/>
      <w:numFmt w:val="bullet"/>
      <w:lvlText w:val="•"/>
      <w:lvlJc w:val="left"/>
      <w:pPr>
        <w:ind w:left="1639" w:hanging="240"/>
      </w:pPr>
      <w:rPr>
        <w:rFonts w:hint="default"/>
        <w:lang w:val="en-US" w:eastAsia="en-US" w:bidi="ar-SA"/>
      </w:rPr>
    </w:lvl>
    <w:lvl w:ilvl="4">
      <w:start w:val="0"/>
      <w:numFmt w:val="bullet"/>
      <w:lvlText w:val="•"/>
      <w:lvlJc w:val="left"/>
      <w:pPr>
        <w:ind w:left="2046" w:hanging="240"/>
      </w:pPr>
      <w:rPr>
        <w:rFonts w:hint="default"/>
        <w:lang w:val="en-US" w:eastAsia="en-US" w:bidi="ar-SA"/>
      </w:rPr>
    </w:lvl>
    <w:lvl w:ilvl="5">
      <w:start w:val="0"/>
      <w:numFmt w:val="bullet"/>
      <w:lvlText w:val="•"/>
      <w:lvlJc w:val="left"/>
      <w:pPr>
        <w:ind w:left="2452" w:hanging="240"/>
      </w:pPr>
      <w:rPr>
        <w:rFonts w:hint="default"/>
        <w:lang w:val="en-US" w:eastAsia="en-US" w:bidi="ar-SA"/>
      </w:rPr>
    </w:lvl>
    <w:lvl w:ilvl="6">
      <w:start w:val="0"/>
      <w:numFmt w:val="bullet"/>
      <w:lvlText w:val="•"/>
      <w:lvlJc w:val="left"/>
      <w:pPr>
        <w:ind w:left="2859" w:hanging="240"/>
      </w:pPr>
      <w:rPr>
        <w:rFonts w:hint="default"/>
        <w:lang w:val="en-US" w:eastAsia="en-US" w:bidi="ar-SA"/>
      </w:rPr>
    </w:lvl>
    <w:lvl w:ilvl="7">
      <w:start w:val="0"/>
      <w:numFmt w:val="bullet"/>
      <w:lvlText w:val="•"/>
      <w:lvlJc w:val="left"/>
      <w:pPr>
        <w:ind w:left="3265" w:hanging="240"/>
      </w:pPr>
      <w:rPr>
        <w:rFonts w:hint="default"/>
        <w:lang w:val="en-US" w:eastAsia="en-US" w:bidi="ar-SA"/>
      </w:rPr>
    </w:lvl>
    <w:lvl w:ilvl="8">
      <w:start w:val="0"/>
      <w:numFmt w:val="bullet"/>
      <w:lvlText w:val="•"/>
      <w:lvlJc w:val="left"/>
      <w:pPr>
        <w:ind w:left="3672" w:hanging="240"/>
      </w:pPr>
      <w:rPr>
        <w:rFonts w:hint="default"/>
        <w:lang w:val="en-US" w:eastAsia="en-US" w:bidi="ar-SA"/>
      </w:rPr>
    </w:lvl>
  </w:abstractNum>
  <w:abstractNum w:abstractNumId="16">
    <w:multiLevelType w:val="hybridMultilevel"/>
    <w:lvl w:ilvl="0">
      <w:start w:val="1"/>
      <w:numFmt w:val="lowerLetter"/>
      <w:lvlText w:val="(%1)"/>
      <w:lvlJc w:val="left"/>
      <w:pPr>
        <w:ind w:left="430"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779" w:hanging="240"/>
      </w:pPr>
      <w:rPr>
        <w:rFonts w:hint="default"/>
        <w:lang w:val="en-US" w:eastAsia="en-US" w:bidi="ar-SA"/>
      </w:rPr>
    </w:lvl>
    <w:lvl w:ilvl="2">
      <w:start w:val="0"/>
      <w:numFmt w:val="bullet"/>
      <w:lvlText w:val="•"/>
      <w:lvlJc w:val="left"/>
      <w:pPr>
        <w:ind w:left="1118" w:hanging="240"/>
      </w:pPr>
      <w:rPr>
        <w:rFonts w:hint="default"/>
        <w:lang w:val="en-US" w:eastAsia="en-US" w:bidi="ar-SA"/>
      </w:rPr>
    </w:lvl>
    <w:lvl w:ilvl="3">
      <w:start w:val="0"/>
      <w:numFmt w:val="bullet"/>
      <w:lvlText w:val="•"/>
      <w:lvlJc w:val="left"/>
      <w:pPr>
        <w:ind w:left="1457" w:hanging="240"/>
      </w:pPr>
      <w:rPr>
        <w:rFonts w:hint="default"/>
        <w:lang w:val="en-US" w:eastAsia="en-US" w:bidi="ar-SA"/>
      </w:rPr>
    </w:lvl>
    <w:lvl w:ilvl="4">
      <w:start w:val="0"/>
      <w:numFmt w:val="bullet"/>
      <w:lvlText w:val="•"/>
      <w:lvlJc w:val="left"/>
      <w:pPr>
        <w:ind w:left="1796" w:hanging="240"/>
      </w:pPr>
      <w:rPr>
        <w:rFonts w:hint="default"/>
        <w:lang w:val="en-US" w:eastAsia="en-US" w:bidi="ar-SA"/>
      </w:rPr>
    </w:lvl>
    <w:lvl w:ilvl="5">
      <w:start w:val="0"/>
      <w:numFmt w:val="bullet"/>
      <w:lvlText w:val="•"/>
      <w:lvlJc w:val="left"/>
      <w:pPr>
        <w:ind w:left="2135" w:hanging="240"/>
      </w:pPr>
      <w:rPr>
        <w:rFonts w:hint="default"/>
        <w:lang w:val="en-US" w:eastAsia="en-US" w:bidi="ar-SA"/>
      </w:rPr>
    </w:lvl>
    <w:lvl w:ilvl="6">
      <w:start w:val="0"/>
      <w:numFmt w:val="bullet"/>
      <w:lvlText w:val="•"/>
      <w:lvlJc w:val="left"/>
      <w:pPr>
        <w:ind w:left="2474" w:hanging="240"/>
      </w:pPr>
      <w:rPr>
        <w:rFonts w:hint="default"/>
        <w:lang w:val="en-US" w:eastAsia="en-US" w:bidi="ar-SA"/>
      </w:rPr>
    </w:lvl>
    <w:lvl w:ilvl="7">
      <w:start w:val="0"/>
      <w:numFmt w:val="bullet"/>
      <w:lvlText w:val="•"/>
      <w:lvlJc w:val="left"/>
      <w:pPr>
        <w:ind w:left="2813" w:hanging="240"/>
      </w:pPr>
      <w:rPr>
        <w:rFonts w:hint="default"/>
        <w:lang w:val="en-US" w:eastAsia="en-US" w:bidi="ar-SA"/>
      </w:rPr>
    </w:lvl>
    <w:lvl w:ilvl="8">
      <w:start w:val="0"/>
      <w:numFmt w:val="bullet"/>
      <w:lvlText w:val="•"/>
      <w:lvlJc w:val="left"/>
      <w:pPr>
        <w:ind w:left="3152" w:hanging="240"/>
      </w:pPr>
      <w:rPr>
        <w:rFonts w:hint="default"/>
        <w:lang w:val="en-US" w:eastAsia="en-US" w:bidi="ar-SA"/>
      </w:rPr>
    </w:lvl>
  </w:abstractNum>
  <w:abstractNum w:abstractNumId="15">
    <w:multiLevelType w:val="hybridMultilevel"/>
    <w:lvl w:ilvl="0">
      <w:start w:val="1"/>
      <w:numFmt w:val="decimal"/>
      <w:lvlText w:val="(%1)"/>
      <w:lvlJc w:val="left"/>
      <w:pPr>
        <w:ind w:left="5229" w:hanging="241"/>
        <w:jc w:val="left"/>
      </w:pPr>
      <w:rPr>
        <w:rFonts w:hint="default" w:ascii="Times New Roman" w:hAnsi="Times New Roman" w:eastAsia="Times New Roman" w:cs="Times New Roman"/>
        <w:color w:val="231F20"/>
        <w:w w:val="100"/>
        <w:sz w:val="16"/>
        <w:szCs w:val="16"/>
        <w:lang w:val="en-US" w:eastAsia="en-US" w:bidi="ar-SA"/>
      </w:rPr>
    </w:lvl>
    <w:lvl w:ilvl="1">
      <w:start w:val="0"/>
      <w:numFmt w:val="bullet"/>
      <w:lvlText w:val="•"/>
      <w:lvlJc w:val="left"/>
      <w:pPr>
        <w:ind w:left="5762" w:hanging="241"/>
      </w:pPr>
      <w:rPr>
        <w:rFonts w:hint="default"/>
        <w:lang w:val="en-US" w:eastAsia="en-US" w:bidi="ar-SA"/>
      </w:rPr>
    </w:lvl>
    <w:lvl w:ilvl="2">
      <w:start w:val="0"/>
      <w:numFmt w:val="bullet"/>
      <w:lvlText w:val="•"/>
      <w:lvlJc w:val="left"/>
      <w:pPr>
        <w:ind w:left="6304" w:hanging="241"/>
      </w:pPr>
      <w:rPr>
        <w:rFonts w:hint="default"/>
        <w:lang w:val="en-US" w:eastAsia="en-US" w:bidi="ar-SA"/>
      </w:rPr>
    </w:lvl>
    <w:lvl w:ilvl="3">
      <w:start w:val="0"/>
      <w:numFmt w:val="bullet"/>
      <w:lvlText w:val="•"/>
      <w:lvlJc w:val="left"/>
      <w:pPr>
        <w:ind w:left="6846" w:hanging="241"/>
      </w:pPr>
      <w:rPr>
        <w:rFonts w:hint="default"/>
        <w:lang w:val="en-US" w:eastAsia="en-US" w:bidi="ar-SA"/>
      </w:rPr>
    </w:lvl>
    <w:lvl w:ilvl="4">
      <w:start w:val="0"/>
      <w:numFmt w:val="bullet"/>
      <w:lvlText w:val="•"/>
      <w:lvlJc w:val="left"/>
      <w:pPr>
        <w:ind w:left="7388" w:hanging="241"/>
      </w:pPr>
      <w:rPr>
        <w:rFonts w:hint="default"/>
        <w:lang w:val="en-US" w:eastAsia="en-US" w:bidi="ar-SA"/>
      </w:rPr>
    </w:lvl>
    <w:lvl w:ilvl="5">
      <w:start w:val="0"/>
      <w:numFmt w:val="bullet"/>
      <w:lvlText w:val="•"/>
      <w:lvlJc w:val="left"/>
      <w:pPr>
        <w:ind w:left="7930" w:hanging="241"/>
      </w:pPr>
      <w:rPr>
        <w:rFonts w:hint="default"/>
        <w:lang w:val="en-US" w:eastAsia="en-US" w:bidi="ar-SA"/>
      </w:rPr>
    </w:lvl>
    <w:lvl w:ilvl="6">
      <w:start w:val="0"/>
      <w:numFmt w:val="bullet"/>
      <w:lvlText w:val="•"/>
      <w:lvlJc w:val="left"/>
      <w:pPr>
        <w:ind w:left="8472" w:hanging="241"/>
      </w:pPr>
      <w:rPr>
        <w:rFonts w:hint="default"/>
        <w:lang w:val="en-US" w:eastAsia="en-US" w:bidi="ar-SA"/>
      </w:rPr>
    </w:lvl>
    <w:lvl w:ilvl="7">
      <w:start w:val="0"/>
      <w:numFmt w:val="bullet"/>
      <w:lvlText w:val="•"/>
      <w:lvlJc w:val="left"/>
      <w:pPr>
        <w:ind w:left="9014" w:hanging="241"/>
      </w:pPr>
      <w:rPr>
        <w:rFonts w:hint="default"/>
        <w:lang w:val="en-US" w:eastAsia="en-US" w:bidi="ar-SA"/>
      </w:rPr>
    </w:lvl>
    <w:lvl w:ilvl="8">
      <w:start w:val="0"/>
      <w:numFmt w:val="bullet"/>
      <w:lvlText w:val="•"/>
      <w:lvlJc w:val="left"/>
      <w:pPr>
        <w:ind w:left="9556" w:hanging="241"/>
      </w:pPr>
      <w:rPr>
        <w:rFonts w:hint="default"/>
        <w:lang w:val="en-US" w:eastAsia="en-US" w:bidi="ar-SA"/>
      </w:rPr>
    </w:lvl>
  </w:abstractNum>
  <w:abstractNum w:abstractNumId="14">
    <w:multiLevelType w:val="hybridMultilevel"/>
    <w:lvl w:ilvl="0">
      <w:start w:val="2"/>
      <w:numFmt w:val="decimal"/>
      <w:lvlText w:val="%1"/>
      <w:lvlJc w:val="left"/>
      <w:pPr>
        <w:ind w:left="8021" w:hanging="3022"/>
        <w:jc w:val="left"/>
      </w:pPr>
      <w:rPr>
        <w:rFonts w:hint="default"/>
        <w:lang w:val="en-US" w:eastAsia="en-US" w:bidi="ar-SA"/>
      </w:rPr>
    </w:lvl>
    <w:lvl w:ilvl="1">
      <w:start w:val="1"/>
      <w:numFmt w:val="decimal"/>
      <w:lvlText w:val="%1.%2"/>
      <w:lvlJc w:val="left"/>
      <w:pPr>
        <w:ind w:left="8021" w:hanging="3022"/>
        <w:jc w:val="right"/>
      </w:pPr>
      <w:rPr>
        <w:rFonts w:hint="default"/>
        <w:b/>
        <w:bCs/>
        <w:spacing w:val="-5"/>
        <w:w w:val="100"/>
        <w:lang w:val="en-US" w:eastAsia="en-US" w:bidi="ar-SA"/>
      </w:rPr>
    </w:lvl>
    <w:lvl w:ilvl="2">
      <w:start w:val="1"/>
      <w:numFmt w:val="decimal"/>
      <w:lvlText w:val="(%3)"/>
      <w:lvlJc w:val="left"/>
      <w:pPr>
        <w:ind w:left="5230" w:hanging="241"/>
        <w:jc w:val="left"/>
      </w:pPr>
      <w:rPr>
        <w:rFonts w:hint="default" w:ascii="Times New Roman" w:hAnsi="Times New Roman" w:eastAsia="Times New Roman" w:cs="Times New Roman"/>
        <w:color w:val="231F20"/>
        <w:w w:val="100"/>
        <w:sz w:val="16"/>
        <w:szCs w:val="16"/>
        <w:lang w:val="en-US" w:eastAsia="en-US" w:bidi="ar-SA"/>
      </w:rPr>
    </w:lvl>
    <w:lvl w:ilvl="3">
      <w:start w:val="0"/>
      <w:numFmt w:val="bullet"/>
      <w:lvlText w:val="•"/>
      <w:lvlJc w:val="left"/>
      <w:pPr>
        <w:ind w:left="8347" w:hanging="241"/>
      </w:pPr>
      <w:rPr>
        <w:rFonts w:hint="default"/>
        <w:lang w:val="en-US" w:eastAsia="en-US" w:bidi="ar-SA"/>
      </w:rPr>
    </w:lvl>
    <w:lvl w:ilvl="4">
      <w:start w:val="0"/>
      <w:numFmt w:val="bullet"/>
      <w:lvlText w:val="•"/>
      <w:lvlJc w:val="left"/>
      <w:pPr>
        <w:ind w:left="8675" w:hanging="241"/>
      </w:pPr>
      <w:rPr>
        <w:rFonts w:hint="default"/>
        <w:lang w:val="en-US" w:eastAsia="en-US" w:bidi="ar-SA"/>
      </w:rPr>
    </w:lvl>
    <w:lvl w:ilvl="5">
      <w:start w:val="0"/>
      <w:numFmt w:val="bullet"/>
      <w:lvlText w:val="•"/>
      <w:lvlJc w:val="left"/>
      <w:pPr>
        <w:ind w:left="9002" w:hanging="241"/>
      </w:pPr>
      <w:rPr>
        <w:rFonts w:hint="default"/>
        <w:lang w:val="en-US" w:eastAsia="en-US" w:bidi="ar-SA"/>
      </w:rPr>
    </w:lvl>
    <w:lvl w:ilvl="6">
      <w:start w:val="0"/>
      <w:numFmt w:val="bullet"/>
      <w:lvlText w:val="•"/>
      <w:lvlJc w:val="left"/>
      <w:pPr>
        <w:ind w:left="9330" w:hanging="241"/>
      </w:pPr>
      <w:rPr>
        <w:rFonts w:hint="default"/>
        <w:lang w:val="en-US" w:eastAsia="en-US" w:bidi="ar-SA"/>
      </w:rPr>
    </w:lvl>
    <w:lvl w:ilvl="7">
      <w:start w:val="0"/>
      <w:numFmt w:val="bullet"/>
      <w:lvlText w:val="•"/>
      <w:lvlJc w:val="left"/>
      <w:pPr>
        <w:ind w:left="9657" w:hanging="241"/>
      </w:pPr>
      <w:rPr>
        <w:rFonts w:hint="default"/>
        <w:lang w:val="en-US" w:eastAsia="en-US" w:bidi="ar-SA"/>
      </w:rPr>
    </w:lvl>
    <w:lvl w:ilvl="8">
      <w:start w:val="0"/>
      <w:numFmt w:val="bullet"/>
      <w:lvlText w:val="•"/>
      <w:lvlJc w:val="left"/>
      <w:pPr>
        <w:ind w:left="9985" w:hanging="241"/>
      </w:pPr>
      <w:rPr>
        <w:rFonts w:hint="default"/>
        <w:lang w:val="en-US" w:eastAsia="en-US" w:bidi="ar-SA"/>
      </w:rPr>
    </w:lvl>
  </w:abstractNum>
  <w:abstractNum w:abstractNumId="13">
    <w:multiLevelType w:val="hybridMultilevel"/>
    <w:lvl w:ilvl="0">
      <w:start w:val="1"/>
      <w:numFmt w:val="lowerLetter"/>
      <w:lvlText w:val="(%1)"/>
      <w:lvlJc w:val="left"/>
      <w:pPr>
        <w:ind w:left="405" w:hanging="194"/>
        <w:jc w:val="left"/>
      </w:pPr>
      <w:rPr>
        <w:rFonts w:hint="default" w:ascii="Times New Roman" w:hAnsi="Times New Roman" w:eastAsia="Times New Roman" w:cs="Times New Roman"/>
        <w:color w:val="231F20"/>
        <w:w w:val="100"/>
        <w:sz w:val="12"/>
        <w:szCs w:val="12"/>
        <w:lang w:val="en-US" w:eastAsia="en-US" w:bidi="ar-SA"/>
      </w:rPr>
    </w:lvl>
    <w:lvl w:ilvl="1">
      <w:start w:val="1"/>
      <w:numFmt w:val="decimal"/>
      <w:lvlText w:val="(%2)"/>
      <w:lvlJc w:val="left"/>
      <w:pPr>
        <w:ind w:left="627" w:hanging="200"/>
        <w:jc w:val="left"/>
      </w:pPr>
      <w:rPr>
        <w:rFonts w:hint="default" w:ascii="Times New Roman" w:hAnsi="Times New Roman" w:eastAsia="Times New Roman" w:cs="Times New Roman"/>
        <w:color w:val="231F20"/>
        <w:spacing w:val="-1"/>
        <w:w w:val="100"/>
        <w:sz w:val="12"/>
        <w:szCs w:val="12"/>
        <w:lang w:val="en-US" w:eastAsia="en-US" w:bidi="ar-SA"/>
      </w:rPr>
    </w:lvl>
    <w:lvl w:ilvl="2">
      <w:start w:val="0"/>
      <w:numFmt w:val="bullet"/>
      <w:lvlText w:val="•"/>
      <w:lvlJc w:val="left"/>
      <w:pPr>
        <w:ind w:left="1072" w:hanging="200"/>
      </w:pPr>
      <w:rPr>
        <w:rFonts w:hint="default"/>
        <w:lang w:val="en-US" w:eastAsia="en-US" w:bidi="ar-SA"/>
      </w:rPr>
    </w:lvl>
    <w:lvl w:ilvl="3">
      <w:start w:val="0"/>
      <w:numFmt w:val="bullet"/>
      <w:lvlText w:val="•"/>
      <w:lvlJc w:val="left"/>
      <w:pPr>
        <w:ind w:left="1525" w:hanging="200"/>
      </w:pPr>
      <w:rPr>
        <w:rFonts w:hint="default"/>
        <w:lang w:val="en-US" w:eastAsia="en-US" w:bidi="ar-SA"/>
      </w:rPr>
    </w:lvl>
    <w:lvl w:ilvl="4">
      <w:start w:val="0"/>
      <w:numFmt w:val="bullet"/>
      <w:lvlText w:val="•"/>
      <w:lvlJc w:val="left"/>
      <w:pPr>
        <w:ind w:left="1977" w:hanging="200"/>
      </w:pPr>
      <w:rPr>
        <w:rFonts w:hint="default"/>
        <w:lang w:val="en-US" w:eastAsia="en-US" w:bidi="ar-SA"/>
      </w:rPr>
    </w:lvl>
    <w:lvl w:ilvl="5">
      <w:start w:val="0"/>
      <w:numFmt w:val="bullet"/>
      <w:lvlText w:val="•"/>
      <w:lvlJc w:val="left"/>
      <w:pPr>
        <w:ind w:left="2430" w:hanging="200"/>
      </w:pPr>
      <w:rPr>
        <w:rFonts w:hint="default"/>
        <w:lang w:val="en-US" w:eastAsia="en-US" w:bidi="ar-SA"/>
      </w:rPr>
    </w:lvl>
    <w:lvl w:ilvl="6">
      <w:start w:val="0"/>
      <w:numFmt w:val="bullet"/>
      <w:lvlText w:val="•"/>
      <w:lvlJc w:val="left"/>
      <w:pPr>
        <w:ind w:left="2882" w:hanging="200"/>
      </w:pPr>
      <w:rPr>
        <w:rFonts w:hint="default"/>
        <w:lang w:val="en-US" w:eastAsia="en-US" w:bidi="ar-SA"/>
      </w:rPr>
    </w:lvl>
    <w:lvl w:ilvl="7">
      <w:start w:val="0"/>
      <w:numFmt w:val="bullet"/>
      <w:lvlText w:val="•"/>
      <w:lvlJc w:val="left"/>
      <w:pPr>
        <w:ind w:left="3335" w:hanging="200"/>
      </w:pPr>
      <w:rPr>
        <w:rFonts w:hint="default"/>
        <w:lang w:val="en-US" w:eastAsia="en-US" w:bidi="ar-SA"/>
      </w:rPr>
    </w:lvl>
    <w:lvl w:ilvl="8">
      <w:start w:val="0"/>
      <w:numFmt w:val="bullet"/>
      <w:lvlText w:val="•"/>
      <w:lvlJc w:val="left"/>
      <w:pPr>
        <w:ind w:left="3787" w:hanging="200"/>
      </w:pPr>
      <w:rPr>
        <w:rFonts w:hint="default"/>
        <w:lang w:val="en-US" w:eastAsia="en-US" w:bidi="ar-SA"/>
      </w:rPr>
    </w:lvl>
  </w:abstractNum>
  <w:abstractNum w:abstractNumId="12">
    <w:multiLevelType w:val="hybridMultilevel"/>
    <w:lvl w:ilvl="0">
      <w:start w:val="1"/>
      <w:numFmt w:val="lowerLetter"/>
      <w:lvlText w:val="(%1)"/>
      <w:lvlJc w:val="left"/>
      <w:pPr>
        <w:ind w:left="419"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754" w:hanging="240"/>
      </w:pPr>
      <w:rPr>
        <w:rFonts w:hint="default"/>
        <w:lang w:val="en-US" w:eastAsia="en-US" w:bidi="ar-SA"/>
      </w:rPr>
    </w:lvl>
    <w:lvl w:ilvl="2">
      <w:start w:val="0"/>
      <w:numFmt w:val="bullet"/>
      <w:lvlText w:val="•"/>
      <w:lvlJc w:val="left"/>
      <w:pPr>
        <w:ind w:left="1089" w:hanging="240"/>
      </w:pPr>
      <w:rPr>
        <w:rFonts w:hint="default"/>
        <w:lang w:val="en-US" w:eastAsia="en-US" w:bidi="ar-SA"/>
      </w:rPr>
    </w:lvl>
    <w:lvl w:ilvl="3">
      <w:start w:val="0"/>
      <w:numFmt w:val="bullet"/>
      <w:lvlText w:val="•"/>
      <w:lvlJc w:val="left"/>
      <w:pPr>
        <w:ind w:left="1423" w:hanging="240"/>
      </w:pPr>
      <w:rPr>
        <w:rFonts w:hint="default"/>
        <w:lang w:val="en-US" w:eastAsia="en-US" w:bidi="ar-SA"/>
      </w:rPr>
    </w:lvl>
    <w:lvl w:ilvl="4">
      <w:start w:val="0"/>
      <w:numFmt w:val="bullet"/>
      <w:lvlText w:val="•"/>
      <w:lvlJc w:val="left"/>
      <w:pPr>
        <w:ind w:left="1758" w:hanging="240"/>
      </w:pPr>
      <w:rPr>
        <w:rFonts w:hint="default"/>
        <w:lang w:val="en-US" w:eastAsia="en-US" w:bidi="ar-SA"/>
      </w:rPr>
    </w:lvl>
    <w:lvl w:ilvl="5">
      <w:start w:val="0"/>
      <w:numFmt w:val="bullet"/>
      <w:lvlText w:val="•"/>
      <w:lvlJc w:val="left"/>
      <w:pPr>
        <w:ind w:left="2092" w:hanging="240"/>
      </w:pPr>
      <w:rPr>
        <w:rFonts w:hint="default"/>
        <w:lang w:val="en-US" w:eastAsia="en-US" w:bidi="ar-SA"/>
      </w:rPr>
    </w:lvl>
    <w:lvl w:ilvl="6">
      <w:start w:val="0"/>
      <w:numFmt w:val="bullet"/>
      <w:lvlText w:val="•"/>
      <w:lvlJc w:val="left"/>
      <w:pPr>
        <w:ind w:left="2427" w:hanging="240"/>
      </w:pPr>
      <w:rPr>
        <w:rFonts w:hint="default"/>
        <w:lang w:val="en-US" w:eastAsia="en-US" w:bidi="ar-SA"/>
      </w:rPr>
    </w:lvl>
    <w:lvl w:ilvl="7">
      <w:start w:val="0"/>
      <w:numFmt w:val="bullet"/>
      <w:lvlText w:val="•"/>
      <w:lvlJc w:val="left"/>
      <w:pPr>
        <w:ind w:left="2761" w:hanging="240"/>
      </w:pPr>
      <w:rPr>
        <w:rFonts w:hint="default"/>
        <w:lang w:val="en-US" w:eastAsia="en-US" w:bidi="ar-SA"/>
      </w:rPr>
    </w:lvl>
    <w:lvl w:ilvl="8">
      <w:start w:val="0"/>
      <w:numFmt w:val="bullet"/>
      <w:lvlText w:val="•"/>
      <w:lvlJc w:val="left"/>
      <w:pPr>
        <w:ind w:left="3096" w:hanging="240"/>
      </w:pPr>
      <w:rPr>
        <w:rFonts w:hint="default"/>
        <w:lang w:val="en-US" w:eastAsia="en-US" w:bidi="ar-SA"/>
      </w:rPr>
    </w:lvl>
  </w:abstractNum>
  <w:abstractNum w:abstractNumId="11">
    <w:multiLevelType w:val="hybridMultilevel"/>
    <w:lvl w:ilvl="0">
      <w:start w:val="1"/>
      <w:numFmt w:val="decimal"/>
      <w:lvlText w:val="(%1)"/>
      <w:lvlJc w:val="left"/>
      <w:pPr>
        <w:ind w:left="479" w:hanging="289"/>
        <w:jc w:val="left"/>
      </w:pPr>
      <w:rPr>
        <w:rFonts w:hint="default" w:ascii="Times New Roman" w:hAnsi="Times New Roman" w:eastAsia="Times New Roman" w:cs="Times New Roman"/>
        <w:color w:val="231F20"/>
        <w:spacing w:val="-19"/>
        <w:w w:val="100"/>
        <w:sz w:val="16"/>
        <w:szCs w:val="16"/>
        <w:lang w:val="en-US" w:eastAsia="en-US" w:bidi="ar-SA"/>
      </w:rPr>
    </w:lvl>
    <w:lvl w:ilvl="1">
      <w:start w:val="1"/>
      <w:numFmt w:val="lowerLetter"/>
      <w:lvlText w:val="(%2)"/>
      <w:lvlJc w:val="left"/>
      <w:pPr>
        <w:ind w:left="674" w:hanging="240"/>
        <w:jc w:val="left"/>
      </w:pPr>
      <w:rPr>
        <w:rFonts w:hint="default" w:ascii="Times New Roman" w:hAnsi="Times New Roman" w:eastAsia="Times New Roman" w:cs="Times New Roman"/>
        <w:color w:val="231F20"/>
        <w:spacing w:val="-14"/>
        <w:w w:val="100"/>
        <w:sz w:val="12"/>
        <w:szCs w:val="12"/>
        <w:lang w:val="en-US" w:eastAsia="en-US" w:bidi="ar-SA"/>
      </w:rPr>
    </w:lvl>
    <w:lvl w:ilvl="2">
      <w:start w:val="0"/>
      <w:numFmt w:val="bullet"/>
      <w:lvlText w:val="•"/>
      <w:lvlJc w:val="left"/>
      <w:pPr>
        <w:ind w:left="1215" w:hanging="240"/>
      </w:pPr>
      <w:rPr>
        <w:rFonts w:hint="default"/>
        <w:lang w:val="en-US" w:eastAsia="en-US" w:bidi="ar-SA"/>
      </w:rPr>
    </w:lvl>
    <w:lvl w:ilvl="3">
      <w:start w:val="0"/>
      <w:numFmt w:val="bullet"/>
      <w:lvlText w:val="•"/>
      <w:lvlJc w:val="left"/>
      <w:pPr>
        <w:ind w:left="1750" w:hanging="240"/>
      </w:pPr>
      <w:rPr>
        <w:rFonts w:hint="default"/>
        <w:lang w:val="en-US" w:eastAsia="en-US" w:bidi="ar-SA"/>
      </w:rPr>
    </w:lvl>
    <w:lvl w:ilvl="4">
      <w:start w:val="0"/>
      <w:numFmt w:val="bullet"/>
      <w:lvlText w:val="•"/>
      <w:lvlJc w:val="left"/>
      <w:pPr>
        <w:ind w:left="2286" w:hanging="240"/>
      </w:pPr>
      <w:rPr>
        <w:rFonts w:hint="default"/>
        <w:lang w:val="en-US" w:eastAsia="en-US" w:bidi="ar-SA"/>
      </w:rPr>
    </w:lvl>
    <w:lvl w:ilvl="5">
      <w:start w:val="0"/>
      <w:numFmt w:val="bullet"/>
      <w:lvlText w:val="•"/>
      <w:lvlJc w:val="left"/>
      <w:pPr>
        <w:ind w:left="2821" w:hanging="240"/>
      </w:pPr>
      <w:rPr>
        <w:rFonts w:hint="default"/>
        <w:lang w:val="en-US" w:eastAsia="en-US" w:bidi="ar-SA"/>
      </w:rPr>
    </w:lvl>
    <w:lvl w:ilvl="6">
      <w:start w:val="0"/>
      <w:numFmt w:val="bullet"/>
      <w:lvlText w:val="•"/>
      <w:lvlJc w:val="left"/>
      <w:pPr>
        <w:ind w:left="3357" w:hanging="240"/>
      </w:pPr>
      <w:rPr>
        <w:rFonts w:hint="default"/>
        <w:lang w:val="en-US" w:eastAsia="en-US" w:bidi="ar-SA"/>
      </w:rPr>
    </w:lvl>
    <w:lvl w:ilvl="7">
      <w:start w:val="0"/>
      <w:numFmt w:val="bullet"/>
      <w:lvlText w:val="•"/>
      <w:lvlJc w:val="left"/>
      <w:pPr>
        <w:ind w:left="3892" w:hanging="240"/>
      </w:pPr>
      <w:rPr>
        <w:rFonts w:hint="default"/>
        <w:lang w:val="en-US" w:eastAsia="en-US" w:bidi="ar-SA"/>
      </w:rPr>
    </w:lvl>
    <w:lvl w:ilvl="8">
      <w:start w:val="0"/>
      <w:numFmt w:val="bullet"/>
      <w:lvlText w:val="•"/>
      <w:lvlJc w:val="left"/>
      <w:pPr>
        <w:ind w:left="4427" w:hanging="240"/>
      </w:pPr>
      <w:rPr>
        <w:rFonts w:hint="default"/>
        <w:lang w:val="en-US" w:eastAsia="en-US" w:bidi="ar-SA"/>
      </w:rPr>
    </w:lvl>
  </w:abstractNum>
  <w:abstractNum w:abstractNumId="10">
    <w:multiLevelType w:val="hybridMultilevel"/>
    <w:lvl w:ilvl="0">
      <w:start w:val="1"/>
      <w:numFmt w:val="lowerLetter"/>
      <w:lvlText w:val="(%1)"/>
      <w:lvlJc w:val="left"/>
      <w:pPr>
        <w:ind w:left="424"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762" w:hanging="240"/>
      </w:pPr>
      <w:rPr>
        <w:rFonts w:hint="default"/>
        <w:lang w:val="en-US" w:eastAsia="en-US" w:bidi="ar-SA"/>
      </w:rPr>
    </w:lvl>
    <w:lvl w:ilvl="2">
      <w:start w:val="0"/>
      <w:numFmt w:val="bullet"/>
      <w:lvlText w:val="•"/>
      <w:lvlJc w:val="left"/>
      <w:pPr>
        <w:ind w:left="1104" w:hanging="240"/>
      </w:pPr>
      <w:rPr>
        <w:rFonts w:hint="default"/>
        <w:lang w:val="en-US" w:eastAsia="en-US" w:bidi="ar-SA"/>
      </w:rPr>
    </w:lvl>
    <w:lvl w:ilvl="3">
      <w:start w:val="0"/>
      <w:numFmt w:val="bullet"/>
      <w:lvlText w:val="•"/>
      <w:lvlJc w:val="left"/>
      <w:pPr>
        <w:ind w:left="1446" w:hanging="240"/>
      </w:pPr>
      <w:rPr>
        <w:rFonts w:hint="default"/>
        <w:lang w:val="en-US" w:eastAsia="en-US" w:bidi="ar-SA"/>
      </w:rPr>
    </w:lvl>
    <w:lvl w:ilvl="4">
      <w:start w:val="0"/>
      <w:numFmt w:val="bullet"/>
      <w:lvlText w:val="•"/>
      <w:lvlJc w:val="left"/>
      <w:pPr>
        <w:ind w:left="1788" w:hanging="240"/>
      </w:pPr>
      <w:rPr>
        <w:rFonts w:hint="default"/>
        <w:lang w:val="en-US" w:eastAsia="en-US" w:bidi="ar-SA"/>
      </w:rPr>
    </w:lvl>
    <w:lvl w:ilvl="5">
      <w:start w:val="0"/>
      <w:numFmt w:val="bullet"/>
      <w:lvlText w:val="•"/>
      <w:lvlJc w:val="left"/>
      <w:pPr>
        <w:ind w:left="2130" w:hanging="240"/>
      </w:pPr>
      <w:rPr>
        <w:rFonts w:hint="default"/>
        <w:lang w:val="en-US" w:eastAsia="en-US" w:bidi="ar-SA"/>
      </w:rPr>
    </w:lvl>
    <w:lvl w:ilvl="6">
      <w:start w:val="0"/>
      <w:numFmt w:val="bullet"/>
      <w:lvlText w:val="•"/>
      <w:lvlJc w:val="left"/>
      <w:pPr>
        <w:ind w:left="2472" w:hanging="240"/>
      </w:pPr>
      <w:rPr>
        <w:rFonts w:hint="default"/>
        <w:lang w:val="en-US" w:eastAsia="en-US" w:bidi="ar-SA"/>
      </w:rPr>
    </w:lvl>
    <w:lvl w:ilvl="7">
      <w:start w:val="0"/>
      <w:numFmt w:val="bullet"/>
      <w:lvlText w:val="•"/>
      <w:lvlJc w:val="left"/>
      <w:pPr>
        <w:ind w:left="2814" w:hanging="240"/>
      </w:pPr>
      <w:rPr>
        <w:rFonts w:hint="default"/>
        <w:lang w:val="en-US" w:eastAsia="en-US" w:bidi="ar-SA"/>
      </w:rPr>
    </w:lvl>
    <w:lvl w:ilvl="8">
      <w:start w:val="0"/>
      <w:numFmt w:val="bullet"/>
      <w:lvlText w:val="•"/>
      <w:lvlJc w:val="left"/>
      <w:pPr>
        <w:ind w:left="3156" w:hanging="240"/>
      </w:pPr>
      <w:rPr>
        <w:rFonts w:hint="default"/>
        <w:lang w:val="en-US" w:eastAsia="en-US" w:bidi="ar-SA"/>
      </w:rPr>
    </w:lvl>
  </w:abstractNum>
  <w:abstractNum w:abstractNumId="9">
    <w:multiLevelType w:val="hybridMultilevel"/>
    <w:lvl w:ilvl="0">
      <w:start w:val="1"/>
      <w:numFmt w:val="lowerLetter"/>
      <w:lvlText w:val="(%1)"/>
      <w:lvlJc w:val="left"/>
      <w:pPr>
        <w:ind w:left="444"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1"/>
      <w:numFmt w:val="decimal"/>
      <w:lvlText w:val="(%2)"/>
      <w:lvlJc w:val="left"/>
      <w:pPr>
        <w:ind w:left="5258" w:hanging="289"/>
        <w:jc w:val="left"/>
      </w:pPr>
      <w:rPr>
        <w:rFonts w:hint="default" w:ascii="Times New Roman" w:hAnsi="Times New Roman" w:eastAsia="Times New Roman" w:cs="Times New Roman"/>
        <w:color w:val="231F20"/>
        <w:spacing w:val="-19"/>
        <w:w w:val="100"/>
        <w:sz w:val="16"/>
        <w:szCs w:val="16"/>
        <w:lang w:val="en-US" w:eastAsia="en-US" w:bidi="ar-SA"/>
      </w:rPr>
    </w:lvl>
    <w:lvl w:ilvl="2">
      <w:start w:val="0"/>
      <w:numFmt w:val="bullet"/>
      <w:lvlText w:val="•"/>
      <w:lvlJc w:val="left"/>
      <w:pPr>
        <w:ind w:left="5146" w:hanging="289"/>
      </w:pPr>
      <w:rPr>
        <w:rFonts w:hint="default"/>
        <w:lang w:val="en-US" w:eastAsia="en-US" w:bidi="ar-SA"/>
      </w:rPr>
    </w:lvl>
    <w:lvl w:ilvl="3">
      <w:start w:val="0"/>
      <w:numFmt w:val="bullet"/>
      <w:lvlText w:val="•"/>
      <w:lvlJc w:val="left"/>
      <w:pPr>
        <w:ind w:left="5033" w:hanging="289"/>
      </w:pPr>
      <w:rPr>
        <w:rFonts w:hint="default"/>
        <w:lang w:val="en-US" w:eastAsia="en-US" w:bidi="ar-SA"/>
      </w:rPr>
    </w:lvl>
    <w:lvl w:ilvl="4">
      <w:start w:val="0"/>
      <w:numFmt w:val="bullet"/>
      <w:lvlText w:val="•"/>
      <w:lvlJc w:val="left"/>
      <w:pPr>
        <w:ind w:left="4920" w:hanging="289"/>
      </w:pPr>
      <w:rPr>
        <w:rFonts w:hint="default"/>
        <w:lang w:val="en-US" w:eastAsia="en-US" w:bidi="ar-SA"/>
      </w:rPr>
    </w:lvl>
    <w:lvl w:ilvl="5">
      <w:start w:val="0"/>
      <w:numFmt w:val="bullet"/>
      <w:lvlText w:val="•"/>
      <w:lvlJc w:val="left"/>
      <w:pPr>
        <w:ind w:left="4806" w:hanging="289"/>
      </w:pPr>
      <w:rPr>
        <w:rFonts w:hint="default"/>
        <w:lang w:val="en-US" w:eastAsia="en-US" w:bidi="ar-SA"/>
      </w:rPr>
    </w:lvl>
    <w:lvl w:ilvl="6">
      <w:start w:val="0"/>
      <w:numFmt w:val="bullet"/>
      <w:lvlText w:val="•"/>
      <w:lvlJc w:val="left"/>
      <w:pPr>
        <w:ind w:left="4693" w:hanging="289"/>
      </w:pPr>
      <w:rPr>
        <w:rFonts w:hint="default"/>
        <w:lang w:val="en-US" w:eastAsia="en-US" w:bidi="ar-SA"/>
      </w:rPr>
    </w:lvl>
    <w:lvl w:ilvl="7">
      <w:start w:val="0"/>
      <w:numFmt w:val="bullet"/>
      <w:lvlText w:val="•"/>
      <w:lvlJc w:val="left"/>
      <w:pPr>
        <w:ind w:left="4580" w:hanging="289"/>
      </w:pPr>
      <w:rPr>
        <w:rFonts w:hint="default"/>
        <w:lang w:val="en-US" w:eastAsia="en-US" w:bidi="ar-SA"/>
      </w:rPr>
    </w:lvl>
    <w:lvl w:ilvl="8">
      <w:start w:val="0"/>
      <w:numFmt w:val="bullet"/>
      <w:lvlText w:val="•"/>
      <w:lvlJc w:val="left"/>
      <w:pPr>
        <w:ind w:left="4466" w:hanging="289"/>
      </w:pPr>
      <w:rPr>
        <w:rFonts w:hint="default"/>
        <w:lang w:val="en-US" w:eastAsia="en-US" w:bidi="ar-SA"/>
      </w:rPr>
    </w:lvl>
  </w:abstractNum>
  <w:abstractNum w:abstractNumId="8">
    <w:multiLevelType w:val="hybridMultilevel"/>
    <w:lvl w:ilvl="0">
      <w:start w:val="1"/>
      <w:numFmt w:val="decimal"/>
      <w:lvlText w:val="%1"/>
      <w:lvlJc w:val="left"/>
      <w:pPr>
        <w:ind w:left="6708" w:hanging="1740"/>
        <w:jc w:val="left"/>
      </w:pPr>
      <w:rPr>
        <w:rFonts w:hint="default"/>
        <w:lang w:val="en-US" w:eastAsia="en-US" w:bidi="ar-SA"/>
      </w:rPr>
    </w:lvl>
    <w:lvl w:ilvl="1">
      <w:start w:val="3"/>
      <w:numFmt w:val="decimal"/>
      <w:lvlText w:val="%1.%2"/>
      <w:lvlJc w:val="left"/>
      <w:pPr>
        <w:ind w:left="6708" w:hanging="1740"/>
        <w:jc w:val="left"/>
      </w:pPr>
      <w:rPr>
        <w:rFonts w:hint="default" w:ascii="Times New Roman" w:hAnsi="Times New Roman" w:eastAsia="Times New Roman" w:cs="Times New Roman"/>
        <w:b/>
        <w:bCs/>
        <w:color w:val="009483"/>
        <w:spacing w:val="-6"/>
        <w:w w:val="100"/>
        <w:sz w:val="28"/>
        <w:szCs w:val="28"/>
        <w:u w:val="thick" w:color="0093C1"/>
        <w:lang w:val="en-US" w:eastAsia="en-US" w:bidi="ar-SA"/>
      </w:rPr>
    </w:lvl>
    <w:lvl w:ilvl="2">
      <w:start w:val="0"/>
      <w:numFmt w:val="bullet"/>
      <w:lvlText w:val="•"/>
      <w:lvlJc w:val="left"/>
      <w:pPr>
        <w:ind w:left="7488" w:hanging="1740"/>
      </w:pPr>
      <w:rPr>
        <w:rFonts w:hint="default"/>
        <w:lang w:val="en-US" w:eastAsia="en-US" w:bidi="ar-SA"/>
      </w:rPr>
    </w:lvl>
    <w:lvl w:ilvl="3">
      <w:start w:val="0"/>
      <w:numFmt w:val="bullet"/>
      <w:lvlText w:val="•"/>
      <w:lvlJc w:val="left"/>
      <w:pPr>
        <w:ind w:left="7882" w:hanging="1740"/>
      </w:pPr>
      <w:rPr>
        <w:rFonts w:hint="default"/>
        <w:lang w:val="en-US" w:eastAsia="en-US" w:bidi="ar-SA"/>
      </w:rPr>
    </w:lvl>
    <w:lvl w:ilvl="4">
      <w:start w:val="0"/>
      <w:numFmt w:val="bullet"/>
      <w:lvlText w:val="•"/>
      <w:lvlJc w:val="left"/>
      <w:pPr>
        <w:ind w:left="8276" w:hanging="1740"/>
      </w:pPr>
      <w:rPr>
        <w:rFonts w:hint="default"/>
        <w:lang w:val="en-US" w:eastAsia="en-US" w:bidi="ar-SA"/>
      </w:rPr>
    </w:lvl>
    <w:lvl w:ilvl="5">
      <w:start w:val="0"/>
      <w:numFmt w:val="bullet"/>
      <w:lvlText w:val="•"/>
      <w:lvlJc w:val="left"/>
      <w:pPr>
        <w:ind w:left="8670" w:hanging="1740"/>
      </w:pPr>
      <w:rPr>
        <w:rFonts w:hint="default"/>
        <w:lang w:val="en-US" w:eastAsia="en-US" w:bidi="ar-SA"/>
      </w:rPr>
    </w:lvl>
    <w:lvl w:ilvl="6">
      <w:start w:val="0"/>
      <w:numFmt w:val="bullet"/>
      <w:lvlText w:val="•"/>
      <w:lvlJc w:val="left"/>
      <w:pPr>
        <w:ind w:left="9064" w:hanging="1740"/>
      </w:pPr>
      <w:rPr>
        <w:rFonts w:hint="default"/>
        <w:lang w:val="en-US" w:eastAsia="en-US" w:bidi="ar-SA"/>
      </w:rPr>
    </w:lvl>
    <w:lvl w:ilvl="7">
      <w:start w:val="0"/>
      <w:numFmt w:val="bullet"/>
      <w:lvlText w:val="•"/>
      <w:lvlJc w:val="left"/>
      <w:pPr>
        <w:ind w:left="9458" w:hanging="1740"/>
      </w:pPr>
      <w:rPr>
        <w:rFonts w:hint="default"/>
        <w:lang w:val="en-US" w:eastAsia="en-US" w:bidi="ar-SA"/>
      </w:rPr>
    </w:lvl>
    <w:lvl w:ilvl="8">
      <w:start w:val="0"/>
      <w:numFmt w:val="bullet"/>
      <w:lvlText w:val="•"/>
      <w:lvlJc w:val="left"/>
      <w:pPr>
        <w:ind w:left="9852" w:hanging="1740"/>
      </w:pPr>
      <w:rPr>
        <w:rFonts w:hint="default"/>
        <w:lang w:val="en-US" w:eastAsia="en-US" w:bidi="ar-SA"/>
      </w:rPr>
    </w:lvl>
  </w:abstractNum>
  <w:abstractNum w:abstractNumId="7">
    <w:multiLevelType w:val="hybridMultilevel"/>
    <w:lvl w:ilvl="0">
      <w:start w:val="1"/>
      <w:numFmt w:val="lowerLetter"/>
      <w:lvlText w:val="(%1)"/>
      <w:lvlJc w:val="left"/>
      <w:pPr>
        <w:ind w:left="444"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1"/>
      <w:numFmt w:val="decimal"/>
      <w:lvlText w:val="(%2)"/>
      <w:lvlJc w:val="left"/>
      <w:pPr>
        <w:ind w:left="5272" w:hanging="289"/>
        <w:jc w:val="left"/>
      </w:pPr>
      <w:rPr>
        <w:rFonts w:hint="default" w:ascii="Times New Roman" w:hAnsi="Times New Roman" w:eastAsia="Times New Roman" w:cs="Times New Roman"/>
        <w:color w:val="231F20"/>
        <w:spacing w:val="-19"/>
        <w:w w:val="100"/>
        <w:sz w:val="16"/>
        <w:szCs w:val="16"/>
        <w:lang w:val="en-US" w:eastAsia="en-US" w:bidi="ar-SA"/>
      </w:rPr>
    </w:lvl>
    <w:lvl w:ilvl="2">
      <w:start w:val="0"/>
      <w:numFmt w:val="bullet"/>
      <w:lvlText w:val="•"/>
      <w:lvlJc w:val="left"/>
      <w:pPr>
        <w:ind w:left="5112" w:hanging="289"/>
      </w:pPr>
      <w:rPr>
        <w:rFonts w:hint="default"/>
        <w:lang w:val="en-US" w:eastAsia="en-US" w:bidi="ar-SA"/>
      </w:rPr>
    </w:lvl>
    <w:lvl w:ilvl="3">
      <w:start w:val="0"/>
      <w:numFmt w:val="bullet"/>
      <w:lvlText w:val="•"/>
      <w:lvlJc w:val="left"/>
      <w:pPr>
        <w:ind w:left="4945" w:hanging="289"/>
      </w:pPr>
      <w:rPr>
        <w:rFonts w:hint="default"/>
        <w:lang w:val="en-US" w:eastAsia="en-US" w:bidi="ar-SA"/>
      </w:rPr>
    </w:lvl>
    <w:lvl w:ilvl="4">
      <w:start w:val="0"/>
      <w:numFmt w:val="bullet"/>
      <w:lvlText w:val="•"/>
      <w:lvlJc w:val="left"/>
      <w:pPr>
        <w:ind w:left="4778" w:hanging="289"/>
      </w:pPr>
      <w:rPr>
        <w:rFonts w:hint="default"/>
        <w:lang w:val="en-US" w:eastAsia="en-US" w:bidi="ar-SA"/>
      </w:rPr>
    </w:lvl>
    <w:lvl w:ilvl="5">
      <w:start w:val="0"/>
      <w:numFmt w:val="bullet"/>
      <w:lvlText w:val="•"/>
      <w:lvlJc w:val="left"/>
      <w:pPr>
        <w:ind w:left="4610" w:hanging="289"/>
      </w:pPr>
      <w:rPr>
        <w:rFonts w:hint="default"/>
        <w:lang w:val="en-US" w:eastAsia="en-US" w:bidi="ar-SA"/>
      </w:rPr>
    </w:lvl>
    <w:lvl w:ilvl="6">
      <w:start w:val="0"/>
      <w:numFmt w:val="bullet"/>
      <w:lvlText w:val="•"/>
      <w:lvlJc w:val="left"/>
      <w:pPr>
        <w:ind w:left="4443" w:hanging="289"/>
      </w:pPr>
      <w:rPr>
        <w:rFonts w:hint="default"/>
        <w:lang w:val="en-US" w:eastAsia="en-US" w:bidi="ar-SA"/>
      </w:rPr>
    </w:lvl>
    <w:lvl w:ilvl="7">
      <w:start w:val="0"/>
      <w:numFmt w:val="bullet"/>
      <w:lvlText w:val="•"/>
      <w:lvlJc w:val="left"/>
      <w:pPr>
        <w:ind w:left="4276" w:hanging="289"/>
      </w:pPr>
      <w:rPr>
        <w:rFonts w:hint="default"/>
        <w:lang w:val="en-US" w:eastAsia="en-US" w:bidi="ar-SA"/>
      </w:rPr>
    </w:lvl>
    <w:lvl w:ilvl="8">
      <w:start w:val="0"/>
      <w:numFmt w:val="bullet"/>
      <w:lvlText w:val="•"/>
      <w:lvlJc w:val="left"/>
      <w:pPr>
        <w:ind w:left="4108" w:hanging="289"/>
      </w:pPr>
      <w:rPr>
        <w:rFonts w:hint="default"/>
        <w:lang w:val="en-US" w:eastAsia="en-US" w:bidi="ar-SA"/>
      </w:rPr>
    </w:lvl>
  </w:abstractNum>
  <w:abstractNum w:abstractNumId="6">
    <w:multiLevelType w:val="hybridMultilevel"/>
    <w:lvl w:ilvl="0">
      <w:start w:val="1"/>
      <w:numFmt w:val="lowerLetter"/>
      <w:lvlText w:val="(%1)"/>
      <w:lvlJc w:val="left"/>
      <w:pPr>
        <w:ind w:left="436"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1"/>
      <w:numFmt w:val="decimal"/>
      <w:lvlText w:val="(%2)"/>
      <w:lvlJc w:val="left"/>
      <w:pPr>
        <w:ind w:left="5281" w:hanging="289"/>
        <w:jc w:val="left"/>
      </w:pPr>
      <w:rPr>
        <w:rFonts w:hint="default" w:ascii="Times New Roman" w:hAnsi="Times New Roman" w:eastAsia="Times New Roman" w:cs="Times New Roman"/>
        <w:color w:val="231F20"/>
        <w:spacing w:val="-19"/>
        <w:w w:val="100"/>
        <w:sz w:val="16"/>
        <w:szCs w:val="16"/>
        <w:lang w:val="en-US" w:eastAsia="en-US" w:bidi="ar-SA"/>
      </w:rPr>
    </w:lvl>
    <w:lvl w:ilvl="2">
      <w:start w:val="0"/>
      <w:numFmt w:val="bullet"/>
      <w:lvlText w:val="•"/>
      <w:lvlJc w:val="left"/>
      <w:pPr>
        <w:ind w:left="5190" w:hanging="289"/>
      </w:pPr>
      <w:rPr>
        <w:rFonts w:hint="default"/>
        <w:lang w:val="en-US" w:eastAsia="en-US" w:bidi="ar-SA"/>
      </w:rPr>
    </w:lvl>
    <w:lvl w:ilvl="3">
      <w:start w:val="0"/>
      <w:numFmt w:val="bullet"/>
      <w:lvlText w:val="•"/>
      <w:lvlJc w:val="left"/>
      <w:pPr>
        <w:ind w:left="5101" w:hanging="289"/>
      </w:pPr>
      <w:rPr>
        <w:rFonts w:hint="default"/>
        <w:lang w:val="en-US" w:eastAsia="en-US" w:bidi="ar-SA"/>
      </w:rPr>
    </w:lvl>
    <w:lvl w:ilvl="4">
      <w:start w:val="0"/>
      <w:numFmt w:val="bullet"/>
      <w:lvlText w:val="•"/>
      <w:lvlJc w:val="left"/>
      <w:pPr>
        <w:ind w:left="5011" w:hanging="289"/>
      </w:pPr>
      <w:rPr>
        <w:rFonts w:hint="default"/>
        <w:lang w:val="en-US" w:eastAsia="en-US" w:bidi="ar-SA"/>
      </w:rPr>
    </w:lvl>
    <w:lvl w:ilvl="5">
      <w:start w:val="0"/>
      <w:numFmt w:val="bullet"/>
      <w:lvlText w:val="•"/>
      <w:lvlJc w:val="left"/>
      <w:pPr>
        <w:ind w:left="4922" w:hanging="289"/>
      </w:pPr>
      <w:rPr>
        <w:rFonts w:hint="default"/>
        <w:lang w:val="en-US" w:eastAsia="en-US" w:bidi="ar-SA"/>
      </w:rPr>
    </w:lvl>
    <w:lvl w:ilvl="6">
      <w:start w:val="0"/>
      <w:numFmt w:val="bullet"/>
      <w:lvlText w:val="•"/>
      <w:lvlJc w:val="left"/>
      <w:pPr>
        <w:ind w:left="4832" w:hanging="289"/>
      </w:pPr>
      <w:rPr>
        <w:rFonts w:hint="default"/>
        <w:lang w:val="en-US" w:eastAsia="en-US" w:bidi="ar-SA"/>
      </w:rPr>
    </w:lvl>
    <w:lvl w:ilvl="7">
      <w:start w:val="0"/>
      <w:numFmt w:val="bullet"/>
      <w:lvlText w:val="•"/>
      <w:lvlJc w:val="left"/>
      <w:pPr>
        <w:ind w:left="4743" w:hanging="289"/>
      </w:pPr>
      <w:rPr>
        <w:rFonts w:hint="default"/>
        <w:lang w:val="en-US" w:eastAsia="en-US" w:bidi="ar-SA"/>
      </w:rPr>
    </w:lvl>
    <w:lvl w:ilvl="8">
      <w:start w:val="0"/>
      <w:numFmt w:val="bullet"/>
      <w:lvlText w:val="•"/>
      <w:lvlJc w:val="left"/>
      <w:pPr>
        <w:ind w:left="4653" w:hanging="289"/>
      </w:pPr>
      <w:rPr>
        <w:rFonts w:hint="default"/>
        <w:lang w:val="en-US" w:eastAsia="en-US" w:bidi="ar-SA"/>
      </w:rPr>
    </w:lvl>
  </w:abstractNum>
  <w:abstractNum w:abstractNumId="5">
    <w:multiLevelType w:val="hybridMultilevel"/>
    <w:lvl w:ilvl="0">
      <w:start w:val="1"/>
      <w:numFmt w:val="lowerLetter"/>
      <w:lvlText w:val="(%1)"/>
      <w:lvlJc w:val="left"/>
      <w:pPr>
        <w:ind w:left="404"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807" w:hanging="240"/>
      </w:pPr>
      <w:rPr>
        <w:rFonts w:hint="default"/>
        <w:lang w:val="en-US" w:eastAsia="en-US" w:bidi="ar-SA"/>
      </w:rPr>
    </w:lvl>
    <w:lvl w:ilvl="2">
      <w:start w:val="0"/>
      <w:numFmt w:val="bullet"/>
      <w:lvlText w:val="•"/>
      <w:lvlJc w:val="left"/>
      <w:pPr>
        <w:ind w:left="1214" w:hanging="240"/>
      </w:pPr>
      <w:rPr>
        <w:rFonts w:hint="default"/>
        <w:lang w:val="en-US" w:eastAsia="en-US" w:bidi="ar-SA"/>
      </w:rPr>
    </w:lvl>
    <w:lvl w:ilvl="3">
      <w:start w:val="0"/>
      <w:numFmt w:val="bullet"/>
      <w:lvlText w:val="•"/>
      <w:lvlJc w:val="left"/>
      <w:pPr>
        <w:ind w:left="1622" w:hanging="240"/>
      </w:pPr>
      <w:rPr>
        <w:rFonts w:hint="default"/>
        <w:lang w:val="en-US" w:eastAsia="en-US" w:bidi="ar-SA"/>
      </w:rPr>
    </w:lvl>
    <w:lvl w:ilvl="4">
      <w:start w:val="0"/>
      <w:numFmt w:val="bullet"/>
      <w:lvlText w:val="•"/>
      <w:lvlJc w:val="left"/>
      <w:pPr>
        <w:ind w:left="2029" w:hanging="240"/>
      </w:pPr>
      <w:rPr>
        <w:rFonts w:hint="default"/>
        <w:lang w:val="en-US" w:eastAsia="en-US" w:bidi="ar-SA"/>
      </w:rPr>
    </w:lvl>
    <w:lvl w:ilvl="5">
      <w:start w:val="0"/>
      <w:numFmt w:val="bullet"/>
      <w:lvlText w:val="•"/>
      <w:lvlJc w:val="left"/>
      <w:pPr>
        <w:ind w:left="2437" w:hanging="240"/>
      </w:pPr>
      <w:rPr>
        <w:rFonts w:hint="default"/>
        <w:lang w:val="en-US" w:eastAsia="en-US" w:bidi="ar-SA"/>
      </w:rPr>
    </w:lvl>
    <w:lvl w:ilvl="6">
      <w:start w:val="0"/>
      <w:numFmt w:val="bullet"/>
      <w:lvlText w:val="•"/>
      <w:lvlJc w:val="left"/>
      <w:pPr>
        <w:ind w:left="2844" w:hanging="240"/>
      </w:pPr>
      <w:rPr>
        <w:rFonts w:hint="default"/>
        <w:lang w:val="en-US" w:eastAsia="en-US" w:bidi="ar-SA"/>
      </w:rPr>
    </w:lvl>
    <w:lvl w:ilvl="7">
      <w:start w:val="0"/>
      <w:numFmt w:val="bullet"/>
      <w:lvlText w:val="•"/>
      <w:lvlJc w:val="left"/>
      <w:pPr>
        <w:ind w:left="3252" w:hanging="240"/>
      </w:pPr>
      <w:rPr>
        <w:rFonts w:hint="default"/>
        <w:lang w:val="en-US" w:eastAsia="en-US" w:bidi="ar-SA"/>
      </w:rPr>
    </w:lvl>
    <w:lvl w:ilvl="8">
      <w:start w:val="0"/>
      <w:numFmt w:val="bullet"/>
      <w:lvlText w:val="•"/>
      <w:lvlJc w:val="left"/>
      <w:pPr>
        <w:ind w:left="3659" w:hanging="240"/>
      </w:pPr>
      <w:rPr>
        <w:rFonts w:hint="default"/>
        <w:lang w:val="en-US" w:eastAsia="en-US" w:bidi="ar-SA"/>
      </w:rPr>
    </w:lvl>
  </w:abstractNum>
  <w:abstractNum w:abstractNumId="4">
    <w:multiLevelType w:val="hybridMultilevel"/>
    <w:lvl w:ilvl="0">
      <w:start w:val="1"/>
      <w:numFmt w:val="lowerLetter"/>
      <w:lvlText w:val="(%1)"/>
      <w:lvlJc w:val="left"/>
      <w:pPr>
        <w:ind w:left="439"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1"/>
      <w:numFmt w:val="decimal"/>
      <w:lvlText w:val="(%2)"/>
      <w:lvlJc w:val="left"/>
      <w:pPr>
        <w:ind w:left="5287" w:hanging="289"/>
        <w:jc w:val="left"/>
      </w:pPr>
      <w:rPr>
        <w:rFonts w:hint="default" w:ascii="Times New Roman" w:hAnsi="Times New Roman" w:eastAsia="Times New Roman" w:cs="Times New Roman"/>
        <w:color w:val="231F20"/>
        <w:spacing w:val="-19"/>
        <w:w w:val="100"/>
        <w:sz w:val="16"/>
        <w:szCs w:val="16"/>
        <w:lang w:val="en-US" w:eastAsia="en-US" w:bidi="ar-SA"/>
      </w:rPr>
    </w:lvl>
    <w:lvl w:ilvl="2">
      <w:start w:val="0"/>
      <w:numFmt w:val="bullet"/>
      <w:lvlText w:val="•"/>
      <w:lvlJc w:val="left"/>
      <w:pPr>
        <w:ind w:left="5193" w:hanging="289"/>
      </w:pPr>
      <w:rPr>
        <w:rFonts w:hint="default"/>
        <w:lang w:val="en-US" w:eastAsia="en-US" w:bidi="ar-SA"/>
      </w:rPr>
    </w:lvl>
    <w:lvl w:ilvl="3">
      <w:start w:val="0"/>
      <w:numFmt w:val="bullet"/>
      <w:lvlText w:val="•"/>
      <w:lvlJc w:val="left"/>
      <w:pPr>
        <w:ind w:left="5106" w:hanging="289"/>
      </w:pPr>
      <w:rPr>
        <w:rFonts w:hint="default"/>
        <w:lang w:val="en-US" w:eastAsia="en-US" w:bidi="ar-SA"/>
      </w:rPr>
    </w:lvl>
    <w:lvl w:ilvl="4">
      <w:start w:val="0"/>
      <w:numFmt w:val="bullet"/>
      <w:lvlText w:val="•"/>
      <w:lvlJc w:val="left"/>
      <w:pPr>
        <w:ind w:left="5019" w:hanging="289"/>
      </w:pPr>
      <w:rPr>
        <w:rFonts w:hint="default"/>
        <w:lang w:val="en-US" w:eastAsia="en-US" w:bidi="ar-SA"/>
      </w:rPr>
    </w:lvl>
    <w:lvl w:ilvl="5">
      <w:start w:val="0"/>
      <w:numFmt w:val="bullet"/>
      <w:lvlText w:val="•"/>
      <w:lvlJc w:val="left"/>
      <w:pPr>
        <w:ind w:left="4932" w:hanging="289"/>
      </w:pPr>
      <w:rPr>
        <w:rFonts w:hint="default"/>
        <w:lang w:val="en-US" w:eastAsia="en-US" w:bidi="ar-SA"/>
      </w:rPr>
    </w:lvl>
    <w:lvl w:ilvl="6">
      <w:start w:val="0"/>
      <w:numFmt w:val="bullet"/>
      <w:lvlText w:val="•"/>
      <w:lvlJc w:val="left"/>
      <w:pPr>
        <w:ind w:left="4845" w:hanging="289"/>
      </w:pPr>
      <w:rPr>
        <w:rFonts w:hint="default"/>
        <w:lang w:val="en-US" w:eastAsia="en-US" w:bidi="ar-SA"/>
      </w:rPr>
    </w:lvl>
    <w:lvl w:ilvl="7">
      <w:start w:val="0"/>
      <w:numFmt w:val="bullet"/>
      <w:lvlText w:val="•"/>
      <w:lvlJc w:val="left"/>
      <w:pPr>
        <w:ind w:left="4758" w:hanging="289"/>
      </w:pPr>
      <w:rPr>
        <w:rFonts w:hint="default"/>
        <w:lang w:val="en-US" w:eastAsia="en-US" w:bidi="ar-SA"/>
      </w:rPr>
    </w:lvl>
    <w:lvl w:ilvl="8">
      <w:start w:val="0"/>
      <w:numFmt w:val="bullet"/>
      <w:lvlText w:val="•"/>
      <w:lvlJc w:val="left"/>
      <w:pPr>
        <w:ind w:left="4671" w:hanging="289"/>
      </w:pPr>
      <w:rPr>
        <w:rFonts w:hint="default"/>
        <w:lang w:val="en-US" w:eastAsia="en-US" w:bidi="ar-SA"/>
      </w:rPr>
    </w:lvl>
  </w:abstractNum>
  <w:abstractNum w:abstractNumId="3">
    <w:multiLevelType w:val="hybridMultilevel"/>
    <w:lvl w:ilvl="0">
      <w:start w:val="1"/>
      <w:numFmt w:val="decimal"/>
      <w:lvlText w:val="%1"/>
      <w:lvlJc w:val="left"/>
      <w:pPr>
        <w:ind w:left="4634" w:hanging="4456"/>
        <w:jc w:val="left"/>
      </w:pPr>
      <w:rPr>
        <w:rFonts w:hint="default"/>
        <w:lang w:val="en-US" w:eastAsia="en-US" w:bidi="ar-SA"/>
      </w:rPr>
    </w:lvl>
    <w:lvl w:ilvl="1">
      <w:start w:val="1"/>
      <w:numFmt w:val="decimal"/>
      <w:lvlText w:val="%1.%2"/>
      <w:lvlJc w:val="left"/>
      <w:pPr>
        <w:ind w:left="4634" w:hanging="4456"/>
        <w:jc w:val="right"/>
      </w:pPr>
      <w:rPr>
        <w:rFonts w:hint="default" w:ascii="Times New Roman" w:hAnsi="Times New Roman" w:eastAsia="Times New Roman" w:cs="Times New Roman"/>
        <w:b/>
        <w:bCs/>
        <w:color w:val="009483"/>
        <w:w w:val="100"/>
        <w:sz w:val="28"/>
        <w:szCs w:val="28"/>
        <w:u w:val="thick" w:color="0093C1"/>
        <w:lang w:val="en-US" w:eastAsia="en-US" w:bidi="ar-SA"/>
      </w:rPr>
    </w:lvl>
    <w:lvl w:ilvl="2">
      <w:start w:val="1"/>
      <w:numFmt w:val="decimal"/>
      <w:lvlText w:val="(%3)"/>
      <w:lvlJc w:val="left"/>
      <w:pPr>
        <w:ind w:left="5267" w:hanging="289"/>
        <w:jc w:val="left"/>
      </w:pPr>
      <w:rPr>
        <w:rFonts w:hint="default" w:ascii="Times New Roman" w:hAnsi="Times New Roman" w:eastAsia="Times New Roman" w:cs="Times New Roman"/>
        <w:color w:val="231F20"/>
        <w:spacing w:val="-19"/>
        <w:w w:val="100"/>
        <w:sz w:val="16"/>
        <w:szCs w:val="16"/>
        <w:lang w:val="en-US" w:eastAsia="en-US" w:bidi="ar-SA"/>
      </w:rPr>
    </w:lvl>
    <w:lvl w:ilvl="3">
      <w:start w:val="0"/>
      <w:numFmt w:val="bullet"/>
      <w:lvlText w:val="•"/>
      <w:lvlJc w:val="left"/>
      <w:pPr>
        <w:ind w:left="5386" w:hanging="289"/>
      </w:pPr>
      <w:rPr>
        <w:rFonts w:hint="default"/>
        <w:lang w:val="en-US" w:eastAsia="en-US" w:bidi="ar-SA"/>
      </w:rPr>
    </w:lvl>
    <w:lvl w:ilvl="4">
      <w:start w:val="0"/>
      <w:numFmt w:val="bullet"/>
      <w:lvlText w:val="•"/>
      <w:lvlJc w:val="left"/>
      <w:pPr>
        <w:ind w:left="5450" w:hanging="289"/>
      </w:pPr>
      <w:rPr>
        <w:rFonts w:hint="default"/>
        <w:lang w:val="en-US" w:eastAsia="en-US" w:bidi="ar-SA"/>
      </w:rPr>
    </w:lvl>
    <w:lvl w:ilvl="5">
      <w:start w:val="0"/>
      <w:numFmt w:val="bullet"/>
      <w:lvlText w:val="•"/>
      <w:lvlJc w:val="left"/>
      <w:pPr>
        <w:ind w:left="5513" w:hanging="289"/>
      </w:pPr>
      <w:rPr>
        <w:rFonts w:hint="default"/>
        <w:lang w:val="en-US" w:eastAsia="en-US" w:bidi="ar-SA"/>
      </w:rPr>
    </w:lvl>
    <w:lvl w:ilvl="6">
      <w:start w:val="0"/>
      <w:numFmt w:val="bullet"/>
      <w:lvlText w:val="•"/>
      <w:lvlJc w:val="left"/>
      <w:pPr>
        <w:ind w:left="5576" w:hanging="289"/>
      </w:pPr>
      <w:rPr>
        <w:rFonts w:hint="default"/>
        <w:lang w:val="en-US" w:eastAsia="en-US" w:bidi="ar-SA"/>
      </w:rPr>
    </w:lvl>
    <w:lvl w:ilvl="7">
      <w:start w:val="0"/>
      <w:numFmt w:val="bullet"/>
      <w:lvlText w:val="•"/>
      <w:lvlJc w:val="left"/>
      <w:pPr>
        <w:ind w:left="5640" w:hanging="289"/>
      </w:pPr>
      <w:rPr>
        <w:rFonts w:hint="default"/>
        <w:lang w:val="en-US" w:eastAsia="en-US" w:bidi="ar-SA"/>
      </w:rPr>
    </w:lvl>
    <w:lvl w:ilvl="8">
      <w:start w:val="0"/>
      <w:numFmt w:val="bullet"/>
      <w:lvlText w:val="•"/>
      <w:lvlJc w:val="left"/>
      <w:pPr>
        <w:ind w:left="5703" w:hanging="289"/>
      </w:pPr>
      <w:rPr>
        <w:rFonts w:hint="default"/>
        <w:lang w:val="en-US" w:eastAsia="en-US" w:bidi="ar-SA"/>
      </w:rPr>
    </w:lvl>
  </w:abstractNum>
  <w:abstractNum w:abstractNumId="2">
    <w:multiLevelType w:val="hybridMultilevel"/>
    <w:lvl w:ilvl="0">
      <w:start w:val="1"/>
      <w:numFmt w:val="lowerLetter"/>
      <w:lvlText w:val="(%1)"/>
      <w:lvlJc w:val="left"/>
      <w:pPr>
        <w:ind w:left="428"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785" w:hanging="240"/>
      </w:pPr>
      <w:rPr>
        <w:rFonts w:hint="default"/>
        <w:lang w:val="en-US" w:eastAsia="en-US" w:bidi="ar-SA"/>
      </w:rPr>
    </w:lvl>
    <w:lvl w:ilvl="2">
      <w:start w:val="0"/>
      <w:numFmt w:val="bullet"/>
      <w:lvlText w:val="•"/>
      <w:lvlJc w:val="left"/>
      <w:pPr>
        <w:ind w:left="1151" w:hanging="240"/>
      </w:pPr>
      <w:rPr>
        <w:rFonts w:hint="default"/>
        <w:lang w:val="en-US" w:eastAsia="en-US" w:bidi="ar-SA"/>
      </w:rPr>
    </w:lvl>
    <w:lvl w:ilvl="3">
      <w:start w:val="0"/>
      <w:numFmt w:val="bullet"/>
      <w:lvlText w:val="•"/>
      <w:lvlJc w:val="left"/>
      <w:pPr>
        <w:ind w:left="1517" w:hanging="240"/>
      </w:pPr>
      <w:rPr>
        <w:rFonts w:hint="default"/>
        <w:lang w:val="en-US" w:eastAsia="en-US" w:bidi="ar-SA"/>
      </w:rPr>
    </w:lvl>
    <w:lvl w:ilvl="4">
      <w:start w:val="0"/>
      <w:numFmt w:val="bullet"/>
      <w:lvlText w:val="•"/>
      <w:lvlJc w:val="left"/>
      <w:pPr>
        <w:ind w:left="1883" w:hanging="240"/>
      </w:pPr>
      <w:rPr>
        <w:rFonts w:hint="default"/>
        <w:lang w:val="en-US" w:eastAsia="en-US" w:bidi="ar-SA"/>
      </w:rPr>
    </w:lvl>
    <w:lvl w:ilvl="5">
      <w:start w:val="0"/>
      <w:numFmt w:val="bullet"/>
      <w:lvlText w:val="•"/>
      <w:lvlJc w:val="left"/>
      <w:pPr>
        <w:ind w:left="2249" w:hanging="240"/>
      </w:pPr>
      <w:rPr>
        <w:rFonts w:hint="default"/>
        <w:lang w:val="en-US" w:eastAsia="en-US" w:bidi="ar-SA"/>
      </w:rPr>
    </w:lvl>
    <w:lvl w:ilvl="6">
      <w:start w:val="0"/>
      <w:numFmt w:val="bullet"/>
      <w:lvlText w:val="•"/>
      <w:lvlJc w:val="left"/>
      <w:pPr>
        <w:ind w:left="2614" w:hanging="240"/>
      </w:pPr>
      <w:rPr>
        <w:rFonts w:hint="default"/>
        <w:lang w:val="en-US" w:eastAsia="en-US" w:bidi="ar-SA"/>
      </w:rPr>
    </w:lvl>
    <w:lvl w:ilvl="7">
      <w:start w:val="0"/>
      <w:numFmt w:val="bullet"/>
      <w:lvlText w:val="•"/>
      <w:lvlJc w:val="left"/>
      <w:pPr>
        <w:ind w:left="2980" w:hanging="240"/>
      </w:pPr>
      <w:rPr>
        <w:rFonts w:hint="default"/>
        <w:lang w:val="en-US" w:eastAsia="en-US" w:bidi="ar-SA"/>
      </w:rPr>
    </w:lvl>
    <w:lvl w:ilvl="8">
      <w:start w:val="0"/>
      <w:numFmt w:val="bullet"/>
      <w:lvlText w:val="•"/>
      <w:lvlJc w:val="left"/>
      <w:pPr>
        <w:ind w:left="3346" w:hanging="240"/>
      </w:pPr>
      <w:rPr>
        <w:rFonts w:hint="default"/>
        <w:lang w:val="en-US" w:eastAsia="en-US" w:bidi="ar-SA"/>
      </w:rPr>
    </w:lvl>
  </w:abstractNum>
  <w:abstractNum w:abstractNumId="1">
    <w:multiLevelType w:val="hybridMultilevel"/>
    <w:lvl w:ilvl="0">
      <w:start w:val="1"/>
      <w:numFmt w:val="lowerLetter"/>
      <w:lvlText w:val="(%1)"/>
      <w:lvlJc w:val="left"/>
      <w:pPr>
        <w:ind w:left="423"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785" w:hanging="240"/>
      </w:pPr>
      <w:rPr>
        <w:rFonts w:hint="default"/>
        <w:lang w:val="en-US" w:eastAsia="en-US" w:bidi="ar-SA"/>
      </w:rPr>
    </w:lvl>
    <w:lvl w:ilvl="2">
      <w:start w:val="0"/>
      <w:numFmt w:val="bullet"/>
      <w:lvlText w:val="•"/>
      <w:lvlJc w:val="left"/>
      <w:pPr>
        <w:ind w:left="1151" w:hanging="240"/>
      </w:pPr>
      <w:rPr>
        <w:rFonts w:hint="default"/>
        <w:lang w:val="en-US" w:eastAsia="en-US" w:bidi="ar-SA"/>
      </w:rPr>
    </w:lvl>
    <w:lvl w:ilvl="3">
      <w:start w:val="0"/>
      <w:numFmt w:val="bullet"/>
      <w:lvlText w:val="•"/>
      <w:lvlJc w:val="left"/>
      <w:pPr>
        <w:ind w:left="1517" w:hanging="240"/>
      </w:pPr>
      <w:rPr>
        <w:rFonts w:hint="default"/>
        <w:lang w:val="en-US" w:eastAsia="en-US" w:bidi="ar-SA"/>
      </w:rPr>
    </w:lvl>
    <w:lvl w:ilvl="4">
      <w:start w:val="0"/>
      <w:numFmt w:val="bullet"/>
      <w:lvlText w:val="•"/>
      <w:lvlJc w:val="left"/>
      <w:pPr>
        <w:ind w:left="1883" w:hanging="240"/>
      </w:pPr>
      <w:rPr>
        <w:rFonts w:hint="default"/>
        <w:lang w:val="en-US" w:eastAsia="en-US" w:bidi="ar-SA"/>
      </w:rPr>
    </w:lvl>
    <w:lvl w:ilvl="5">
      <w:start w:val="0"/>
      <w:numFmt w:val="bullet"/>
      <w:lvlText w:val="•"/>
      <w:lvlJc w:val="left"/>
      <w:pPr>
        <w:ind w:left="2249" w:hanging="240"/>
      </w:pPr>
      <w:rPr>
        <w:rFonts w:hint="default"/>
        <w:lang w:val="en-US" w:eastAsia="en-US" w:bidi="ar-SA"/>
      </w:rPr>
    </w:lvl>
    <w:lvl w:ilvl="6">
      <w:start w:val="0"/>
      <w:numFmt w:val="bullet"/>
      <w:lvlText w:val="•"/>
      <w:lvlJc w:val="left"/>
      <w:pPr>
        <w:ind w:left="2614" w:hanging="240"/>
      </w:pPr>
      <w:rPr>
        <w:rFonts w:hint="default"/>
        <w:lang w:val="en-US" w:eastAsia="en-US" w:bidi="ar-SA"/>
      </w:rPr>
    </w:lvl>
    <w:lvl w:ilvl="7">
      <w:start w:val="0"/>
      <w:numFmt w:val="bullet"/>
      <w:lvlText w:val="•"/>
      <w:lvlJc w:val="left"/>
      <w:pPr>
        <w:ind w:left="2980" w:hanging="240"/>
      </w:pPr>
      <w:rPr>
        <w:rFonts w:hint="default"/>
        <w:lang w:val="en-US" w:eastAsia="en-US" w:bidi="ar-SA"/>
      </w:rPr>
    </w:lvl>
    <w:lvl w:ilvl="8">
      <w:start w:val="0"/>
      <w:numFmt w:val="bullet"/>
      <w:lvlText w:val="•"/>
      <w:lvlJc w:val="left"/>
      <w:pPr>
        <w:ind w:left="3346" w:hanging="240"/>
      </w:pPr>
      <w:rPr>
        <w:rFonts w:hint="default"/>
        <w:lang w:val="en-US" w:eastAsia="en-US" w:bidi="ar-SA"/>
      </w:rPr>
    </w:lvl>
  </w:abstractNum>
  <w:abstractNum w:abstractNumId="0">
    <w:multiLevelType w:val="hybridMultilevel"/>
    <w:lvl w:ilvl="0">
      <w:start w:val="3"/>
      <w:numFmt w:val="decimal"/>
      <w:lvlText w:val="%1"/>
      <w:lvlJc w:val="left"/>
      <w:pPr>
        <w:ind w:left="5389" w:hanging="380"/>
        <w:jc w:val="left"/>
      </w:pPr>
      <w:rPr>
        <w:rFonts w:hint="default" w:ascii="Times New Roman" w:hAnsi="Times New Roman" w:eastAsia="Times New Roman" w:cs="Times New Roman"/>
        <w:b/>
        <w:bCs/>
        <w:color w:val="0093C1"/>
        <w:spacing w:val="-3"/>
        <w:w w:val="100"/>
        <w:sz w:val="24"/>
        <w:szCs w:val="24"/>
        <w:lang w:val="en-US" w:eastAsia="en-US" w:bidi="ar-SA"/>
      </w:rPr>
    </w:lvl>
    <w:lvl w:ilvl="1">
      <w:start w:val="1"/>
      <w:numFmt w:val="decimal"/>
      <w:lvlText w:val="%1.%2"/>
      <w:lvlJc w:val="left"/>
      <w:pPr>
        <w:ind w:left="5949" w:hanging="560"/>
        <w:jc w:val="left"/>
      </w:pPr>
      <w:rPr>
        <w:rFonts w:hint="default" w:ascii="Times New Roman" w:hAnsi="Times New Roman" w:eastAsia="Times New Roman" w:cs="Times New Roman"/>
        <w:b/>
        <w:bCs/>
        <w:color w:val="231F20"/>
        <w:spacing w:val="-4"/>
        <w:w w:val="100"/>
        <w:sz w:val="24"/>
        <w:szCs w:val="24"/>
        <w:lang w:val="en-US" w:eastAsia="en-US" w:bidi="ar-SA"/>
      </w:rPr>
    </w:lvl>
    <w:lvl w:ilvl="2">
      <w:start w:val="0"/>
      <w:numFmt w:val="bullet"/>
      <w:lvlText w:val="•"/>
      <w:lvlJc w:val="left"/>
      <w:pPr>
        <w:ind w:left="6462" w:hanging="560"/>
      </w:pPr>
      <w:rPr>
        <w:rFonts w:hint="default"/>
        <w:lang w:val="en-US" w:eastAsia="en-US" w:bidi="ar-SA"/>
      </w:rPr>
    </w:lvl>
    <w:lvl w:ilvl="3">
      <w:start w:val="0"/>
      <w:numFmt w:val="bullet"/>
      <w:lvlText w:val="•"/>
      <w:lvlJc w:val="left"/>
      <w:pPr>
        <w:ind w:left="6984" w:hanging="560"/>
      </w:pPr>
      <w:rPr>
        <w:rFonts w:hint="default"/>
        <w:lang w:val="en-US" w:eastAsia="en-US" w:bidi="ar-SA"/>
      </w:rPr>
    </w:lvl>
    <w:lvl w:ilvl="4">
      <w:start w:val="0"/>
      <w:numFmt w:val="bullet"/>
      <w:lvlText w:val="•"/>
      <w:lvlJc w:val="left"/>
      <w:pPr>
        <w:ind w:left="7506" w:hanging="560"/>
      </w:pPr>
      <w:rPr>
        <w:rFonts w:hint="default"/>
        <w:lang w:val="en-US" w:eastAsia="en-US" w:bidi="ar-SA"/>
      </w:rPr>
    </w:lvl>
    <w:lvl w:ilvl="5">
      <w:start w:val="0"/>
      <w:numFmt w:val="bullet"/>
      <w:lvlText w:val="•"/>
      <w:lvlJc w:val="left"/>
      <w:pPr>
        <w:ind w:left="8028" w:hanging="560"/>
      </w:pPr>
      <w:rPr>
        <w:rFonts w:hint="default"/>
        <w:lang w:val="en-US" w:eastAsia="en-US" w:bidi="ar-SA"/>
      </w:rPr>
    </w:lvl>
    <w:lvl w:ilvl="6">
      <w:start w:val="0"/>
      <w:numFmt w:val="bullet"/>
      <w:lvlText w:val="•"/>
      <w:lvlJc w:val="left"/>
      <w:pPr>
        <w:ind w:left="8551" w:hanging="560"/>
      </w:pPr>
      <w:rPr>
        <w:rFonts w:hint="default"/>
        <w:lang w:val="en-US" w:eastAsia="en-US" w:bidi="ar-SA"/>
      </w:rPr>
    </w:lvl>
    <w:lvl w:ilvl="7">
      <w:start w:val="0"/>
      <w:numFmt w:val="bullet"/>
      <w:lvlText w:val="•"/>
      <w:lvlJc w:val="left"/>
      <w:pPr>
        <w:ind w:left="9073" w:hanging="560"/>
      </w:pPr>
      <w:rPr>
        <w:rFonts w:hint="default"/>
        <w:lang w:val="en-US" w:eastAsia="en-US" w:bidi="ar-SA"/>
      </w:rPr>
    </w:lvl>
    <w:lvl w:ilvl="8">
      <w:start w:val="0"/>
      <w:numFmt w:val="bullet"/>
      <w:lvlText w:val="•"/>
      <w:lvlJc w:val="left"/>
      <w:pPr>
        <w:ind w:left="9595" w:hanging="560"/>
      </w:pPr>
      <w:rPr>
        <w:rFonts w:hint="default"/>
        <w:lang w:val="en-US" w:eastAsia="en-US" w:bidi="ar-SA"/>
      </w:rPr>
    </w:lvl>
  </w:abstract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1"/>
      <w:ind w:left="5389" w:hanging="381"/>
    </w:pPr>
    <w:rPr>
      <w:rFonts w:ascii="Times New Roman" w:hAnsi="Times New Roman" w:eastAsia="Times New Roman" w:cs="Times New Roman"/>
      <w:b/>
      <w:bCs/>
      <w:sz w:val="24"/>
      <w:szCs w:val="24"/>
      <w:lang w:val="en-US" w:eastAsia="en-US" w:bidi="ar-SA"/>
    </w:rPr>
  </w:style>
  <w:style w:styleId="TOC2" w:type="paragraph">
    <w:name w:val="TOC 2"/>
    <w:basedOn w:val="Normal"/>
    <w:uiPriority w:val="1"/>
    <w:qFormat/>
    <w:pPr>
      <w:spacing w:before="44"/>
      <w:ind w:left="5949" w:hanging="561"/>
    </w:pPr>
    <w:rPr>
      <w:rFonts w:ascii="Times New Roman" w:hAnsi="Times New Roman" w:eastAsia="Times New Roman" w:cs="Times New Roman"/>
      <w:b/>
      <w:bCs/>
      <w:sz w:val="24"/>
      <w:szCs w:val="24"/>
      <w:lang w:val="en-US" w:eastAsia="en-US" w:bidi="ar-SA"/>
    </w:rPr>
  </w:style>
  <w:style w:styleId="TOC3" w:type="paragraph">
    <w:name w:val="TOC 3"/>
    <w:basedOn w:val="Normal"/>
    <w:uiPriority w:val="1"/>
    <w:qFormat/>
    <w:pPr>
      <w:spacing w:before="24"/>
      <w:ind w:left="6369" w:right="348" w:hanging="980"/>
    </w:pPr>
    <w:rPr>
      <w:rFonts w:ascii="Times New Roman" w:hAnsi="Times New Roman" w:eastAsia="Times New Roman" w:cs="Times New Roman"/>
      <w:i/>
      <w:sz w:val="24"/>
      <w:szCs w:val="24"/>
      <w:lang w:val="en-US" w:eastAsia="en-US" w:bidi="ar-SA"/>
    </w:rPr>
  </w:style>
  <w:style w:styleId="TOC4" w:type="paragraph">
    <w:name w:val="TOC 4"/>
    <w:basedOn w:val="Normal"/>
    <w:uiPriority w:val="1"/>
    <w:qFormat/>
    <w:pPr>
      <w:spacing w:before="44"/>
      <w:ind w:left="6069"/>
    </w:pPr>
    <w:rPr>
      <w:rFonts w:ascii="Times New Roman" w:hAnsi="Times New Roman" w:eastAsia="Times New Roman" w:cs="Times New Roman"/>
      <w:b/>
      <w:bCs/>
      <w:i/>
      <w:lang w:val="en-US" w:eastAsia="en-US" w:bidi="ar-SA"/>
    </w:rPr>
  </w:style>
  <w:style w:styleId="TOC5" w:type="paragraph">
    <w:name w:val="TOC 5"/>
    <w:basedOn w:val="Normal"/>
    <w:uiPriority w:val="1"/>
    <w:qFormat/>
    <w:pPr>
      <w:spacing w:line="274" w:lineRule="exact"/>
      <w:ind w:left="6249"/>
    </w:pPr>
    <w:rPr>
      <w:rFonts w:ascii="Times New Roman" w:hAnsi="Times New Roman" w:eastAsia="Times New Roman" w:cs="Times New Roman"/>
      <w:i/>
      <w:sz w:val="24"/>
      <w:szCs w:val="24"/>
      <w:lang w:val="en-US" w:eastAsia="en-US" w:bidi="ar-SA"/>
    </w:rPr>
  </w:style>
  <w:style w:styleId="TOC6" w:type="paragraph">
    <w:name w:val="TOC 6"/>
    <w:basedOn w:val="Normal"/>
    <w:uiPriority w:val="1"/>
    <w:qFormat/>
    <w:pPr>
      <w:spacing w:before="24"/>
      <w:ind w:left="6369"/>
    </w:pPr>
    <w:rPr>
      <w:rFonts w:ascii="Times New Roman" w:hAnsi="Times New Roman" w:eastAsia="Times New Roman" w:cs="Times New Roman"/>
      <w:i/>
      <w:sz w:val="24"/>
      <w:szCs w:val="24"/>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Heading1" w:type="paragraph">
    <w:name w:val="Heading 1"/>
    <w:basedOn w:val="Normal"/>
    <w:uiPriority w:val="1"/>
    <w:qFormat/>
    <w:pPr>
      <w:spacing w:before="86"/>
      <w:ind w:left="199"/>
      <w:outlineLvl w:val="1"/>
    </w:pPr>
    <w:rPr>
      <w:rFonts w:ascii="Times New Roman" w:hAnsi="Times New Roman" w:eastAsia="Times New Roman" w:cs="Times New Roman"/>
      <w:b/>
      <w:bCs/>
      <w:sz w:val="32"/>
      <w:szCs w:val="32"/>
      <w:lang w:val="en-US" w:eastAsia="en-US" w:bidi="ar-SA"/>
    </w:rPr>
  </w:style>
  <w:style w:styleId="Heading2" w:type="paragraph">
    <w:name w:val="Heading 2"/>
    <w:basedOn w:val="Normal"/>
    <w:uiPriority w:val="1"/>
    <w:qFormat/>
    <w:pPr>
      <w:ind w:left="174"/>
      <w:outlineLvl w:val="2"/>
    </w:pPr>
    <w:rPr>
      <w:rFonts w:ascii="Times New Roman" w:hAnsi="Times New Roman" w:eastAsia="Times New Roman" w:cs="Times New Roman"/>
      <w:b/>
      <w:bCs/>
      <w:sz w:val="28"/>
      <w:szCs w:val="28"/>
      <w:lang w:val="en-US" w:eastAsia="en-US" w:bidi="ar-SA"/>
    </w:rPr>
  </w:style>
  <w:style w:styleId="Heading3" w:type="paragraph">
    <w:name w:val="Heading 3"/>
    <w:basedOn w:val="Normal"/>
    <w:uiPriority w:val="1"/>
    <w:qFormat/>
    <w:pPr>
      <w:ind w:left="589"/>
      <w:outlineLvl w:val="3"/>
    </w:pPr>
    <w:rPr>
      <w:rFonts w:ascii="Times New Roman" w:hAnsi="Times New Roman" w:eastAsia="Times New Roman" w:cs="Times New Roman"/>
      <w:b/>
      <w:bCs/>
      <w:sz w:val="24"/>
      <w:szCs w:val="24"/>
      <w:lang w:val="en-US" w:eastAsia="en-US" w:bidi="ar-SA"/>
    </w:rPr>
  </w:style>
  <w:style w:styleId="Heading4" w:type="paragraph">
    <w:name w:val="Heading 4"/>
    <w:basedOn w:val="Normal"/>
    <w:uiPriority w:val="1"/>
    <w:qFormat/>
    <w:pPr>
      <w:ind w:left="200"/>
      <w:outlineLvl w:val="4"/>
    </w:pPr>
    <w:rPr>
      <w:rFonts w:ascii="Times New Roman" w:hAnsi="Times New Roman" w:eastAsia="Times New Roman" w:cs="Times New Roman"/>
      <w:sz w:val="24"/>
      <w:szCs w:val="24"/>
      <w:lang w:val="en-US" w:eastAsia="en-US" w:bidi="ar-SA"/>
    </w:rPr>
  </w:style>
  <w:style w:styleId="Heading5" w:type="paragraph">
    <w:name w:val="Heading 5"/>
    <w:basedOn w:val="Normal"/>
    <w:uiPriority w:val="1"/>
    <w:qFormat/>
    <w:pPr>
      <w:ind w:left="414"/>
      <w:outlineLvl w:val="5"/>
    </w:pPr>
    <w:rPr>
      <w:rFonts w:ascii="Times New Roman" w:hAnsi="Times New Roman" w:eastAsia="Times New Roman" w:cs="Times New Roman"/>
      <w:sz w:val="23"/>
      <w:szCs w:val="23"/>
      <w:lang w:val="en-US" w:eastAsia="en-US" w:bidi="ar-SA"/>
    </w:rPr>
  </w:style>
  <w:style w:styleId="Heading6" w:type="paragraph">
    <w:name w:val="Heading 6"/>
    <w:basedOn w:val="Normal"/>
    <w:uiPriority w:val="1"/>
    <w:qFormat/>
    <w:pPr>
      <w:ind w:left="180"/>
      <w:outlineLvl w:val="6"/>
    </w:pPr>
    <w:rPr>
      <w:rFonts w:ascii="Times New Roman" w:hAnsi="Times New Roman" w:eastAsia="Times New Roman" w:cs="Times New Roman"/>
      <w:b/>
      <w:bCs/>
      <w:sz w:val="22"/>
      <w:szCs w:val="22"/>
      <w:lang w:val="en-US" w:eastAsia="en-US" w:bidi="ar-SA"/>
    </w:rPr>
  </w:style>
  <w:style w:styleId="Heading7" w:type="paragraph">
    <w:name w:val="Heading 7"/>
    <w:basedOn w:val="Normal"/>
    <w:uiPriority w:val="1"/>
    <w:qFormat/>
    <w:pPr>
      <w:ind w:left="439" w:right="521"/>
      <w:outlineLvl w:val="7"/>
    </w:pPr>
    <w:rPr>
      <w:rFonts w:ascii="Times New Roman" w:hAnsi="Times New Roman" w:eastAsia="Times New Roman" w:cs="Times New Roman"/>
      <w:sz w:val="22"/>
      <w:szCs w:val="22"/>
      <w:lang w:val="en-US" w:eastAsia="en-US" w:bidi="ar-SA"/>
    </w:rPr>
  </w:style>
  <w:style w:styleId="Heading8" w:type="paragraph">
    <w:name w:val="Heading 8"/>
    <w:basedOn w:val="Normal"/>
    <w:uiPriority w:val="1"/>
    <w:qFormat/>
    <w:pPr>
      <w:spacing w:before="10"/>
      <w:ind w:left="200"/>
      <w:outlineLvl w:val="8"/>
    </w:pPr>
    <w:rPr>
      <w:rFonts w:ascii="Times New Roman" w:hAnsi="Times New Roman" w:eastAsia="Times New Roman" w:cs="Times New Roman"/>
      <w:b/>
      <w:bCs/>
      <w:sz w:val="20"/>
      <w:szCs w:val="20"/>
      <w:lang w:val="en-US" w:eastAsia="en-US" w:bidi="ar-SA"/>
    </w:rPr>
  </w:style>
  <w:style w:styleId="Heading9" w:type="paragraph">
    <w:name w:val="Heading 9"/>
    <w:basedOn w:val="Normal"/>
    <w:uiPriority w:val="1"/>
    <w:qFormat/>
    <w:pPr>
      <w:spacing w:before="10"/>
      <w:ind w:left="589"/>
      <w:outlineLvl w:val="9"/>
    </w:pPr>
    <w:rPr>
      <w:rFonts w:ascii="Times New Roman" w:hAnsi="Times New Roman" w:eastAsia="Times New Roman" w:cs="Times New Roman"/>
      <w:sz w:val="20"/>
      <w:szCs w:val="20"/>
      <w:lang w:val="en-US" w:eastAsia="en-US" w:bidi="ar-SA"/>
    </w:rPr>
  </w:style>
  <w:style w:styleId="Title" w:type="paragraph">
    <w:name w:val="Title"/>
    <w:basedOn w:val="Normal"/>
    <w:uiPriority w:val="1"/>
    <w:qFormat/>
    <w:pPr>
      <w:spacing w:before="59"/>
      <w:ind w:left="3820"/>
    </w:pPr>
    <w:rPr>
      <w:rFonts w:ascii="Times New Roman" w:hAnsi="Times New Roman" w:eastAsia="Times New Roman" w:cs="Times New Roman"/>
      <w:b/>
      <w:bCs/>
      <w:sz w:val="72"/>
      <w:szCs w:val="72"/>
      <w:lang w:val="en-US" w:eastAsia="en-US" w:bidi="ar-SA"/>
    </w:rPr>
  </w:style>
  <w:style w:styleId="ListParagraph" w:type="paragraph">
    <w:name w:val="List Paragraph"/>
    <w:basedOn w:val="Normal"/>
    <w:uiPriority w:val="1"/>
    <w:qFormat/>
    <w:pPr>
      <w:ind w:left="194"/>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footer" Target="footer7.xm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8.xml"/><Relationship Id="rId15" Type="http://schemas.openxmlformats.org/officeDocument/2006/relationships/footer" Target="footer9.xml"/><Relationship Id="rId16" Type="http://schemas.openxmlformats.org/officeDocument/2006/relationships/header" Target="header3.xml"/><Relationship Id="rId17" Type="http://schemas.openxmlformats.org/officeDocument/2006/relationships/header" Target="header4.xml"/><Relationship Id="rId18" Type="http://schemas.openxmlformats.org/officeDocument/2006/relationships/footer" Target="footer10.xml"/><Relationship Id="rId19" Type="http://schemas.openxmlformats.org/officeDocument/2006/relationships/footer" Target="footer11.xml"/><Relationship Id="rId20" Type="http://schemas.openxmlformats.org/officeDocument/2006/relationships/image" Target="media/image1.png"/><Relationship Id="rId21" Type="http://schemas.openxmlformats.org/officeDocument/2006/relationships/header" Target="header5.xml"/><Relationship Id="rId22" Type="http://schemas.openxmlformats.org/officeDocument/2006/relationships/header" Target="header6.xml"/><Relationship Id="rId23" Type="http://schemas.openxmlformats.org/officeDocument/2006/relationships/footer" Target="footer12.xml"/><Relationship Id="rId24" Type="http://schemas.openxmlformats.org/officeDocument/2006/relationships/footer" Target="footer13.xml"/><Relationship Id="rId25" Type="http://schemas.openxmlformats.org/officeDocument/2006/relationships/image" Target="media/image2.png"/><Relationship Id="rId26" Type="http://schemas.openxmlformats.org/officeDocument/2006/relationships/image" Target="media/image3.png"/><Relationship Id="rId27" Type="http://schemas.openxmlformats.org/officeDocument/2006/relationships/header" Target="header7.xml"/><Relationship Id="rId28" Type="http://schemas.openxmlformats.org/officeDocument/2006/relationships/footer" Target="footer14.xml"/><Relationship Id="rId29" Type="http://schemas.openxmlformats.org/officeDocument/2006/relationships/footer" Target="footer15.xml"/><Relationship Id="rId30" Type="http://schemas.openxmlformats.org/officeDocument/2006/relationships/header" Target="header8.xml"/><Relationship Id="rId31" Type="http://schemas.openxmlformats.org/officeDocument/2006/relationships/header" Target="header9.xml"/><Relationship Id="rId32" Type="http://schemas.openxmlformats.org/officeDocument/2006/relationships/footer" Target="footer16.xml"/><Relationship Id="rId33" Type="http://schemas.openxmlformats.org/officeDocument/2006/relationships/footer" Target="footer17.xml"/><Relationship Id="rId34" Type="http://schemas.openxmlformats.org/officeDocument/2006/relationships/header" Target="header10.xml"/><Relationship Id="rId35" Type="http://schemas.openxmlformats.org/officeDocument/2006/relationships/header" Target="header11.xml"/><Relationship Id="rId36" Type="http://schemas.openxmlformats.org/officeDocument/2006/relationships/header" Target="header12.xml"/><Relationship Id="rId37" Type="http://schemas.openxmlformats.org/officeDocument/2006/relationships/header" Target="header13.xml"/><Relationship Id="rId38" Type="http://schemas.openxmlformats.org/officeDocument/2006/relationships/footer" Target="footer18.xml"/><Relationship Id="rId39" Type="http://schemas.openxmlformats.org/officeDocument/2006/relationships/footer" Target="footer19.xml"/><Relationship Id="rId40" Type="http://schemas.openxmlformats.org/officeDocument/2006/relationships/header" Target="header14.xml"/><Relationship Id="rId41" Type="http://schemas.openxmlformats.org/officeDocument/2006/relationships/header" Target="header15.xml"/><Relationship Id="rId42" Type="http://schemas.openxmlformats.org/officeDocument/2006/relationships/footer" Target="footer20.xml"/><Relationship Id="rId43" Type="http://schemas.openxmlformats.org/officeDocument/2006/relationships/footer" Target="footer21.xml"/><Relationship Id="rId44" Type="http://schemas.openxmlformats.org/officeDocument/2006/relationships/header" Target="header16.xml"/><Relationship Id="rId45" Type="http://schemas.openxmlformats.org/officeDocument/2006/relationships/footer" Target="footer22.xml"/><Relationship Id="rId46" Type="http://schemas.openxmlformats.org/officeDocument/2006/relationships/footer" Target="footer23.xml"/><Relationship Id="rId47" Type="http://schemas.openxmlformats.org/officeDocument/2006/relationships/image" Target="media/image4.png"/><Relationship Id="rId48" Type="http://schemas.openxmlformats.org/officeDocument/2006/relationships/header" Target="header17.xml"/><Relationship Id="rId49" Type="http://schemas.openxmlformats.org/officeDocument/2006/relationships/header" Target="header18.xml"/><Relationship Id="rId50" Type="http://schemas.openxmlformats.org/officeDocument/2006/relationships/footer" Target="footer24.xml"/><Relationship Id="rId51" Type="http://schemas.openxmlformats.org/officeDocument/2006/relationships/footer" Target="footer25.xml"/><Relationship Id="rId52" Type="http://schemas.openxmlformats.org/officeDocument/2006/relationships/header" Target="header19.xml"/><Relationship Id="rId53" Type="http://schemas.openxmlformats.org/officeDocument/2006/relationships/header" Target="header20.xml"/><Relationship Id="rId54" Type="http://schemas.openxmlformats.org/officeDocument/2006/relationships/footer" Target="footer26.xml"/><Relationship Id="rId55" Type="http://schemas.openxmlformats.org/officeDocument/2006/relationships/footer" Target="footer27.xml"/><Relationship Id="rId56" Type="http://schemas.openxmlformats.org/officeDocument/2006/relationships/header" Target="header21.xml"/><Relationship Id="rId57" Type="http://schemas.openxmlformats.org/officeDocument/2006/relationships/header" Target="header22.xml"/><Relationship Id="rId58" Type="http://schemas.openxmlformats.org/officeDocument/2006/relationships/footer" Target="footer28.xml"/><Relationship Id="rId59" Type="http://schemas.openxmlformats.org/officeDocument/2006/relationships/footer" Target="footer29.xml"/><Relationship Id="rId60" Type="http://schemas.openxmlformats.org/officeDocument/2006/relationships/image" Target="media/image5.png"/><Relationship Id="rId61" Type="http://schemas.openxmlformats.org/officeDocument/2006/relationships/header" Target="header23.xml"/><Relationship Id="rId62" Type="http://schemas.openxmlformats.org/officeDocument/2006/relationships/header" Target="header24.xml"/><Relationship Id="rId63" Type="http://schemas.openxmlformats.org/officeDocument/2006/relationships/footer" Target="footer30.xml"/><Relationship Id="rId64" Type="http://schemas.openxmlformats.org/officeDocument/2006/relationships/footer" Target="footer31.xml"/><Relationship Id="rId65" Type="http://schemas.openxmlformats.org/officeDocument/2006/relationships/image" Target="media/image6.png"/><Relationship Id="rId66" Type="http://schemas.openxmlformats.org/officeDocument/2006/relationships/header" Target="header25.xml"/><Relationship Id="rId67" Type="http://schemas.openxmlformats.org/officeDocument/2006/relationships/footer" Target="footer32.xml"/><Relationship Id="rId68" Type="http://schemas.openxmlformats.org/officeDocument/2006/relationships/footer" Target="footer33.xml"/><Relationship Id="rId69" Type="http://schemas.openxmlformats.org/officeDocument/2006/relationships/header" Target="header26.xml"/><Relationship Id="rId70" Type="http://schemas.openxmlformats.org/officeDocument/2006/relationships/header" Target="header27.xml"/><Relationship Id="rId71" Type="http://schemas.openxmlformats.org/officeDocument/2006/relationships/image" Target="media/image7.png"/><Relationship Id="rId72" Type="http://schemas.openxmlformats.org/officeDocument/2006/relationships/footer" Target="footer34.xml"/><Relationship Id="rId73" Type="http://schemas.openxmlformats.org/officeDocument/2006/relationships/footer" Target="footer35.xml"/><Relationship Id="rId74" Type="http://schemas.openxmlformats.org/officeDocument/2006/relationships/header" Target="header28.xml"/><Relationship Id="rId75" Type="http://schemas.openxmlformats.org/officeDocument/2006/relationships/header" Target="header29.xml"/><Relationship Id="rId76" Type="http://schemas.openxmlformats.org/officeDocument/2006/relationships/footer" Target="footer36.xml"/><Relationship Id="rId77" Type="http://schemas.openxmlformats.org/officeDocument/2006/relationships/footer" Target="footer37.xml"/><Relationship Id="rId78" Type="http://schemas.openxmlformats.org/officeDocument/2006/relationships/header" Target="header30.xml"/><Relationship Id="rId79" Type="http://schemas.openxmlformats.org/officeDocument/2006/relationships/footer" Target="footer38.xml"/><Relationship Id="rId80" Type="http://schemas.openxmlformats.org/officeDocument/2006/relationships/footer" Target="footer39.xml"/><Relationship Id="rId81" Type="http://schemas.openxmlformats.org/officeDocument/2006/relationships/header" Target="header31.xml"/><Relationship Id="rId82" Type="http://schemas.openxmlformats.org/officeDocument/2006/relationships/header" Target="header32.xml"/><Relationship Id="rId83" Type="http://schemas.openxmlformats.org/officeDocument/2006/relationships/header" Target="header33.xml"/><Relationship Id="rId84" Type="http://schemas.openxmlformats.org/officeDocument/2006/relationships/footer" Target="footer40.xml"/><Relationship Id="rId85" Type="http://schemas.openxmlformats.org/officeDocument/2006/relationships/footer" Target="footer41.xml"/><Relationship Id="rId86" Type="http://schemas.openxmlformats.org/officeDocument/2006/relationships/header" Target="header34.xml"/><Relationship Id="rId87" Type="http://schemas.openxmlformats.org/officeDocument/2006/relationships/header" Target="header35.xml"/><Relationship Id="rId88" Type="http://schemas.openxmlformats.org/officeDocument/2006/relationships/header" Target="header36.xml"/><Relationship Id="rId89" Type="http://schemas.openxmlformats.org/officeDocument/2006/relationships/footer" Target="footer42.xml"/><Relationship Id="rId90" Type="http://schemas.openxmlformats.org/officeDocument/2006/relationships/footer" Target="footer43.xml"/><Relationship Id="rId91" Type="http://schemas.openxmlformats.org/officeDocument/2006/relationships/header" Target="header37.xml"/><Relationship Id="rId92" Type="http://schemas.openxmlformats.org/officeDocument/2006/relationships/header" Target="header38.xml"/><Relationship Id="rId93" Type="http://schemas.openxmlformats.org/officeDocument/2006/relationships/footer" Target="footer44.xml"/><Relationship Id="rId94" Type="http://schemas.openxmlformats.org/officeDocument/2006/relationships/footer" Target="footer45.xml"/><Relationship Id="rId95" Type="http://schemas.openxmlformats.org/officeDocument/2006/relationships/header" Target="header39.xml"/><Relationship Id="rId96" Type="http://schemas.openxmlformats.org/officeDocument/2006/relationships/header" Target="header40.xml"/><Relationship Id="rId97" Type="http://schemas.openxmlformats.org/officeDocument/2006/relationships/footer" Target="footer46.xml"/><Relationship Id="rId98" Type="http://schemas.openxmlformats.org/officeDocument/2006/relationships/footer" Target="footer47.xml"/><Relationship Id="rId99" Type="http://schemas.openxmlformats.org/officeDocument/2006/relationships/header" Target="header41.xml"/><Relationship Id="rId100" Type="http://schemas.openxmlformats.org/officeDocument/2006/relationships/footer" Target="footer48.xml"/><Relationship Id="rId101" Type="http://schemas.openxmlformats.org/officeDocument/2006/relationships/hyperlink" Target="mailto:mapublications@bankofengland.co.uk" TargetMode="External"/><Relationship Id="rId102" Type="http://schemas.openxmlformats.org/officeDocument/2006/relationships/hyperlink" Target="http://www.bankofengland.co.uk/" TargetMode="External"/><Relationship Id="rId103" Type="http://schemas.openxmlformats.org/officeDocument/2006/relationships/header" Target="header42.xml"/><Relationship Id="rId104" Type="http://schemas.openxmlformats.org/officeDocument/2006/relationships/footer" Target="footer49.xml"/><Relationship Id="rId105" Type="http://schemas.openxmlformats.org/officeDocument/2006/relationships/footer" Target="footer50.xml"/><Relationship Id="rId106" Type="http://schemas.openxmlformats.org/officeDocument/2006/relationships/image" Target="media/image8.png"/><Relationship Id="rId107" Type="http://schemas.openxmlformats.org/officeDocument/2006/relationships/header" Target="header43.xml"/><Relationship Id="rId108" Type="http://schemas.openxmlformats.org/officeDocument/2006/relationships/header" Target="header44.xml"/><Relationship Id="rId109" Type="http://schemas.openxmlformats.org/officeDocument/2006/relationships/footer" Target="footer51.xml"/><Relationship Id="rId110" Type="http://schemas.openxmlformats.org/officeDocument/2006/relationships/footer" Target="footer52.xml"/><Relationship Id="rId111" Type="http://schemas.openxmlformats.org/officeDocument/2006/relationships/header" Target="header45.xml"/><Relationship Id="rId112" Type="http://schemas.openxmlformats.org/officeDocument/2006/relationships/footer" Target="footer53.xml"/><Relationship Id="rId1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Pompilii</dc:creator>
  <dc:title>New contents 2</dc:title>
  <dcterms:created xsi:type="dcterms:W3CDTF">2020-06-02T21:51:46Z</dcterms:created>
  <dcterms:modified xsi:type="dcterms:W3CDTF">2020-06-02T21:51:46Z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1998-08-11T00:00:00Z</vt:filetime>
  </property>
  <property fmtid="{D5CDD505-2E9C-101B-9397-08002B2CF9AE}" pid="3" name="Creator">
    <vt:lpwstr>QuarkXPressª: PSPrinter 8.3.1</vt:lpwstr>
  </property>
  <property fmtid="{D5CDD505-2E9C-101B-9397-08002B2CF9AE}" pid="4" name="LastSaved">
    <vt:filetime>2020-06-02T00:00:00Z</vt:filetime>
  </property>
</Properties>
</file>