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Default Extension="png" ContentType="image/png"/>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2.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5.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2.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49.xml" ContentType="application/vnd.openxmlformats-officedocument.wordprocessingml.header+xml"/>
  <Override PartName="/word/footer5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color w:val="009391"/>
        </w:rPr>
        <w:t>Inflation Report</w:t>
      </w:r>
    </w:p>
    <w:p>
      <w:pPr>
        <w:spacing w:before="711"/>
        <w:ind w:left="3810" w:right="0" w:firstLine="0"/>
        <w:jc w:val="left"/>
        <w:rPr>
          <w:b/>
          <w:sz w:val="40"/>
        </w:rPr>
      </w:pPr>
      <w:r>
        <w:rPr>
          <w:b/>
          <w:color w:val="009391"/>
          <w:sz w:val="40"/>
        </w:rPr>
        <w:t>August 2000</w:t>
      </w:r>
    </w:p>
    <w:p>
      <w:pPr>
        <w:pStyle w:val="BodyText"/>
        <w:rPr>
          <w:b/>
          <w:sz w:val="44"/>
        </w:rPr>
      </w:pPr>
    </w:p>
    <w:p>
      <w:pPr>
        <w:spacing w:line="242" w:lineRule="auto" w:before="303"/>
        <w:ind w:left="3809" w:right="1322" w:firstLine="0"/>
        <w:jc w:val="left"/>
        <w:rPr>
          <w:sz w:val="24"/>
        </w:rPr>
      </w:pPr>
      <w:r>
        <w:rPr>
          <w:sz w:val="24"/>
        </w:rPr>
        <w:t>The </w:t>
      </w:r>
      <w:r>
        <w:rPr>
          <w:i/>
          <w:sz w:val="24"/>
        </w:rPr>
        <w:t>Inflation Report </w:t>
      </w:r>
      <w:r>
        <w:rPr>
          <w:sz w:val="24"/>
        </w:rPr>
        <w:t>is produced quarterly by Bank staff under the guidance of the members of the Monetary Policy Committee. It serves two purposes. First,</w:t>
      </w:r>
    </w:p>
    <w:p>
      <w:pPr>
        <w:spacing w:before="4"/>
        <w:ind w:left="3809" w:right="0" w:firstLine="0"/>
        <w:jc w:val="left"/>
        <w:rPr>
          <w:sz w:val="24"/>
        </w:rPr>
      </w:pPr>
      <w:r>
        <w:rPr>
          <w:sz w:val="24"/>
        </w:rPr>
        <w:t>its preparation provides a comprehensive and</w:t>
      </w:r>
    </w:p>
    <w:p>
      <w:pPr>
        <w:spacing w:line="242" w:lineRule="auto" w:before="4"/>
        <w:ind w:left="3809" w:right="1322" w:firstLine="0"/>
        <w:jc w:val="left"/>
        <w:rPr>
          <w:sz w:val="24"/>
        </w:rPr>
      </w:pPr>
      <w:r>
        <w:rPr>
          <w:sz w:val="24"/>
        </w:rPr>
        <w:t>forward-looking framework for discussion among MPC members as an aid to our decision making. Second, its publication allows us to share our thinking and explain the reasons for our decisions to those whom they affect.</w:t>
      </w:r>
    </w:p>
    <w:p>
      <w:pPr>
        <w:spacing w:line="249" w:lineRule="auto" w:before="225"/>
        <w:ind w:left="3809" w:right="1322" w:firstLine="0"/>
        <w:jc w:val="left"/>
        <w:rPr>
          <w:sz w:val="24"/>
        </w:rPr>
      </w:pPr>
      <w:r>
        <w:rPr>
          <w:sz w:val="24"/>
        </w:rPr>
        <w:t>Although not every member will agree with every assumption on which our projections are based, the fan charts represent the MPC’s best collective judgment</w:t>
      </w:r>
    </w:p>
    <w:p>
      <w:pPr>
        <w:spacing w:line="249" w:lineRule="auto" w:before="3"/>
        <w:ind w:left="3809" w:right="1092" w:firstLine="0"/>
        <w:jc w:val="left"/>
        <w:rPr>
          <w:sz w:val="24"/>
        </w:rPr>
      </w:pPr>
      <w:r>
        <w:rPr>
          <w:sz w:val="24"/>
        </w:rPr>
        <w:t>about the most likely paths for inflation and output, and the uncertainties surrounding those central projections.</w:t>
      </w:r>
    </w:p>
    <w:p>
      <w:pPr>
        <w:pStyle w:val="BodyText"/>
        <w:rPr>
          <w:sz w:val="21"/>
        </w:rPr>
      </w:pPr>
    </w:p>
    <w:p>
      <w:pPr>
        <w:spacing w:line="249" w:lineRule="auto" w:before="1"/>
        <w:ind w:left="3809" w:right="1639" w:firstLine="0"/>
        <w:jc w:val="left"/>
        <w:rPr>
          <w:sz w:val="24"/>
        </w:rPr>
      </w:pPr>
      <w:r>
        <w:rPr>
          <w:sz w:val="24"/>
        </w:rPr>
        <w:t>This </w:t>
      </w:r>
      <w:r>
        <w:rPr>
          <w:i/>
          <w:sz w:val="24"/>
        </w:rPr>
        <w:t>Report </w:t>
      </w:r>
      <w:r>
        <w:rPr>
          <w:sz w:val="24"/>
        </w:rPr>
        <w:t>has been prepared and published by the Bank of England in accordance with section 18 of the Bank of England Act 1998.</w:t>
      </w:r>
    </w:p>
    <w:p>
      <w:pPr>
        <w:pStyle w:val="BodyText"/>
        <w:spacing w:before="3"/>
        <w:rPr>
          <w:sz w:val="25"/>
        </w:rPr>
      </w:pPr>
    </w:p>
    <w:p>
      <w:pPr>
        <w:spacing w:before="0"/>
        <w:ind w:left="3809" w:right="0" w:firstLine="0"/>
        <w:jc w:val="left"/>
        <w:rPr>
          <w:sz w:val="24"/>
        </w:rPr>
      </w:pPr>
      <w:r>
        <w:rPr>
          <w:b/>
          <w:sz w:val="24"/>
        </w:rPr>
        <w:t>The Monetary Policy Committee</w:t>
      </w:r>
      <w:r>
        <w:rPr>
          <w:sz w:val="24"/>
        </w:rPr>
        <w:t>:</w:t>
      </w:r>
    </w:p>
    <w:p>
      <w:pPr>
        <w:spacing w:before="12"/>
        <w:ind w:left="3809" w:right="0" w:firstLine="0"/>
        <w:jc w:val="left"/>
        <w:rPr>
          <w:sz w:val="24"/>
        </w:rPr>
      </w:pPr>
      <w:r>
        <w:rPr>
          <w:sz w:val="24"/>
        </w:rPr>
        <w:t>Eddie George, Governor</w:t>
      </w:r>
    </w:p>
    <w:p>
      <w:pPr>
        <w:spacing w:line="249" w:lineRule="auto" w:before="12"/>
        <w:ind w:left="3809" w:right="214" w:firstLine="0"/>
        <w:jc w:val="left"/>
        <w:rPr>
          <w:sz w:val="24"/>
        </w:rPr>
      </w:pPr>
      <w:r>
        <w:rPr>
          <w:sz w:val="24"/>
        </w:rPr>
        <w:t>Mervyn King, Deputy Governor responsible for monetary policy David Clementi, Deputy Governor responsible for financial stability Christopher Allsopp</w:t>
      </w:r>
    </w:p>
    <w:p>
      <w:pPr>
        <w:spacing w:line="249" w:lineRule="auto" w:before="3"/>
        <w:ind w:left="3809" w:right="4984" w:firstLine="0"/>
        <w:jc w:val="left"/>
        <w:rPr>
          <w:sz w:val="24"/>
        </w:rPr>
      </w:pPr>
      <w:r>
        <w:rPr>
          <w:sz w:val="24"/>
        </w:rPr>
        <w:t>DeAnne Julius Stephen Nickell Ian Plenderleith John Vickers Sushil Wadhwani</w:t>
      </w:r>
    </w:p>
    <w:p>
      <w:pPr>
        <w:pStyle w:val="BodyText"/>
        <w:rPr>
          <w:sz w:val="26"/>
        </w:rPr>
      </w:pPr>
    </w:p>
    <w:p>
      <w:pPr>
        <w:pStyle w:val="BodyText"/>
        <w:rPr>
          <w:sz w:val="26"/>
        </w:rPr>
      </w:pPr>
    </w:p>
    <w:p>
      <w:pPr>
        <w:pStyle w:val="BodyText"/>
        <w:rPr>
          <w:sz w:val="26"/>
        </w:rPr>
      </w:pPr>
    </w:p>
    <w:p>
      <w:pPr>
        <w:pStyle w:val="BodyText"/>
        <w:spacing w:before="10"/>
        <w:rPr>
          <w:sz w:val="25"/>
        </w:rPr>
      </w:pPr>
    </w:p>
    <w:p>
      <w:pPr>
        <w:pStyle w:val="Heading7"/>
        <w:spacing w:line="249" w:lineRule="auto"/>
        <w:ind w:left="3809" w:right="214"/>
      </w:pPr>
      <w:r>
        <w:rPr/>
        <w:t>The Overview of this </w:t>
      </w:r>
      <w:r>
        <w:rPr>
          <w:i/>
        </w:rPr>
        <w:t>Inflation Report </w:t>
      </w:r>
      <w:r>
        <w:rPr/>
        <w:t>is available on the Bank’s web site: </w:t>
      </w:r>
      <w:hyperlink r:id="rId5">
        <w:r>
          <w:rPr/>
          <w:t>www.bankofengland.co.uk/inflationreport/infrep.htm</w:t>
        </w:r>
      </w:hyperlink>
      <w:r>
        <w:rPr/>
        <w:t> The entire </w:t>
      </w:r>
      <w:r>
        <w:rPr>
          <w:i/>
        </w:rPr>
        <w:t>Report </w:t>
      </w:r>
      <w:r>
        <w:rPr/>
        <w:t>is available in PDF format on </w:t>
      </w:r>
      <w:hyperlink r:id="rId6">
        <w:r>
          <w:rPr/>
          <w:t>www.bankofengland.co.uk/inflationreport/index.htm</w:t>
        </w:r>
      </w:hyperlink>
    </w:p>
    <w:p>
      <w:pPr>
        <w:pStyle w:val="BodyText"/>
        <w:rPr>
          <w:sz w:val="22"/>
        </w:rPr>
      </w:pPr>
    </w:p>
    <w:p>
      <w:pPr>
        <w:pStyle w:val="BodyText"/>
        <w:rPr>
          <w:sz w:val="22"/>
        </w:rPr>
      </w:pPr>
    </w:p>
    <w:p>
      <w:pPr>
        <w:spacing w:line="182" w:lineRule="exact" w:before="194"/>
        <w:ind w:left="3810" w:right="0" w:firstLine="0"/>
        <w:jc w:val="left"/>
        <w:rPr>
          <w:sz w:val="16"/>
        </w:rPr>
      </w:pPr>
      <w:r>
        <w:rPr>
          <w:sz w:val="16"/>
        </w:rPr>
        <w:t>Printed by Park Communications Ltd</w:t>
      </w:r>
    </w:p>
    <w:p>
      <w:pPr>
        <w:spacing w:line="235" w:lineRule="auto" w:before="1"/>
        <w:ind w:left="3810" w:right="5184" w:firstLine="0"/>
        <w:jc w:val="left"/>
        <w:rPr>
          <w:sz w:val="16"/>
        </w:rPr>
      </w:pPr>
      <w:r>
        <w:rPr>
          <w:sz w:val="16"/>
        </w:rPr>
        <w:t>© Bank of England 2000 ISBN 1 85730 167 6</w:t>
      </w:r>
    </w:p>
    <w:p>
      <w:pPr>
        <w:spacing w:line="180" w:lineRule="exact" w:before="0"/>
        <w:ind w:left="3810" w:right="0" w:firstLine="0"/>
        <w:jc w:val="left"/>
        <w:rPr>
          <w:sz w:val="16"/>
        </w:rPr>
      </w:pPr>
      <w:r>
        <w:rPr>
          <w:sz w:val="16"/>
        </w:rPr>
        <w:t>ISSN 1353–6737</w:t>
      </w:r>
    </w:p>
    <w:p>
      <w:pPr>
        <w:spacing w:after="0" w:line="180" w:lineRule="exact"/>
        <w:jc w:val="left"/>
        <w:rPr>
          <w:sz w:val="16"/>
        </w:rPr>
        <w:sectPr>
          <w:type w:val="continuous"/>
          <w:pgSz w:w="11900" w:h="16840"/>
          <w:pgMar w:top="1260" w:bottom="280" w:left="640" w:right="64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spacing w:before="11"/>
        <w:rPr>
          <w:sz w:val="28"/>
        </w:rPr>
      </w:pPr>
    </w:p>
    <w:p>
      <w:pPr>
        <w:spacing w:before="83"/>
        <w:ind w:left="1975" w:right="1000" w:firstLine="0"/>
        <w:jc w:val="center"/>
        <w:rPr>
          <w:b/>
          <w:sz w:val="40"/>
        </w:rPr>
      </w:pPr>
      <w:bookmarkStart w:name="_bookmark0" w:id="1"/>
      <w:bookmarkEnd w:id="1"/>
      <w:r>
        <w:rPr/>
      </w:r>
      <w:r>
        <w:rPr>
          <w:b/>
          <w:color w:val="009391"/>
          <w:sz w:val="40"/>
        </w:rPr>
        <w:t>Overview</w:t>
      </w:r>
    </w:p>
    <w:p>
      <w:pPr>
        <w:pStyle w:val="BodyText"/>
        <w:rPr>
          <w:b/>
          <w:sz w:val="20"/>
        </w:rPr>
      </w:pPr>
    </w:p>
    <w:p>
      <w:pPr>
        <w:pStyle w:val="BodyText"/>
        <w:rPr>
          <w:b/>
          <w:sz w:val="20"/>
        </w:rPr>
      </w:pPr>
    </w:p>
    <w:p>
      <w:pPr>
        <w:pStyle w:val="BodyText"/>
        <w:spacing w:before="11"/>
        <w:rPr>
          <w:b/>
        </w:rPr>
      </w:pPr>
    </w:p>
    <w:p>
      <w:pPr>
        <w:spacing w:line="242" w:lineRule="auto" w:before="90"/>
        <w:ind w:left="4980" w:right="220" w:firstLine="0"/>
        <w:jc w:val="left"/>
        <w:rPr>
          <w:sz w:val="24"/>
        </w:rPr>
      </w:pPr>
      <w:r>
        <w:rPr>
          <w:sz w:val="24"/>
        </w:rPr>
        <w:t>Growth with low inflation has continued in the UK economy. Output in the second quarter of 2000 was 3.1% higher than a year before, and inflation on the RPIX measure was 2.2% in June, just below target. Final domestic demand growth, having been strong throughout 1999, eased in the first quarter of this year— consumers’ expenditure continued to increase, but investment and government expenditure fell back.</w:t>
      </w:r>
    </w:p>
    <w:p>
      <w:pPr>
        <w:spacing w:line="242" w:lineRule="auto" w:before="10"/>
        <w:ind w:left="4980" w:right="249" w:firstLine="0"/>
        <w:jc w:val="left"/>
        <w:rPr>
          <w:sz w:val="24"/>
        </w:rPr>
      </w:pPr>
      <w:r>
        <w:rPr>
          <w:sz w:val="24"/>
        </w:rPr>
        <w:t>Robust growth in world trade has boosted demand for UK exports despite the strength of sterling, and imports have also grown at a brisk pace. Service sector activity has continued to expand strongly, while industrial production has recovered from weakness at the start of the year. Employment has risen further, and the unemployment rate has declined to its lowest level for a generation. But earnings growth has fallen back from the millennium-related boost to pay around the turn of the year. Commodity price increases—especially for oil—have put some upward pressure on costs. Sterling fell sharply in May, but the exchange rate remains strong.</w:t>
      </w:r>
    </w:p>
    <w:p>
      <w:pPr>
        <w:pStyle w:val="BodyText"/>
        <w:spacing w:before="9"/>
        <w:rPr>
          <w:sz w:val="25"/>
        </w:rPr>
      </w:pPr>
    </w:p>
    <w:p>
      <w:pPr>
        <w:spacing w:line="242" w:lineRule="auto" w:before="0"/>
        <w:ind w:left="4980" w:right="183" w:firstLine="0"/>
        <w:jc w:val="left"/>
        <w:rPr>
          <w:sz w:val="24"/>
        </w:rPr>
      </w:pPr>
      <w:r>
        <w:rPr>
          <w:sz w:val="24"/>
        </w:rPr>
        <w:t>Activity and trade in the world economy </w:t>
      </w:r>
      <w:r>
        <w:rPr>
          <w:spacing w:val="-3"/>
          <w:sz w:val="24"/>
        </w:rPr>
        <w:t>have </w:t>
      </w:r>
      <w:r>
        <w:rPr>
          <w:sz w:val="24"/>
        </w:rPr>
        <w:t>picked up strongly </w:t>
      </w:r>
      <w:r>
        <w:rPr>
          <w:spacing w:val="-3"/>
          <w:sz w:val="24"/>
        </w:rPr>
        <w:t>over </w:t>
      </w:r>
      <w:r>
        <w:rPr>
          <w:sz w:val="24"/>
        </w:rPr>
        <w:t>the past year or so, and further expansion is in prospect. The momentum of demand and output growth in the United States continued into the first half of this </w:t>
      </w:r>
      <w:r>
        <w:rPr>
          <w:spacing w:val="-3"/>
          <w:sz w:val="24"/>
        </w:rPr>
        <w:t>year, </w:t>
      </w:r>
      <w:r>
        <w:rPr>
          <w:sz w:val="24"/>
        </w:rPr>
        <w:t>but there are tentative signs of some deceleration. Recovery in the euro area, </w:t>
      </w:r>
      <w:r>
        <w:rPr>
          <w:spacing w:val="-4"/>
          <w:sz w:val="24"/>
        </w:rPr>
        <w:t>however, </w:t>
      </w:r>
      <w:r>
        <w:rPr>
          <w:sz w:val="24"/>
        </w:rPr>
        <w:t>has gathered pace. The outlook in Japan remains uncertain—business profitability has improved but consumer demand remains subdued. Emerging market economies, especially those in East Asia, </w:t>
      </w:r>
      <w:r>
        <w:rPr>
          <w:spacing w:val="-3"/>
          <w:sz w:val="24"/>
        </w:rPr>
        <w:t>have </w:t>
      </w:r>
      <w:r>
        <w:rPr>
          <w:sz w:val="24"/>
        </w:rPr>
        <w:t>consolidated</w:t>
      </w:r>
      <w:r>
        <w:rPr>
          <w:spacing w:val="-9"/>
          <w:sz w:val="24"/>
        </w:rPr>
        <w:t> </w:t>
      </w:r>
      <w:r>
        <w:rPr>
          <w:sz w:val="24"/>
        </w:rPr>
        <w:t>upon</w:t>
      </w:r>
      <w:r>
        <w:rPr>
          <w:spacing w:val="-8"/>
          <w:sz w:val="24"/>
        </w:rPr>
        <w:t> </w:t>
      </w:r>
      <w:r>
        <w:rPr>
          <w:sz w:val="24"/>
        </w:rPr>
        <w:t>their</w:t>
      </w:r>
      <w:r>
        <w:rPr>
          <w:spacing w:val="-8"/>
          <w:sz w:val="24"/>
        </w:rPr>
        <w:t> </w:t>
      </w:r>
      <w:r>
        <w:rPr>
          <w:sz w:val="24"/>
        </w:rPr>
        <w:t>strong</w:t>
      </w:r>
      <w:r>
        <w:rPr>
          <w:spacing w:val="-8"/>
          <w:sz w:val="24"/>
        </w:rPr>
        <w:t> </w:t>
      </w:r>
      <w:r>
        <w:rPr>
          <w:sz w:val="24"/>
        </w:rPr>
        <w:t>recoveries</w:t>
      </w:r>
      <w:r>
        <w:rPr>
          <w:spacing w:val="-8"/>
          <w:sz w:val="24"/>
        </w:rPr>
        <w:t> </w:t>
      </w:r>
      <w:r>
        <w:rPr>
          <w:sz w:val="24"/>
        </w:rPr>
        <w:t>from</w:t>
      </w:r>
      <w:r>
        <w:rPr>
          <w:spacing w:val="-9"/>
          <w:sz w:val="24"/>
        </w:rPr>
        <w:t> </w:t>
      </w:r>
      <w:r>
        <w:rPr>
          <w:sz w:val="24"/>
        </w:rPr>
        <w:t>economic setback two years ago.  The oil price, though volatile, has generally been stronger than anticipated. In contrast to several years of weak commodity prices, this has </w:t>
      </w:r>
      <w:r>
        <w:rPr>
          <w:spacing w:val="-3"/>
          <w:sz w:val="24"/>
        </w:rPr>
        <w:t>given </w:t>
      </w:r>
      <w:r>
        <w:rPr>
          <w:sz w:val="24"/>
        </w:rPr>
        <w:t>an upward impulse to inflation in a number of countries. The Federal Reserve and the ECB </w:t>
      </w:r>
      <w:r>
        <w:rPr>
          <w:spacing w:val="-3"/>
          <w:sz w:val="24"/>
        </w:rPr>
        <w:t>have </w:t>
      </w:r>
      <w:r>
        <w:rPr>
          <w:sz w:val="24"/>
        </w:rPr>
        <w:t>increased interest rates further since </w:t>
      </w:r>
      <w:r>
        <w:rPr>
          <w:spacing w:val="-5"/>
          <w:sz w:val="24"/>
        </w:rPr>
        <w:t>May. </w:t>
      </w:r>
      <w:r>
        <w:rPr>
          <w:sz w:val="24"/>
        </w:rPr>
        <w:t>There remain clear risks of abrupt and disorderly adjustment in the world economy—for example </w:t>
      </w:r>
      <w:r>
        <w:rPr>
          <w:spacing w:val="-3"/>
          <w:sz w:val="24"/>
        </w:rPr>
        <w:t>involving </w:t>
      </w:r>
      <w:r>
        <w:rPr>
          <w:sz w:val="24"/>
        </w:rPr>
        <w:t>sharp falls in financial asset prices—but there is a good prospect of steady and broadly-based</w:t>
      </w:r>
      <w:r>
        <w:rPr>
          <w:spacing w:val="-6"/>
          <w:sz w:val="24"/>
        </w:rPr>
        <w:t> </w:t>
      </w:r>
      <w:r>
        <w:rPr>
          <w:sz w:val="24"/>
        </w:rPr>
        <w:t>growth.</w:t>
      </w:r>
    </w:p>
    <w:p>
      <w:pPr>
        <w:pStyle w:val="BodyText"/>
        <w:spacing w:before="7"/>
        <w:rPr>
          <w:sz w:val="26"/>
        </w:rPr>
      </w:pPr>
    </w:p>
    <w:p>
      <w:pPr>
        <w:spacing w:line="242" w:lineRule="auto" w:before="0"/>
        <w:ind w:left="4980" w:right="214" w:firstLine="0"/>
        <w:jc w:val="left"/>
        <w:rPr>
          <w:sz w:val="24"/>
        </w:rPr>
      </w:pPr>
      <w:r>
        <w:rPr>
          <w:sz w:val="24"/>
        </w:rPr>
        <w:t>Output in the United Kingdom is estimated to have increased by 0.9% in the second quarter. That is more than expected, and significantly above the 0.5% growth</w:t>
      </w:r>
    </w:p>
    <w:p>
      <w:pPr>
        <w:spacing w:after="0" w:line="242" w:lineRule="auto"/>
        <w:jc w:val="left"/>
        <w:rPr>
          <w:sz w:val="24"/>
        </w:rPr>
        <w:sectPr>
          <w:footerReference w:type="default" r:id="rId7"/>
          <w:footerReference w:type="even" r:id="rId8"/>
          <w:pgSz w:w="11900" w:h="16840"/>
          <w:pgMar w:footer="612" w:header="0" w:top="800" w:bottom="800" w:left="640" w:right="640"/>
          <w:pgNumType w:start="1"/>
        </w:sectPr>
      </w:pPr>
    </w:p>
    <w:p>
      <w:pPr>
        <w:pStyle w:val="BodyText"/>
        <w:rPr>
          <w:sz w:val="20"/>
        </w:rPr>
      </w:pPr>
    </w:p>
    <w:p>
      <w:pPr>
        <w:spacing w:line="242" w:lineRule="auto" w:before="227"/>
        <w:ind w:left="4980" w:right="214" w:firstLine="0"/>
        <w:jc w:val="left"/>
        <w:rPr>
          <w:sz w:val="24"/>
        </w:rPr>
      </w:pPr>
      <w:r>
        <w:rPr>
          <w:sz w:val="24"/>
        </w:rPr>
        <w:t>recorded in the first quarter. The pick-up in output growth in recent months partly reflects a recovery in industrial production, especially in energy-related sectors, from a decline earlier in the year. But it also reflects strong expansion in service sector activity.</w:t>
      </w:r>
    </w:p>
    <w:p>
      <w:pPr>
        <w:spacing w:line="242" w:lineRule="auto" w:before="6"/>
        <w:ind w:left="4980" w:right="214" w:firstLine="0"/>
        <w:jc w:val="left"/>
        <w:rPr>
          <w:sz w:val="24"/>
        </w:rPr>
      </w:pPr>
      <w:r>
        <w:rPr>
          <w:sz w:val="24"/>
        </w:rPr>
        <w:t>While there is no uniform picture within manufacturing or within services, the sharp contrast between these broad sectors remains a feature of business surveys and reports from the Bank’s network of regional Agents.</w:t>
      </w:r>
    </w:p>
    <w:p>
      <w:pPr>
        <w:pStyle w:val="BodyText"/>
        <w:spacing w:before="2"/>
        <w:rPr>
          <w:sz w:val="22"/>
        </w:rPr>
      </w:pPr>
    </w:p>
    <w:p>
      <w:pPr>
        <w:spacing w:line="242" w:lineRule="auto" w:before="0"/>
        <w:ind w:left="4980" w:right="214" w:firstLine="0"/>
        <w:jc w:val="left"/>
        <w:rPr>
          <w:sz w:val="24"/>
        </w:rPr>
      </w:pPr>
      <w:r>
        <w:rPr>
          <w:sz w:val="24"/>
        </w:rPr>
        <w:t>The pattern of demand growth in the first quarter— almost flat final domestic demand but positive contributions from net trade and stockbuilding— contrasts with that recorded in 1999. Consumer expenditure increased in Q1, though at a lower rate than in previous quarters, but investment and government expenditure declined. The slowing of domestic demand early in the year may have resulted in part from temporary factors—for example, unwinding of unusual strength in the run-up to the millennium. Domestic demand growth appears likely to have picked up in the second quarter, but there are indications—including the apparent cooling of the housing market—that the underlying momentum of consumption growth may be easing.</w:t>
      </w:r>
    </w:p>
    <w:p>
      <w:pPr>
        <w:pStyle w:val="BodyText"/>
        <w:spacing w:before="5"/>
        <w:rPr>
          <w:sz w:val="23"/>
        </w:rPr>
      </w:pPr>
    </w:p>
    <w:p>
      <w:pPr>
        <w:spacing w:line="242" w:lineRule="auto" w:before="0"/>
        <w:ind w:left="4980" w:right="214" w:firstLine="0"/>
        <w:jc w:val="left"/>
        <w:rPr>
          <w:sz w:val="24"/>
        </w:rPr>
      </w:pPr>
      <w:r>
        <w:rPr>
          <w:sz w:val="24"/>
        </w:rPr>
        <w:t>In July, the Chancellor made his statement on the Spending Review, the broad lines of which had been drawn in the March Budget. Relative to the Budget, the profile for total government expenditure going forward is marginally higher—reflecting past underspending— and there is some increase in government consumption financed by lower social security and debt interest payments. Depending on the extent of possible future underspending, these measures may make a small addition to overall demand growth.</w:t>
      </w:r>
    </w:p>
    <w:p>
      <w:pPr>
        <w:pStyle w:val="BodyText"/>
        <w:spacing w:before="10"/>
        <w:rPr>
          <w:sz w:val="22"/>
        </w:rPr>
      </w:pPr>
    </w:p>
    <w:p>
      <w:pPr>
        <w:spacing w:line="242" w:lineRule="auto" w:before="0"/>
        <w:ind w:left="4980" w:right="172" w:firstLine="0"/>
        <w:jc w:val="left"/>
        <w:rPr>
          <w:sz w:val="24"/>
        </w:rPr>
      </w:pPr>
      <w:r>
        <w:rPr>
          <w:sz w:val="24"/>
        </w:rPr>
        <w:t>Both exports and imports have risen surprisingly rapidly over the past year. Export volumes have been boosted, notwithstanding the high exchange rate, by the robust recovery in the world economy. But the growth rate of imports—supported by the combined strength of domestic demand and rising import penetration—has generally outstripped that of exports, and over the past three years the current balance has moved from surplus to a deficit approaching 2% of GDP. Despite the fall in sterling since May, some further deterioration of the net trade position is in prospect.</w:t>
      </w:r>
    </w:p>
    <w:p>
      <w:pPr>
        <w:pStyle w:val="BodyText"/>
        <w:spacing w:before="11"/>
        <w:rPr>
          <w:sz w:val="22"/>
        </w:rPr>
      </w:pPr>
    </w:p>
    <w:p>
      <w:pPr>
        <w:spacing w:line="242" w:lineRule="auto" w:before="0"/>
        <w:ind w:left="4980" w:right="0" w:firstLine="0"/>
        <w:jc w:val="left"/>
        <w:rPr>
          <w:sz w:val="24"/>
        </w:rPr>
      </w:pPr>
      <w:r>
        <w:rPr>
          <w:sz w:val="24"/>
        </w:rPr>
        <w:t>Narrow money growth has moderated and broad money growth has risen—both to annual rates around 7%, somewhat above the growth rate of nominal GDP.</w:t>
      </w:r>
    </w:p>
    <w:p>
      <w:pPr>
        <w:spacing w:after="0" w:line="242" w:lineRule="auto"/>
        <w:jc w:val="left"/>
        <w:rPr>
          <w:sz w:val="24"/>
        </w:rPr>
        <w:sectPr>
          <w:headerReference w:type="default" r:id="rId9"/>
          <w:pgSz w:w="11900" w:h="16840"/>
          <w:pgMar w:header="586" w:footer="612" w:top="780" w:bottom="780" w:left="640" w:right="640"/>
        </w:sectPr>
      </w:pPr>
    </w:p>
    <w:p>
      <w:pPr>
        <w:spacing w:before="82" w:after="12"/>
        <w:ind w:left="0" w:right="137" w:firstLine="0"/>
        <w:jc w:val="right"/>
        <w:rPr>
          <w:i/>
          <w:sz w:val="16"/>
        </w:rPr>
      </w:pPr>
      <w:r>
        <w:rPr>
          <w:i/>
          <w:sz w:val="16"/>
        </w:rPr>
        <w:t>Overview</w:t>
      </w:r>
    </w:p>
    <w:p>
      <w:pPr>
        <w:pStyle w:val="BodyText"/>
        <w:spacing w:line="20" w:lineRule="exact"/>
        <w:ind w:left="143"/>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spacing w:before="2"/>
        <w:rPr>
          <w:i/>
          <w:sz w:val="29"/>
        </w:rPr>
      </w:pPr>
    </w:p>
    <w:p>
      <w:pPr>
        <w:spacing w:line="242" w:lineRule="auto" w:before="90"/>
        <w:ind w:left="4960" w:right="0" w:firstLine="0"/>
        <w:jc w:val="left"/>
        <w:rPr>
          <w:sz w:val="24"/>
        </w:rPr>
      </w:pPr>
      <w:r>
        <w:rPr>
          <w:sz w:val="24"/>
        </w:rPr>
        <w:t>Strong credit expansion has continued. Corporate borrowing—from banks as well as capital markets—has risen sharply since last autumn, and annual growth in lending to households remains robust at around 10%.</w:t>
      </w:r>
    </w:p>
    <w:p>
      <w:pPr>
        <w:spacing w:line="242" w:lineRule="auto" w:before="5"/>
        <w:ind w:left="4960" w:right="841" w:firstLine="0"/>
        <w:jc w:val="both"/>
        <w:rPr>
          <w:sz w:val="24"/>
        </w:rPr>
      </w:pPr>
      <w:r>
        <w:rPr>
          <w:sz w:val="24"/>
        </w:rPr>
        <w:t>Most indicators suggest that the housing market</w:t>
      </w:r>
      <w:r>
        <w:rPr>
          <w:spacing w:val="-42"/>
          <w:sz w:val="24"/>
        </w:rPr>
        <w:t> </w:t>
      </w:r>
      <w:r>
        <w:rPr>
          <w:sz w:val="24"/>
        </w:rPr>
        <w:t>is softening, although secured lending and mortgage approvals </w:t>
      </w:r>
      <w:r>
        <w:rPr>
          <w:spacing w:val="-3"/>
          <w:sz w:val="24"/>
        </w:rPr>
        <w:t>have </w:t>
      </w:r>
      <w:r>
        <w:rPr>
          <w:sz w:val="24"/>
        </w:rPr>
        <w:t>so far stayed</w:t>
      </w:r>
      <w:r>
        <w:rPr>
          <w:spacing w:val="-8"/>
          <w:sz w:val="24"/>
        </w:rPr>
        <w:t> </w:t>
      </w:r>
      <w:r>
        <w:rPr>
          <w:sz w:val="24"/>
        </w:rPr>
        <w:t>firm.</w:t>
      </w:r>
    </w:p>
    <w:p>
      <w:pPr>
        <w:pStyle w:val="BodyText"/>
        <w:spacing w:before="8"/>
        <w:rPr>
          <w:sz w:val="24"/>
        </w:rPr>
      </w:pPr>
    </w:p>
    <w:p>
      <w:pPr>
        <w:spacing w:line="242" w:lineRule="auto" w:before="0"/>
        <w:ind w:left="4960" w:right="75" w:firstLine="0"/>
        <w:jc w:val="left"/>
        <w:rPr>
          <w:sz w:val="24"/>
        </w:rPr>
      </w:pPr>
      <w:r>
        <w:rPr>
          <w:sz w:val="24"/>
        </w:rPr>
        <w:t>The MPC has maintained the official interest rate at 6% since February. Near-term money market rates—a guide to expected future official interest rates—have eased further since the May </w:t>
      </w:r>
      <w:r>
        <w:rPr>
          <w:i/>
          <w:sz w:val="24"/>
        </w:rPr>
        <w:t>Report</w:t>
      </w:r>
      <w:r>
        <w:rPr>
          <w:sz w:val="24"/>
        </w:rPr>
        <w:t>. Longer-term bond yields and equity prices have been fairly stable over that period. The exchange rate, however, fell substantially following its rapid rise earlier in the year. The average value of sterling’s effective exchange rate index in the 15 working days to 2 August was 106.1, about 4% lower than three months ago. (This is the starting point for the exchange rate profile in the Committee’s projections described below.)</w:t>
      </w:r>
    </w:p>
    <w:p>
      <w:pPr>
        <w:pStyle w:val="BodyText"/>
        <w:spacing w:before="10"/>
        <w:rPr>
          <w:sz w:val="17"/>
        </w:rPr>
      </w:pPr>
    </w:p>
    <w:p>
      <w:pPr>
        <w:spacing w:after="0"/>
        <w:rPr>
          <w:sz w:val="17"/>
        </w:rPr>
        <w:sectPr>
          <w:headerReference w:type="even" r:id="rId10"/>
          <w:pgSz w:w="11900" w:h="16840"/>
          <w:pgMar w:header="0" w:footer="592" w:top="520" w:bottom="80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Heading6"/>
        <w:spacing w:before="136"/>
        <w:ind w:left="225"/>
      </w:pPr>
      <w:r>
        <w:rPr>
          <w:color w:val="0092C7"/>
        </w:rPr>
        <w:t>Chart 1</w:t>
      </w:r>
    </w:p>
    <w:p>
      <w:pPr>
        <w:pStyle w:val="Heading6"/>
        <w:spacing w:line="249" w:lineRule="auto"/>
        <w:ind w:left="225"/>
      </w:pPr>
      <w:r>
        <w:rPr>
          <w:color w:val="0092C7"/>
        </w:rPr>
        <w:t>Current GDP projection based on constant nominal interest rates at 6%</w:t>
      </w:r>
    </w:p>
    <w:p>
      <w:pPr>
        <w:spacing w:before="138"/>
        <w:ind w:left="1122" w:right="0" w:firstLine="0"/>
        <w:jc w:val="left"/>
        <w:rPr>
          <w:sz w:val="12"/>
        </w:rPr>
      </w:pPr>
      <w:r>
        <w:rPr/>
        <w:pict>
          <v:line style="position:absolute;mso-position-horizontal-relative:page;mso-position-vertical-relative:paragraph;z-index:-23566336" from="198.877007pt,14.289573pt" to="195.238007pt,14.289573pt" stroked="true" strokeweight=".5pt" strokecolor="#000000">
            <v:stroke dashstyle="solid"/>
            <w10:wrap type="none"/>
          </v:line>
        </w:pict>
      </w:r>
      <w:r>
        <w:rPr/>
        <w:pict>
          <v:line style="position:absolute;mso-position-horizontal-relative:page;mso-position-vertical-relative:paragraph;z-index:15733248" from="48.286999pt,14.463573pt" to="44.647999pt,14.463573pt" stroked="true" strokeweight=".5pt" strokecolor="#000000">
            <v:stroke dashstyle="solid"/>
            <w10:wrap type="none"/>
          </v:line>
        </w:pict>
      </w:r>
      <w:r>
        <w:rPr>
          <w:sz w:val="12"/>
        </w:rPr>
        <w:t>Percentage increase in output on a year earlier </w:t>
      </w:r>
      <w:r>
        <w:rPr>
          <w:position w:val="-7"/>
          <w:sz w:val="12"/>
        </w:rPr>
        <w:t>6</w:t>
      </w:r>
    </w:p>
    <w:p>
      <w:pPr>
        <w:pStyle w:val="BodyText"/>
        <w:spacing w:before="3"/>
        <w:rPr>
          <w:sz w:val="24"/>
        </w:rPr>
      </w:pPr>
    </w:p>
    <w:p>
      <w:pPr>
        <w:spacing w:before="0"/>
        <w:ind w:left="0" w:right="111" w:firstLine="0"/>
        <w:jc w:val="right"/>
        <w:rPr>
          <w:sz w:val="12"/>
        </w:rPr>
      </w:pPr>
      <w:r>
        <w:rPr/>
        <w:pict>
          <v:line style="position:absolute;mso-position-horizontal-relative:page;mso-position-vertical-relative:paragraph;z-index:15731200" from="198.877007pt,3.390761pt" to="195.238007pt,3.390761pt" stroked="true" strokeweight=".5pt" strokecolor="#000000">
            <v:stroke dashstyle="solid"/>
            <w10:wrap type="none"/>
          </v:line>
        </w:pict>
      </w:r>
      <w:r>
        <w:rPr/>
        <w:pict>
          <v:line style="position:absolute;mso-position-horizontal-relative:page;mso-position-vertical-relative:paragraph;z-index:15732736" from="48.286999pt,3.564761pt" to="44.647999pt,3.564761pt" stroked="true" strokeweight=".5pt" strokecolor="#000000">
            <v:stroke dashstyle="solid"/>
            <w10:wrap type="none"/>
          </v:line>
        </w:pict>
      </w:r>
      <w:r>
        <w:rPr>
          <w:sz w:val="12"/>
        </w:rPr>
        <w:t>5</w:t>
      </w:r>
    </w:p>
    <w:p>
      <w:pPr>
        <w:pStyle w:val="BodyText"/>
        <w:rPr>
          <w:sz w:val="12"/>
        </w:rPr>
      </w:pPr>
    </w:p>
    <w:p>
      <w:pPr>
        <w:pStyle w:val="BodyText"/>
        <w:spacing w:before="3"/>
        <w:rPr>
          <w:sz w:val="12"/>
        </w:rPr>
      </w:pPr>
    </w:p>
    <w:p>
      <w:pPr>
        <w:spacing w:before="0"/>
        <w:ind w:left="0" w:right="111" w:firstLine="0"/>
        <w:jc w:val="right"/>
        <w:rPr>
          <w:sz w:val="12"/>
        </w:rPr>
      </w:pPr>
      <w:r>
        <w:rPr/>
        <w:pict>
          <v:group style="position:absolute;margin-left:44.647999pt;margin-top:-4.443439pt;width:154.25pt;height:79.05pt;mso-position-horizontal-relative:page;mso-position-vertical-relative:paragraph;z-index:15729664" coordorigin="893,-89" coordsize="3085,1581">
            <v:shape style="position:absolute;left:2865;top:-89;width:971;height:1581" coordorigin="2865,-89" coordsize="971,1581" path="m3620,-89l3512,-26,3405,3,3297,45,3189,153,3081,295,2973,466,2865,486,2973,912,3081,1187,3189,1341,3297,1458,3405,1491,3512,1454,3620,1379,3836,1404,3836,-56,3728,-68,3620,-89xe" filled="true" fillcolor="#eaf0ec" stroked="false">
              <v:path arrowok="t"/>
              <v:fill type="solid"/>
            </v:shape>
            <v:shape style="position:absolute;left:2865;top:55;width:971;height:1255" coordorigin="2865,56" coordsize="971,1255" path="m3620,56l3512,118,3297,185,3189,269,3081,385,2973,510,2865,485,2973,856,3081,1081,3189,1198,3297,1286,3405,1311,3512,1273,3620,1198,3836,1223,3836,85,3728,73,3620,56xe" filled="true" fillcolor="#d4e3dc" stroked="false">
              <v:path arrowok="t"/>
              <v:fill type="solid"/>
            </v:shape>
            <v:shape style="position:absolute;left:2865;top:151;width:971;height:1039" coordorigin="2865,152" coordsize="971,1039" path="m3620,152l3512,218,3405,252,3297,281,3189,352,3081,443,2973,539,2865,485,2973,823,3081,1006,3189,1102,3297,1173,3405,1190,3512,1152,3620,1077,3836,1102,3836,181,3728,168,3620,152xe" filled="true" fillcolor="#bed7ca" stroked="false">
              <v:path arrowok="t"/>
              <v:fill type="solid"/>
            </v:shape>
            <v:shape style="position:absolute;left:2865;top:226;width:971;height:868" coordorigin="2865,227" coordsize="971,868" path="m3620,227l3512,294,3405,331,3297,356,3189,415,3081,494,2973,565,2865,485,2973,794,3081,948,3189,1023,3297,1082,3405,1094,3512,1052,3620,981,3728,990,3836,1002,3836,256,3728,244,3620,227xe" filled="true" fillcolor="#a7c9b8" stroked="false">
              <v:path arrowok="t"/>
              <v:fill type="solid"/>
            </v:shape>
            <v:shape style="position:absolute;left:2865;top:296;width:971;height:713" coordorigin="2865,296" coordsize="971,713" path="m3620,296l3512,363,3405,401,3297,421,3189,467,3081,534,2973,584,2865,484,2973,767,3081,897,3189,955,3297,1001,3405,1009,3512,972,3620,897,3836,922,3836,321,3620,296xe" filled="true" fillcolor="#8ebdaa" stroked="false">
              <v:path arrowok="t"/>
              <v:fill type="solid"/>
            </v:shape>
            <v:shape style="position:absolute;left:2865;top:355;width:971;height:584" coordorigin="2865,356" coordsize="971,584" path="m3620,356l3512,427,3405,464,3297,485,3189,519,3081,573,2973,602,2865,485,2973,748,3081,856,3189,902,3297,935,3405,940,3512,898,3620,827,3728,835,3836,848,3836,381,3620,356xe" filled="true" fillcolor="#76b19a" stroked="false">
              <v:path arrowok="t"/>
              <v:fill type="solid"/>
            </v:shape>
            <v:shape style="position:absolute;left:2865;top:408;width:971;height:463" coordorigin="2865,409" coordsize="971,463" path="m3620,409l3512,484,3405,521,3297,538,3189,567,3081,605,2973,621,2865,484,2973,726,3081,817,3189,846,3297,871,3405,871,3512,830,3620,755,3728,763,3836,776,3836,434,3620,409xe" filled="true" fillcolor="#57a68a" stroked="false">
              <v:path arrowok="t"/>
              <v:fill type="solid"/>
            </v:shape>
            <v:shape style="position:absolute;left:2865;top:464;width:971;height:342" coordorigin="2865,464" coordsize="971,342" path="m3620,464l3512,535,3405,577,3297,589,3189,610,3081,639,2973,635,2865,485,2973,706,3081,777,3189,793,3297,806,3405,806,3512,764,3620,689,3728,698,3836,710,3836,485,3728,472,3620,464xe" filled="true" fillcolor="#309a7b" stroked="false">
              <v:path arrowok="t"/>
              <v:fill type="solid"/>
            </v:shape>
            <v:shape style="position:absolute;left:2865;top:483;width:971;height:263" coordorigin="2865,483" coordsize="971,263" path="m2865,483l2973,683,3081,738,3297,746,3405,742,3512,700,3620,625,3728,633,3836,646,3836,533,3728,521,3620,513,3512,583,3405,625,3189,650,3081,667,2973,650,2865,483xe" filled="true" fillcolor="#008360" stroked="false">
              <v:path arrowok="t"/>
              <v:fill type="solid"/>
            </v:shape>
            <v:shape style="position:absolute;left:3904;top:67;width:73;height:1251" coordorigin="3905,68" coordsize="73,1251" path="m3978,1319l3905,1319m3978,902l3905,902m3978,485l3905,485m3978,68l3905,68e" filled="false" stroked="true" strokeweight=".5pt" strokecolor="#000000">
              <v:path arrowok="t"/>
              <v:stroke dashstyle="solid"/>
            </v:shape>
            <v:shape style="position:absolute;left:1029;top:109;width:1726;height:951" coordorigin="1029,110" coordsize="1726,951" path="m1137,722l1029,781m1245,651l1137,722m1353,535l1245,651m1461,431l1353,535m1569,276l1461,431m1676,110l1569,276m1784,272l1676,110m1892,410l1784,272m2000,493l1892,410m2108,735l2000,493m2216,893l2108,735m2323,1060l2216,893m2431,1014l2323,1060m2539,789l2431,1014m2647,560l2539,789m2755,485l2647,560e" filled="false" stroked="true" strokeweight="1pt" strokecolor="#008360">
              <v:path arrowok="t"/>
              <v:stroke dashstyle="solid"/>
            </v:shape>
            <v:rect style="position:absolute;left:2754;top:474;width:108;height:20" filled="true" fillcolor="#008360" stroked="false">
              <v:fill type="solid"/>
            </v:rect>
            <v:shape style="position:absolute;left:1029;top:109;width:1726;height:951" coordorigin="1029,110" coordsize="1726,951" path="m1137,722l1029,781m1245,651l1137,722m1353,535l1245,651m1461,431l1353,535m1569,276l1461,431m1676,110l1569,276m1784,272l1676,110m1892,410l1784,272m2000,493l1892,410m2108,735l2000,493m2216,893l2108,735m2323,1060l2216,893m2431,1014l2323,1060m2539,789l2431,1014m2647,560l2539,789m2755,485l2647,560e" filled="false" stroked="true" strokeweight="1pt" strokecolor="#008360">
              <v:path arrowok="t"/>
              <v:stroke dashstyle="solid"/>
            </v:shape>
            <v:rect style="position:absolute;left:2754;top:474;width:108;height:20" filled="true" fillcolor="#008360" stroked="false">
              <v:fill type="solid"/>
            </v:rect>
            <v:shape style="position:absolute;left:1029;top:109;width:1726;height:951" coordorigin="1029,110" coordsize="1726,951" path="m1137,722l1029,781m1245,651l1137,722m1353,535l1245,651m1461,431l1353,535m1569,276l1461,431m1676,110l1569,276m1784,272l1676,110m1892,410l1784,272m2000,493l1892,410m2108,735l2000,493m2216,893l2108,735m2323,1060l2216,893m2431,1014l2323,1060m2539,789l2431,1014m2647,560l2539,789m2755,485l2647,560e" filled="false" stroked="true" strokeweight="1pt" strokecolor="#008360">
              <v:path arrowok="t"/>
              <v:stroke dashstyle="solid"/>
            </v:shape>
            <v:rect style="position:absolute;left:2754;top:474;width:108;height:20" filled="true" fillcolor="#008360" stroked="false">
              <v:fill type="solid"/>
            </v:rect>
            <v:shape style="position:absolute;left:1029;top:109;width:1726;height:951" coordorigin="1029,110" coordsize="1726,951" path="m1137,722l1029,781m1245,651l1137,722m1353,535l1245,651m1461,431l1353,535m1569,276l1461,431m1676,110l1569,276m1784,272l1676,110m1892,410l1784,272m2000,493l1892,410m2108,735l2000,493m2216,893l2108,735m2323,1060l2216,893m2431,1014l2323,1060m2539,789l2431,1014m2647,560l2539,789m2755,485l2647,560e" filled="false" stroked="true" strokeweight="1pt" strokecolor="#008360">
              <v:path arrowok="t"/>
              <v:stroke dashstyle="solid"/>
            </v:shape>
            <v:rect style="position:absolute;left:2754;top:474;width:108;height:20" filled="true" fillcolor="#008360" stroked="false">
              <v:fill type="solid"/>
            </v:rect>
            <v:shape style="position:absolute;left:1029;top:109;width:1726;height:951" coordorigin="1029,110" coordsize="1726,951" path="m1137,722l1029,781m1245,651l1137,722m1353,535l1245,651m1461,431l1353,535m1569,276l1461,431m1676,110l1569,276m1784,272l1676,110m1892,410l1784,272m2000,493l1892,410m2108,735l2000,493m2216,893l2108,735m2323,1060l2216,893m2431,1014l2323,1060m2539,789l2431,1014m2647,560l2539,789m2755,485l2647,560e" filled="false" stroked="true" strokeweight="1pt" strokecolor="#008360">
              <v:path arrowok="t"/>
              <v:stroke dashstyle="solid"/>
            </v:shape>
            <v:rect style="position:absolute;left:2754;top:474;width:108;height:20" filled="true" fillcolor="#008360" stroked="false">
              <v:fill type="solid"/>
            </v:rect>
            <v:shape style="position:absolute;left:1029;top:109;width:1726;height:951" coordorigin="1029,110" coordsize="1726,951" path="m1137,722l1029,781m1245,651l1137,722m1353,535l1245,651m1461,431l1353,535m1569,276l1461,431m1676,110l1569,276m1784,272l1676,110m1892,410l1784,272m2000,493l1892,410m2108,735l2000,493m2216,893l2108,735m2323,1060l2216,893m2431,1014l2323,1060m2539,789l2431,1014m2647,560l2539,789m2755,485l2647,560e" filled="false" stroked="true" strokeweight="1pt" strokecolor="#008360">
              <v:path arrowok="t"/>
              <v:stroke dashstyle="solid"/>
            </v:shape>
            <v:rect style="position:absolute;left:2754;top:474;width:108;height:20" filled="true" fillcolor="#008360" stroked="false">
              <v:fill type="solid"/>
            </v:rect>
            <v:shape style="position:absolute;left:1029;top:109;width:1726;height:951" coordorigin="1029,110" coordsize="1726,951" path="m1137,722l1029,781m1245,651l1137,722m1353,535l1245,651m1461,431l1353,535m1569,276l1461,431m1676,110l1569,276m1784,272l1676,110m1892,410l1784,272m2000,493l1892,410m2108,735l2000,493m2216,893l2108,735m2323,1060l2216,893m2431,1014l2323,1060m2539,789l2431,1014m2647,560l2539,789m2755,485l2647,560e" filled="false" stroked="true" strokeweight="1pt" strokecolor="#008360">
              <v:path arrowok="t"/>
              <v:stroke dashstyle="solid"/>
            </v:shape>
            <v:rect style="position:absolute;left:2754;top:474;width:108;height:20" filled="true" fillcolor="#008360" stroked="false">
              <v:fill type="solid"/>
            </v:rect>
            <v:shape style="position:absolute;left:1029;top:109;width:1726;height:951" coordorigin="1029,110" coordsize="1726,951" path="m1137,722l1029,781m1245,651l1137,722m1353,535l1245,651m1461,431l1353,535m1569,276l1461,431m1676,110l1569,276m1784,272l1676,110m1892,410l1784,272m2000,493l1892,410m2108,735l2000,493m2216,893l2108,735m2323,1060l2216,893m2431,1014l2323,1060m2539,789l2431,1014m2647,560l2539,789m2755,485l2647,560e" filled="false" stroked="true" strokeweight="1pt" strokecolor="#008360">
              <v:path arrowok="t"/>
              <v:stroke dashstyle="solid"/>
            </v:shape>
            <v:rect style="position:absolute;left:2754;top:474;width:108;height:20" filled="true" fillcolor="#008360" stroked="false">
              <v:fill type="solid"/>
            </v:rect>
            <v:shape style="position:absolute;left:1029;top:109;width:1726;height:951" coordorigin="1029,110" coordsize="1726,951" path="m1137,722l1029,781m1245,651l1137,722m1353,535l1245,651m1461,431l1353,535m1569,276l1461,431m1676,110l1569,276m1784,272l1676,110m1892,410l1784,272m2000,493l1892,410m2108,735l2000,493m2216,893l2108,735m2323,1060l2216,893m2431,1014l2323,1060m2539,789l2431,1014m2647,560l2539,789m2755,485l2647,560e" filled="false" stroked="true" strokeweight="1pt" strokecolor="#008360">
              <v:path arrowok="t"/>
              <v:stroke dashstyle="solid"/>
            </v:shape>
            <v:rect style="position:absolute;left:2754;top:474;width:108;height:20" filled="true" fillcolor="#008360" stroked="false">
              <v:fill type="solid"/>
            </v:rect>
            <v:shape style="position:absolute;left:1029;top:109;width:1726;height:951" coordorigin="1029,110" coordsize="1726,951" path="m1137,722l1029,781m1245,651l1137,722m1353,535l1245,651m1461,431l1353,535m1569,276l1461,431m1676,110l1569,276m1784,272l1676,110m1892,410l1784,272m2000,493l1892,410m2108,735l2000,493m2216,893l2108,735m2323,1060l2216,893m2431,1014l2323,1060m2539,789l2431,1014m2647,560l2539,789m2755,485l2647,560e" filled="false" stroked="true" strokeweight="1pt" strokecolor="#008360">
              <v:path arrowok="t"/>
              <v:stroke dashstyle="solid"/>
            </v:shape>
            <v:rect style="position:absolute;left:2754;top:474;width:108;height:20" filled="true" fillcolor="#008360" stroked="false">
              <v:fill type="solid"/>
            </v:rect>
            <v:shape style="position:absolute;left:1029;top:109;width:1726;height:951" coordorigin="1029,110" coordsize="1726,951" path="m1137,722l1029,781m1245,651l1137,722m1353,535l1245,651m1461,431l1353,535m1569,276l1461,431m1676,110l1569,276m1784,272l1676,110m1892,410l1784,272m2000,493l1892,410m2108,735l2000,493m2216,893l2108,735m2323,1060l2216,893m2431,1014l2323,1060m2539,789l2431,1014m2647,560l2539,789m2755,485l2647,560e" filled="false" stroked="true" strokeweight="1pt" strokecolor="#008360">
              <v:path arrowok="t"/>
              <v:stroke dashstyle="solid"/>
            </v:shape>
            <v:rect style="position:absolute;left:2754;top:474;width:108;height:20" filled="true" fillcolor="#008360" stroked="false">
              <v:fill type="solid"/>
            </v:rect>
            <v:shape style="position:absolute;left:1029;top:109;width:1726;height:951" coordorigin="1029,110" coordsize="1726,951" path="m1137,722l1029,781m1245,651l1137,722m1353,535l1245,651m1461,431l1353,535m1569,276l1461,431m1676,110l1569,276m1784,272l1676,110m1892,410l1784,272m2000,493l1892,410m2108,735l2000,493m2216,893l2108,735m2323,1060l2216,893m2431,1014l2323,1060m2539,789l2431,1014m2647,560l2539,789m2755,485l2647,560e" filled="false" stroked="true" strokeweight="1pt" strokecolor="#008360">
              <v:path arrowok="t"/>
              <v:stroke dashstyle="solid"/>
            </v:shape>
            <v:rect style="position:absolute;left:2754;top:474;width:108;height:20" filled="true" fillcolor="#008360" stroked="false">
              <v:fill type="solid"/>
            </v:rect>
            <v:shape style="position:absolute;left:1029;top:109;width:1726;height:951" coordorigin="1029,110" coordsize="1726,951" path="m1137,722l1029,781m1245,651l1137,722m1353,535l1245,651m1461,431l1353,535m1569,276l1461,431m1676,110l1569,276m1784,272l1676,110m1892,410l1784,272m2000,493l1892,410m2108,735l2000,493m2216,893l2108,735m2323,1060l2216,893m2431,1014l2323,1060m2539,789l2431,1014m2647,560l2539,789m2755,485l2647,560e" filled="false" stroked="true" strokeweight="1pt" strokecolor="#008360">
              <v:path arrowok="t"/>
              <v:stroke dashstyle="solid"/>
            </v:shape>
            <v:rect style="position:absolute;left:2754;top:474;width:108;height:20" filled="true" fillcolor="#008360" stroked="false">
              <v:fill type="solid"/>
            </v:rect>
            <v:shape style="position:absolute;left:1029;top:109;width:1726;height:951" coordorigin="1029,110" coordsize="1726,951" path="m1137,722l1029,781m1245,651l1137,722m1353,535l1245,651m1461,431l1353,535m1569,276l1461,431m1676,110l1569,276m1784,272l1676,110m1892,410l1784,272m2000,493l1892,410m2108,735l2000,493m2216,893l2108,735m2323,1060l2216,893m2431,1014l2323,1060m2539,789l2431,1014m2647,560l2539,789m2755,485l2647,560e" filled="false" stroked="true" strokeweight="1pt" strokecolor="#008360">
              <v:path arrowok="t"/>
              <v:stroke dashstyle="solid"/>
            </v:shape>
            <v:rect style="position:absolute;left:2754;top:474;width:108;height:20" filled="true" fillcolor="#008360" stroked="false">
              <v:fill type="solid"/>
            </v:rect>
            <v:shape style="position:absolute;left:1029;top:109;width:1726;height:951" coordorigin="1029,110" coordsize="1726,951" path="m1137,722l1029,781m1245,651l1137,722m1353,535l1245,651m1461,431l1353,535m1569,276l1461,431m1676,110l1569,276m1784,272l1676,110m1892,410l1784,272m2000,493l1892,410m2108,735l2000,493m2216,893l2108,735m2323,1060l2216,893m2431,1014l2323,1060m2539,789l2431,1014m2647,560l2539,789m2755,485l2647,560e" filled="false" stroked="true" strokeweight="1pt" strokecolor="#008360">
              <v:path arrowok="t"/>
              <v:stroke dashstyle="solid"/>
            </v:shape>
            <v:rect style="position:absolute;left:2754;top:474;width:108;height:20" filled="true" fillcolor="#008360" stroked="false">
              <v:fill type="solid"/>
            </v:rect>
            <v:shape style="position:absolute;left:1029;top:109;width:1726;height:951" coordorigin="1029,110" coordsize="1726,951" path="m1137,722l1029,781m1245,651l1137,722m1353,535l1245,651m1461,431l1353,535m1569,276l1461,431m1676,110l1569,276m1784,272l1676,110m1892,410l1784,272m2000,493l1892,410m2108,735l2000,493m2216,893l2108,735m2323,1060l2216,893m2431,1014l2323,1060m2539,789l2431,1014m2647,560l2539,789m2755,485l2647,560e" filled="false" stroked="true" strokeweight="1pt" strokecolor="#008360">
              <v:path arrowok="t"/>
              <v:stroke dashstyle="solid"/>
            </v:shape>
            <v:rect style="position:absolute;left:2754;top:474;width:108;height:20" filled="true" fillcolor="#008360" stroked="false">
              <v:fill type="solid"/>
            </v:rect>
            <v:shape style="position:absolute;left:1029;top:109;width:1726;height:951" coordorigin="1029,110" coordsize="1726,951" path="m1137,722l1029,781m1245,651l1137,722m1353,535l1245,651m1461,431l1353,535m1569,276l1461,431m1676,110l1569,276m1784,272l1676,110m1892,410l1784,272m2000,493l1892,410m2108,735l2000,493m2216,893l2108,735m2323,1060l2216,893m2431,1014l2323,1060m2539,789l2431,1014m2647,560l2539,789m2755,485l2647,560e" filled="false" stroked="true" strokeweight="1pt" strokecolor="#008360">
              <v:path arrowok="t"/>
              <v:stroke dashstyle="solid"/>
            </v:shape>
            <v:rect style="position:absolute;left:2754;top:474;width:108;height:20" filled="true" fillcolor="#008360" stroked="false">
              <v:fill type="solid"/>
            </v:rect>
            <v:shape style="position:absolute;left:1029;top:109;width:1726;height:951" coordorigin="1029,110" coordsize="1726,951" path="m1137,722l1029,781m1245,651l1137,722m1353,535l1245,651m1461,431l1353,535m1569,276l1461,431m1676,110l1569,276m1784,272l1676,110m1892,410l1784,272m2000,493l1892,410m2108,735l2000,493m2216,893l2108,735m2323,1060l2216,893m2431,1014l2323,1060m2539,789l2431,1014m2647,560l2539,789m2755,485l2647,560e" filled="false" stroked="true" strokeweight="1pt" strokecolor="#008360">
              <v:path arrowok="t"/>
              <v:stroke dashstyle="solid"/>
            </v:shape>
            <v:rect style="position:absolute;left:2754;top:474;width:108;height:20" filled="true" fillcolor="#008360" stroked="false">
              <v:fill type="solid"/>
            </v:rect>
            <v:shape style="position:absolute;left:1029;top:109;width:1726;height:951" coordorigin="1029,110" coordsize="1726,951" path="m1137,722l1029,781m1245,651l1137,722m1353,535l1245,651m1461,431l1353,535m1569,276l1461,431m1676,110l1569,276m1784,272l1676,110m1892,410l1784,272m2000,493l1892,410m2108,735l2000,493m2216,893l2108,735m2323,1060l2216,893m2431,1014l2323,1060m2539,789l2431,1014m2647,560l2539,789m2755,485l2647,560e" filled="false" stroked="true" strokeweight="1pt" strokecolor="#008360">
              <v:path arrowok="t"/>
              <v:stroke dashstyle="solid"/>
            </v:shape>
            <v:rect style="position:absolute;left:2754;top:474;width:108;height:20" filled="true" fillcolor="#008360" stroked="false">
              <v:fill type="solid"/>
            </v:rect>
            <v:shape style="position:absolute;left:892;top:71;width:73;height:1251" coordorigin="893,71" coordsize="73,1251" path="m966,1322l893,1322m966,905l893,905m966,488l893,488m966,71l893,71e" filled="false" stroked="true" strokeweight=".5pt" strokecolor="#000000">
              <v:path arrowok="t"/>
              <v:stroke dashstyle="solid"/>
            </v:shape>
            <w10:wrap type="none"/>
          </v:group>
        </w:pict>
      </w:r>
      <w:r>
        <w:rPr>
          <w:sz w:val="12"/>
        </w:rPr>
        <w:t>4</w:t>
      </w:r>
    </w:p>
    <w:p>
      <w:pPr>
        <w:pStyle w:val="BodyText"/>
        <w:rPr>
          <w:sz w:val="12"/>
        </w:rPr>
      </w:pPr>
    </w:p>
    <w:p>
      <w:pPr>
        <w:pStyle w:val="BodyText"/>
        <w:spacing w:before="3"/>
        <w:rPr>
          <w:sz w:val="12"/>
        </w:rPr>
      </w:pPr>
    </w:p>
    <w:p>
      <w:pPr>
        <w:spacing w:before="0"/>
        <w:ind w:left="0" w:right="111" w:firstLine="0"/>
        <w:jc w:val="right"/>
        <w:rPr>
          <w:sz w:val="12"/>
        </w:rPr>
      </w:pPr>
      <w:r>
        <w:rPr>
          <w:sz w:val="12"/>
        </w:rPr>
        <w:t>3</w:t>
      </w:r>
    </w:p>
    <w:p>
      <w:pPr>
        <w:pStyle w:val="BodyText"/>
        <w:rPr>
          <w:sz w:val="12"/>
        </w:rPr>
      </w:pPr>
    </w:p>
    <w:p>
      <w:pPr>
        <w:pStyle w:val="BodyText"/>
        <w:spacing w:before="3"/>
        <w:rPr>
          <w:sz w:val="12"/>
        </w:rPr>
      </w:pPr>
    </w:p>
    <w:p>
      <w:pPr>
        <w:spacing w:before="0"/>
        <w:ind w:left="0" w:right="111" w:firstLine="0"/>
        <w:jc w:val="right"/>
        <w:rPr>
          <w:sz w:val="12"/>
        </w:rPr>
      </w:pPr>
      <w:r>
        <w:rPr>
          <w:sz w:val="12"/>
        </w:rPr>
        <w:t>2</w:t>
      </w:r>
    </w:p>
    <w:p>
      <w:pPr>
        <w:pStyle w:val="BodyText"/>
        <w:rPr>
          <w:sz w:val="12"/>
        </w:rPr>
      </w:pPr>
    </w:p>
    <w:p>
      <w:pPr>
        <w:pStyle w:val="BodyText"/>
        <w:spacing w:before="3"/>
        <w:rPr>
          <w:sz w:val="12"/>
        </w:rPr>
      </w:pPr>
    </w:p>
    <w:p>
      <w:pPr>
        <w:spacing w:before="0"/>
        <w:ind w:left="0" w:right="111" w:firstLine="0"/>
        <w:jc w:val="right"/>
        <w:rPr>
          <w:sz w:val="12"/>
        </w:rPr>
      </w:pPr>
      <w:r>
        <w:rPr>
          <w:sz w:val="12"/>
        </w:rPr>
        <w:t>1</w:t>
      </w:r>
    </w:p>
    <w:p>
      <w:pPr>
        <w:spacing w:before="37"/>
        <w:ind w:left="3317" w:right="0" w:firstLine="0"/>
        <w:jc w:val="left"/>
        <w:rPr>
          <w:sz w:val="16"/>
        </w:rPr>
      </w:pPr>
      <w:r>
        <w:rPr>
          <w:sz w:val="16"/>
        </w:rPr>
        <w:t>+</w:t>
      </w:r>
    </w:p>
    <w:p>
      <w:pPr>
        <w:spacing w:before="58"/>
        <w:ind w:left="0" w:right="111" w:firstLine="0"/>
        <w:jc w:val="right"/>
        <w:rPr>
          <w:sz w:val="12"/>
        </w:rPr>
      </w:pPr>
      <w:r>
        <w:rPr/>
        <w:pict>
          <v:line style="position:absolute;mso-position-horizontal-relative:page;mso-position-vertical-relative:paragraph;z-index:15730688" from="198.877007pt,6.291763pt" to="195.238007pt,6.291763pt" stroked="true" strokeweight=".5pt" strokecolor="#000000">
            <v:stroke dashstyle="solid"/>
            <w10:wrap type="none"/>
          </v:line>
        </w:pict>
      </w:r>
      <w:r>
        <w:rPr/>
        <w:pict>
          <v:shape style="position:absolute;margin-left:44.647999pt;margin-top:6.465763pt;width:147pt;height:.2pt;mso-position-horizontal-relative:page;mso-position-vertical-relative:paragraph;z-index:15732224" coordorigin="893,129" coordsize="2940,4" path="m966,129l893,129m1023,132l3832,132e" filled="false" stroked="true" strokeweight=".5pt" strokecolor="#000000">
            <v:path arrowok="t"/>
            <v:stroke dashstyle="solid"/>
            <w10:wrap type="none"/>
          </v:shape>
        </w:pict>
      </w:r>
      <w:r>
        <w:rPr>
          <w:sz w:val="12"/>
        </w:rPr>
        <w:t>0</w:t>
      </w:r>
    </w:p>
    <w:p>
      <w:pPr>
        <w:spacing w:before="38"/>
        <w:ind w:left="3327" w:right="0" w:firstLine="0"/>
        <w:jc w:val="left"/>
        <w:rPr>
          <w:sz w:val="16"/>
        </w:rPr>
      </w:pPr>
      <w:r>
        <w:rPr/>
        <w:pict>
          <v:shape style="position:absolute;margin-left:44.647999pt;margin-top:12.252744pt;width:154.25pt;height:5.3pt;mso-position-horizontal-relative:page;mso-position-vertical-relative:paragraph;z-index:15730176" coordorigin="893,245" coordsize="3085,106" path="m1030,348l3839,348m1029,348l1029,245m1137,348l1137,275m1245,348l1245,275m1353,348l1353,275m1461,348l1461,245m1569,348l1569,275m1676,348l1676,275m1784,348l1784,275m1892,348l1892,245m2000,348l2000,275m2108,348l2108,275m2216,348l2216,275m2323,348l2323,245m2431,348l2431,275m2539,348l2539,275m2647,348l2647,275m2755,348l2755,245m2863,348l2863,275m2970,348l2970,275m3078,348l3078,275m3186,348l3186,245m3294,348l3294,275m3402,348l3402,275m3510,348l3510,275m3617,348l3617,245m3725,348l3725,275m3833,348l3833,275m3978,347l3905,347m966,350l893,350e" filled="false" stroked="true" strokeweight=".5pt" strokecolor="#000000">
            <v:path arrowok="t"/>
            <v:stroke dashstyle="solid"/>
            <w10:wrap type="none"/>
          </v:shape>
        </w:pict>
      </w:r>
      <w:r>
        <w:rPr>
          <w:sz w:val="16"/>
        </w:rPr>
        <w:t>–</w:t>
      </w:r>
    </w:p>
    <w:p>
      <w:pPr>
        <w:spacing w:line="119" w:lineRule="exact" w:before="57"/>
        <w:ind w:left="3383" w:right="0" w:firstLine="0"/>
        <w:jc w:val="left"/>
        <w:rPr>
          <w:sz w:val="12"/>
        </w:rPr>
      </w:pPr>
      <w:r>
        <w:rPr>
          <w:sz w:val="12"/>
        </w:rPr>
        <w:t>1</w:t>
      </w:r>
    </w:p>
    <w:p>
      <w:pPr>
        <w:tabs>
          <w:tab w:pos="984" w:val="left" w:leader="none"/>
          <w:tab w:pos="1404" w:val="left" w:leader="none"/>
          <w:tab w:pos="1849" w:val="left" w:leader="none"/>
          <w:tab w:pos="2219" w:val="left" w:leader="none"/>
          <w:tab w:pos="2714" w:val="left" w:leader="none"/>
          <w:tab w:pos="3064" w:val="left" w:leader="none"/>
        </w:tabs>
        <w:spacing w:line="119" w:lineRule="exact" w:before="0"/>
        <w:ind w:left="514" w:right="0" w:firstLine="0"/>
        <w:jc w:val="left"/>
        <w:rPr>
          <w:sz w:val="12"/>
        </w:rPr>
      </w:pPr>
      <w:r>
        <w:rPr>
          <w:sz w:val="12"/>
        </w:rPr>
        <w:t>1996</w:t>
        <w:tab/>
        <w:t>97</w:t>
        <w:tab/>
        <w:t>98</w:t>
        <w:tab/>
        <w:t>99</w:t>
        <w:tab/>
        <w:t>2000</w:t>
        <w:tab/>
        <w:t>01</w:t>
        <w:tab/>
        <w:t>02</w:t>
      </w:r>
    </w:p>
    <w:p>
      <w:pPr>
        <w:pStyle w:val="BodyText"/>
        <w:spacing w:before="3"/>
        <w:rPr>
          <w:sz w:val="13"/>
        </w:rPr>
      </w:pPr>
    </w:p>
    <w:p>
      <w:pPr>
        <w:spacing w:line="208" w:lineRule="auto" w:before="0"/>
        <w:ind w:left="215" w:right="12" w:firstLine="0"/>
        <w:jc w:val="left"/>
        <w:rPr>
          <w:sz w:val="12"/>
        </w:rPr>
      </w:pPr>
      <w:r>
        <w:rPr>
          <w:sz w:val="12"/>
        </w:rPr>
        <w:t>The fan chart depicting the probability distribution for output growth is rather like a contour map. At any given point during the forecast period, the depth of shading represents the height of the probability density function over a range of outcomes for output. The darkest band includes the central (single most likely) projection and covers 10% of the probability. Each successive pair of bands is drawn to cover a further 10% of the probability, until 90% of the probability distribution is covered. The bands widen as the time horizon is extended, indicating increasing uncertainty about outcomes.</w:t>
      </w:r>
    </w:p>
    <w:p>
      <w:pPr>
        <w:spacing w:line="242" w:lineRule="auto" w:before="90"/>
        <w:ind w:left="215" w:right="222" w:firstLine="0"/>
        <w:jc w:val="left"/>
        <w:rPr>
          <w:sz w:val="24"/>
        </w:rPr>
      </w:pPr>
      <w:r>
        <w:rPr/>
        <w:br w:type="column"/>
      </w:r>
      <w:r>
        <w:rPr>
          <w:sz w:val="24"/>
        </w:rPr>
        <w:t>Labour market behaviour is a key determinant of domestic inflationary pressure. Official data since the last </w:t>
      </w:r>
      <w:r>
        <w:rPr>
          <w:i/>
          <w:sz w:val="24"/>
        </w:rPr>
        <w:t>Report </w:t>
      </w:r>
      <w:r>
        <w:rPr>
          <w:sz w:val="24"/>
        </w:rPr>
        <w:t>have shown a benign combination of rising employment growth and a sharp fall in pay growth.</w:t>
      </w:r>
    </w:p>
    <w:p>
      <w:pPr>
        <w:spacing w:line="242" w:lineRule="auto" w:before="5"/>
        <w:ind w:left="215" w:right="182" w:firstLine="0"/>
        <w:jc w:val="left"/>
        <w:rPr>
          <w:sz w:val="24"/>
        </w:rPr>
      </w:pPr>
      <w:r>
        <w:rPr>
          <w:sz w:val="24"/>
        </w:rPr>
        <w:t>Employment on the LFS measure has increased steadily since 1993, and </w:t>
      </w:r>
      <w:r>
        <w:rPr>
          <w:spacing w:val="-3"/>
          <w:sz w:val="24"/>
        </w:rPr>
        <w:t>grew </w:t>
      </w:r>
      <w:r>
        <w:rPr>
          <w:sz w:val="24"/>
        </w:rPr>
        <w:t>by 0.5% in the three months to </w:t>
      </w:r>
      <w:r>
        <w:rPr>
          <w:spacing w:val="-5"/>
          <w:sz w:val="24"/>
        </w:rPr>
        <w:t>May. </w:t>
      </w:r>
      <w:r>
        <w:rPr>
          <w:spacing w:val="-4"/>
          <w:sz w:val="24"/>
        </w:rPr>
        <w:t>Average </w:t>
      </w:r>
      <w:r>
        <w:rPr>
          <w:sz w:val="24"/>
        </w:rPr>
        <w:t>hours worked decreased, </w:t>
      </w:r>
      <w:r>
        <w:rPr>
          <w:spacing w:val="-4"/>
          <w:sz w:val="24"/>
        </w:rPr>
        <w:t>however, </w:t>
      </w:r>
      <w:r>
        <w:rPr>
          <w:sz w:val="24"/>
        </w:rPr>
        <w:t>so total hours </w:t>
      </w:r>
      <w:r>
        <w:rPr>
          <w:spacing w:val="-3"/>
          <w:sz w:val="24"/>
        </w:rPr>
        <w:t>have </w:t>
      </w:r>
      <w:r>
        <w:rPr>
          <w:sz w:val="24"/>
        </w:rPr>
        <w:t>not risen correspondingly. Unemployment has fallen further—to 5.6% on the LFS measure and to 3.8% on the claimant count, the lowest rate since 1975. Employment intentions are positive, particularly in the service </w:t>
      </w:r>
      <w:r>
        <w:rPr>
          <w:spacing w:val="-3"/>
          <w:sz w:val="24"/>
        </w:rPr>
        <w:t>sector, </w:t>
      </w:r>
      <w:r>
        <w:rPr>
          <w:sz w:val="24"/>
        </w:rPr>
        <w:t>but widespread skill shortages</w:t>
      </w:r>
      <w:r>
        <w:rPr>
          <w:spacing w:val="-17"/>
          <w:sz w:val="24"/>
        </w:rPr>
        <w:t> </w:t>
      </w:r>
      <w:r>
        <w:rPr>
          <w:sz w:val="24"/>
        </w:rPr>
        <w:t>persist.</w:t>
      </w:r>
    </w:p>
    <w:p>
      <w:pPr>
        <w:pStyle w:val="BodyText"/>
        <w:spacing w:before="2"/>
        <w:rPr>
          <w:sz w:val="25"/>
        </w:rPr>
      </w:pPr>
    </w:p>
    <w:p>
      <w:pPr>
        <w:spacing w:line="242" w:lineRule="auto" w:before="0"/>
        <w:ind w:left="215" w:right="222" w:firstLine="0"/>
        <w:jc w:val="left"/>
        <w:rPr>
          <w:sz w:val="24"/>
        </w:rPr>
      </w:pPr>
      <w:r>
        <w:rPr>
          <w:sz w:val="24"/>
        </w:rPr>
        <w:t>The headline measure of average earnings growth per head fell from 6.0% in February to 4.6% in </w:t>
      </w:r>
      <w:r>
        <w:rPr>
          <w:spacing w:val="-5"/>
          <w:sz w:val="24"/>
        </w:rPr>
        <w:t>May. </w:t>
      </w:r>
      <w:r>
        <w:rPr>
          <w:sz w:val="24"/>
        </w:rPr>
        <w:t>The boost</w:t>
      </w:r>
      <w:r>
        <w:rPr>
          <w:spacing w:val="-5"/>
          <w:sz w:val="24"/>
        </w:rPr>
        <w:t> </w:t>
      </w:r>
      <w:r>
        <w:rPr>
          <w:sz w:val="24"/>
        </w:rPr>
        <w:t>to</w:t>
      </w:r>
      <w:r>
        <w:rPr>
          <w:spacing w:val="-5"/>
          <w:sz w:val="24"/>
        </w:rPr>
        <w:t> </w:t>
      </w:r>
      <w:r>
        <w:rPr>
          <w:sz w:val="24"/>
        </w:rPr>
        <w:t>pay</w:t>
      </w:r>
      <w:r>
        <w:rPr>
          <w:spacing w:val="-5"/>
          <w:sz w:val="24"/>
        </w:rPr>
        <w:t> </w:t>
      </w:r>
      <w:r>
        <w:rPr>
          <w:sz w:val="24"/>
        </w:rPr>
        <w:t>growth</w:t>
      </w:r>
      <w:r>
        <w:rPr>
          <w:spacing w:val="-4"/>
          <w:sz w:val="24"/>
        </w:rPr>
        <w:t> </w:t>
      </w:r>
      <w:r>
        <w:rPr>
          <w:sz w:val="24"/>
        </w:rPr>
        <w:t>around</w:t>
      </w:r>
      <w:r>
        <w:rPr>
          <w:spacing w:val="-5"/>
          <w:sz w:val="24"/>
        </w:rPr>
        <w:t> </w:t>
      </w:r>
      <w:r>
        <w:rPr>
          <w:sz w:val="24"/>
        </w:rPr>
        <w:t>the</w:t>
      </w:r>
      <w:r>
        <w:rPr>
          <w:spacing w:val="-5"/>
          <w:sz w:val="24"/>
        </w:rPr>
        <w:t> </w:t>
      </w:r>
      <w:r>
        <w:rPr>
          <w:sz w:val="24"/>
        </w:rPr>
        <w:t>turn</w:t>
      </w:r>
      <w:r>
        <w:rPr>
          <w:spacing w:val="-4"/>
          <w:sz w:val="24"/>
        </w:rPr>
        <w:t> </w:t>
      </w:r>
      <w:r>
        <w:rPr>
          <w:sz w:val="24"/>
        </w:rPr>
        <w:t>of</w:t>
      </w:r>
      <w:r>
        <w:rPr>
          <w:spacing w:val="-5"/>
          <w:sz w:val="24"/>
        </w:rPr>
        <w:t> </w:t>
      </w:r>
      <w:r>
        <w:rPr>
          <w:sz w:val="24"/>
        </w:rPr>
        <w:t>the</w:t>
      </w:r>
      <w:r>
        <w:rPr>
          <w:spacing w:val="-5"/>
          <w:sz w:val="24"/>
        </w:rPr>
        <w:t> </w:t>
      </w:r>
      <w:r>
        <w:rPr>
          <w:sz w:val="24"/>
        </w:rPr>
        <w:t>year</w:t>
      </w:r>
      <w:r>
        <w:rPr>
          <w:spacing w:val="-5"/>
          <w:sz w:val="24"/>
        </w:rPr>
        <w:t> </w:t>
      </w:r>
      <w:r>
        <w:rPr>
          <w:sz w:val="24"/>
        </w:rPr>
        <w:t>appears to </w:t>
      </w:r>
      <w:r>
        <w:rPr>
          <w:spacing w:val="-3"/>
          <w:sz w:val="24"/>
        </w:rPr>
        <w:t>have </w:t>
      </w:r>
      <w:r>
        <w:rPr>
          <w:sz w:val="24"/>
        </w:rPr>
        <w:t>been in large part a temporary phenomenon </w:t>
      </w:r>
      <w:r>
        <w:rPr>
          <w:spacing w:val="-3"/>
          <w:sz w:val="24"/>
        </w:rPr>
        <w:t>driven </w:t>
      </w:r>
      <w:r>
        <w:rPr>
          <w:sz w:val="24"/>
        </w:rPr>
        <w:t>by millennium-related payments and</w:t>
      </w:r>
      <w:r>
        <w:rPr>
          <w:spacing w:val="-19"/>
          <w:sz w:val="24"/>
        </w:rPr>
        <w:t> </w:t>
      </w:r>
      <w:r>
        <w:rPr>
          <w:sz w:val="24"/>
        </w:rPr>
        <w:t>bonuses.</w:t>
      </w:r>
    </w:p>
    <w:p>
      <w:pPr>
        <w:spacing w:line="242" w:lineRule="auto" w:before="7"/>
        <w:ind w:left="215" w:right="42" w:firstLine="0"/>
        <w:jc w:val="left"/>
        <w:rPr>
          <w:sz w:val="24"/>
        </w:rPr>
      </w:pPr>
      <w:r>
        <w:rPr>
          <w:sz w:val="24"/>
        </w:rPr>
        <w:t>Wage settlements have been near 3% on average, though there are some reports of prospective upward pressures. Measures of labour productivity growth have picked up over the past year, and growth of unit labour costs has moderated to around 3%. These recent indications of rather weaker-than-expected earnings growth combined with falling unemployment provide some evidence that underlying labour market performance is better than previously judged.</w:t>
      </w:r>
    </w:p>
    <w:p>
      <w:pPr>
        <w:pStyle w:val="BodyText"/>
        <w:spacing w:before="3"/>
        <w:rPr>
          <w:sz w:val="25"/>
        </w:rPr>
      </w:pPr>
    </w:p>
    <w:p>
      <w:pPr>
        <w:spacing w:line="242" w:lineRule="auto" w:before="1"/>
        <w:ind w:left="215" w:right="222" w:firstLine="0"/>
        <w:jc w:val="left"/>
        <w:rPr>
          <w:sz w:val="24"/>
        </w:rPr>
      </w:pPr>
      <w:r>
        <w:rPr>
          <w:sz w:val="24"/>
        </w:rPr>
        <w:t>Chart 1 shows the Committee’s assessment of the outlook for GDP growth, on the assumption that the</w:t>
      </w:r>
    </w:p>
    <w:p>
      <w:pPr>
        <w:spacing w:after="0" w:line="242" w:lineRule="auto"/>
        <w:jc w:val="left"/>
        <w:rPr>
          <w:sz w:val="24"/>
        </w:rPr>
        <w:sectPr>
          <w:type w:val="continuous"/>
          <w:pgSz w:w="11900" w:h="16840"/>
          <w:pgMar w:top="1260" w:bottom="280" w:left="640" w:right="640"/>
          <w:cols w:num="2" w:equalWidth="0">
            <w:col w:w="3557" w:space="1188"/>
            <w:col w:w="5875"/>
          </w:cols>
        </w:sectPr>
      </w:pPr>
    </w:p>
    <w:p>
      <w:pPr>
        <w:pStyle w:val="BodyText"/>
        <w:rPr>
          <w:sz w:val="20"/>
        </w:rPr>
      </w:pPr>
    </w:p>
    <w:p>
      <w:pPr>
        <w:spacing w:after="0"/>
        <w:rPr>
          <w:sz w:val="20"/>
        </w:rPr>
        <w:sectPr>
          <w:headerReference w:type="even" r:id="rId11"/>
          <w:footerReference w:type="even" r:id="rId12"/>
          <w:pgSz w:w="11900" w:h="16840"/>
          <w:pgMar w:header="586" w:footer="592" w:top="780" w:bottom="780" w:left="640" w:right="640"/>
          <w:pgNumType w:start="4"/>
        </w:sectPr>
      </w:pPr>
    </w:p>
    <w:p>
      <w:pPr>
        <w:pStyle w:val="BodyText"/>
        <w:spacing w:before="7"/>
        <w:rPr>
          <w:sz w:val="21"/>
        </w:rPr>
      </w:pPr>
    </w:p>
    <w:p>
      <w:pPr>
        <w:pStyle w:val="Heading6"/>
        <w:spacing w:before="0"/>
        <w:ind w:left="190"/>
      </w:pPr>
      <w:r>
        <w:rPr>
          <w:color w:val="0092C7"/>
        </w:rPr>
        <w:t>Chart 2</w:t>
      </w:r>
    </w:p>
    <w:p>
      <w:pPr>
        <w:pStyle w:val="Heading6"/>
        <w:spacing w:line="249" w:lineRule="auto"/>
        <w:ind w:left="190" w:right="12"/>
      </w:pPr>
      <w:r>
        <w:rPr>
          <w:color w:val="0092C7"/>
        </w:rPr>
        <w:t>Current RPIX inflation projection based on constant nominal interest rates at 6%</w:t>
      </w:r>
    </w:p>
    <w:p>
      <w:pPr>
        <w:spacing w:before="138"/>
        <w:ind w:left="1136" w:right="0" w:firstLine="0"/>
        <w:jc w:val="left"/>
        <w:rPr>
          <w:sz w:val="12"/>
        </w:rPr>
      </w:pPr>
      <w:r>
        <w:rPr/>
        <w:pict>
          <v:line style="position:absolute;mso-position-horizontal-relative:page;mso-position-vertical-relative:paragraph;z-index:-23561728" from="198.730996pt,14.599561pt" to="194.964996pt,14.599561pt" stroked="true" strokeweight=".5pt" strokecolor="#000000">
            <v:stroke dashstyle="solid"/>
            <w10:wrap type="none"/>
          </v:line>
        </w:pict>
      </w:r>
      <w:r>
        <w:rPr/>
        <w:pict>
          <v:line style="position:absolute;mso-position-horizontal-relative:page;mso-position-vertical-relative:paragraph;z-index:15737344" from="45.225pt,14.599561pt" to="41.459pt,14.599561pt" stroked="true" strokeweight=".5pt" strokecolor="#000000">
            <v:stroke dashstyle="solid"/>
            <w10:wrap type="none"/>
          </v:line>
        </w:pict>
      </w:r>
      <w:r>
        <w:rPr>
          <w:sz w:val="12"/>
        </w:rPr>
        <w:t>Percentage increase in prices on a year earlier </w:t>
      </w:r>
      <w:r>
        <w:rPr>
          <w:position w:val="-8"/>
          <w:sz w:val="12"/>
        </w:rPr>
        <w:t>5</w:t>
      </w:r>
    </w:p>
    <w:p>
      <w:pPr>
        <w:pStyle w:val="BodyText"/>
        <w:rPr>
          <w:sz w:val="22"/>
        </w:rPr>
      </w:pPr>
    </w:p>
    <w:p>
      <w:pPr>
        <w:spacing w:before="193"/>
        <w:ind w:left="0" w:right="256" w:firstLine="0"/>
        <w:jc w:val="right"/>
        <w:rPr>
          <w:sz w:val="12"/>
        </w:rPr>
      </w:pPr>
      <w:r>
        <w:rPr/>
        <w:pict>
          <v:line style="position:absolute;mso-position-horizontal-relative:page;mso-position-vertical-relative:paragraph;z-index:15735808" from="198.730996pt,13.960764pt" to="194.964996pt,13.960764pt" stroked="true" strokeweight=".5pt" strokecolor="#000000">
            <v:stroke dashstyle="solid"/>
            <w10:wrap type="none"/>
          </v:line>
        </w:pict>
      </w:r>
      <w:r>
        <w:rPr/>
        <w:pict>
          <v:line style="position:absolute;mso-position-horizontal-relative:page;mso-position-vertical-relative:paragraph;z-index:15736832" from="45.225pt,13.960764pt" to="41.459pt,13.960764pt" stroked="true" strokeweight=".5pt" strokecolor="#000000">
            <v:stroke dashstyle="solid"/>
            <w10:wrap type="none"/>
          </v:line>
        </w:pict>
      </w:r>
      <w:r>
        <w:rPr>
          <w:sz w:val="12"/>
        </w:rPr>
        <w:t>4</w:t>
      </w:r>
    </w:p>
    <w:p>
      <w:pPr>
        <w:spacing w:line="242" w:lineRule="auto" w:before="227"/>
        <w:ind w:left="190" w:right="159" w:firstLine="0"/>
        <w:jc w:val="left"/>
        <w:rPr>
          <w:sz w:val="24"/>
        </w:rPr>
      </w:pPr>
      <w:r>
        <w:rPr/>
        <w:br w:type="column"/>
      </w:r>
      <w:r>
        <w:rPr>
          <w:sz w:val="24"/>
        </w:rPr>
        <w:t>official interest rate remains at 6%. In the central projection, annual growth eases from its present rate to around 2</w:t>
      </w:r>
      <w:r>
        <w:rPr>
          <w:position w:val="8"/>
          <w:sz w:val="12"/>
        </w:rPr>
        <w:t>1</w:t>
      </w:r>
      <w:r>
        <w:rPr>
          <w:sz w:val="24"/>
        </w:rPr>
        <w:t>/</w:t>
      </w:r>
      <w:r>
        <w:rPr>
          <w:sz w:val="12"/>
        </w:rPr>
        <w:t>2</w:t>
      </w:r>
      <w:r>
        <w:rPr>
          <w:sz w:val="24"/>
        </w:rPr>
        <w:t>%—near trend—before rising slightly in the second year of the forecast. The profile is similar to that in the May </w:t>
      </w:r>
      <w:r>
        <w:rPr>
          <w:i/>
          <w:sz w:val="24"/>
        </w:rPr>
        <w:t>Report</w:t>
      </w:r>
      <w:r>
        <w:rPr>
          <w:sz w:val="24"/>
        </w:rPr>
        <w:t>, with softer consumer demand growth balanced by somewhat firmer external and public sector demand.</w:t>
      </w:r>
    </w:p>
    <w:p>
      <w:pPr>
        <w:spacing w:after="0" w:line="242" w:lineRule="auto"/>
        <w:jc w:val="left"/>
        <w:rPr>
          <w:sz w:val="24"/>
        </w:rPr>
        <w:sectPr>
          <w:type w:val="continuous"/>
          <w:pgSz w:w="11900" w:h="16840"/>
          <w:pgMar w:top="1260" w:bottom="280" w:left="640" w:right="640"/>
          <w:cols w:num="2" w:equalWidth="0">
            <w:col w:w="3700" w:space="1070"/>
            <w:col w:w="5850"/>
          </w:cols>
        </w:sectPr>
      </w:pPr>
    </w:p>
    <w:p>
      <w:pPr>
        <w:pStyle w:val="BodyText"/>
        <w:spacing w:before="9"/>
        <w:rPr>
          <w:sz w:val="9"/>
        </w:rPr>
      </w:pPr>
    </w:p>
    <w:p>
      <w:pPr>
        <w:spacing w:after="0"/>
        <w:rPr>
          <w:sz w:val="9"/>
        </w:rPr>
        <w:sectPr>
          <w:type w:val="continuous"/>
          <w:pgSz w:w="11900" w:h="16840"/>
          <w:pgMar w:top="1260" w:bottom="280" w:left="640" w:right="6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0"/>
        </w:rPr>
      </w:pPr>
    </w:p>
    <w:p>
      <w:pPr>
        <w:pStyle w:val="BodyText"/>
        <w:spacing w:line="20" w:lineRule="exact"/>
        <w:ind w:left="184"/>
        <w:rPr>
          <w:sz w:val="2"/>
        </w:rPr>
      </w:pPr>
      <w:r>
        <w:rPr>
          <w:sz w:val="2"/>
        </w:rPr>
        <w:pict>
          <v:group style="width:3.8pt;height:.5pt;mso-position-horizontal-relative:char;mso-position-vertical-relative:line" coordorigin="0,0" coordsize="76,10">
            <v:line style="position:absolute" from="75,5" to="0,5" stroked="true" strokeweight=".5pt" strokecolor="#000000">
              <v:stroke dashstyle="solid"/>
            </v:line>
          </v:group>
        </w:pict>
      </w:r>
      <w:r>
        <w:rPr>
          <w:sz w:val="2"/>
        </w:rPr>
      </w:r>
    </w:p>
    <w:p>
      <w:pPr>
        <w:pStyle w:val="BodyText"/>
        <w:rPr>
          <w:sz w:val="12"/>
        </w:rPr>
      </w:pPr>
    </w:p>
    <w:p>
      <w:pPr>
        <w:pStyle w:val="BodyText"/>
        <w:rPr>
          <w:sz w:val="12"/>
        </w:rPr>
      </w:pPr>
    </w:p>
    <w:p>
      <w:pPr>
        <w:pStyle w:val="BodyText"/>
        <w:rPr>
          <w:sz w:val="12"/>
        </w:rPr>
      </w:pPr>
    </w:p>
    <w:p>
      <w:pPr>
        <w:pStyle w:val="BodyText"/>
        <w:spacing w:before="8"/>
        <w:rPr>
          <w:sz w:val="16"/>
        </w:rPr>
      </w:pPr>
    </w:p>
    <w:p>
      <w:pPr>
        <w:tabs>
          <w:tab w:pos="911" w:val="left" w:leader="none"/>
          <w:tab w:pos="1370" w:val="left" w:leader="none"/>
          <w:tab w:pos="1807" w:val="left" w:leader="none"/>
          <w:tab w:pos="2212" w:val="left" w:leader="none"/>
          <w:tab w:pos="2710" w:val="left" w:leader="none"/>
          <w:tab w:pos="3080" w:val="left" w:leader="none"/>
        </w:tabs>
        <w:spacing w:line="130" w:lineRule="exact" w:before="0"/>
        <w:ind w:left="412" w:right="0" w:firstLine="0"/>
        <w:jc w:val="left"/>
        <w:rPr>
          <w:sz w:val="12"/>
        </w:rPr>
      </w:pPr>
      <w:r>
        <w:rPr>
          <w:sz w:val="12"/>
        </w:rPr>
        <w:t>1996</w:t>
        <w:tab/>
        <w:t>97</w:t>
        <w:tab/>
        <w:t>98</w:t>
        <w:tab/>
        <w:t>99</w:t>
        <w:tab/>
        <w:t>2000</w:t>
        <w:tab/>
        <w:t>01</w:t>
        <w:tab/>
      </w:r>
      <w:r>
        <w:rPr>
          <w:spacing w:val="-10"/>
          <w:sz w:val="12"/>
        </w:rPr>
        <w:t>02</w:t>
      </w:r>
    </w:p>
    <w:p>
      <w:pPr>
        <w:spacing w:before="95"/>
        <w:ind w:left="36" w:right="20" w:firstLine="0"/>
        <w:jc w:val="center"/>
        <w:rPr>
          <w:sz w:val="12"/>
        </w:rPr>
      </w:pPr>
      <w:r>
        <w:rPr/>
        <w:br w:type="column"/>
      </w:r>
      <w:r>
        <w:rPr>
          <w:sz w:val="12"/>
        </w:rPr>
        <w:t>3</w:t>
      </w:r>
    </w:p>
    <w:p>
      <w:pPr>
        <w:pStyle w:val="BodyText"/>
        <w:spacing w:before="7"/>
        <w:rPr>
          <w:sz w:val="15"/>
        </w:rPr>
      </w:pPr>
    </w:p>
    <w:p>
      <w:pPr>
        <w:spacing w:before="1"/>
        <w:ind w:left="115" w:right="20" w:firstLine="0"/>
        <w:jc w:val="center"/>
        <w:rPr>
          <w:sz w:val="12"/>
        </w:rPr>
      </w:pPr>
      <w:r>
        <w:rPr/>
        <w:pict>
          <v:group style="position:absolute;margin-left:41.459pt;margin-top:-36.707447pt;width:157.35pt;height:73.75pt;mso-position-horizontal-relative:page;mso-position-vertical-relative:paragraph;z-index:15734272" coordorigin="829,-734" coordsize="3147,1475">
            <v:shape style="position:absolute;left:2847;top:-735;width:1005;height:1475" coordorigin="2848,-734" coordsize="1005,1475" path="m3852,-734l3740,-698,3629,-643,3517,-564,3294,-346,3183,-158,3071,-67,2959,-18,2848,334,2959,310,3071,473,3183,595,3294,625,3406,625,3517,595,3629,631,3740,698,3852,740,3852,-734xe" filled="true" fillcolor="#fdeee8" stroked="false">
              <v:path arrowok="t"/>
              <v:fill type="solid"/>
            </v:shape>
            <v:shape style="position:absolute;left:2847;top:-589;width:1005;height:1153" coordorigin="2848,-589" coordsize="1005,1153" path="m3852,-589l3740,-552,3629,-510,3517,-443,3406,-334,3294,-237,3183,-73,3071,-6,2959,18,2848,334,2959,273,3071,419,3183,516,3294,522,3406,510,3517,467,3629,486,3740,534,3852,564,3852,-589xe" filled="true" fillcolor="#fcdfd1" stroked="false">
              <v:path arrowok="t"/>
              <v:fill type="solid"/>
            </v:shape>
            <v:shape style="position:absolute;left:2847;top:-486;width:1005;height:941" coordorigin="2848,-485" coordsize="1005,941" path="m3852,-485l3740,-455,3629,-419,3517,-358,3406,-255,3294,-164,3183,-18,3071,36,2959,43,2848,334,2959,249,3071,376,3183,455,3294,443,3406,425,3517,370,3629,382,3740,425,3852,443,3852,-485xe" filled="true" fillcolor="#facfb9" stroked="false">
              <v:path arrowok="t"/>
              <v:fill type="solid"/>
            </v:shape>
            <v:shape style="position:absolute;left:2847;top:-407;width:1005;height:820" coordorigin="2848,-406" coordsize="1005,820" path="m3852,-406l3740,-382,3629,-346,3517,-285,3406,-188,3294,-109,3183,24,3071,67,2959,61,2848,334,2959,231,3071,346,3183,413,3406,364,3517,304,3629,310,3740,340,3852,352,3852,-406xe" filled="true" fillcolor="#f8bda3" stroked="false">
              <v:path arrowok="t"/>
              <v:fill type="solid"/>
            </v:shape>
            <v:shape style="position:absolute;left:2847;top:-340;width:1005;height:717" coordorigin="2848,-340" coordsize="1005,717" path="m3852,-340l3740,-315,3629,-285,3517,-230,3406,-133,3294,-54,3183,67,3071,97,2959,79,2848,334,2959,213,3071,316,3183,376,3294,340,3406,310,3517,243,3629,237,3740,261,3852,267,3852,-340xe" filled="true" fillcolor="#f6ab8e" stroked="false">
              <v:path arrowok="t"/>
              <v:fill type="solid"/>
            </v:shape>
            <v:shape style="position:absolute;left:2847;top:-279;width:1005;height:619" coordorigin="2848,-279" coordsize="1005,619" path="m3852,-279l3629,-230,3517,-182,3406,-85,3294,-12,3183,97,3071,122,2959,97,2848,334,2959,200,3071,291,3183,340,3294,298,3406,261,3517,194,3629,176,3740,188,3852,194,3852,-279xe" filled="true" fillcolor="#f19779" stroked="false">
              <v:path arrowok="t"/>
              <v:fill type="solid"/>
            </v:shape>
            <v:shape style="position:absolute;left:2847;top:-219;width:1005;height:553" coordorigin="2848,-218" coordsize="1005,553" path="m3852,-218l3629,-182,3517,-133,3406,-42,3294,25,3183,128,3071,140,2959,110,2848,334,2959,182,3071,267,3183,310,3294,255,3406,213,3517,140,3629,122,3740,128,3852,128,3852,-218xe" filled="true" fillcolor="#ed8267" stroked="false">
              <v:path arrowok="t"/>
              <v:fill type="solid"/>
            </v:shape>
            <v:shape style="position:absolute;left:2847;top:-164;width:1005;height:498" coordorigin="2848,-163" coordsize="1005,498" path="m3852,-163l3740,-145,3629,-133,3517,-91,3406,0,3294,61,3183,158,3071,164,2959,122,2848,334,2959,170,3071,249,3183,280,3294,219,3406,170,3517,91,3629,67,3740,73,3852,67,3852,-163xe" filled="true" fillcolor="#ea6b54" stroked="false">
              <v:path arrowok="t"/>
              <v:fill type="solid"/>
            </v:shape>
            <v:shape style="position:absolute;left:2847;top:-115;width:1005;height:450" coordorigin="2848,-115" coordsize="1005,450" path="m3852,-115l3740,-103,3629,-84,3517,-42,3406,43,3294,104,3183,189,3071,183,2959,134,2848,334,2959,158,3071,225,3183,249,3294,177,3406,128,3517,49,3629,13,3852,1,3852,-115xe" filled="true" fillcolor="#de0035" stroked="false">
              <v:path arrowok="t"/>
              <v:fill type="solid"/>
            </v:shape>
            <v:shape style="position:absolute;left:3899;top:-231;width:76;height:607" coordorigin="3899,-231" coordsize="76,607" path="m3975,376l3899,376m3975,-231l3899,-231e" filled="false" stroked="true" strokeweight=".5pt" strokecolor="#000000">
              <v:path arrowok="t"/>
              <v:stroke dashstyle="solid"/>
            </v:shape>
            <v:shape style="position:absolute;left:949;top:-365;width:670;height:401" coordorigin="950,-364" coordsize="670,401" path="m1061,-127l950,-158m1173,-170l1061,-127m1285,-364l1173,-170m1396,-146l1285,-364m1508,36l1396,-146m1619,-115l1508,36e" filled="false" stroked="true" strokeweight="1pt" strokecolor="#de0035">
              <v:path arrowok="t"/>
              <v:stroke dashstyle="solid"/>
            </v:shape>
            <v:line style="position:absolute" from="1609,-112" to="1741,-112" stroked="true" strokeweight="1.303pt" strokecolor="#de0035">
              <v:stroke dashstyle="solid"/>
            </v:line>
            <v:shape style="position:absolute;left:1730;top:-195;width:335;height:237" coordorigin="1731,-194" coordsize="335,237" path="m1842,18l1731,-109m1954,-194l1842,18m2066,43l1954,-194e" filled="false" stroked="true" strokeweight="1pt" strokecolor="#de0035">
              <v:path arrowok="t"/>
              <v:stroke dashstyle="solid"/>
            </v:shape>
            <v:line style="position:absolute" from="2056,49" to="2187,49" stroked="true" strokeweight="1.607pt" strokecolor="#de0035">
              <v:stroke dashstyle="solid"/>
            </v:line>
            <v:rect style="position:absolute;left:2177;top:44;width:112;height:20" filled="true" fillcolor="#de0035" stroked="false">
              <v:fill type="solid"/>
            </v:rect>
            <v:shape style="position:absolute;left:2288;top:54;width:224;height:219" coordorigin="2289,55" coordsize="224,219" path="m2400,194l2289,55m2512,273l2400,194e" filled="false" stroked="true" strokeweight="1pt" strokecolor="#de0035">
              <v:path arrowok="t"/>
              <v:stroke dashstyle="solid"/>
            </v:shape>
            <v:line style="position:absolute" from="2502,276" to="2634,276" stroked="true" strokeweight="1.303pt" strokecolor="#de0035">
              <v:stroke dashstyle="solid"/>
            </v:line>
            <v:line style="position:absolute" from="2735,322" to="2624,279" stroked="true" strokeweight="1.0pt" strokecolor="#de0035">
              <v:stroke dashstyle="solid"/>
            </v:line>
            <v:line style="position:absolute" from="2725,328" to="2857,328" stroked="true" strokeweight="1.607pt" strokecolor="#de0035">
              <v:stroke dashstyle="solid"/>
            </v:line>
            <v:shape style="position:absolute;left:949;top:-365;width:670;height:401" coordorigin="950,-364" coordsize="670,401" path="m1061,-127l950,-158m1173,-170l1061,-127m1285,-364l1173,-170m1396,-146l1285,-364m1508,36l1396,-146m1619,-115l1508,36e" filled="false" stroked="true" strokeweight="1pt" strokecolor="#de0035">
              <v:path arrowok="t"/>
              <v:stroke dashstyle="solid"/>
            </v:shape>
            <v:line style="position:absolute" from="1609,-112" to="1741,-112" stroked="true" strokeweight="1.303pt" strokecolor="#de0035">
              <v:stroke dashstyle="solid"/>
            </v:line>
            <v:shape style="position:absolute;left:1730;top:-195;width:335;height:237" coordorigin="1731,-194" coordsize="335,237" path="m1842,18l1731,-109m1954,-194l1842,18m2066,43l1954,-194e" filled="false" stroked="true" strokeweight="1pt" strokecolor="#de0035">
              <v:path arrowok="t"/>
              <v:stroke dashstyle="solid"/>
            </v:shape>
            <v:line style="position:absolute" from="2056,49" to="2187,49" stroked="true" strokeweight="1.607pt" strokecolor="#de0035">
              <v:stroke dashstyle="solid"/>
            </v:line>
            <v:rect style="position:absolute;left:2177;top:44;width:112;height:20" filled="true" fillcolor="#de0035" stroked="false">
              <v:fill type="solid"/>
            </v:rect>
            <v:shape style="position:absolute;left:2288;top:54;width:224;height:219" coordorigin="2289,55" coordsize="224,219" path="m2400,194l2289,55m2512,273l2400,194e" filled="false" stroked="true" strokeweight="1pt" strokecolor="#de0035">
              <v:path arrowok="t"/>
              <v:stroke dashstyle="solid"/>
            </v:shape>
            <v:line style="position:absolute" from="2502,276" to="2634,276" stroked="true" strokeweight="1.303pt" strokecolor="#de0035">
              <v:stroke dashstyle="solid"/>
            </v:line>
            <v:line style="position:absolute" from="2735,322" to="2624,279" stroked="true" strokeweight="1.0pt" strokecolor="#de0035">
              <v:stroke dashstyle="solid"/>
            </v:line>
            <v:line style="position:absolute" from="2725,328" to="2857,328" stroked="true" strokeweight="1.607pt" strokecolor="#de0035">
              <v:stroke dashstyle="solid"/>
            </v:line>
            <v:shape style="position:absolute;left:949;top:-365;width:670;height:401" coordorigin="950,-364" coordsize="670,401" path="m1061,-127l950,-158m1173,-170l1061,-127m1285,-364l1173,-170m1396,-146l1285,-364m1508,36l1396,-146m1619,-115l1508,36e" filled="false" stroked="true" strokeweight="1pt" strokecolor="#de0035">
              <v:path arrowok="t"/>
              <v:stroke dashstyle="solid"/>
            </v:shape>
            <v:line style="position:absolute" from="1609,-112" to="1741,-112" stroked="true" strokeweight="1.303pt" strokecolor="#de0035">
              <v:stroke dashstyle="solid"/>
            </v:line>
            <v:shape style="position:absolute;left:1730;top:-195;width:335;height:237" coordorigin="1731,-194" coordsize="335,237" path="m1842,18l1731,-109m1954,-194l1842,18m2066,43l1954,-194e" filled="false" stroked="true" strokeweight="1pt" strokecolor="#de0035">
              <v:path arrowok="t"/>
              <v:stroke dashstyle="solid"/>
            </v:shape>
            <v:line style="position:absolute" from="2056,49" to="2187,49" stroked="true" strokeweight="1.607pt" strokecolor="#de0035">
              <v:stroke dashstyle="solid"/>
            </v:line>
            <v:rect style="position:absolute;left:2177;top:44;width:112;height:20" filled="true" fillcolor="#de0035" stroked="false">
              <v:fill type="solid"/>
            </v:rect>
            <v:shape style="position:absolute;left:2288;top:54;width:224;height:219" coordorigin="2289,55" coordsize="224,219" path="m2400,194l2289,55m2512,273l2400,194e" filled="false" stroked="true" strokeweight="1pt" strokecolor="#de0035">
              <v:path arrowok="t"/>
              <v:stroke dashstyle="solid"/>
            </v:shape>
            <v:line style="position:absolute" from="2502,276" to="2634,276" stroked="true" strokeweight="1.303pt" strokecolor="#de0035">
              <v:stroke dashstyle="solid"/>
            </v:line>
            <v:line style="position:absolute" from="2735,322" to="2624,279" stroked="true" strokeweight="1.0pt" strokecolor="#de0035">
              <v:stroke dashstyle="solid"/>
            </v:line>
            <v:line style="position:absolute" from="2725,328" to="2857,328" stroked="true" strokeweight="1.607pt" strokecolor="#de0035">
              <v:stroke dashstyle="solid"/>
            </v:line>
            <v:shape style="position:absolute;left:949;top:-365;width:670;height:401" coordorigin="950,-364" coordsize="670,401" path="m1061,-127l950,-158m1173,-170l1061,-127m1285,-364l1173,-170m1396,-146l1285,-364m1508,36l1396,-146m1619,-115l1508,36e" filled="false" stroked="true" strokeweight="1pt" strokecolor="#de0035">
              <v:path arrowok="t"/>
              <v:stroke dashstyle="solid"/>
            </v:shape>
            <v:line style="position:absolute" from="1609,-112" to="1741,-112" stroked="true" strokeweight="1.303pt" strokecolor="#de0035">
              <v:stroke dashstyle="solid"/>
            </v:line>
            <v:shape style="position:absolute;left:1730;top:-195;width:335;height:237" coordorigin="1731,-194" coordsize="335,237" path="m1842,18l1731,-109m1954,-194l1842,18m2066,43l1954,-194e" filled="false" stroked="true" strokeweight="1pt" strokecolor="#de0035">
              <v:path arrowok="t"/>
              <v:stroke dashstyle="solid"/>
            </v:shape>
            <v:line style="position:absolute" from="2056,49" to="2187,49" stroked="true" strokeweight="1.607pt" strokecolor="#de0035">
              <v:stroke dashstyle="solid"/>
            </v:line>
            <v:rect style="position:absolute;left:2177;top:44;width:112;height:20" filled="true" fillcolor="#de0035" stroked="false">
              <v:fill type="solid"/>
            </v:rect>
            <v:shape style="position:absolute;left:2288;top:54;width:224;height:219" coordorigin="2289,55" coordsize="224,219" path="m2400,194l2289,55m2512,273l2400,194e" filled="false" stroked="true" strokeweight="1pt" strokecolor="#de0035">
              <v:path arrowok="t"/>
              <v:stroke dashstyle="solid"/>
            </v:shape>
            <v:line style="position:absolute" from="2502,276" to="2634,276" stroked="true" strokeweight="1.303pt" strokecolor="#de0035">
              <v:stroke dashstyle="solid"/>
            </v:line>
            <v:line style="position:absolute" from="2735,322" to="2624,279" stroked="true" strokeweight="1.0pt" strokecolor="#de0035">
              <v:stroke dashstyle="solid"/>
            </v:line>
            <v:line style="position:absolute" from="2725,328" to="2857,328" stroked="true" strokeweight="1.607pt" strokecolor="#de0035">
              <v:stroke dashstyle="solid"/>
            </v:line>
            <v:shape style="position:absolute;left:949;top:-365;width:670;height:401" coordorigin="950,-364" coordsize="670,401" path="m1061,-127l950,-158m1173,-170l1061,-127m1285,-364l1173,-170m1396,-146l1285,-364m1508,36l1396,-146m1619,-115l1508,36e" filled="false" stroked="true" strokeweight="1pt" strokecolor="#de0035">
              <v:path arrowok="t"/>
              <v:stroke dashstyle="solid"/>
            </v:shape>
            <v:line style="position:absolute" from="1609,-112" to="1741,-112" stroked="true" strokeweight="1.303pt" strokecolor="#de0035">
              <v:stroke dashstyle="solid"/>
            </v:line>
            <v:shape style="position:absolute;left:1730;top:-195;width:335;height:237" coordorigin="1731,-194" coordsize="335,237" path="m1842,18l1731,-109m1954,-194l1842,18m2066,43l1954,-194e" filled="false" stroked="true" strokeweight="1pt" strokecolor="#de0035">
              <v:path arrowok="t"/>
              <v:stroke dashstyle="solid"/>
            </v:shape>
            <v:line style="position:absolute" from="2056,49" to="2187,49" stroked="true" strokeweight="1.607pt" strokecolor="#de0035">
              <v:stroke dashstyle="solid"/>
            </v:line>
            <v:rect style="position:absolute;left:2177;top:44;width:112;height:20" filled="true" fillcolor="#de0035" stroked="false">
              <v:fill type="solid"/>
            </v:rect>
            <v:shape style="position:absolute;left:2288;top:54;width:224;height:219" coordorigin="2289,55" coordsize="224,219" path="m2400,194l2289,55m2512,273l2400,194e" filled="false" stroked="true" strokeweight="1pt" strokecolor="#de0035">
              <v:path arrowok="t"/>
              <v:stroke dashstyle="solid"/>
            </v:shape>
            <v:line style="position:absolute" from="2502,276" to="2634,276" stroked="true" strokeweight="1.303pt" strokecolor="#de0035">
              <v:stroke dashstyle="solid"/>
            </v:line>
            <v:line style="position:absolute" from="2735,322" to="2624,279" stroked="true" strokeweight="1.0pt" strokecolor="#de0035">
              <v:stroke dashstyle="solid"/>
            </v:line>
            <v:line style="position:absolute" from="2725,328" to="2857,328" stroked="true" strokeweight="1.607pt" strokecolor="#de0035">
              <v:stroke dashstyle="solid"/>
            </v:line>
            <v:shape style="position:absolute;left:949;top:-365;width:670;height:401" coordorigin="950,-364" coordsize="670,401" path="m1061,-127l950,-158m1173,-170l1061,-127m1285,-364l1173,-170m1396,-146l1285,-364m1508,36l1396,-146m1619,-115l1508,36e" filled="false" stroked="true" strokeweight="1pt" strokecolor="#de0035">
              <v:path arrowok="t"/>
              <v:stroke dashstyle="solid"/>
            </v:shape>
            <v:line style="position:absolute" from="1609,-112" to="1741,-112" stroked="true" strokeweight="1.303pt" strokecolor="#de0035">
              <v:stroke dashstyle="solid"/>
            </v:line>
            <v:shape style="position:absolute;left:1730;top:-195;width:335;height:237" coordorigin="1731,-194" coordsize="335,237" path="m1842,18l1731,-109m1954,-194l1842,18m2066,43l1954,-194e" filled="false" stroked="true" strokeweight="1pt" strokecolor="#de0035">
              <v:path arrowok="t"/>
              <v:stroke dashstyle="solid"/>
            </v:shape>
            <v:line style="position:absolute" from="2056,49" to="2187,49" stroked="true" strokeweight="1.607pt" strokecolor="#de0035">
              <v:stroke dashstyle="solid"/>
            </v:line>
            <v:rect style="position:absolute;left:2177;top:44;width:112;height:20" filled="true" fillcolor="#de0035" stroked="false">
              <v:fill type="solid"/>
            </v:rect>
            <v:shape style="position:absolute;left:2288;top:54;width:224;height:219" coordorigin="2289,55" coordsize="224,219" path="m2400,194l2289,55m2512,273l2400,194e" filled="false" stroked="true" strokeweight="1pt" strokecolor="#de0035">
              <v:path arrowok="t"/>
              <v:stroke dashstyle="solid"/>
            </v:shape>
            <v:line style="position:absolute" from="2502,276" to="2634,276" stroked="true" strokeweight="1.303pt" strokecolor="#de0035">
              <v:stroke dashstyle="solid"/>
            </v:line>
            <v:line style="position:absolute" from="2735,322" to="2624,279" stroked="true" strokeweight="1.0pt" strokecolor="#de0035">
              <v:stroke dashstyle="solid"/>
            </v:line>
            <v:line style="position:absolute" from="2725,328" to="2857,328" stroked="true" strokeweight="1.607pt" strokecolor="#de0035">
              <v:stroke dashstyle="solid"/>
            </v:line>
            <v:shape style="position:absolute;left:949;top:-365;width:670;height:401" coordorigin="950,-364" coordsize="670,401" path="m1061,-127l950,-158m1173,-170l1061,-127m1285,-364l1173,-170m1396,-146l1285,-364m1508,36l1396,-146m1619,-115l1508,36e" filled="false" stroked="true" strokeweight="1pt" strokecolor="#de0035">
              <v:path arrowok="t"/>
              <v:stroke dashstyle="solid"/>
            </v:shape>
            <v:line style="position:absolute" from="1609,-112" to="1741,-112" stroked="true" strokeweight="1.303pt" strokecolor="#de0035">
              <v:stroke dashstyle="solid"/>
            </v:line>
            <v:shape style="position:absolute;left:1730;top:-195;width:335;height:237" coordorigin="1731,-194" coordsize="335,237" path="m1842,18l1731,-109m1954,-194l1842,18m2066,43l1954,-194e" filled="false" stroked="true" strokeweight="1pt" strokecolor="#de0035">
              <v:path arrowok="t"/>
              <v:stroke dashstyle="solid"/>
            </v:shape>
            <v:line style="position:absolute" from="2056,49" to="2187,49" stroked="true" strokeweight="1.607pt" strokecolor="#de0035">
              <v:stroke dashstyle="solid"/>
            </v:line>
            <v:rect style="position:absolute;left:2177;top:44;width:112;height:20" filled="true" fillcolor="#de0035" stroked="false">
              <v:fill type="solid"/>
            </v:rect>
            <v:shape style="position:absolute;left:2288;top:54;width:224;height:219" coordorigin="2289,55" coordsize="224,219" path="m2400,194l2289,55m2512,273l2400,194e" filled="false" stroked="true" strokeweight="1pt" strokecolor="#de0035">
              <v:path arrowok="t"/>
              <v:stroke dashstyle="solid"/>
            </v:shape>
            <v:line style="position:absolute" from="2502,276" to="2634,276" stroked="true" strokeweight="1.303pt" strokecolor="#de0035">
              <v:stroke dashstyle="solid"/>
            </v:line>
            <v:line style="position:absolute" from="2735,322" to="2624,279" stroked="true" strokeweight="1.0pt" strokecolor="#de0035">
              <v:stroke dashstyle="solid"/>
            </v:line>
            <v:line style="position:absolute" from="2725,328" to="2857,328" stroked="true" strokeweight="1.607pt" strokecolor="#de0035">
              <v:stroke dashstyle="solid"/>
            </v:line>
            <v:shape style="position:absolute;left:949;top:-365;width:670;height:401" coordorigin="950,-364" coordsize="670,401" path="m1061,-127l950,-158m1173,-170l1061,-127m1285,-364l1173,-170m1396,-146l1285,-364m1508,36l1396,-146m1619,-115l1508,36e" filled="false" stroked="true" strokeweight="1pt" strokecolor="#de0035">
              <v:path arrowok="t"/>
              <v:stroke dashstyle="solid"/>
            </v:shape>
            <v:line style="position:absolute" from="1609,-112" to="1741,-112" stroked="true" strokeweight="1.303pt" strokecolor="#de0035">
              <v:stroke dashstyle="solid"/>
            </v:line>
            <v:shape style="position:absolute;left:1730;top:-195;width:335;height:237" coordorigin="1731,-194" coordsize="335,237" path="m1842,18l1731,-109m1954,-194l1842,18m2066,43l1954,-194e" filled="false" stroked="true" strokeweight="1pt" strokecolor="#de0035">
              <v:path arrowok="t"/>
              <v:stroke dashstyle="solid"/>
            </v:shape>
            <v:line style="position:absolute" from="2056,49" to="2187,49" stroked="true" strokeweight="1.607pt" strokecolor="#de0035">
              <v:stroke dashstyle="solid"/>
            </v:line>
            <v:rect style="position:absolute;left:2177;top:44;width:112;height:20" filled="true" fillcolor="#de0035" stroked="false">
              <v:fill type="solid"/>
            </v:rect>
            <v:shape style="position:absolute;left:2288;top:54;width:224;height:219" coordorigin="2289,55" coordsize="224,219" path="m2400,194l2289,55m2512,273l2400,194e" filled="false" stroked="true" strokeweight="1pt" strokecolor="#de0035">
              <v:path arrowok="t"/>
              <v:stroke dashstyle="solid"/>
            </v:shape>
            <v:line style="position:absolute" from="2502,276" to="2634,276" stroked="true" strokeweight="1.303pt" strokecolor="#de0035">
              <v:stroke dashstyle="solid"/>
            </v:line>
            <v:line style="position:absolute" from="2735,322" to="2624,279" stroked="true" strokeweight="1.0pt" strokecolor="#de0035">
              <v:stroke dashstyle="solid"/>
            </v:line>
            <v:line style="position:absolute" from="2725,328" to="2857,328" stroked="true" strokeweight="1.607pt" strokecolor="#de0035">
              <v:stroke dashstyle="solid"/>
            </v:line>
            <v:shape style="position:absolute;left:949;top:-365;width:670;height:401" coordorigin="950,-364" coordsize="670,401" path="m1061,-127l950,-158m1173,-170l1061,-127m1285,-364l1173,-170m1396,-146l1285,-364m1508,36l1396,-146m1619,-115l1508,36e" filled="false" stroked="true" strokeweight="1pt" strokecolor="#de0035">
              <v:path arrowok="t"/>
              <v:stroke dashstyle="solid"/>
            </v:shape>
            <v:line style="position:absolute" from="1609,-112" to="1741,-112" stroked="true" strokeweight="1.303pt" strokecolor="#de0035">
              <v:stroke dashstyle="solid"/>
            </v:line>
            <v:shape style="position:absolute;left:1730;top:-195;width:335;height:237" coordorigin="1731,-194" coordsize="335,237" path="m1842,18l1731,-109m1954,-194l1842,18m2066,43l1954,-194e" filled="false" stroked="true" strokeweight="1pt" strokecolor="#de0035">
              <v:path arrowok="t"/>
              <v:stroke dashstyle="solid"/>
            </v:shape>
            <v:line style="position:absolute" from="2056,49" to="2187,49" stroked="true" strokeweight="1.607pt" strokecolor="#de0035">
              <v:stroke dashstyle="solid"/>
            </v:line>
            <v:rect style="position:absolute;left:2177;top:44;width:112;height:20" filled="true" fillcolor="#de0035" stroked="false">
              <v:fill type="solid"/>
            </v:rect>
            <v:shape style="position:absolute;left:2288;top:54;width:224;height:219" coordorigin="2289,55" coordsize="224,219" path="m2400,194l2289,55m2512,273l2400,194e" filled="false" stroked="true" strokeweight="1pt" strokecolor="#de0035">
              <v:path arrowok="t"/>
              <v:stroke dashstyle="solid"/>
            </v:shape>
            <v:line style="position:absolute" from="2502,276" to="2634,276" stroked="true" strokeweight="1.303pt" strokecolor="#de0035">
              <v:stroke dashstyle="solid"/>
            </v:line>
            <v:line style="position:absolute" from="2735,322" to="2624,279" stroked="true" strokeweight="1.0pt" strokecolor="#de0035">
              <v:stroke dashstyle="solid"/>
            </v:line>
            <v:line style="position:absolute" from="2725,328" to="2857,328" stroked="true" strokeweight="1.607pt" strokecolor="#de0035">
              <v:stroke dashstyle="solid"/>
            </v:line>
            <v:shape style="position:absolute;left:949;top:-365;width:670;height:401" coordorigin="950,-364" coordsize="670,401" path="m1061,-127l950,-158m1173,-170l1061,-127m1285,-364l1173,-170m1396,-146l1285,-364m1508,36l1396,-146m1619,-115l1508,36e" filled="false" stroked="true" strokeweight="1pt" strokecolor="#de0035">
              <v:path arrowok="t"/>
              <v:stroke dashstyle="solid"/>
            </v:shape>
            <v:line style="position:absolute" from="1609,-112" to="1741,-112" stroked="true" strokeweight="1.303pt" strokecolor="#de0035">
              <v:stroke dashstyle="solid"/>
            </v:line>
            <v:shape style="position:absolute;left:1730;top:-195;width:335;height:237" coordorigin="1731,-194" coordsize="335,237" path="m1842,18l1731,-109m1954,-194l1842,18m2066,43l1954,-194e" filled="false" stroked="true" strokeweight="1pt" strokecolor="#de0035">
              <v:path arrowok="t"/>
              <v:stroke dashstyle="solid"/>
            </v:shape>
            <v:line style="position:absolute" from="2056,49" to="2187,49" stroked="true" strokeweight="1.607pt" strokecolor="#de0035">
              <v:stroke dashstyle="solid"/>
            </v:line>
            <v:rect style="position:absolute;left:2177;top:44;width:112;height:20" filled="true" fillcolor="#de0035" stroked="false">
              <v:fill type="solid"/>
            </v:rect>
            <v:shape style="position:absolute;left:2288;top:54;width:224;height:219" coordorigin="2289,55" coordsize="224,219" path="m2400,194l2289,55m2512,273l2400,194e" filled="false" stroked="true" strokeweight="1pt" strokecolor="#de0035">
              <v:path arrowok="t"/>
              <v:stroke dashstyle="solid"/>
            </v:shape>
            <v:line style="position:absolute" from="2502,276" to="2634,276" stroked="true" strokeweight="1.303pt" strokecolor="#de0035">
              <v:stroke dashstyle="solid"/>
            </v:line>
            <v:line style="position:absolute" from="2735,322" to="2624,279" stroked="true" strokeweight="1.0pt" strokecolor="#de0035">
              <v:stroke dashstyle="solid"/>
            </v:line>
            <v:line style="position:absolute" from="2725,328" to="2857,328" stroked="true" strokeweight="1.607pt" strokecolor="#de0035">
              <v:stroke dashstyle="solid"/>
            </v:line>
            <v:shape style="position:absolute;left:949;top:-365;width:670;height:401" coordorigin="950,-364" coordsize="670,401" path="m1061,-127l950,-158m1173,-170l1061,-127m1285,-364l1173,-170m1396,-146l1285,-364m1508,36l1396,-146m1619,-115l1508,36e" filled="false" stroked="true" strokeweight="1pt" strokecolor="#de0035">
              <v:path arrowok="t"/>
              <v:stroke dashstyle="solid"/>
            </v:shape>
            <v:line style="position:absolute" from="1609,-112" to="1741,-112" stroked="true" strokeweight="1.303pt" strokecolor="#de0035">
              <v:stroke dashstyle="solid"/>
            </v:line>
            <v:shape style="position:absolute;left:1730;top:-195;width:335;height:237" coordorigin="1731,-194" coordsize="335,237" path="m1842,18l1731,-109m1954,-194l1842,18m2066,43l1954,-194e" filled="false" stroked="true" strokeweight="1pt" strokecolor="#de0035">
              <v:path arrowok="t"/>
              <v:stroke dashstyle="solid"/>
            </v:shape>
            <v:line style="position:absolute" from="2056,49" to="2187,49" stroked="true" strokeweight="1.607pt" strokecolor="#de0035">
              <v:stroke dashstyle="solid"/>
            </v:line>
            <v:rect style="position:absolute;left:2177;top:44;width:112;height:20" filled="true" fillcolor="#de0035" stroked="false">
              <v:fill type="solid"/>
            </v:rect>
            <v:shape style="position:absolute;left:2288;top:54;width:224;height:219" coordorigin="2289,55" coordsize="224,219" path="m2400,194l2289,55m2512,273l2400,194e" filled="false" stroked="true" strokeweight="1pt" strokecolor="#de0035">
              <v:path arrowok="t"/>
              <v:stroke dashstyle="solid"/>
            </v:shape>
            <v:line style="position:absolute" from="2502,276" to="2634,276" stroked="true" strokeweight="1.303pt" strokecolor="#de0035">
              <v:stroke dashstyle="solid"/>
            </v:line>
            <v:line style="position:absolute" from="2735,322" to="2624,279" stroked="true" strokeweight="1.0pt" strokecolor="#de0035">
              <v:stroke dashstyle="solid"/>
            </v:line>
            <v:line style="position:absolute" from="2725,328" to="2857,328" stroked="true" strokeweight="1.607pt" strokecolor="#de0035">
              <v:stroke dashstyle="solid"/>
            </v:line>
            <v:shape style="position:absolute;left:949;top:-365;width:670;height:401" coordorigin="950,-364" coordsize="670,401" path="m1061,-127l950,-158m1173,-170l1061,-127m1285,-364l1173,-170m1396,-146l1285,-364m1508,36l1396,-146m1619,-115l1508,36e" filled="false" stroked="true" strokeweight="1pt" strokecolor="#de0035">
              <v:path arrowok="t"/>
              <v:stroke dashstyle="solid"/>
            </v:shape>
            <v:line style="position:absolute" from="1609,-112" to="1741,-112" stroked="true" strokeweight="1.303pt" strokecolor="#de0035">
              <v:stroke dashstyle="solid"/>
            </v:line>
            <v:shape style="position:absolute;left:1730;top:-195;width:335;height:237" coordorigin="1731,-194" coordsize="335,237" path="m1842,18l1731,-109m1954,-194l1842,18m2066,43l1954,-194e" filled="false" stroked="true" strokeweight="1pt" strokecolor="#de0035">
              <v:path arrowok="t"/>
              <v:stroke dashstyle="solid"/>
            </v:shape>
            <v:line style="position:absolute" from="2056,49" to="2187,49" stroked="true" strokeweight="1.607pt" strokecolor="#de0035">
              <v:stroke dashstyle="solid"/>
            </v:line>
            <v:rect style="position:absolute;left:2177;top:44;width:112;height:20" filled="true" fillcolor="#de0035" stroked="false">
              <v:fill type="solid"/>
            </v:rect>
            <v:shape style="position:absolute;left:2288;top:54;width:224;height:219" coordorigin="2289,55" coordsize="224,219" path="m2400,194l2289,55m2512,273l2400,194e" filled="false" stroked="true" strokeweight="1pt" strokecolor="#de0035">
              <v:path arrowok="t"/>
              <v:stroke dashstyle="solid"/>
            </v:shape>
            <v:line style="position:absolute" from="2502,276" to="2634,276" stroked="true" strokeweight="1.303pt" strokecolor="#de0035">
              <v:stroke dashstyle="solid"/>
            </v:line>
            <v:line style="position:absolute" from="2735,322" to="2624,279" stroked="true" strokeweight="1.0pt" strokecolor="#de0035">
              <v:stroke dashstyle="solid"/>
            </v:line>
            <v:line style="position:absolute" from="2725,328" to="2857,328" stroked="true" strokeweight="1.607pt" strokecolor="#de0035">
              <v:stroke dashstyle="solid"/>
            </v:line>
            <v:shape style="position:absolute;left:949;top:-365;width:670;height:401" coordorigin="950,-364" coordsize="670,401" path="m1061,-127l950,-158m1173,-170l1061,-127m1285,-364l1173,-170m1396,-146l1285,-364m1508,36l1396,-146m1619,-115l1508,36e" filled="false" stroked="true" strokeweight="1pt" strokecolor="#de0035">
              <v:path arrowok="t"/>
              <v:stroke dashstyle="solid"/>
            </v:shape>
            <v:line style="position:absolute" from="1609,-112" to="1741,-112" stroked="true" strokeweight="1.303pt" strokecolor="#de0035">
              <v:stroke dashstyle="solid"/>
            </v:line>
            <v:shape style="position:absolute;left:1730;top:-195;width:335;height:237" coordorigin="1731,-194" coordsize="335,237" path="m1842,18l1731,-109m1954,-194l1842,18m2066,43l1954,-194e" filled="false" stroked="true" strokeweight="1pt" strokecolor="#de0035">
              <v:path arrowok="t"/>
              <v:stroke dashstyle="solid"/>
            </v:shape>
            <v:line style="position:absolute" from="2056,49" to="2187,49" stroked="true" strokeweight="1.607pt" strokecolor="#de0035">
              <v:stroke dashstyle="solid"/>
            </v:line>
            <v:rect style="position:absolute;left:2177;top:44;width:112;height:20" filled="true" fillcolor="#de0035" stroked="false">
              <v:fill type="solid"/>
            </v:rect>
            <v:shape style="position:absolute;left:2288;top:54;width:224;height:219" coordorigin="2289,55" coordsize="224,219" path="m2400,194l2289,55m2512,273l2400,194e" filled="false" stroked="true" strokeweight="1pt" strokecolor="#de0035">
              <v:path arrowok="t"/>
              <v:stroke dashstyle="solid"/>
            </v:shape>
            <v:line style="position:absolute" from="2502,276" to="2634,276" stroked="true" strokeweight="1.303pt" strokecolor="#de0035">
              <v:stroke dashstyle="solid"/>
            </v:line>
            <v:line style="position:absolute" from="2735,322" to="2624,279" stroked="true" strokeweight="1.0pt" strokecolor="#de0035">
              <v:stroke dashstyle="solid"/>
            </v:line>
            <v:line style="position:absolute" from="2725,328" to="2857,328" stroked="true" strokeweight="1.607pt" strokecolor="#de0035">
              <v:stroke dashstyle="solid"/>
            </v:line>
            <v:shape style="position:absolute;left:949;top:-365;width:670;height:401" coordorigin="950,-364" coordsize="670,401" path="m1061,-127l950,-158m1173,-170l1061,-127m1285,-364l1173,-170m1396,-146l1285,-364m1508,36l1396,-146m1619,-115l1508,36e" filled="false" stroked="true" strokeweight="1pt" strokecolor="#de0035">
              <v:path arrowok="t"/>
              <v:stroke dashstyle="solid"/>
            </v:shape>
            <v:line style="position:absolute" from="1609,-112" to="1741,-112" stroked="true" strokeweight="1.303pt" strokecolor="#de0035">
              <v:stroke dashstyle="solid"/>
            </v:line>
            <v:shape style="position:absolute;left:1730;top:-195;width:335;height:237" coordorigin="1731,-194" coordsize="335,237" path="m1842,18l1731,-109m1954,-194l1842,18m2066,43l1954,-194e" filled="false" stroked="true" strokeweight="1pt" strokecolor="#de0035">
              <v:path arrowok="t"/>
              <v:stroke dashstyle="solid"/>
            </v:shape>
            <v:line style="position:absolute" from="2056,49" to="2187,49" stroked="true" strokeweight="1.607pt" strokecolor="#de0035">
              <v:stroke dashstyle="solid"/>
            </v:line>
            <v:rect style="position:absolute;left:2177;top:44;width:112;height:20" filled="true" fillcolor="#de0035" stroked="false">
              <v:fill type="solid"/>
            </v:rect>
            <v:shape style="position:absolute;left:2288;top:54;width:224;height:219" coordorigin="2289,55" coordsize="224,219" path="m2400,194l2289,55m2512,273l2400,194e" filled="false" stroked="true" strokeweight="1pt" strokecolor="#de0035">
              <v:path arrowok="t"/>
              <v:stroke dashstyle="solid"/>
            </v:shape>
            <v:line style="position:absolute" from="2502,276" to="2634,276" stroked="true" strokeweight="1.303pt" strokecolor="#de0035">
              <v:stroke dashstyle="solid"/>
            </v:line>
            <v:line style="position:absolute" from="2735,322" to="2624,279" stroked="true" strokeweight="1.0pt" strokecolor="#de0035">
              <v:stroke dashstyle="solid"/>
            </v:line>
            <v:line style="position:absolute" from="2725,328" to="2857,328" stroked="true" strokeweight="1.607pt" strokecolor="#de0035">
              <v:stroke dashstyle="solid"/>
            </v:line>
            <v:shape style="position:absolute;left:949;top:-365;width:670;height:401" coordorigin="950,-364" coordsize="670,401" path="m1061,-127l950,-158m1173,-170l1061,-127m1285,-364l1173,-170m1396,-146l1285,-364m1508,36l1396,-146m1619,-115l1508,36e" filled="false" stroked="true" strokeweight="1pt" strokecolor="#de0035">
              <v:path arrowok="t"/>
              <v:stroke dashstyle="solid"/>
            </v:shape>
            <v:line style="position:absolute" from="1609,-112" to="1741,-112" stroked="true" strokeweight="1.303pt" strokecolor="#de0035">
              <v:stroke dashstyle="solid"/>
            </v:line>
            <v:shape style="position:absolute;left:1730;top:-195;width:335;height:237" coordorigin="1731,-194" coordsize="335,237" path="m1842,18l1731,-109m1954,-194l1842,18m2066,43l1954,-194e" filled="false" stroked="true" strokeweight="1pt" strokecolor="#de0035">
              <v:path arrowok="t"/>
              <v:stroke dashstyle="solid"/>
            </v:shape>
            <v:line style="position:absolute" from="2056,49" to="2187,49" stroked="true" strokeweight="1.607pt" strokecolor="#de0035">
              <v:stroke dashstyle="solid"/>
            </v:line>
            <v:rect style="position:absolute;left:2177;top:44;width:112;height:20" filled="true" fillcolor="#de0035" stroked="false">
              <v:fill type="solid"/>
            </v:rect>
            <v:shape style="position:absolute;left:2288;top:54;width:224;height:219" coordorigin="2289,55" coordsize="224,219" path="m2400,194l2289,55m2512,273l2400,194e" filled="false" stroked="true" strokeweight="1pt" strokecolor="#de0035">
              <v:path arrowok="t"/>
              <v:stroke dashstyle="solid"/>
            </v:shape>
            <v:line style="position:absolute" from="2502,276" to="2634,276" stroked="true" strokeweight="1.303pt" strokecolor="#de0035">
              <v:stroke dashstyle="solid"/>
            </v:line>
            <v:line style="position:absolute" from="2735,322" to="2624,279" stroked="true" strokeweight="1.0pt" strokecolor="#de0035">
              <v:stroke dashstyle="solid"/>
            </v:line>
            <v:line style="position:absolute" from="2725,328" to="2857,328" stroked="true" strokeweight="1.607pt" strokecolor="#de0035">
              <v:stroke dashstyle="solid"/>
            </v:line>
            <v:shape style="position:absolute;left:949;top:-365;width:670;height:401" coordorigin="950,-364" coordsize="670,401" path="m1061,-127l950,-158m1173,-170l1061,-127m1285,-364l1173,-170m1396,-146l1285,-364m1508,36l1396,-146m1619,-115l1508,36e" filled="false" stroked="true" strokeweight="1pt" strokecolor="#de0035">
              <v:path arrowok="t"/>
              <v:stroke dashstyle="solid"/>
            </v:shape>
            <v:line style="position:absolute" from="1609,-112" to="1741,-112" stroked="true" strokeweight="1.303pt" strokecolor="#de0035">
              <v:stroke dashstyle="solid"/>
            </v:line>
            <v:shape style="position:absolute;left:1730;top:-195;width:335;height:237" coordorigin="1731,-194" coordsize="335,237" path="m1842,18l1731,-109m1954,-194l1842,18m2066,43l1954,-194e" filled="false" stroked="true" strokeweight="1pt" strokecolor="#de0035">
              <v:path arrowok="t"/>
              <v:stroke dashstyle="solid"/>
            </v:shape>
            <v:line style="position:absolute" from="2056,49" to="2187,49" stroked="true" strokeweight="1.607pt" strokecolor="#de0035">
              <v:stroke dashstyle="solid"/>
            </v:line>
            <v:rect style="position:absolute;left:2177;top:44;width:112;height:20" filled="true" fillcolor="#de0035" stroked="false">
              <v:fill type="solid"/>
            </v:rect>
            <v:shape style="position:absolute;left:2288;top:54;width:224;height:219" coordorigin="2289,55" coordsize="224,219" path="m2400,194l2289,55m2512,273l2400,194e" filled="false" stroked="true" strokeweight="1pt" strokecolor="#de0035">
              <v:path arrowok="t"/>
              <v:stroke dashstyle="solid"/>
            </v:shape>
            <v:line style="position:absolute" from="2502,276" to="2634,276" stroked="true" strokeweight="1.303pt" strokecolor="#de0035">
              <v:stroke dashstyle="solid"/>
            </v:line>
            <v:line style="position:absolute" from="2735,322" to="2624,279" stroked="true" strokeweight="1.0pt" strokecolor="#de0035">
              <v:stroke dashstyle="solid"/>
            </v:line>
            <v:line style="position:absolute" from="2725,328" to="2857,328" stroked="true" strokeweight="1.607pt" strokecolor="#de0035">
              <v:stroke dashstyle="solid"/>
            </v:line>
            <v:shape style="position:absolute;left:949;top:-365;width:670;height:401" coordorigin="950,-364" coordsize="670,401" path="m1061,-127l950,-158m1173,-170l1061,-127m1285,-364l1173,-170m1396,-146l1285,-364m1508,36l1396,-146m1619,-115l1508,36e" filled="false" stroked="true" strokeweight="1pt" strokecolor="#de0035">
              <v:path arrowok="t"/>
              <v:stroke dashstyle="solid"/>
            </v:shape>
            <v:line style="position:absolute" from="1609,-112" to="1741,-112" stroked="true" strokeweight="1.303pt" strokecolor="#de0035">
              <v:stroke dashstyle="solid"/>
            </v:line>
            <v:shape style="position:absolute;left:1730;top:-195;width:335;height:237" coordorigin="1731,-194" coordsize="335,237" path="m1842,18l1731,-109m1954,-194l1842,18m2066,43l1954,-194e" filled="false" stroked="true" strokeweight="1pt" strokecolor="#de0035">
              <v:path arrowok="t"/>
              <v:stroke dashstyle="solid"/>
            </v:shape>
            <v:line style="position:absolute" from="2056,49" to="2187,49" stroked="true" strokeweight="1.607pt" strokecolor="#de0035">
              <v:stroke dashstyle="solid"/>
            </v:line>
            <v:rect style="position:absolute;left:2177;top:44;width:112;height:20" filled="true" fillcolor="#de0035" stroked="false">
              <v:fill type="solid"/>
            </v:rect>
            <v:shape style="position:absolute;left:2288;top:54;width:224;height:219" coordorigin="2289,55" coordsize="224,219" path="m2400,194l2289,55m2512,273l2400,194e" filled="false" stroked="true" strokeweight="1pt" strokecolor="#de0035">
              <v:path arrowok="t"/>
              <v:stroke dashstyle="solid"/>
            </v:shape>
            <v:line style="position:absolute" from="2502,276" to="2634,276" stroked="true" strokeweight="1.303pt" strokecolor="#de0035">
              <v:stroke dashstyle="solid"/>
            </v:line>
            <v:line style="position:absolute" from="2735,322" to="2624,279" stroked="true" strokeweight="1.0pt" strokecolor="#de0035">
              <v:stroke dashstyle="solid"/>
            </v:line>
            <v:line style="position:absolute" from="2725,328" to="2857,328" stroked="true" strokeweight="1.607pt" strokecolor="#de0035">
              <v:stroke dashstyle="solid"/>
            </v:line>
            <v:shape style="position:absolute;left:949;top:-365;width:670;height:401" coordorigin="950,-364" coordsize="670,401" path="m1061,-127l950,-158m1173,-170l1061,-127m1285,-364l1173,-170m1396,-146l1285,-364m1508,36l1396,-146m1619,-115l1508,36e" filled="false" stroked="true" strokeweight="1pt" strokecolor="#de0035">
              <v:path arrowok="t"/>
              <v:stroke dashstyle="solid"/>
            </v:shape>
            <v:line style="position:absolute" from="1609,-112" to="1741,-112" stroked="true" strokeweight="1.303pt" strokecolor="#de0035">
              <v:stroke dashstyle="solid"/>
            </v:line>
            <v:shape style="position:absolute;left:1730;top:-195;width:335;height:237" coordorigin="1731,-194" coordsize="335,237" path="m1842,18l1731,-109m1954,-194l1842,18m2066,43l1954,-194e" filled="false" stroked="true" strokeweight="1pt" strokecolor="#de0035">
              <v:path arrowok="t"/>
              <v:stroke dashstyle="solid"/>
            </v:shape>
            <v:line style="position:absolute" from="2056,49" to="2187,49" stroked="true" strokeweight="1.607pt" strokecolor="#de0035">
              <v:stroke dashstyle="solid"/>
            </v:line>
            <v:rect style="position:absolute;left:2177;top:44;width:112;height:20" filled="true" fillcolor="#de0035" stroked="false">
              <v:fill type="solid"/>
            </v:rect>
            <v:shape style="position:absolute;left:2288;top:54;width:224;height:219" coordorigin="2289,55" coordsize="224,219" path="m2400,194l2289,55m2512,273l2400,194e" filled="false" stroked="true" strokeweight="1pt" strokecolor="#de0035">
              <v:path arrowok="t"/>
              <v:stroke dashstyle="solid"/>
            </v:shape>
            <v:line style="position:absolute" from="2502,276" to="2634,276" stroked="true" strokeweight="1.303pt" strokecolor="#de0035">
              <v:stroke dashstyle="solid"/>
            </v:line>
            <v:line style="position:absolute" from="2735,322" to="2624,279" stroked="true" strokeweight="1.0pt" strokecolor="#de0035">
              <v:stroke dashstyle="solid"/>
            </v:line>
            <v:line style="position:absolute" from="2725,328" to="2857,328" stroked="true" strokeweight="1.607pt" strokecolor="#de0035">
              <v:stroke dashstyle="solid"/>
            </v:line>
            <v:shape style="position:absolute;left:949;top:-365;width:670;height:401" coordorigin="950,-364" coordsize="670,401" path="m1061,-127l950,-158m1173,-170l1061,-127m1285,-364l1173,-170m1396,-146l1285,-364m1508,36l1396,-146m1619,-115l1508,36e" filled="false" stroked="true" strokeweight="1pt" strokecolor="#de0035">
              <v:path arrowok="t"/>
              <v:stroke dashstyle="solid"/>
            </v:shape>
            <v:line style="position:absolute" from="1609,-112" to="1741,-112" stroked="true" strokeweight="1.303pt" strokecolor="#de0035">
              <v:stroke dashstyle="solid"/>
            </v:line>
            <v:shape style="position:absolute;left:1730;top:-195;width:335;height:237" coordorigin="1731,-194" coordsize="335,237" path="m1842,18l1731,-109m1954,-194l1842,18m2066,43l1954,-194e" filled="false" stroked="true" strokeweight="1pt" strokecolor="#de0035">
              <v:path arrowok="t"/>
              <v:stroke dashstyle="solid"/>
            </v:shape>
            <v:line style="position:absolute" from="2056,49" to="2187,49" stroked="true" strokeweight="1.607pt" strokecolor="#de0035">
              <v:stroke dashstyle="solid"/>
            </v:line>
            <v:rect style="position:absolute;left:2177;top:44;width:112;height:20" filled="true" fillcolor="#de0035" stroked="false">
              <v:fill type="solid"/>
            </v:rect>
            <v:shape style="position:absolute;left:2288;top:54;width:224;height:219" coordorigin="2289,55" coordsize="224,219" path="m2400,194l2289,55m2512,273l2400,194e" filled="false" stroked="true" strokeweight="1pt" strokecolor="#de0035">
              <v:path arrowok="t"/>
              <v:stroke dashstyle="solid"/>
            </v:shape>
            <v:line style="position:absolute" from="2502,276" to="2634,276" stroked="true" strokeweight="1.303pt" strokecolor="#de0035">
              <v:stroke dashstyle="solid"/>
            </v:line>
            <v:line style="position:absolute" from="2735,322" to="2624,279" stroked="true" strokeweight="1.0pt" strokecolor="#de0035">
              <v:stroke dashstyle="solid"/>
            </v:line>
            <v:line style="position:absolute" from="2725,328" to="2857,328" stroked="true" strokeweight="1.607pt" strokecolor="#de0035">
              <v:stroke dashstyle="solid"/>
            </v:line>
            <v:shape style="position:absolute;left:829;top:-231;width:3147;height:607" coordorigin="829,-231" coordsize="3147,607" path="m904,376l829,376m904,-231l829,-231m946,78l3848,78m3976,78l3901,78m906,78l830,78e" filled="false" stroked="true" strokeweight=".5pt" strokecolor="#000000">
              <v:path arrowok="t"/>
              <v:stroke dashstyle="solid"/>
            </v:shape>
            <w10:wrap type="none"/>
          </v:group>
        </w:pict>
      </w:r>
      <w:r>
        <w:rPr>
          <w:sz w:val="12"/>
        </w:rPr>
        <w:t>2.5</w:t>
      </w:r>
    </w:p>
    <w:p>
      <w:pPr>
        <w:pStyle w:val="BodyText"/>
        <w:spacing w:before="1"/>
        <w:rPr>
          <w:sz w:val="13"/>
        </w:rPr>
      </w:pPr>
    </w:p>
    <w:p>
      <w:pPr>
        <w:spacing w:before="0"/>
        <w:ind w:left="16" w:right="0" w:firstLine="0"/>
        <w:jc w:val="center"/>
        <w:rPr>
          <w:sz w:val="12"/>
        </w:rPr>
      </w:pPr>
      <w:r>
        <w:rPr>
          <w:sz w:val="12"/>
        </w:rPr>
        <w:t>2</w:t>
      </w:r>
    </w:p>
    <w:p>
      <w:pPr>
        <w:pStyle w:val="BodyText"/>
        <w:rPr>
          <w:sz w:val="12"/>
        </w:rPr>
      </w:pPr>
    </w:p>
    <w:p>
      <w:pPr>
        <w:pStyle w:val="BodyText"/>
        <w:rPr>
          <w:sz w:val="12"/>
        </w:rPr>
      </w:pPr>
    </w:p>
    <w:p>
      <w:pPr>
        <w:pStyle w:val="BodyText"/>
        <w:spacing w:before="9"/>
        <w:rPr>
          <w:sz w:val="16"/>
        </w:rPr>
      </w:pPr>
    </w:p>
    <w:p>
      <w:pPr>
        <w:spacing w:before="0"/>
        <w:ind w:left="16" w:right="0" w:firstLine="0"/>
        <w:jc w:val="center"/>
        <w:rPr>
          <w:sz w:val="12"/>
        </w:rPr>
      </w:pPr>
      <w:r>
        <w:rPr/>
        <w:pict>
          <v:line style="position:absolute;mso-position-horizontal-relative:page;mso-position-vertical-relative:paragraph;z-index:15735296" from="198.730996pt,4.310533pt" to="194.964996pt,4.310533pt" stroked="true" strokeweight=".5pt" strokecolor="#000000">
            <v:stroke dashstyle="solid"/>
            <w10:wrap type="none"/>
          </v:line>
        </w:pict>
      </w:r>
      <w:r>
        <w:rPr>
          <w:sz w:val="12"/>
        </w:rPr>
        <w:t>1</w:t>
      </w:r>
    </w:p>
    <w:p>
      <w:pPr>
        <w:pStyle w:val="BodyText"/>
        <w:rPr>
          <w:sz w:val="12"/>
        </w:rPr>
      </w:pPr>
    </w:p>
    <w:p>
      <w:pPr>
        <w:pStyle w:val="BodyText"/>
        <w:rPr>
          <w:sz w:val="12"/>
        </w:rPr>
      </w:pPr>
    </w:p>
    <w:p>
      <w:pPr>
        <w:pStyle w:val="BodyText"/>
        <w:rPr>
          <w:sz w:val="12"/>
        </w:rPr>
      </w:pPr>
    </w:p>
    <w:p>
      <w:pPr>
        <w:spacing w:before="75"/>
        <w:ind w:left="16" w:right="0" w:firstLine="0"/>
        <w:jc w:val="center"/>
        <w:rPr>
          <w:sz w:val="12"/>
        </w:rPr>
      </w:pPr>
      <w:r>
        <w:rPr/>
        <w:pict>
          <v:shape style="position:absolute;margin-left:41.459pt;margin-top:1.402557pt;width:157.3pt;height:5.65pt;mso-position-horizontal-relative:page;mso-position-vertical-relative:paragraph;z-index:15734784" coordorigin="829,28" coordsize="3146,113" path="m954,141l3855,141m950,141l950,28m1061,141l1061,65m1173,141l1173,65m1285,141l1285,65m1396,141l1396,28m1508,141l1508,65m1619,141l1619,65m1731,141l1731,65m1842,141l1842,28m1954,141l1954,65m2066,141l2066,65m2177,141l2177,65m2289,141l2289,28m2400,141l2400,65m2512,141l2512,65m2624,141l2624,65m2735,141l2735,28m2847,141l2847,65m2958,141l2958,65m3070,141l3070,65m3181,141l3181,28m3293,141l3293,65m3405,141l3405,65m3516,141l3516,65m3628,141l3628,28m3739,141l3739,65m3851,141l3851,65m3975,141l3899,141m904,141l829,141e" filled="false" stroked="true" strokeweight=".5pt" strokecolor="#000000">
            <v:path arrowok="t"/>
            <v:stroke dashstyle="solid"/>
            <w10:wrap type="none"/>
          </v:shape>
        </w:pict>
      </w:r>
      <w:r>
        <w:rPr>
          <w:sz w:val="12"/>
        </w:rPr>
        <w:t>0</w:t>
      </w:r>
    </w:p>
    <w:p>
      <w:pPr>
        <w:spacing w:line="242" w:lineRule="auto" w:before="176"/>
        <w:ind w:left="412" w:right="230" w:firstLine="0"/>
        <w:jc w:val="left"/>
        <w:rPr>
          <w:sz w:val="24"/>
        </w:rPr>
      </w:pPr>
      <w:r>
        <w:rPr/>
        <w:br w:type="column"/>
      </w:r>
      <w:r>
        <w:rPr>
          <w:sz w:val="24"/>
        </w:rPr>
        <w:t>Chart 2 shows the corresponding projection for RPIX inflation. As in </w:t>
      </w:r>
      <w:r>
        <w:rPr>
          <w:spacing w:val="-5"/>
          <w:sz w:val="24"/>
        </w:rPr>
        <w:t>May, </w:t>
      </w:r>
      <w:r>
        <w:rPr>
          <w:sz w:val="24"/>
        </w:rPr>
        <w:t>the broad picture is of a gradual increase in inflation </w:t>
      </w:r>
      <w:r>
        <w:rPr>
          <w:spacing w:val="-3"/>
          <w:sz w:val="24"/>
        </w:rPr>
        <w:t>over </w:t>
      </w:r>
      <w:r>
        <w:rPr>
          <w:sz w:val="24"/>
        </w:rPr>
        <w:t>the next two years. The most likely outcome is for inflation to rise, from just below the</w:t>
      </w:r>
      <w:r>
        <w:rPr>
          <w:spacing w:val="-5"/>
          <w:sz w:val="24"/>
        </w:rPr>
        <w:t> </w:t>
      </w:r>
      <w:r>
        <w:rPr>
          <w:sz w:val="24"/>
        </w:rPr>
        <w:t>target</w:t>
      </w:r>
      <w:r>
        <w:rPr>
          <w:spacing w:val="-5"/>
          <w:sz w:val="24"/>
        </w:rPr>
        <w:t> </w:t>
      </w:r>
      <w:r>
        <w:rPr>
          <w:sz w:val="24"/>
        </w:rPr>
        <w:t>at</w:t>
      </w:r>
      <w:r>
        <w:rPr>
          <w:spacing w:val="-5"/>
          <w:sz w:val="24"/>
        </w:rPr>
        <w:t> </w:t>
      </w:r>
      <w:r>
        <w:rPr>
          <w:sz w:val="24"/>
        </w:rPr>
        <w:t>present,</w:t>
      </w:r>
      <w:r>
        <w:rPr>
          <w:spacing w:val="-4"/>
          <w:sz w:val="24"/>
        </w:rPr>
        <w:t> </w:t>
      </w:r>
      <w:r>
        <w:rPr>
          <w:sz w:val="24"/>
        </w:rPr>
        <w:t>to</w:t>
      </w:r>
      <w:r>
        <w:rPr>
          <w:spacing w:val="-5"/>
          <w:sz w:val="24"/>
        </w:rPr>
        <w:t> </w:t>
      </w:r>
      <w:r>
        <w:rPr>
          <w:sz w:val="24"/>
        </w:rPr>
        <w:t>just</w:t>
      </w:r>
      <w:r>
        <w:rPr>
          <w:spacing w:val="-5"/>
          <w:sz w:val="24"/>
        </w:rPr>
        <w:t> </w:t>
      </w:r>
      <w:r>
        <w:rPr>
          <w:sz w:val="24"/>
        </w:rPr>
        <w:t>above</w:t>
      </w:r>
      <w:r>
        <w:rPr>
          <w:spacing w:val="-5"/>
          <w:sz w:val="24"/>
        </w:rPr>
        <w:t> </w:t>
      </w:r>
      <w:r>
        <w:rPr>
          <w:sz w:val="24"/>
        </w:rPr>
        <w:t>the</w:t>
      </w:r>
      <w:r>
        <w:rPr>
          <w:spacing w:val="-5"/>
          <w:sz w:val="24"/>
        </w:rPr>
        <w:t> </w:t>
      </w:r>
      <w:r>
        <w:rPr>
          <w:sz w:val="24"/>
        </w:rPr>
        <w:t>target</w:t>
      </w:r>
      <w:r>
        <w:rPr>
          <w:spacing w:val="-5"/>
          <w:sz w:val="24"/>
        </w:rPr>
        <w:t> </w:t>
      </w:r>
      <w:r>
        <w:rPr>
          <w:sz w:val="24"/>
        </w:rPr>
        <w:t>at</w:t>
      </w:r>
      <w:r>
        <w:rPr>
          <w:spacing w:val="-5"/>
          <w:sz w:val="24"/>
        </w:rPr>
        <w:t> </w:t>
      </w:r>
      <w:r>
        <w:rPr>
          <w:sz w:val="24"/>
        </w:rPr>
        <w:t>the</w:t>
      </w:r>
      <w:r>
        <w:rPr>
          <w:spacing w:val="-5"/>
          <w:sz w:val="24"/>
        </w:rPr>
        <w:t> </w:t>
      </w:r>
      <w:r>
        <w:rPr>
          <w:sz w:val="24"/>
        </w:rPr>
        <w:t>end</w:t>
      </w:r>
      <w:r>
        <w:rPr>
          <w:spacing w:val="-5"/>
          <w:sz w:val="24"/>
        </w:rPr>
        <w:t> </w:t>
      </w:r>
      <w:r>
        <w:rPr>
          <w:sz w:val="24"/>
        </w:rPr>
        <w:t>of the forecast. The profile is slightly higher than in </w:t>
      </w:r>
      <w:r>
        <w:rPr>
          <w:spacing w:val="-5"/>
          <w:sz w:val="24"/>
        </w:rPr>
        <w:t>May, </w:t>
      </w:r>
      <w:r>
        <w:rPr>
          <w:sz w:val="24"/>
        </w:rPr>
        <w:t>as</w:t>
      </w:r>
      <w:r>
        <w:rPr>
          <w:spacing w:val="-6"/>
          <w:sz w:val="24"/>
        </w:rPr>
        <w:t> </w:t>
      </w:r>
      <w:r>
        <w:rPr>
          <w:sz w:val="24"/>
        </w:rPr>
        <w:t>the</w:t>
      </w:r>
      <w:r>
        <w:rPr>
          <w:spacing w:val="-5"/>
          <w:sz w:val="24"/>
        </w:rPr>
        <w:t> </w:t>
      </w:r>
      <w:r>
        <w:rPr>
          <w:sz w:val="24"/>
        </w:rPr>
        <w:t>lower</w:t>
      </w:r>
      <w:r>
        <w:rPr>
          <w:spacing w:val="-6"/>
          <w:sz w:val="24"/>
        </w:rPr>
        <w:t> </w:t>
      </w:r>
      <w:r>
        <w:rPr>
          <w:sz w:val="24"/>
        </w:rPr>
        <w:t>exchange</w:t>
      </w:r>
      <w:r>
        <w:rPr>
          <w:spacing w:val="-5"/>
          <w:sz w:val="24"/>
        </w:rPr>
        <w:t> </w:t>
      </w:r>
      <w:r>
        <w:rPr>
          <w:sz w:val="24"/>
        </w:rPr>
        <w:t>rate</w:t>
      </w:r>
      <w:r>
        <w:rPr>
          <w:spacing w:val="-6"/>
          <w:sz w:val="24"/>
        </w:rPr>
        <w:t> </w:t>
      </w:r>
      <w:r>
        <w:rPr>
          <w:sz w:val="24"/>
        </w:rPr>
        <w:t>offsets</w:t>
      </w:r>
      <w:r>
        <w:rPr>
          <w:spacing w:val="-5"/>
          <w:sz w:val="24"/>
        </w:rPr>
        <w:t> </w:t>
      </w:r>
      <w:r>
        <w:rPr>
          <w:sz w:val="24"/>
        </w:rPr>
        <w:t>weaker</w:t>
      </w:r>
      <w:r>
        <w:rPr>
          <w:spacing w:val="-6"/>
          <w:sz w:val="24"/>
        </w:rPr>
        <w:t> </w:t>
      </w:r>
      <w:r>
        <w:rPr>
          <w:sz w:val="24"/>
        </w:rPr>
        <w:t>pay</w:t>
      </w:r>
      <w:r>
        <w:rPr>
          <w:spacing w:val="-5"/>
          <w:sz w:val="24"/>
        </w:rPr>
        <w:t> </w:t>
      </w:r>
      <w:r>
        <w:rPr>
          <w:sz w:val="24"/>
        </w:rPr>
        <w:t>pressure</w:t>
      </w:r>
    </w:p>
    <w:p>
      <w:pPr>
        <w:spacing w:after="0" w:line="242" w:lineRule="auto"/>
        <w:jc w:val="left"/>
        <w:rPr>
          <w:sz w:val="24"/>
        </w:rPr>
        <w:sectPr>
          <w:type w:val="continuous"/>
          <w:pgSz w:w="11900" w:h="16840"/>
          <w:pgMar w:top="1260" w:bottom="280" w:left="640" w:right="640"/>
          <w:cols w:num="3" w:equalWidth="0">
            <w:col w:w="3201" w:space="40"/>
            <w:col w:w="326" w:space="981"/>
            <w:col w:w="6072"/>
          </w:cols>
        </w:sectPr>
      </w:pPr>
    </w:p>
    <w:p>
      <w:pPr>
        <w:pStyle w:val="BodyText"/>
        <w:spacing w:before="9"/>
        <w:rPr>
          <w:sz w:val="14"/>
        </w:rPr>
      </w:pPr>
    </w:p>
    <w:p>
      <w:pPr>
        <w:spacing w:line="208" w:lineRule="auto" w:before="0"/>
        <w:ind w:left="188" w:right="38" w:firstLine="0"/>
        <w:jc w:val="left"/>
        <w:rPr>
          <w:sz w:val="12"/>
        </w:rPr>
      </w:pPr>
      <w:r>
        <w:rPr>
          <w:sz w:val="12"/>
        </w:rPr>
        <w:t>The fan chart depicting the probability distribution for inflation is rather like a contour map. At any given point during the forecast period, the depth of shading represents the height of the probability density function over a range of outcomes for inflation. The darkest band includes the central (single most likely) projection and covers 10% of the probability. Each successive pair of bands is drawn to cover a further 10% of the probability, until 90% of the probability distribution is covered. The bands widen as the time horizon is extended, indicating increasing uncertainty about</w:t>
      </w:r>
      <w:r>
        <w:rPr>
          <w:spacing w:val="-2"/>
          <w:sz w:val="12"/>
        </w:rPr>
        <w:t> </w:t>
      </w:r>
      <w:r>
        <w:rPr>
          <w:sz w:val="12"/>
        </w:rPr>
        <w:t>outcomes.</w:t>
      </w:r>
    </w:p>
    <w:p>
      <w:pPr>
        <w:spacing w:line="266" w:lineRule="exact" w:before="0"/>
        <w:ind w:left="188" w:right="0" w:firstLine="0"/>
        <w:jc w:val="left"/>
        <w:rPr>
          <w:sz w:val="24"/>
        </w:rPr>
      </w:pPr>
      <w:r>
        <w:rPr/>
        <w:br w:type="column"/>
      </w:r>
      <w:r>
        <w:rPr>
          <w:sz w:val="24"/>
        </w:rPr>
        <w:t>and consumption growth.</w:t>
      </w:r>
    </w:p>
    <w:p>
      <w:pPr>
        <w:pStyle w:val="BodyText"/>
        <w:spacing w:before="8"/>
        <w:rPr>
          <w:sz w:val="24"/>
        </w:rPr>
      </w:pPr>
    </w:p>
    <w:p>
      <w:pPr>
        <w:spacing w:line="242" w:lineRule="auto" w:before="0"/>
        <w:ind w:left="188" w:right="227" w:firstLine="0"/>
        <w:jc w:val="left"/>
        <w:rPr>
          <w:sz w:val="24"/>
        </w:rPr>
      </w:pPr>
      <w:r>
        <w:rPr>
          <w:sz w:val="24"/>
        </w:rPr>
        <w:t>As ever, large uncertainties surround the projections for inflation and growth shown in the charts, and not every Committee member shares all the assumptions that underlie them. Some members prefer alternative assumptions about factors such as competitive pressures and productivity growth, which in combination could raise or lower the inflation profile by up to </w:t>
      </w:r>
      <w:r>
        <w:rPr>
          <w:position w:val="8"/>
          <w:sz w:val="12"/>
        </w:rPr>
        <w:t>1</w:t>
      </w:r>
      <w:r>
        <w:rPr>
          <w:sz w:val="24"/>
        </w:rPr>
        <w:t>/</w:t>
      </w:r>
      <w:r>
        <w:rPr>
          <w:sz w:val="12"/>
        </w:rPr>
        <w:t>2</w:t>
      </w:r>
      <w:r>
        <w:rPr>
          <w:sz w:val="24"/>
        </w:rPr>
        <w:t>% at the two-year forecast horizon.</w:t>
      </w:r>
    </w:p>
    <w:p>
      <w:pPr>
        <w:pStyle w:val="BodyText"/>
        <w:spacing w:before="2"/>
        <w:rPr>
          <w:sz w:val="25"/>
        </w:rPr>
      </w:pPr>
    </w:p>
    <w:p>
      <w:pPr>
        <w:spacing w:line="242" w:lineRule="auto" w:before="0"/>
        <w:ind w:left="188" w:right="162" w:firstLine="0"/>
        <w:jc w:val="left"/>
        <w:rPr>
          <w:sz w:val="24"/>
        </w:rPr>
      </w:pPr>
      <w:r>
        <w:rPr>
          <w:sz w:val="24"/>
        </w:rPr>
        <w:t>The immediate outlook remains one of steady growth with </w:t>
      </w:r>
      <w:r>
        <w:rPr>
          <w:spacing w:val="-3"/>
          <w:sz w:val="24"/>
        </w:rPr>
        <w:t>low </w:t>
      </w:r>
      <w:r>
        <w:rPr>
          <w:sz w:val="24"/>
        </w:rPr>
        <w:t>inflation at around the 2</w:t>
      </w:r>
      <w:r>
        <w:rPr>
          <w:position w:val="8"/>
          <w:sz w:val="12"/>
        </w:rPr>
        <w:t>1</w:t>
      </w:r>
      <w:r>
        <w:rPr>
          <w:sz w:val="24"/>
        </w:rPr>
        <w:t>/</w:t>
      </w:r>
      <w:r>
        <w:rPr>
          <w:sz w:val="12"/>
        </w:rPr>
        <w:t>2</w:t>
      </w:r>
      <w:r>
        <w:rPr>
          <w:sz w:val="24"/>
        </w:rPr>
        <w:t>% target rate. But overall demand and supply must remain in balance if that prospect is to be maintained. This suggests that </w:t>
      </w:r>
      <w:r>
        <w:rPr>
          <w:spacing w:val="-3"/>
          <w:sz w:val="24"/>
        </w:rPr>
        <w:t>private </w:t>
      </w:r>
      <w:r>
        <w:rPr>
          <w:sz w:val="24"/>
        </w:rPr>
        <w:t>sector domestic demand growth will need to slow in the period ahead, and pay pressures must not </w:t>
      </w:r>
      <w:r>
        <w:rPr>
          <w:spacing w:val="-3"/>
          <w:sz w:val="24"/>
        </w:rPr>
        <w:t>intensify. </w:t>
      </w:r>
      <w:r>
        <w:rPr>
          <w:sz w:val="24"/>
        </w:rPr>
        <w:t>The Committee’s assessment of the evolving balance of risks to inflation will determine whether further policy changes are required to keep inflation on track to meet the</w:t>
      </w:r>
      <w:r>
        <w:rPr>
          <w:spacing w:val="-2"/>
          <w:sz w:val="24"/>
        </w:rPr>
        <w:t> </w:t>
      </w:r>
      <w:r>
        <w:rPr>
          <w:sz w:val="24"/>
        </w:rPr>
        <w:t>target.</w:t>
      </w:r>
    </w:p>
    <w:p>
      <w:pPr>
        <w:spacing w:after="0" w:line="242" w:lineRule="auto"/>
        <w:jc w:val="left"/>
        <w:rPr>
          <w:sz w:val="24"/>
        </w:rPr>
        <w:sectPr>
          <w:type w:val="continuous"/>
          <w:pgSz w:w="11900" w:h="16840"/>
          <w:pgMar w:top="1260" w:bottom="280" w:left="640" w:right="640"/>
          <w:cols w:num="2" w:equalWidth="0">
            <w:col w:w="3822" w:space="949"/>
            <w:col w:w="5849"/>
          </w:cols>
        </w:sectPr>
      </w:pPr>
    </w:p>
    <w:p>
      <w:pPr>
        <w:spacing w:before="58"/>
        <w:ind w:left="1975" w:right="1533" w:firstLine="0"/>
        <w:jc w:val="center"/>
        <w:rPr>
          <w:b/>
          <w:sz w:val="28"/>
        </w:rPr>
      </w:pPr>
      <w:r>
        <w:rPr>
          <w:b/>
          <w:color w:val="009391"/>
          <w:sz w:val="28"/>
        </w:rPr>
        <w:t>Contents</w:t>
      </w:r>
    </w:p>
    <w:sdt>
      <w:sdtPr>
        <w:docPartObj>
          <w:docPartGallery w:val="Table of Contents"/>
          <w:docPartUnique/>
        </w:docPartObj>
      </w:sdtPr>
      <w:sdtEndPr/>
      <w:sdtContent>
        <w:p>
          <w:pPr>
            <w:pStyle w:val="TOC1"/>
            <w:numPr>
              <w:ilvl w:val="0"/>
              <w:numId w:val="1"/>
            </w:numPr>
            <w:tabs>
              <w:tab w:pos="5374" w:val="left" w:leader="none"/>
              <w:tab w:pos="5375" w:val="left" w:leader="none"/>
              <w:tab w:pos="10274" w:val="right" w:leader="none"/>
            </w:tabs>
            <w:spacing w:line="240" w:lineRule="auto" w:before="596" w:after="0"/>
            <w:ind w:left="5374" w:right="0" w:hanging="381"/>
            <w:jc w:val="left"/>
            <w:rPr>
              <w:b w:val="0"/>
            </w:rPr>
          </w:pPr>
          <w:hyperlink w:history="true" w:anchor="_bookmark1">
            <w:r>
              <w:rPr>
                <w:color w:val="0092C7"/>
              </w:rPr>
              <w:t>Money and</w:t>
            </w:r>
            <w:r>
              <w:rPr>
                <w:color w:val="0092C7"/>
                <w:spacing w:val="-4"/>
              </w:rPr>
              <w:t> </w:t>
            </w:r>
            <w:r>
              <w:rPr>
                <w:color w:val="0092C7"/>
              </w:rPr>
              <w:t>financial</w:t>
            </w:r>
            <w:r>
              <w:rPr>
                <w:color w:val="0092C7"/>
                <w:spacing w:val="-2"/>
              </w:rPr>
              <w:t> </w:t>
            </w:r>
            <w:r>
              <w:rPr>
                <w:color w:val="0092C7"/>
              </w:rPr>
              <w:t>markets</w:t>
            </w:r>
          </w:hyperlink>
          <w:r>
            <w:rPr>
              <w:color w:val="0092C7"/>
            </w:rPr>
            <w:tab/>
          </w:r>
          <w:r>
            <w:rPr>
              <w:b w:val="0"/>
            </w:rPr>
            <w:t>3</w:t>
          </w:r>
        </w:p>
        <w:p>
          <w:pPr>
            <w:pStyle w:val="TOC2"/>
            <w:numPr>
              <w:ilvl w:val="1"/>
              <w:numId w:val="1"/>
            </w:numPr>
            <w:tabs>
              <w:tab w:pos="5934" w:val="left" w:leader="none"/>
              <w:tab w:pos="5935" w:val="left" w:leader="none"/>
              <w:tab w:pos="10274" w:val="right" w:leader="none"/>
            </w:tabs>
            <w:spacing w:line="240" w:lineRule="auto" w:before="44" w:after="0"/>
            <w:ind w:left="5934" w:right="0" w:hanging="561"/>
            <w:jc w:val="left"/>
            <w:rPr>
              <w:b w:val="0"/>
            </w:rPr>
          </w:pPr>
          <w:hyperlink w:history="true" w:anchor="_bookmark1">
            <w:r>
              <w:rPr/>
              <w:t>Money</w:t>
            </w:r>
            <w:r>
              <w:rPr>
                <w:spacing w:val="-2"/>
              </w:rPr>
              <w:t> </w:t>
            </w:r>
            <w:r>
              <w:rPr/>
              <w:t>and</w:t>
            </w:r>
            <w:r>
              <w:rPr>
                <w:spacing w:val="-1"/>
              </w:rPr>
              <w:t> </w:t>
            </w:r>
            <w:r>
              <w:rPr/>
              <w:t>credit</w:t>
            </w:r>
          </w:hyperlink>
          <w:r>
            <w:rPr/>
            <w:tab/>
          </w:r>
          <w:r>
            <w:rPr>
              <w:b w:val="0"/>
            </w:rPr>
            <w:t>3</w:t>
          </w:r>
        </w:p>
        <w:p>
          <w:pPr>
            <w:pStyle w:val="TOC3"/>
            <w:tabs>
              <w:tab w:pos="10274" w:val="right" w:leader="none"/>
            </w:tabs>
          </w:pPr>
          <w:hyperlink w:history="true" w:anchor="_bookmark1">
            <w:r>
              <w:rPr/>
              <w:t>Narrow</w:t>
            </w:r>
            <w:r>
              <w:rPr>
                <w:spacing w:val="-2"/>
              </w:rPr>
              <w:t> </w:t>
            </w:r>
            <w:r>
              <w:rPr/>
              <w:t>money</w:t>
            </w:r>
          </w:hyperlink>
          <w:r>
            <w:rPr/>
            <w:tab/>
            <w:t>3</w:t>
          </w:r>
        </w:p>
        <w:p>
          <w:pPr>
            <w:pStyle w:val="TOC3"/>
            <w:tabs>
              <w:tab w:pos="10274" w:val="right" w:leader="none"/>
            </w:tabs>
          </w:pPr>
          <w:hyperlink w:history="true" w:anchor="_bookmark1">
            <w:r>
              <w:rPr/>
              <w:t>Broad money</w:t>
            </w:r>
            <w:r>
              <w:rPr>
                <w:spacing w:val="-4"/>
              </w:rPr>
              <w:t> </w:t>
            </w:r>
            <w:r>
              <w:rPr/>
              <w:t>and</w:t>
            </w:r>
            <w:r>
              <w:rPr>
                <w:spacing w:val="-1"/>
              </w:rPr>
              <w:t> </w:t>
            </w:r>
            <w:r>
              <w:rPr/>
              <w:t>credit</w:t>
            </w:r>
          </w:hyperlink>
          <w:r>
            <w:rPr/>
            <w:tab/>
            <w:t>3</w:t>
          </w:r>
        </w:p>
        <w:p>
          <w:pPr>
            <w:pStyle w:val="TOC3"/>
            <w:tabs>
              <w:tab w:pos="10274" w:val="right" w:leader="none"/>
            </w:tabs>
          </w:pPr>
          <w:hyperlink w:history="true" w:anchor="_bookmark2">
            <w:r>
              <w:rPr/>
              <w:t>Household</w:t>
            </w:r>
            <w:r>
              <w:rPr>
                <w:spacing w:val="-2"/>
              </w:rPr>
              <w:t> </w:t>
            </w:r>
            <w:r>
              <w:rPr/>
              <w:t>sector</w:t>
            </w:r>
          </w:hyperlink>
          <w:r>
            <w:rPr/>
            <w:tab/>
            <w:t>4</w:t>
          </w:r>
        </w:p>
        <w:p>
          <w:pPr>
            <w:pStyle w:val="TOC3"/>
            <w:tabs>
              <w:tab w:pos="10274" w:val="right" w:leader="none"/>
            </w:tabs>
          </w:pPr>
          <w:hyperlink w:history="true" w:anchor="_bookmark3">
            <w:r>
              <w:rPr>
                <w:spacing w:val="-3"/>
              </w:rPr>
              <w:t>Private </w:t>
            </w:r>
            <w:r>
              <w:rPr/>
              <w:t>non-financial</w:t>
            </w:r>
            <w:r>
              <w:rPr>
                <w:spacing w:val="-3"/>
              </w:rPr>
              <w:t> </w:t>
            </w:r>
            <w:r>
              <w:rPr/>
              <w:t>corporations</w:t>
            </w:r>
          </w:hyperlink>
          <w:r>
            <w:rPr/>
            <w:tab/>
            <w:t>5</w:t>
          </w:r>
        </w:p>
        <w:p>
          <w:pPr>
            <w:pStyle w:val="TOC3"/>
            <w:tabs>
              <w:tab w:pos="10274" w:val="right" w:leader="none"/>
            </w:tabs>
          </w:pPr>
          <w:hyperlink w:history="true" w:anchor="_bookmark4">
            <w:r>
              <w:rPr/>
              <w:t>Other</w:t>
            </w:r>
            <w:r>
              <w:rPr>
                <w:spacing w:val="-3"/>
              </w:rPr>
              <w:t> </w:t>
            </w:r>
            <w:r>
              <w:rPr/>
              <w:t>financial</w:t>
            </w:r>
            <w:r>
              <w:rPr>
                <w:spacing w:val="-2"/>
              </w:rPr>
              <w:t> </w:t>
            </w:r>
            <w:r>
              <w:rPr/>
              <w:t>corporations</w:t>
            </w:r>
          </w:hyperlink>
          <w:r>
            <w:rPr/>
            <w:tab/>
            <w:t>6</w:t>
          </w:r>
        </w:p>
        <w:p>
          <w:pPr>
            <w:pStyle w:val="TOC2"/>
            <w:numPr>
              <w:ilvl w:val="1"/>
              <w:numId w:val="1"/>
            </w:numPr>
            <w:tabs>
              <w:tab w:pos="5934" w:val="left" w:leader="none"/>
              <w:tab w:pos="5935" w:val="left" w:leader="none"/>
              <w:tab w:pos="10274" w:val="right" w:leader="none"/>
            </w:tabs>
            <w:spacing w:line="240" w:lineRule="auto" w:before="44" w:after="0"/>
            <w:ind w:left="5934" w:right="0" w:hanging="561"/>
            <w:jc w:val="left"/>
            <w:rPr>
              <w:b w:val="0"/>
            </w:rPr>
          </w:pPr>
          <w:hyperlink w:history="true" w:anchor="_bookmark4">
            <w:r>
              <w:rPr/>
              <w:t>Interest rates and</w:t>
            </w:r>
            <w:r>
              <w:rPr>
                <w:spacing w:val="-7"/>
              </w:rPr>
              <w:t> </w:t>
            </w:r>
            <w:r>
              <w:rPr/>
              <w:t>asset</w:t>
            </w:r>
            <w:r>
              <w:rPr>
                <w:spacing w:val="-2"/>
              </w:rPr>
              <w:t> </w:t>
            </w:r>
            <w:r>
              <w:rPr/>
              <w:t>prices</w:t>
            </w:r>
          </w:hyperlink>
          <w:r>
            <w:rPr/>
            <w:tab/>
          </w:r>
          <w:r>
            <w:rPr>
              <w:b w:val="0"/>
            </w:rPr>
            <w:t>6</w:t>
          </w:r>
        </w:p>
        <w:p>
          <w:pPr>
            <w:pStyle w:val="TOC3"/>
            <w:tabs>
              <w:tab w:pos="10274" w:val="right" w:leader="none"/>
            </w:tabs>
          </w:pPr>
          <w:hyperlink w:history="true" w:anchor="_bookmark4">
            <w:r>
              <w:rPr/>
              <w:t>Short-term</w:t>
            </w:r>
            <w:r>
              <w:rPr>
                <w:spacing w:val="-2"/>
              </w:rPr>
              <w:t> </w:t>
            </w:r>
            <w:r>
              <w:rPr/>
              <w:t>interest</w:t>
            </w:r>
            <w:r>
              <w:rPr>
                <w:spacing w:val="-2"/>
              </w:rPr>
              <w:t> </w:t>
            </w:r>
            <w:r>
              <w:rPr/>
              <w:t>rates</w:t>
            </w:r>
          </w:hyperlink>
          <w:r>
            <w:rPr/>
            <w:tab/>
            <w:t>6</w:t>
          </w:r>
        </w:p>
        <w:p>
          <w:pPr>
            <w:pStyle w:val="TOC3"/>
            <w:tabs>
              <w:tab w:pos="10274" w:val="right" w:leader="none"/>
            </w:tabs>
          </w:pPr>
          <w:hyperlink w:history="true" w:anchor="_bookmark5">
            <w:r>
              <w:rPr/>
              <w:t>Long-term</w:t>
            </w:r>
            <w:r>
              <w:rPr>
                <w:spacing w:val="-2"/>
              </w:rPr>
              <w:t> </w:t>
            </w:r>
            <w:r>
              <w:rPr/>
              <w:t>interest</w:t>
            </w:r>
            <w:r>
              <w:rPr>
                <w:spacing w:val="-2"/>
              </w:rPr>
              <w:t> </w:t>
            </w:r>
            <w:r>
              <w:rPr/>
              <w:t>rates</w:t>
            </w:r>
          </w:hyperlink>
          <w:r>
            <w:rPr/>
            <w:tab/>
            <w:t>7</w:t>
          </w:r>
        </w:p>
        <w:p>
          <w:pPr>
            <w:pStyle w:val="TOC3"/>
            <w:tabs>
              <w:tab w:pos="10274" w:val="right" w:leader="none"/>
            </w:tabs>
          </w:pPr>
          <w:hyperlink w:history="true" w:anchor="_bookmark5">
            <w:r>
              <w:rPr/>
              <w:t>Household</w:t>
            </w:r>
            <w:r>
              <w:rPr>
                <w:spacing w:val="-3"/>
              </w:rPr>
              <w:t> </w:t>
            </w:r>
            <w:r>
              <w:rPr/>
              <w:t>borrowing</w:t>
            </w:r>
            <w:r>
              <w:rPr>
                <w:spacing w:val="-2"/>
              </w:rPr>
              <w:t> </w:t>
            </w:r>
            <w:r>
              <w:rPr/>
              <w:t>rates</w:t>
            </w:r>
          </w:hyperlink>
          <w:r>
            <w:rPr/>
            <w:tab/>
            <w:t>7</w:t>
          </w:r>
        </w:p>
        <w:p>
          <w:pPr>
            <w:pStyle w:val="TOC3"/>
            <w:tabs>
              <w:tab w:pos="10274" w:val="right" w:leader="none"/>
            </w:tabs>
          </w:pPr>
          <w:hyperlink w:history="true" w:anchor="_bookmark6">
            <w:r>
              <w:rPr/>
              <w:t>Corporate</w:t>
            </w:r>
            <w:r>
              <w:rPr>
                <w:spacing w:val="-2"/>
              </w:rPr>
              <w:t> </w:t>
            </w:r>
            <w:r>
              <w:rPr/>
              <w:t>borrowing</w:t>
            </w:r>
            <w:r>
              <w:rPr>
                <w:spacing w:val="-2"/>
              </w:rPr>
              <w:t> </w:t>
            </w:r>
            <w:r>
              <w:rPr/>
              <w:t>rates</w:t>
            </w:r>
          </w:hyperlink>
          <w:r>
            <w:rPr/>
            <w:tab/>
            <w:t>8</w:t>
          </w:r>
        </w:p>
        <w:p>
          <w:pPr>
            <w:pStyle w:val="TOC3"/>
            <w:tabs>
              <w:tab w:pos="10274" w:val="right" w:leader="none"/>
            </w:tabs>
          </w:pPr>
          <w:hyperlink w:history="true" w:anchor="_bookmark7">
            <w:r>
              <w:rPr/>
              <w:t>Real</w:t>
            </w:r>
            <w:r>
              <w:rPr>
                <w:spacing w:val="-2"/>
              </w:rPr>
              <w:t> </w:t>
            </w:r>
            <w:r>
              <w:rPr/>
              <w:t>interest</w:t>
            </w:r>
            <w:r>
              <w:rPr>
                <w:spacing w:val="-1"/>
              </w:rPr>
              <w:t> </w:t>
            </w:r>
            <w:r>
              <w:rPr/>
              <w:t>rates</w:t>
            </w:r>
          </w:hyperlink>
          <w:r>
            <w:rPr/>
            <w:tab/>
            <w:t>9</w:t>
          </w:r>
        </w:p>
        <w:p>
          <w:pPr>
            <w:pStyle w:val="TOC3"/>
            <w:tabs>
              <w:tab w:pos="10274" w:val="right" w:leader="none"/>
            </w:tabs>
          </w:pPr>
          <w:hyperlink w:history="true" w:anchor="_bookmark7">
            <w:r>
              <w:rPr/>
              <w:t>Equity</w:t>
            </w:r>
            <w:r>
              <w:rPr>
                <w:spacing w:val="-2"/>
              </w:rPr>
              <w:t> </w:t>
            </w:r>
            <w:r>
              <w:rPr/>
              <w:t>prices</w:t>
            </w:r>
          </w:hyperlink>
          <w:r>
            <w:rPr/>
            <w:tab/>
            <w:t>9</w:t>
          </w:r>
        </w:p>
        <w:p>
          <w:pPr>
            <w:pStyle w:val="TOC3"/>
            <w:tabs>
              <w:tab w:pos="10274" w:val="right" w:leader="none"/>
            </w:tabs>
          </w:pPr>
          <w:hyperlink w:history="true" w:anchor="_bookmark8">
            <w:r>
              <w:rPr/>
              <w:t>Property</w:t>
            </w:r>
            <w:r>
              <w:rPr>
                <w:spacing w:val="-2"/>
              </w:rPr>
              <w:t> </w:t>
            </w:r>
            <w:r>
              <w:rPr/>
              <w:t>prices</w:t>
            </w:r>
          </w:hyperlink>
          <w:r>
            <w:rPr/>
            <w:tab/>
            <w:t>10</w:t>
          </w:r>
        </w:p>
        <w:p>
          <w:pPr>
            <w:pStyle w:val="TOC3"/>
            <w:tabs>
              <w:tab w:pos="10274" w:val="right" w:leader="none"/>
            </w:tabs>
          </w:pPr>
          <w:hyperlink w:history="true" w:anchor="_bookmark8">
            <w:r>
              <w:rPr/>
              <w:t>Exchange</w:t>
            </w:r>
            <w:r>
              <w:rPr>
                <w:spacing w:val="-2"/>
              </w:rPr>
              <w:t> </w:t>
            </w:r>
            <w:r>
              <w:rPr/>
              <w:t>rates</w:t>
            </w:r>
          </w:hyperlink>
          <w:r>
            <w:rPr/>
            <w:tab/>
            <w:t>10</w:t>
          </w:r>
        </w:p>
        <w:p>
          <w:pPr>
            <w:pStyle w:val="TOC2"/>
            <w:numPr>
              <w:ilvl w:val="1"/>
              <w:numId w:val="1"/>
            </w:numPr>
            <w:tabs>
              <w:tab w:pos="5934" w:val="left" w:leader="none"/>
              <w:tab w:pos="5935" w:val="left" w:leader="none"/>
              <w:tab w:pos="10274" w:val="right" w:leader="none"/>
            </w:tabs>
            <w:spacing w:line="240" w:lineRule="auto" w:before="44" w:after="0"/>
            <w:ind w:left="5934" w:right="0" w:hanging="561"/>
            <w:jc w:val="left"/>
            <w:rPr>
              <w:b w:val="0"/>
            </w:rPr>
          </w:pPr>
          <w:hyperlink w:history="true" w:anchor="_bookmark9">
            <w:r>
              <w:rPr/>
              <w:t>Summary</w:t>
            </w:r>
          </w:hyperlink>
          <w:r>
            <w:rPr/>
            <w:tab/>
          </w:r>
          <w:r>
            <w:rPr>
              <w:b w:val="0"/>
            </w:rPr>
            <w:t>11</w:t>
          </w:r>
        </w:p>
        <w:p>
          <w:pPr>
            <w:pStyle w:val="TOC1"/>
            <w:numPr>
              <w:ilvl w:val="0"/>
              <w:numId w:val="1"/>
            </w:numPr>
            <w:tabs>
              <w:tab w:pos="5374" w:val="left" w:leader="none"/>
              <w:tab w:pos="5375" w:val="left" w:leader="none"/>
              <w:tab w:pos="10274" w:val="right" w:leader="none"/>
            </w:tabs>
            <w:spacing w:line="240" w:lineRule="auto" w:before="364" w:after="54"/>
            <w:ind w:left="5374" w:right="0" w:hanging="381"/>
            <w:jc w:val="left"/>
            <w:rPr>
              <w:b w:val="0"/>
            </w:rPr>
          </w:pPr>
          <w:hyperlink w:history="true" w:anchor="_bookmark10">
            <w:r>
              <w:rPr>
                <w:color w:val="0092C7"/>
              </w:rPr>
              <w:t>Demand</w:t>
            </w:r>
            <w:r>
              <w:rPr>
                <w:color w:val="0092C7"/>
                <w:spacing w:val="-2"/>
              </w:rPr>
              <w:t> </w:t>
            </w:r>
            <w:r>
              <w:rPr>
                <w:color w:val="0092C7"/>
              </w:rPr>
              <w:t>and</w:t>
            </w:r>
            <w:r>
              <w:rPr>
                <w:color w:val="0092C7"/>
                <w:spacing w:val="-1"/>
              </w:rPr>
              <w:t> </w:t>
            </w:r>
            <w:r>
              <w:rPr>
                <w:color w:val="0092C7"/>
              </w:rPr>
              <w:t>output</w:t>
            </w:r>
          </w:hyperlink>
          <w:r>
            <w:rPr>
              <w:color w:val="0092C7"/>
            </w:rPr>
            <w:tab/>
          </w:r>
          <w:r>
            <w:rPr>
              <w:b w:val="0"/>
            </w:rPr>
            <w:t>13</w:t>
          </w:r>
        </w:p>
      </w:sdtContent>
    </w:sdt>
    <w:tbl>
      <w:tblPr>
        <w:tblW w:w="0" w:type="auto"/>
        <w:jc w:val="left"/>
        <w:tblInd w:w="5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6"/>
        <w:gridCol w:w="3739"/>
        <w:gridCol w:w="704"/>
      </w:tblGrid>
      <w:tr>
        <w:trPr>
          <w:trHeight w:val="292" w:hRule="atLeast"/>
        </w:trPr>
        <w:tc>
          <w:tcPr>
            <w:tcW w:w="556" w:type="dxa"/>
          </w:tcPr>
          <w:p>
            <w:pPr>
              <w:pStyle w:val="TableParagraph"/>
              <w:spacing w:line="266" w:lineRule="exact"/>
              <w:ind w:left="50"/>
              <w:rPr>
                <w:b/>
                <w:sz w:val="24"/>
              </w:rPr>
            </w:pPr>
            <w:hyperlink w:history="true" w:anchor="_bookmark10">
              <w:r>
                <w:rPr>
                  <w:b/>
                  <w:sz w:val="24"/>
                </w:rPr>
                <w:t>2.1</w:t>
              </w:r>
            </w:hyperlink>
          </w:p>
        </w:tc>
        <w:tc>
          <w:tcPr>
            <w:tcW w:w="3739" w:type="dxa"/>
          </w:tcPr>
          <w:p>
            <w:pPr>
              <w:pStyle w:val="TableParagraph"/>
              <w:spacing w:line="266" w:lineRule="exact"/>
              <w:ind w:left="53"/>
              <w:rPr>
                <w:b/>
                <w:sz w:val="24"/>
              </w:rPr>
            </w:pPr>
            <w:hyperlink w:history="true" w:anchor="_bookmark10">
              <w:r>
                <w:rPr>
                  <w:b/>
                  <w:sz w:val="24"/>
                </w:rPr>
                <w:t>External demand</w:t>
              </w:r>
            </w:hyperlink>
          </w:p>
        </w:tc>
        <w:tc>
          <w:tcPr>
            <w:tcW w:w="704" w:type="dxa"/>
          </w:tcPr>
          <w:p>
            <w:pPr>
              <w:pStyle w:val="TableParagraph"/>
              <w:spacing w:line="266" w:lineRule="exact"/>
              <w:ind w:right="48"/>
              <w:jc w:val="right"/>
              <w:rPr>
                <w:sz w:val="24"/>
              </w:rPr>
            </w:pPr>
            <w:r>
              <w:rPr>
                <w:sz w:val="24"/>
              </w:rPr>
              <w:t>13</w:t>
            </w:r>
          </w:p>
        </w:tc>
      </w:tr>
      <w:tr>
        <w:trPr>
          <w:trHeight w:val="319" w:hRule="atLeast"/>
        </w:trPr>
        <w:tc>
          <w:tcPr>
            <w:tcW w:w="556" w:type="dxa"/>
          </w:tcPr>
          <w:p>
            <w:pPr>
              <w:pStyle w:val="TableParagraph"/>
              <w:spacing w:line="240" w:lineRule="auto" w:before="17"/>
              <w:ind w:left="50"/>
              <w:rPr>
                <w:b/>
                <w:sz w:val="24"/>
              </w:rPr>
            </w:pPr>
            <w:hyperlink w:history="true" w:anchor="_bookmark11">
              <w:r>
                <w:rPr>
                  <w:b/>
                  <w:sz w:val="24"/>
                </w:rPr>
                <w:t>2.2</w:t>
              </w:r>
            </w:hyperlink>
          </w:p>
        </w:tc>
        <w:tc>
          <w:tcPr>
            <w:tcW w:w="3739" w:type="dxa"/>
          </w:tcPr>
          <w:p>
            <w:pPr>
              <w:pStyle w:val="TableParagraph"/>
              <w:spacing w:line="240" w:lineRule="auto" w:before="17"/>
              <w:ind w:left="53"/>
              <w:rPr>
                <w:b/>
                <w:sz w:val="24"/>
              </w:rPr>
            </w:pPr>
            <w:hyperlink w:history="true" w:anchor="_bookmark11">
              <w:r>
                <w:rPr>
                  <w:b/>
                  <w:sz w:val="24"/>
                </w:rPr>
                <w:t>Domestic demand</w:t>
              </w:r>
            </w:hyperlink>
          </w:p>
        </w:tc>
        <w:tc>
          <w:tcPr>
            <w:tcW w:w="704" w:type="dxa"/>
          </w:tcPr>
          <w:p>
            <w:pPr>
              <w:pStyle w:val="TableParagraph"/>
              <w:spacing w:line="240" w:lineRule="auto" w:before="17"/>
              <w:ind w:right="48"/>
              <w:jc w:val="right"/>
              <w:rPr>
                <w:sz w:val="24"/>
              </w:rPr>
            </w:pPr>
            <w:r>
              <w:rPr>
                <w:sz w:val="24"/>
              </w:rPr>
              <w:t>15</w:t>
            </w:r>
          </w:p>
        </w:tc>
      </w:tr>
      <w:tr>
        <w:trPr>
          <w:trHeight w:val="319" w:hRule="atLeast"/>
        </w:trPr>
        <w:tc>
          <w:tcPr>
            <w:tcW w:w="556" w:type="dxa"/>
          </w:tcPr>
          <w:p>
            <w:pPr>
              <w:pStyle w:val="TableParagraph"/>
              <w:spacing w:line="240" w:lineRule="auto"/>
              <w:rPr>
                <w:sz w:val="24"/>
              </w:rPr>
            </w:pPr>
          </w:p>
        </w:tc>
        <w:tc>
          <w:tcPr>
            <w:tcW w:w="3739" w:type="dxa"/>
          </w:tcPr>
          <w:p>
            <w:pPr>
              <w:pStyle w:val="TableParagraph"/>
              <w:spacing w:line="240" w:lineRule="auto" w:before="17"/>
              <w:ind w:left="354"/>
              <w:rPr>
                <w:sz w:val="24"/>
              </w:rPr>
            </w:pPr>
            <w:hyperlink w:history="true" w:anchor="_bookmark11">
              <w:r>
                <w:rPr>
                  <w:sz w:val="24"/>
                </w:rPr>
                <w:t>Household sector consumption</w:t>
              </w:r>
            </w:hyperlink>
          </w:p>
        </w:tc>
        <w:tc>
          <w:tcPr>
            <w:tcW w:w="704" w:type="dxa"/>
          </w:tcPr>
          <w:p>
            <w:pPr>
              <w:pStyle w:val="TableParagraph"/>
              <w:spacing w:line="240" w:lineRule="auto" w:before="17"/>
              <w:ind w:right="47"/>
              <w:jc w:val="right"/>
              <w:rPr>
                <w:sz w:val="24"/>
              </w:rPr>
            </w:pPr>
            <w:r>
              <w:rPr>
                <w:sz w:val="24"/>
              </w:rPr>
              <w:t>15</w:t>
            </w:r>
          </w:p>
        </w:tc>
      </w:tr>
      <w:tr>
        <w:trPr>
          <w:trHeight w:val="319" w:hRule="atLeast"/>
        </w:trPr>
        <w:tc>
          <w:tcPr>
            <w:tcW w:w="556" w:type="dxa"/>
          </w:tcPr>
          <w:p>
            <w:pPr>
              <w:pStyle w:val="TableParagraph"/>
              <w:spacing w:line="240" w:lineRule="auto"/>
              <w:rPr>
                <w:sz w:val="24"/>
              </w:rPr>
            </w:pPr>
          </w:p>
        </w:tc>
        <w:tc>
          <w:tcPr>
            <w:tcW w:w="3739" w:type="dxa"/>
          </w:tcPr>
          <w:p>
            <w:pPr>
              <w:pStyle w:val="TableParagraph"/>
              <w:spacing w:line="240" w:lineRule="auto" w:before="17"/>
              <w:ind w:left="354"/>
              <w:rPr>
                <w:sz w:val="24"/>
              </w:rPr>
            </w:pPr>
            <w:hyperlink w:history="true" w:anchor="_bookmark12">
              <w:r>
                <w:rPr>
                  <w:sz w:val="24"/>
                </w:rPr>
                <w:t>Investment demand</w:t>
              </w:r>
            </w:hyperlink>
          </w:p>
        </w:tc>
        <w:tc>
          <w:tcPr>
            <w:tcW w:w="704" w:type="dxa"/>
          </w:tcPr>
          <w:p>
            <w:pPr>
              <w:pStyle w:val="TableParagraph"/>
              <w:spacing w:line="240" w:lineRule="auto" w:before="17"/>
              <w:ind w:right="47"/>
              <w:jc w:val="right"/>
              <w:rPr>
                <w:sz w:val="24"/>
              </w:rPr>
            </w:pPr>
            <w:r>
              <w:rPr>
                <w:sz w:val="24"/>
              </w:rPr>
              <w:t>17</w:t>
            </w:r>
          </w:p>
        </w:tc>
      </w:tr>
      <w:tr>
        <w:trPr>
          <w:trHeight w:val="319" w:hRule="atLeast"/>
        </w:trPr>
        <w:tc>
          <w:tcPr>
            <w:tcW w:w="556" w:type="dxa"/>
          </w:tcPr>
          <w:p>
            <w:pPr>
              <w:pStyle w:val="TableParagraph"/>
              <w:spacing w:line="240" w:lineRule="auto"/>
              <w:rPr>
                <w:sz w:val="24"/>
              </w:rPr>
            </w:pPr>
          </w:p>
        </w:tc>
        <w:tc>
          <w:tcPr>
            <w:tcW w:w="3739" w:type="dxa"/>
          </w:tcPr>
          <w:p>
            <w:pPr>
              <w:pStyle w:val="TableParagraph"/>
              <w:spacing w:line="240" w:lineRule="auto" w:before="17"/>
              <w:ind w:left="354"/>
              <w:rPr>
                <w:sz w:val="24"/>
              </w:rPr>
            </w:pPr>
            <w:hyperlink w:history="true" w:anchor="_bookmark14">
              <w:r>
                <w:rPr>
                  <w:sz w:val="24"/>
                </w:rPr>
                <w:t>Public sector consumption</w:t>
              </w:r>
            </w:hyperlink>
          </w:p>
        </w:tc>
        <w:tc>
          <w:tcPr>
            <w:tcW w:w="704" w:type="dxa"/>
          </w:tcPr>
          <w:p>
            <w:pPr>
              <w:pStyle w:val="TableParagraph"/>
              <w:spacing w:line="240" w:lineRule="auto" w:before="17"/>
              <w:ind w:right="47"/>
              <w:jc w:val="right"/>
              <w:rPr>
                <w:sz w:val="24"/>
              </w:rPr>
            </w:pPr>
            <w:r>
              <w:rPr>
                <w:sz w:val="24"/>
              </w:rPr>
              <w:t>20</w:t>
            </w:r>
          </w:p>
        </w:tc>
      </w:tr>
      <w:tr>
        <w:trPr>
          <w:trHeight w:val="309" w:hRule="atLeast"/>
        </w:trPr>
        <w:tc>
          <w:tcPr>
            <w:tcW w:w="556" w:type="dxa"/>
          </w:tcPr>
          <w:p>
            <w:pPr>
              <w:pStyle w:val="TableParagraph"/>
              <w:spacing w:line="240" w:lineRule="auto"/>
              <w:rPr>
                <w:sz w:val="22"/>
              </w:rPr>
            </w:pPr>
          </w:p>
        </w:tc>
        <w:tc>
          <w:tcPr>
            <w:tcW w:w="3739" w:type="dxa"/>
          </w:tcPr>
          <w:p>
            <w:pPr>
              <w:pStyle w:val="TableParagraph"/>
              <w:spacing w:line="273" w:lineRule="exact" w:before="17"/>
              <w:ind w:left="354"/>
              <w:rPr>
                <w:sz w:val="24"/>
              </w:rPr>
            </w:pPr>
            <w:hyperlink w:history="true" w:anchor="_bookmark15">
              <w:r>
                <w:rPr>
                  <w:sz w:val="24"/>
                </w:rPr>
                <w:t>Inventories</w:t>
              </w:r>
            </w:hyperlink>
          </w:p>
        </w:tc>
        <w:tc>
          <w:tcPr>
            <w:tcW w:w="704" w:type="dxa"/>
          </w:tcPr>
          <w:p>
            <w:pPr>
              <w:pStyle w:val="TableParagraph"/>
              <w:spacing w:line="273" w:lineRule="exact" w:before="17"/>
              <w:ind w:right="47"/>
              <w:jc w:val="right"/>
              <w:rPr>
                <w:sz w:val="24"/>
              </w:rPr>
            </w:pPr>
            <w:r>
              <w:rPr>
                <w:sz w:val="24"/>
              </w:rPr>
              <w:t>21</w:t>
            </w:r>
          </w:p>
        </w:tc>
      </w:tr>
      <w:tr>
        <w:trPr>
          <w:trHeight w:val="300" w:hRule="atLeast"/>
        </w:trPr>
        <w:tc>
          <w:tcPr>
            <w:tcW w:w="556" w:type="dxa"/>
          </w:tcPr>
          <w:p>
            <w:pPr>
              <w:pStyle w:val="TableParagraph"/>
              <w:spacing w:line="273" w:lineRule="exact" w:before="7"/>
              <w:ind w:left="50"/>
              <w:rPr>
                <w:b/>
                <w:sz w:val="24"/>
              </w:rPr>
            </w:pPr>
            <w:hyperlink w:history="true" w:anchor="_bookmark15">
              <w:r>
                <w:rPr>
                  <w:b/>
                  <w:sz w:val="24"/>
                </w:rPr>
                <w:t>2.3</w:t>
              </w:r>
            </w:hyperlink>
          </w:p>
        </w:tc>
        <w:tc>
          <w:tcPr>
            <w:tcW w:w="3739" w:type="dxa"/>
          </w:tcPr>
          <w:p>
            <w:pPr>
              <w:pStyle w:val="TableParagraph"/>
              <w:spacing w:line="273" w:lineRule="exact" w:before="7"/>
              <w:ind w:left="53"/>
              <w:rPr>
                <w:b/>
                <w:sz w:val="24"/>
              </w:rPr>
            </w:pPr>
            <w:hyperlink w:history="true" w:anchor="_bookmark15">
              <w:r>
                <w:rPr>
                  <w:b/>
                  <w:sz w:val="24"/>
                </w:rPr>
                <w:t>Output</w:t>
              </w:r>
            </w:hyperlink>
          </w:p>
        </w:tc>
        <w:tc>
          <w:tcPr>
            <w:tcW w:w="704" w:type="dxa"/>
          </w:tcPr>
          <w:p>
            <w:pPr>
              <w:pStyle w:val="TableParagraph"/>
              <w:spacing w:line="273" w:lineRule="exact" w:before="7"/>
              <w:ind w:right="46"/>
              <w:jc w:val="right"/>
              <w:rPr>
                <w:sz w:val="24"/>
              </w:rPr>
            </w:pPr>
            <w:r>
              <w:rPr>
                <w:sz w:val="24"/>
              </w:rPr>
              <w:t>21</w:t>
            </w:r>
          </w:p>
        </w:tc>
      </w:tr>
      <w:tr>
        <w:trPr>
          <w:trHeight w:val="300" w:hRule="atLeast"/>
        </w:trPr>
        <w:tc>
          <w:tcPr>
            <w:tcW w:w="556" w:type="dxa"/>
          </w:tcPr>
          <w:p>
            <w:pPr>
              <w:pStyle w:val="TableParagraph"/>
              <w:spacing w:line="273" w:lineRule="exact" w:before="7"/>
              <w:ind w:left="50"/>
              <w:rPr>
                <w:b/>
                <w:sz w:val="24"/>
              </w:rPr>
            </w:pPr>
            <w:hyperlink w:history="true" w:anchor="_bookmark16">
              <w:r>
                <w:rPr>
                  <w:b/>
                  <w:sz w:val="24"/>
                </w:rPr>
                <w:t>2.4</w:t>
              </w:r>
            </w:hyperlink>
          </w:p>
        </w:tc>
        <w:tc>
          <w:tcPr>
            <w:tcW w:w="3739" w:type="dxa"/>
          </w:tcPr>
          <w:p>
            <w:pPr>
              <w:pStyle w:val="TableParagraph"/>
              <w:spacing w:line="273" w:lineRule="exact" w:before="7"/>
              <w:ind w:left="53"/>
              <w:rPr>
                <w:b/>
                <w:sz w:val="24"/>
              </w:rPr>
            </w:pPr>
            <w:hyperlink w:history="true" w:anchor="_bookmark16">
              <w:r>
                <w:rPr>
                  <w:b/>
                  <w:sz w:val="24"/>
                </w:rPr>
                <w:t>Summary</w:t>
              </w:r>
            </w:hyperlink>
          </w:p>
        </w:tc>
        <w:tc>
          <w:tcPr>
            <w:tcW w:w="704" w:type="dxa"/>
          </w:tcPr>
          <w:p>
            <w:pPr>
              <w:pStyle w:val="TableParagraph"/>
              <w:spacing w:line="273" w:lineRule="exact" w:before="7"/>
              <w:ind w:right="46"/>
              <w:jc w:val="right"/>
              <w:rPr>
                <w:sz w:val="24"/>
              </w:rPr>
            </w:pPr>
            <w:r>
              <w:rPr>
                <w:sz w:val="24"/>
              </w:rPr>
              <w:t>23</w:t>
            </w:r>
          </w:p>
        </w:tc>
      </w:tr>
      <w:tr>
        <w:trPr>
          <w:trHeight w:val="282" w:hRule="atLeast"/>
        </w:trPr>
        <w:tc>
          <w:tcPr>
            <w:tcW w:w="556" w:type="dxa"/>
          </w:tcPr>
          <w:p>
            <w:pPr>
              <w:pStyle w:val="TableParagraph"/>
              <w:spacing w:line="256" w:lineRule="exact" w:before="7"/>
              <w:ind w:left="50"/>
              <w:rPr>
                <w:i/>
                <w:sz w:val="24"/>
              </w:rPr>
            </w:pPr>
            <w:hyperlink w:history="true" w:anchor="_bookmark13">
              <w:r>
                <w:rPr>
                  <w:i/>
                  <w:sz w:val="24"/>
                </w:rPr>
                <w:t>Box:</w:t>
              </w:r>
            </w:hyperlink>
          </w:p>
        </w:tc>
        <w:tc>
          <w:tcPr>
            <w:tcW w:w="3739" w:type="dxa"/>
          </w:tcPr>
          <w:p>
            <w:pPr>
              <w:pStyle w:val="TableParagraph"/>
              <w:spacing w:line="256" w:lineRule="exact" w:before="7"/>
              <w:ind w:left="354"/>
              <w:rPr>
                <w:i/>
                <w:sz w:val="24"/>
              </w:rPr>
            </w:pPr>
            <w:hyperlink w:history="true" w:anchor="_bookmark13">
              <w:r>
                <w:rPr>
                  <w:i/>
                  <w:sz w:val="24"/>
                </w:rPr>
                <w:t>The housing market</w:t>
              </w:r>
            </w:hyperlink>
          </w:p>
        </w:tc>
        <w:tc>
          <w:tcPr>
            <w:tcW w:w="704" w:type="dxa"/>
          </w:tcPr>
          <w:p>
            <w:pPr>
              <w:pStyle w:val="TableParagraph"/>
              <w:spacing w:line="256" w:lineRule="exact" w:before="7"/>
              <w:ind w:right="46"/>
              <w:jc w:val="right"/>
              <w:rPr>
                <w:sz w:val="24"/>
              </w:rPr>
            </w:pPr>
            <w:r>
              <w:rPr>
                <w:sz w:val="24"/>
              </w:rPr>
              <w:t>18</w:t>
            </w:r>
          </w:p>
        </w:tc>
      </w:tr>
    </w:tbl>
    <w:p>
      <w:pPr>
        <w:pStyle w:val="BodyText"/>
        <w:spacing w:before="2"/>
        <w:rPr>
          <w:sz w:val="28"/>
        </w:rPr>
      </w:pPr>
    </w:p>
    <w:p>
      <w:pPr>
        <w:pStyle w:val="ListParagraph"/>
        <w:numPr>
          <w:ilvl w:val="0"/>
          <w:numId w:val="1"/>
        </w:numPr>
        <w:tabs>
          <w:tab w:pos="5374" w:val="left" w:leader="none"/>
          <w:tab w:pos="5375" w:val="left" w:leader="none"/>
          <w:tab w:pos="10034" w:val="left" w:leader="none"/>
        </w:tabs>
        <w:spacing w:line="240" w:lineRule="auto" w:before="0" w:after="0"/>
        <w:ind w:left="5374" w:right="0" w:hanging="381"/>
        <w:jc w:val="left"/>
        <w:rPr>
          <w:sz w:val="24"/>
        </w:rPr>
      </w:pPr>
      <w:hyperlink w:history="true" w:anchor="_bookmark17">
        <w:r>
          <w:rPr>
            <w:b/>
            <w:color w:val="0092C7"/>
            <w:sz w:val="24"/>
          </w:rPr>
          <w:t>The</w:t>
        </w:r>
        <w:r>
          <w:rPr>
            <w:b/>
            <w:color w:val="0092C7"/>
            <w:spacing w:val="-4"/>
            <w:sz w:val="24"/>
          </w:rPr>
          <w:t> </w:t>
        </w:r>
        <w:r>
          <w:rPr>
            <w:b/>
            <w:color w:val="0092C7"/>
            <w:sz w:val="24"/>
          </w:rPr>
          <w:t>labour</w:t>
        </w:r>
        <w:r>
          <w:rPr>
            <w:b/>
            <w:color w:val="0092C7"/>
            <w:spacing w:val="-4"/>
            <w:sz w:val="24"/>
          </w:rPr>
          <w:t> </w:t>
        </w:r>
        <w:r>
          <w:rPr>
            <w:b/>
            <w:color w:val="0092C7"/>
            <w:sz w:val="24"/>
          </w:rPr>
          <w:t>market</w:t>
        </w:r>
      </w:hyperlink>
      <w:r>
        <w:rPr>
          <w:b/>
          <w:color w:val="0092C7"/>
          <w:sz w:val="24"/>
        </w:rPr>
        <w:tab/>
      </w:r>
      <w:r>
        <w:rPr>
          <w:sz w:val="24"/>
        </w:rPr>
        <w:t>24</w:t>
      </w:r>
    </w:p>
    <w:p>
      <w:pPr>
        <w:pStyle w:val="ListParagraph"/>
        <w:numPr>
          <w:ilvl w:val="1"/>
          <w:numId w:val="1"/>
        </w:numPr>
        <w:tabs>
          <w:tab w:pos="5934" w:val="left" w:leader="none"/>
          <w:tab w:pos="5935" w:val="left" w:leader="none"/>
          <w:tab w:pos="10274" w:val="right" w:leader="none"/>
        </w:tabs>
        <w:spacing w:line="240" w:lineRule="auto" w:before="44" w:after="0"/>
        <w:ind w:left="5934" w:right="0" w:hanging="561"/>
        <w:jc w:val="left"/>
        <w:rPr>
          <w:sz w:val="24"/>
        </w:rPr>
      </w:pPr>
      <w:hyperlink w:history="true" w:anchor="_bookmark17">
        <w:r>
          <w:rPr>
            <w:b/>
            <w:sz w:val="24"/>
          </w:rPr>
          <w:t>Employment</w:t>
        </w:r>
        <w:r>
          <w:rPr>
            <w:b/>
            <w:spacing w:val="-3"/>
            <w:sz w:val="24"/>
          </w:rPr>
          <w:t> </w:t>
        </w:r>
        <w:r>
          <w:rPr>
            <w:b/>
            <w:sz w:val="24"/>
          </w:rPr>
          <w:t>and</w:t>
        </w:r>
        <w:r>
          <w:rPr>
            <w:b/>
            <w:spacing w:val="-3"/>
            <w:sz w:val="24"/>
          </w:rPr>
          <w:t> </w:t>
        </w:r>
        <w:r>
          <w:rPr>
            <w:b/>
            <w:sz w:val="24"/>
          </w:rPr>
          <w:t>unemployment</w:t>
        </w:r>
      </w:hyperlink>
      <w:r>
        <w:rPr>
          <w:b/>
          <w:sz w:val="24"/>
        </w:rPr>
        <w:tab/>
      </w:r>
      <w:r>
        <w:rPr>
          <w:sz w:val="24"/>
        </w:rPr>
        <w:t>24</w:t>
      </w:r>
    </w:p>
    <w:p>
      <w:pPr>
        <w:pStyle w:val="ListParagraph"/>
        <w:numPr>
          <w:ilvl w:val="1"/>
          <w:numId w:val="1"/>
        </w:numPr>
        <w:tabs>
          <w:tab w:pos="5934" w:val="left" w:leader="none"/>
          <w:tab w:pos="5935" w:val="left" w:leader="none"/>
          <w:tab w:pos="10274" w:val="right" w:leader="none"/>
        </w:tabs>
        <w:spacing w:line="240" w:lineRule="auto" w:before="44" w:after="0"/>
        <w:ind w:left="5934" w:right="0" w:hanging="561"/>
        <w:jc w:val="left"/>
        <w:rPr>
          <w:sz w:val="24"/>
        </w:rPr>
      </w:pPr>
      <w:hyperlink w:history="true" w:anchor="_bookmark18">
        <w:r>
          <w:rPr>
            <w:b/>
            <w:sz w:val="24"/>
          </w:rPr>
          <w:t>Earnings</w:t>
        </w:r>
        <w:r>
          <w:rPr>
            <w:b/>
            <w:spacing w:val="-2"/>
            <w:sz w:val="24"/>
          </w:rPr>
          <w:t> </w:t>
        </w:r>
        <w:r>
          <w:rPr>
            <w:b/>
            <w:sz w:val="24"/>
          </w:rPr>
          <w:t>and</w:t>
        </w:r>
        <w:r>
          <w:rPr>
            <w:b/>
            <w:spacing w:val="-2"/>
            <w:sz w:val="24"/>
          </w:rPr>
          <w:t> </w:t>
        </w:r>
        <w:r>
          <w:rPr>
            <w:b/>
            <w:sz w:val="24"/>
          </w:rPr>
          <w:t>settlements</w:t>
        </w:r>
      </w:hyperlink>
      <w:r>
        <w:rPr>
          <w:b/>
          <w:sz w:val="24"/>
        </w:rPr>
        <w:tab/>
      </w:r>
      <w:r>
        <w:rPr>
          <w:sz w:val="24"/>
        </w:rPr>
        <w:t>27</w:t>
      </w:r>
    </w:p>
    <w:p>
      <w:pPr>
        <w:pStyle w:val="ListParagraph"/>
        <w:numPr>
          <w:ilvl w:val="1"/>
          <w:numId w:val="1"/>
        </w:numPr>
        <w:tabs>
          <w:tab w:pos="5934" w:val="left" w:leader="none"/>
          <w:tab w:pos="5935" w:val="left" w:leader="none"/>
        </w:tabs>
        <w:spacing w:line="240" w:lineRule="auto" w:before="44" w:after="0"/>
        <w:ind w:left="5934" w:right="0" w:hanging="561"/>
        <w:jc w:val="left"/>
        <w:rPr>
          <w:b/>
          <w:sz w:val="24"/>
        </w:rPr>
      </w:pPr>
      <w:hyperlink w:history="true" w:anchor="_bookmark19">
        <w:r>
          <w:rPr>
            <w:b/>
            <w:sz w:val="24"/>
          </w:rPr>
          <w:t>Labour productivity and</w:t>
        </w:r>
        <w:r>
          <w:rPr>
            <w:b/>
            <w:spacing w:val="-6"/>
            <w:sz w:val="24"/>
          </w:rPr>
          <w:t> </w:t>
        </w:r>
        <w:r>
          <w:rPr>
            <w:b/>
            <w:sz w:val="24"/>
          </w:rPr>
          <w:t>unit</w:t>
        </w:r>
      </w:hyperlink>
    </w:p>
    <w:p>
      <w:pPr>
        <w:tabs>
          <w:tab w:pos="10274" w:val="right" w:leader="none"/>
        </w:tabs>
        <w:spacing w:before="44"/>
        <w:ind w:left="5934" w:right="0" w:firstLine="0"/>
        <w:jc w:val="left"/>
        <w:rPr>
          <w:sz w:val="24"/>
        </w:rPr>
      </w:pPr>
      <w:hyperlink w:history="true" w:anchor="_bookmark19">
        <w:r>
          <w:rPr>
            <w:b/>
            <w:sz w:val="24"/>
          </w:rPr>
          <w:t>wage</w:t>
        </w:r>
        <w:r>
          <w:rPr>
            <w:b/>
            <w:spacing w:val="-2"/>
            <w:sz w:val="24"/>
          </w:rPr>
          <w:t> </w:t>
        </w:r>
        <w:r>
          <w:rPr>
            <w:b/>
            <w:sz w:val="24"/>
          </w:rPr>
          <w:t>costs</w:t>
        </w:r>
      </w:hyperlink>
      <w:r>
        <w:rPr>
          <w:b/>
          <w:sz w:val="24"/>
        </w:rPr>
        <w:tab/>
      </w:r>
      <w:r>
        <w:rPr>
          <w:sz w:val="24"/>
        </w:rPr>
        <w:t>30</w:t>
      </w:r>
    </w:p>
    <w:p>
      <w:pPr>
        <w:pStyle w:val="ListParagraph"/>
        <w:numPr>
          <w:ilvl w:val="1"/>
          <w:numId w:val="1"/>
        </w:numPr>
        <w:tabs>
          <w:tab w:pos="5934" w:val="left" w:leader="none"/>
          <w:tab w:pos="5935" w:val="left" w:leader="none"/>
          <w:tab w:pos="10274" w:val="right" w:leader="none"/>
        </w:tabs>
        <w:spacing w:line="240" w:lineRule="auto" w:before="44" w:after="0"/>
        <w:ind w:left="5934" w:right="0" w:hanging="561"/>
        <w:jc w:val="left"/>
        <w:rPr>
          <w:sz w:val="24"/>
        </w:rPr>
      </w:pPr>
      <w:hyperlink w:history="true" w:anchor="_bookmark20">
        <w:r>
          <w:rPr>
            <w:b/>
            <w:sz w:val="24"/>
          </w:rPr>
          <w:t>Summary</w:t>
        </w:r>
      </w:hyperlink>
      <w:r>
        <w:rPr>
          <w:b/>
          <w:sz w:val="24"/>
        </w:rPr>
        <w:tab/>
      </w:r>
      <w:r>
        <w:rPr>
          <w:sz w:val="24"/>
        </w:rPr>
        <w:t>31</w:t>
      </w:r>
    </w:p>
    <w:p>
      <w:pPr>
        <w:pStyle w:val="ListParagraph"/>
        <w:numPr>
          <w:ilvl w:val="0"/>
          <w:numId w:val="1"/>
        </w:numPr>
        <w:tabs>
          <w:tab w:pos="5374" w:val="left" w:leader="none"/>
          <w:tab w:pos="5375" w:val="left" w:leader="none"/>
          <w:tab w:pos="10274" w:val="right" w:leader="none"/>
        </w:tabs>
        <w:spacing w:line="240" w:lineRule="auto" w:before="364" w:after="0"/>
        <w:ind w:left="5374" w:right="0" w:hanging="381"/>
        <w:jc w:val="left"/>
        <w:rPr>
          <w:sz w:val="24"/>
        </w:rPr>
      </w:pPr>
      <w:hyperlink w:history="true" w:anchor="_bookmark21">
        <w:r>
          <w:rPr>
            <w:b/>
            <w:color w:val="0092C7"/>
            <w:sz w:val="24"/>
          </w:rPr>
          <w:t>Costs</w:t>
        </w:r>
        <w:r>
          <w:rPr>
            <w:b/>
            <w:color w:val="0092C7"/>
            <w:spacing w:val="-2"/>
            <w:sz w:val="24"/>
          </w:rPr>
          <w:t> </w:t>
        </w:r>
        <w:r>
          <w:rPr>
            <w:b/>
            <w:color w:val="0092C7"/>
            <w:sz w:val="24"/>
          </w:rPr>
          <w:t>and</w:t>
        </w:r>
        <w:r>
          <w:rPr>
            <w:b/>
            <w:color w:val="0092C7"/>
            <w:spacing w:val="-1"/>
            <w:sz w:val="24"/>
          </w:rPr>
          <w:t> </w:t>
        </w:r>
        <w:r>
          <w:rPr>
            <w:b/>
            <w:color w:val="0092C7"/>
            <w:sz w:val="24"/>
          </w:rPr>
          <w:t>prices</w:t>
        </w:r>
      </w:hyperlink>
      <w:r>
        <w:rPr>
          <w:b/>
          <w:color w:val="0092C7"/>
          <w:sz w:val="24"/>
        </w:rPr>
        <w:tab/>
      </w:r>
      <w:r>
        <w:rPr>
          <w:sz w:val="24"/>
        </w:rPr>
        <w:t>32</w:t>
      </w:r>
    </w:p>
    <w:p>
      <w:pPr>
        <w:pStyle w:val="ListParagraph"/>
        <w:numPr>
          <w:ilvl w:val="1"/>
          <w:numId w:val="1"/>
        </w:numPr>
        <w:tabs>
          <w:tab w:pos="5934" w:val="left" w:leader="none"/>
          <w:tab w:pos="5935" w:val="left" w:leader="none"/>
          <w:tab w:pos="10274" w:val="right" w:leader="none"/>
        </w:tabs>
        <w:spacing w:line="240" w:lineRule="auto" w:before="44" w:after="0"/>
        <w:ind w:left="5934" w:right="0" w:hanging="561"/>
        <w:jc w:val="left"/>
        <w:rPr>
          <w:sz w:val="24"/>
        </w:rPr>
      </w:pPr>
      <w:hyperlink w:history="true" w:anchor="_bookmark21">
        <w:r>
          <w:rPr>
            <w:b/>
            <w:sz w:val="24"/>
          </w:rPr>
          <w:t>Raw materials and</w:t>
        </w:r>
        <w:r>
          <w:rPr>
            <w:b/>
            <w:spacing w:val="-12"/>
            <w:sz w:val="24"/>
          </w:rPr>
          <w:t> </w:t>
        </w:r>
        <w:r>
          <w:rPr>
            <w:b/>
            <w:sz w:val="24"/>
          </w:rPr>
          <w:t>commodity</w:t>
        </w:r>
        <w:r>
          <w:rPr>
            <w:b/>
            <w:spacing w:val="-4"/>
            <w:sz w:val="24"/>
          </w:rPr>
          <w:t> </w:t>
        </w:r>
        <w:r>
          <w:rPr>
            <w:b/>
            <w:sz w:val="24"/>
          </w:rPr>
          <w:t>prices</w:t>
        </w:r>
      </w:hyperlink>
      <w:r>
        <w:rPr>
          <w:b/>
          <w:sz w:val="24"/>
        </w:rPr>
        <w:tab/>
      </w:r>
      <w:r>
        <w:rPr>
          <w:sz w:val="24"/>
        </w:rPr>
        <w:t>32</w:t>
      </w:r>
    </w:p>
    <w:p>
      <w:pPr>
        <w:pStyle w:val="ListParagraph"/>
        <w:numPr>
          <w:ilvl w:val="1"/>
          <w:numId w:val="1"/>
        </w:numPr>
        <w:tabs>
          <w:tab w:pos="5934" w:val="left" w:leader="none"/>
          <w:tab w:pos="5935" w:val="left" w:leader="none"/>
          <w:tab w:pos="10274" w:val="right" w:leader="none"/>
        </w:tabs>
        <w:spacing w:line="240" w:lineRule="auto" w:before="44" w:after="0"/>
        <w:ind w:left="5934" w:right="0" w:hanging="561"/>
        <w:jc w:val="left"/>
        <w:rPr>
          <w:sz w:val="24"/>
        </w:rPr>
      </w:pPr>
      <w:hyperlink w:history="true" w:anchor="_bookmark22">
        <w:r>
          <w:rPr>
            <w:b/>
            <w:sz w:val="24"/>
          </w:rPr>
          <w:t>Import prices and the</w:t>
        </w:r>
        <w:r>
          <w:rPr>
            <w:b/>
            <w:spacing w:val="-13"/>
            <w:sz w:val="24"/>
          </w:rPr>
          <w:t> </w:t>
        </w:r>
        <w:r>
          <w:rPr>
            <w:b/>
            <w:sz w:val="24"/>
          </w:rPr>
          <w:t>exchange</w:t>
        </w:r>
        <w:r>
          <w:rPr>
            <w:b/>
            <w:spacing w:val="-3"/>
            <w:sz w:val="24"/>
          </w:rPr>
          <w:t> </w:t>
        </w:r>
        <w:r>
          <w:rPr>
            <w:b/>
            <w:sz w:val="24"/>
          </w:rPr>
          <w:t>rate</w:t>
        </w:r>
      </w:hyperlink>
      <w:r>
        <w:rPr>
          <w:b/>
          <w:sz w:val="24"/>
        </w:rPr>
        <w:tab/>
      </w:r>
      <w:r>
        <w:rPr>
          <w:sz w:val="24"/>
        </w:rPr>
        <w:t>33</w:t>
      </w:r>
    </w:p>
    <w:p>
      <w:pPr>
        <w:pStyle w:val="ListParagraph"/>
        <w:numPr>
          <w:ilvl w:val="1"/>
          <w:numId w:val="1"/>
        </w:numPr>
        <w:tabs>
          <w:tab w:pos="5934" w:val="left" w:leader="none"/>
          <w:tab w:pos="5935" w:val="left" w:leader="none"/>
          <w:tab w:pos="10274" w:val="right" w:leader="none"/>
        </w:tabs>
        <w:spacing w:line="240" w:lineRule="auto" w:before="44" w:after="0"/>
        <w:ind w:left="5934" w:right="0" w:hanging="561"/>
        <w:jc w:val="left"/>
        <w:rPr>
          <w:sz w:val="24"/>
        </w:rPr>
      </w:pPr>
      <w:hyperlink w:history="true" w:anchor="_bookmark22">
        <w:r>
          <w:rPr>
            <w:b/>
            <w:sz w:val="24"/>
          </w:rPr>
          <w:t>Costs and prices</w:t>
        </w:r>
        <w:r>
          <w:rPr>
            <w:b/>
            <w:spacing w:val="-9"/>
            <w:sz w:val="24"/>
          </w:rPr>
          <w:t> </w:t>
        </w:r>
        <w:r>
          <w:rPr>
            <w:b/>
            <w:sz w:val="24"/>
          </w:rPr>
          <w:t>in</w:t>
        </w:r>
        <w:r>
          <w:rPr>
            <w:b/>
            <w:spacing w:val="-3"/>
            <w:sz w:val="24"/>
          </w:rPr>
          <w:t> </w:t>
        </w:r>
        <w:r>
          <w:rPr>
            <w:b/>
            <w:sz w:val="24"/>
          </w:rPr>
          <w:t>manufacturing</w:t>
        </w:r>
      </w:hyperlink>
      <w:r>
        <w:rPr>
          <w:b/>
          <w:sz w:val="24"/>
        </w:rPr>
        <w:tab/>
      </w:r>
      <w:r>
        <w:rPr>
          <w:sz w:val="24"/>
        </w:rPr>
        <w:t>33</w:t>
      </w:r>
    </w:p>
    <w:p>
      <w:pPr>
        <w:pStyle w:val="ListParagraph"/>
        <w:numPr>
          <w:ilvl w:val="1"/>
          <w:numId w:val="1"/>
        </w:numPr>
        <w:tabs>
          <w:tab w:pos="5934" w:val="left" w:leader="none"/>
          <w:tab w:pos="5935" w:val="left" w:leader="none"/>
          <w:tab w:pos="10274" w:val="right" w:leader="none"/>
        </w:tabs>
        <w:spacing w:line="240" w:lineRule="auto" w:before="44" w:after="0"/>
        <w:ind w:left="5934" w:right="0" w:hanging="561"/>
        <w:jc w:val="left"/>
        <w:rPr>
          <w:sz w:val="24"/>
        </w:rPr>
      </w:pPr>
      <w:hyperlink w:history="true" w:anchor="_bookmark23">
        <w:r>
          <w:rPr>
            <w:b/>
            <w:sz w:val="24"/>
          </w:rPr>
          <w:t>Costs and prices in the</w:t>
        </w:r>
        <w:r>
          <w:rPr>
            <w:b/>
            <w:spacing w:val="-17"/>
            <w:sz w:val="24"/>
          </w:rPr>
          <w:t> </w:t>
        </w:r>
        <w:r>
          <w:rPr>
            <w:b/>
            <w:sz w:val="24"/>
          </w:rPr>
          <w:t>service</w:t>
        </w:r>
        <w:r>
          <w:rPr>
            <w:b/>
            <w:spacing w:val="-3"/>
            <w:sz w:val="24"/>
          </w:rPr>
          <w:t> </w:t>
        </w:r>
        <w:r>
          <w:rPr>
            <w:b/>
            <w:sz w:val="24"/>
          </w:rPr>
          <w:t>sector</w:t>
        </w:r>
      </w:hyperlink>
      <w:r>
        <w:rPr>
          <w:b/>
          <w:sz w:val="24"/>
        </w:rPr>
        <w:tab/>
      </w:r>
      <w:r>
        <w:rPr>
          <w:sz w:val="24"/>
        </w:rPr>
        <w:t>34</w:t>
      </w:r>
    </w:p>
    <w:p>
      <w:pPr>
        <w:spacing w:after="0" w:line="240" w:lineRule="auto"/>
        <w:jc w:val="left"/>
        <w:rPr>
          <w:sz w:val="24"/>
        </w:rPr>
        <w:sectPr>
          <w:headerReference w:type="even" r:id="rId13"/>
          <w:footerReference w:type="even" r:id="rId14"/>
          <w:pgSz w:w="11900" w:h="16840"/>
          <w:pgMar w:header="0" w:footer="0" w:top="1240" w:bottom="280" w:left="640" w:right="640"/>
        </w:sectPr>
      </w:pPr>
    </w:p>
    <w:tbl>
      <w:tblPr>
        <w:tblW w:w="0" w:type="auto"/>
        <w:jc w:val="left"/>
        <w:tblInd w:w="5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6"/>
        <w:gridCol w:w="3841"/>
        <w:gridCol w:w="602"/>
      </w:tblGrid>
      <w:tr>
        <w:trPr>
          <w:trHeight w:val="292" w:hRule="atLeast"/>
        </w:trPr>
        <w:tc>
          <w:tcPr>
            <w:tcW w:w="556" w:type="dxa"/>
          </w:tcPr>
          <w:p>
            <w:pPr>
              <w:pStyle w:val="TableParagraph"/>
              <w:spacing w:line="260" w:lineRule="exact"/>
              <w:ind w:left="50"/>
              <w:rPr>
                <w:b/>
                <w:sz w:val="24"/>
              </w:rPr>
            </w:pPr>
            <w:hyperlink w:history="true" w:anchor="_bookmark24">
              <w:r>
                <w:rPr>
                  <w:b/>
                  <w:sz w:val="24"/>
                </w:rPr>
                <w:t>4.5</w:t>
              </w:r>
            </w:hyperlink>
          </w:p>
        </w:tc>
        <w:tc>
          <w:tcPr>
            <w:tcW w:w="3841" w:type="dxa"/>
          </w:tcPr>
          <w:p>
            <w:pPr>
              <w:pStyle w:val="TableParagraph"/>
              <w:spacing w:line="260" w:lineRule="exact"/>
              <w:ind w:left="53"/>
              <w:rPr>
                <w:b/>
                <w:sz w:val="24"/>
              </w:rPr>
            </w:pPr>
            <w:hyperlink w:history="true" w:anchor="_bookmark24">
              <w:r>
                <w:rPr>
                  <w:b/>
                  <w:sz w:val="24"/>
                </w:rPr>
                <w:t>Retail prices</w:t>
              </w:r>
            </w:hyperlink>
          </w:p>
        </w:tc>
        <w:tc>
          <w:tcPr>
            <w:tcW w:w="602" w:type="dxa"/>
          </w:tcPr>
          <w:p>
            <w:pPr>
              <w:pStyle w:val="TableParagraph"/>
              <w:spacing w:line="260" w:lineRule="exact"/>
              <w:ind w:right="48"/>
              <w:jc w:val="right"/>
              <w:rPr>
                <w:sz w:val="24"/>
              </w:rPr>
            </w:pPr>
            <w:r>
              <w:rPr>
                <w:sz w:val="24"/>
              </w:rPr>
              <w:t>35</w:t>
            </w:r>
          </w:p>
        </w:tc>
      </w:tr>
      <w:tr>
        <w:trPr>
          <w:trHeight w:val="319" w:hRule="atLeast"/>
        </w:trPr>
        <w:tc>
          <w:tcPr>
            <w:tcW w:w="556" w:type="dxa"/>
          </w:tcPr>
          <w:p>
            <w:pPr>
              <w:pStyle w:val="TableParagraph"/>
              <w:spacing w:line="240" w:lineRule="auto" w:before="11"/>
              <w:ind w:left="50"/>
              <w:rPr>
                <w:b/>
                <w:sz w:val="24"/>
              </w:rPr>
            </w:pPr>
            <w:hyperlink w:history="true" w:anchor="_bookmark26">
              <w:r>
                <w:rPr>
                  <w:b/>
                  <w:sz w:val="24"/>
                </w:rPr>
                <w:t>4.6</w:t>
              </w:r>
            </w:hyperlink>
          </w:p>
        </w:tc>
        <w:tc>
          <w:tcPr>
            <w:tcW w:w="3841" w:type="dxa"/>
          </w:tcPr>
          <w:p>
            <w:pPr>
              <w:pStyle w:val="TableParagraph"/>
              <w:spacing w:line="240" w:lineRule="auto" w:before="11"/>
              <w:ind w:left="53"/>
              <w:rPr>
                <w:b/>
                <w:sz w:val="24"/>
              </w:rPr>
            </w:pPr>
            <w:hyperlink w:history="true" w:anchor="_bookmark26">
              <w:r>
                <w:rPr>
                  <w:b/>
                  <w:sz w:val="24"/>
                </w:rPr>
                <w:t>Other price indices</w:t>
              </w:r>
            </w:hyperlink>
          </w:p>
        </w:tc>
        <w:tc>
          <w:tcPr>
            <w:tcW w:w="602" w:type="dxa"/>
          </w:tcPr>
          <w:p>
            <w:pPr>
              <w:pStyle w:val="TableParagraph"/>
              <w:spacing w:line="240" w:lineRule="auto" w:before="11"/>
              <w:ind w:right="48"/>
              <w:jc w:val="right"/>
              <w:rPr>
                <w:sz w:val="24"/>
              </w:rPr>
            </w:pPr>
            <w:r>
              <w:rPr>
                <w:sz w:val="24"/>
              </w:rPr>
              <w:t>37</w:t>
            </w:r>
          </w:p>
        </w:tc>
      </w:tr>
      <w:tr>
        <w:trPr>
          <w:trHeight w:val="319" w:hRule="atLeast"/>
        </w:trPr>
        <w:tc>
          <w:tcPr>
            <w:tcW w:w="556" w:type="dxa"/>
          </w:tcPr>
          <w:p>
            <w:pPr>
              <w:pStyle w:val="TableParagraph"/>
              <w:spacing w:line="240" w:lineRule="auto" w:before="11"/>
              <w:ind w:left="50"/>
              <w:rPr>
                <w:b/>
                <w:sz w:val="24"/>
              </w:rPr>
            </w:pPr>
            <w:hyperlink w:history="true" w:anchor="_bookmark28">
              <w:r>
                <w:rPr>
                  <w:b/>
                  <w:sz w:val="24"/>
                </w:rPr>
                <w:t>4.7</w:t>
              </w:r>
            </w:hyperlink>
          </w:p>
        </w:tc>
        <w:tc>
          <w:tcPr>
            <w:tcW w:w="3841" w:type="dxa"/>
          </w:tcPr>
          <w:p>
            <w:pPr>
              <w:pStyle w:val="TableParagraph"/>
              <w:spacing w:line="240" w:lineRule="auto" w:before="11"/>
              <w:ind w:left="53"/>
              <w:rPr>
                <w:b/>
                <w:sz w:val="24"/>
              </w:rPr>
            </w:pPr>
            <w:hyperlink w:history="true" w:anchor="_bookmark28">
              <w:r>
                <w:rPr>
                  <w:b/>
                  <w:sz w:val="24"/>
                </w:rPr>
                <w:t>Summary</w:t>
              </w:r>
            </w:hyperlink>
          </w:p>
        </w:tc>
        <w:tc>
          <w:tcPr>
            <w:tcW w:w="602" w:type="dxa"/>
          </w:tcPr>
          <w:p>
            <w:pPr>
              <w:pStyle w:val="TableParagraph"/>
              <w:spacing w:line="240" w:lineRule="auto" w:before="11"/>
              <w:ind w:right="48"/>
              <w:jc w:val="right"/>
              <w:rPr>
                <w:sz w:val="24"/>
              </w:rPr>
            </w:pPr>
            <w:r>
              <w:rPr>
                <w:sz w:val="24"/>
              </w:rPr>
              <w:t>38</w:t>
            </w:r>
          </w:p>
        </w:tc>
      </w:tr>
      <w:tr>
        <w:trPr>
          <w:trHeight w:val="292" w:hRule="atLeast"/>
        </w:trPr>
        <w:tc>
          <w:tcPr>
            <w:tcW w:w="556" w:type="dxa"/>
          </w:tcPr>
          <w:p>
            <w:pPr>
              <w:pStyle w:val="TableParagraph"/>
              <w:spacing w:line="262" w:lineRule="exact" w:before="11"/>
              <w:ind w:left="50"/>
              <w:rPr>
                <w:i/>
                <w:sz w:val="24"/>
              </w:rPr>
            </w:pPr>
            <w:hyperlink w:history="true" w:anchor="_bookmark25">
              <w:r>
                <w:rPr>
                  <w:i/>
                  <w:sz w:val="24"/>
                </w:rPr>
                <w:t>Box:</w:t>
              </w:r>
            </w:hyperlink>
          </w:p>
        </w:tc>
        <w:tc>
          <w:tcPr>
            <w:tcW w:w="3841" w:type="dxa"/>
          </w:tcPr>
          <w:p>
            <w:pPr>
              <w:pStyle w:val="TableParagraph"/>
              <w:spacing w:line="262" w:lineRule="exact" w:before="11"/>
              <w:ind w:left="353"/>
              <w:rPr>
                <w:i/>
                <w:sz w:val="24"/>
              </w:rPr>
            </w:pPr>
            <w:hyperlink w:history="true" w:anchor="_bookmark25">
              <w:r>
                <w:rPr>
                  <w:i/>
                  <w:sz w:val="24"/>
                </w:rPr>
                <w:t>The distribution of price changes</w:t>
              </w:r>
            </w:hyperlink>
          </w:p>
        </w:tc>
        <w:tc>
          <w:tcPr>
            <w:tcW w:w="602" w:type="dxa"/>
          </w:tcPr>
          <w:p>
            <w:pPr>
              <w:pStyle w:val="TableParagraph"/>
              <w:spacing w:line="262" w:lineRule="exact" w:before="11"/>
              <w:ind w:right="48"/>
              <w:jc w:val="right"/>
              <w:rPr>
                <w:sz w:val="24"/>
              </w:rPr>
            </w:pPr>
            <w:r>
              <w:rPr>
                <w:sz w:val="24"/>
              </w:rPr>
              <w:t>36</w:t>
            </w:r>
          </w:p>
        </w:tc>
      </w:tr>
    </w:tbl>
    <w:p>
      <w:pPr>
        <w:pStyle w:val="BodyText"/>
        <w:spacing w:before="1"/>
        <w:rPr>
          <w:sz w:val="31"/>
        </w:rPr>
      </w:pPr>
    </w:p>
    <w:p>
      <w:pPr>
        <w:pStyle w:val="ListParagraph"/>
        <w:numPr>
          <w:ilvl w:val="0"/>
          <w:numId w:val="1"/>
        </w:numPr>
        <w:tabs>
          <w:tab w:pos="5359" w:val="left" w:leader="none"/>
          <w:tab w:pos="5360" w:val="left" w:leader="none"/>
          <w:tab w:pos="10019" w:val="left" w:leader="none"/>
        </w:tabs>
        <w:spacing w:line="240" w:lineRule="auto" w:before="0" w:after="0"/>
        <w:ind w:left="5360" w:right="0" w:hanging="380"/>
        <w:jc w:val="left"/>
        <w:rPr>
          <w:sz w:val="24"/>
        </w:rPr>
      </w:pPr>
      <w:hyperlink w:history="true" w:anchor="_bookmark29">
        <w:r>
          <w:rPr>
            <w:b/>
            <w:color w:val="0092C7"/>
            <w:sz w:val="24"/>
          </w:rPr>
          <w:t>Monetary policy since the</w:t>
        </w:r>
        <w:r>
          <w:rPr>
            <w:b/>
            <w:color w:val="0092C7"/>
            <w:spacing w:val="-15"/>
            <w:sz w:val="24"/>
          </w:rPr>
          <w:t> </w:t>
        </w:r>
        <w:r>
          <w:rPr>
            <w:b/>
            <w:color w:val="0092C7"/>
            <w:sz w:val="24"/>
          </w:rPr>
          <w:t>May</w:t>
        </w:r>
        <w:r>
          <w:rPr>
            <w:b/>
            <w:color w:val="0092C7"/>
            <w:spacing w:val="-3"/>
            <w:sz w:val="24"/>
          </w:rPr>
          <w:t> </w:t>
        </w:r>
        <w:r>
          <w:rPr>
            <w:b/>
            <w:i/>
            <w:color w:val="0092C7"/>
            <w:sz w:val="24"/>
          </w:rPr>
          <w:t>Report</w:t>
        </w:r>
      </w:hyperlink>
      <w:r>
        <w:rPr>
          <w:b/>
          <w:i/>
          <w:color w:val="0092C7"/>
          <w:sz w:val="24"/>
        </w:rPr>
        <w:tab/>
      </w:r>
      <w:r>
        <w:rPr>
          <w:sz w:val="24"/>
        </w:rPr>
        <w:t>40</w:t>
      </w:r>
    </w:p>
    <w:p>
      <w:pPr>
        <w:pStyle w:val="ListParagraph"/>
        <w:numPr>
          <w:ilvl w:val="0"/>
          <w:numId w:val="1"/>
        </w:numPr>
        <w:tabs>
          <w:tab w:pos="5359" w:val="left" w:leader="none"/>
          <w:tab w:pos="5360" w:val="left" w:leader="none"/>
          <w:tab w:pos="10019" w:val="left" w:leader="none"/>
        </w:tabs>
        <w:spacing w:line="240" w:lineRule="auto" w:before="364" w:after="0"/>
        <w:ind w:left="5360" w:right="0" w:hanging="380"/>
        <w:jc w:val="left"/>
        <w:rPr>
          <w:sz w:val="24"/>
        </w:rPr>
      </w:pPr>
      <w:hyperlink w:history="true" w:anchor="_bookmark30">
        <w:r>
          <w:rPr>
            <w:b/>
            <w:color w:val="0092C7"/>
            <w:sz w:val="24"/>
          </w:rPr>
          <w:t>Prospects</w:t>
        </w:r>
        <w:r>
          <w:rPr>
            <w:b/>
            <w:color w:val="0092C7"/>
            <w:spacing w:val="-6"/>
            <w:sz w:val="24"/>
          </w:rPr>
          <w:t> </w:t>
        </w:r>
        <w:r>
          <w:rPr>
            <w:b/>
            <w:color w:val="0092C7"/>
            <w:spacing w:val="-3"/>
            <w:sz w:val="24"/>
          </w:rPr>
          <w:t>for</w:t>
        </w:r>
        <w:r>
          <w:rPr>
            <w:b/>
            <w:color w:val="0092C7"/>
            <w:spacing w:val="-5"/>
            <w:sz w:val="24"/>
          </w:rPr>
          <w:t> </w:t>
        </w:r>
        <w:r>
          <w:rPr>
            <w:b/>
            <w:color w:val="0092C7"/>
            <w:sz w:val="24"/>
          </w:rPr>
          <w:t>inflation</w:t>
        </w:r>
      </w:hyperlink>
      <w:r>
        <w:rPr>
          <w:b/>
          <w:color w:val="0092C7"/>
          <w:sz w:val="24"/>
        </w:rPr>
        <w:tab/>
      </w:r>
      <w:r>
        <w:rPr>
          <w:sz w:val="24"/>
        </w:rPr>
        <w:t>45</w:t>
      </w:r>
    </w:p>
    <w:p>
      <w:pPr>
        <w:pStyle w:val="ListParagraph"/>
        <w:numPr>
          <w:ilvl w:val="1"/>
          <w:numId w:val="1"/>
        </w:numPr>
        <w:tabs>
          <w:tab w:pos="5919" w:val="left" w:leader="none"/>
          <w:tab w:pos="5920" w:val="left" w:leader="none"/>
          <w:tab w:pos="10019" w:val="left" w:leader="none"/>
        </w:tabs>
        <w:spacing w:line="240" w:lineRule="auto" w:before="44" w:after="0"/>
        <w:ind w:left="5919" w:right="0" w:hanging="560"/>
        <w:jc w:val="left"/>
        <w:rPr>
          <w:sz w:val="24"/>
        </w:rPr>
      </w:pPr>
      <w:hyperlink w:history="true" w:anchor="_bookmark30">
        <w:r>
          <w:rPr>
            <w:b/>
            <w:sz w:val="24"/>
          </w:rPr>
          <w:t>The inflation</w:t>
        </w:r>
        <w:r>
          <w:rPr>
            <w:b/>
            <w:spacing w:val="-15"/>
            <w:sz w:val="24"/>
          </w:rPr>
          <w:t> </w:t>
        </w:r>
        <w:r>
          <w:rPr>
            <w:b/>
            <w:sz w:val="24"/>
          </w:rPr>
          <w:t>projection</w:t>
        </w:r>
        <w:r>
          <w:rPr>
            <w:b/>
            <w:spacing w:val="-8"/>
            <w:sz w:val="24"/>
          </w:rPr>
          <w:t> </w:t>
        </w:r>
        <w:r>
          <w:rPr>
            <w:b/>
            <w:sz w:val="24"/>
          </w:rPr>
          <w:t>assumptions</w:t>
        </w:r>
      </w:hyperlink>
      <w:r>
        <w:rPr>
          <w:b/>
          <w:sz w:val="24"/>
        </w:rPr>
        <w:tab/>
      </w:r>
      <w:r>
        <w:rPr>
          <w:sz w:val="24"/>
        </w:rPr>
        <w:t>45</w:t>
      </w:r>
    </w:p>
    <w:p>
      <w:pPr>
        <w:pStyle w:val="ListParagraph"/>
        <w:numPr>
          <w:ilvl w:val="1"/>
          <w:numId w:val="1"/>
        </w:numPr>
        <w:tabs>
          <w:tab w:pos="5919" w:val="left" w:leader="none"/>
          <w:tab w:pos="5920" w:val="left" w:leader="none"/>
          <w:tab w:pos="10019" w:val="left" w:leader="none"/>
        </w:tabs>
        <w:spacing w:line="240" w:lineRule="auto" w:before="44" w:after="0"/>
        <w:ind w:left="5919" w:right="0" w:hanging="560"/>
        <w:jc w:val="left"/>
        <w:rPr>
          <w:sz w:val="24"/>
        </w:rPr>
      </w:pPr>
      <w:hyperlink w:history="true" w:anchor="_bookmark33">
        <w:r>
          <w:rPr>
            <w:b/>
            <w:sz w:val="24"/>
          </w:rPr>
          <w:t>The output and</w:t>
        </w:r>
        <w:r>
          <w:rPr>
            <w:b/>
            <w:spacing w:val="-19"/>
            <w:sz w:val="24"/>
          </w:rPr>
          <w:t> </w:t>
        </w:r>
        <w:r>
          <w:rPr>
            <w:b/>
            <w:sz w:val="24"/>
          </w:rPr>
          <w:t>inflation</w:t>
        </w:r>
        <w:r>
          <w:rPr>
            <w:b/>
            <w:spacing w:val="-6"/>
            <w:sz w:val="24"/>
          </w:rPr>
          <w:t> </w:t>
        </w:r>
        <w:r>
          <w:rPr>
            <w:b/>
            <w:sz w:val="24"/>
          </w:rPr>
          <w:t>projections</w:t>
        </w:r>
      </w:hyperlink>
      <w:r>
        <w:rPr>
          <w:b/>
          <w:sz w:val="24"/>
        </w:rPr>
        <w:tab/>
      </w:r>
      <w:r>
        <w:rPr>
          <w:sz w:val="24"/>
        </w:rPr>
        <w:t>51</w:t>
      </w:r>
    </w:p>
    <w:p>
      <w:pPr>
        <w:pStyle w:val="ListParagraph"/>
        <w:numPr>
          <w:ilvl w:val="1"/>
          <w:numId w:val="1"/>
        </w:numPr>
        <w:tabs>
          <w:tab w:pos="5919" w:val="left" w:leader="none"/>
          <w:tab w:pos="5920" w:val="left" w:leader="none"/>
          <w:tab w:pos="10019" w:val="left" w:leader="none"/>
        </w:tabs>
        <w:spacing w:line="240" w:lineRule="auto" w:before="44" w:after="0"/>
        <w:ind w:left="5919" w:right="0" w:hanging="560"/>
        <w:jc w:val="left"/>
        <w:rPr>
          <w:sz w:val="24"/>
        </w:rPr>
      </w:pPr>
      <w:hyperlink w:history="true" w:anchor="_bookmark34">
        <w:r>
          <w:rPr>
            <w:b/>
            <w:sz w:val="24"/>
          </w:rPr>
          <w:t>Other</w:t>
        </w:r>
        <w:r>
          <w:rPr>
            <w:b/>
            <w:spacing w:val="-8"/>
            <w:sz w:val="24"/>
          </w:rPr>
          <w:t> </w:t>
        </w:r>
        <w:r>
          <w:rPr>
            <w:b/>
            <w:sz w:val="24"/>
          </w:rPr>
          <w:t>forecasts</w:t>
        </w:r>
      </w:hyperlink>
      <w:r>
        <w:rPr>
          <w:b/>
          <w:sz w:val="24"/>
        </w:rPr>
        <w:tab/>
      </w:r>
      <w:r>
        <w:rPr>
          <w:sz w:val="24"/>
        </w:rPr>
        <w:t>61</w:t>
      </w:r>
    </w:p>
    <w:p>
      <w:pPr>
        <w:pStyle w:val="Heading2"/>
        <w:tabs>
          <w:tab w:pos="6219" w:val="left" w:leader="none"/>
          <w:tab w:pos="10019" w:val="left" w:leader="none"/>
        </w:tabs>
        <w:spacing w:before="44"/>
        <w:ind w:left="5360"/>
        <w:rPr>
          <w:i w:val="0"/>
        </w:rPr>
      </w:pPr>
      <w:r>
        <w:rPr>
          <w:i/>
        </w:rPr>
        <w:t>Boxes:</w:t>
        <w:tab/>
      </w:r>
      <w:hyperlink w:history="true" w:anchor="_bookmark31">
        <w:r>
          <w:rPr>
            <w:i/>
          </w:rPr>
          <w:t>The</w:t>
        </w:r>
        <w:r>
          <w:rPr>
            <w:i/>
            <w:spacing w:val="-4"/>
          </w:rPr>
          <w:t> </w:t>
        </w:r>
        <w:r>
          <w:rPr>
            <w:i/>
          </w:rPr>
          <w:t>forecast</w:t>
        </w:r>
        <w:r>
          <w:rPr>
            <w:i/>
            <w:spacing w:val="-4"/>
          </w:rPr>
          <w:t> </w:t>
        </w:r>
        <w:r>
          <w:rPr>
            <w:i/>
            <w:spacing w:val="-3"/>
          </w:rPr>
          <w:t>process</w:t>
        </w:r>
      </w:hyperlink>
      <w:r>
        <w:rPr>
          <w:i/>
          <w:spacing w:val="-3"/>
        </w:rPr>
        <w:tab/>
      </w:r>
      <w:r>
        <w:rPr>
          <w:i w:val="0"/>
        </w:rPr>
        <w:t>49</w:t>
      </w:r>
    </w:p>
    <w:p>
      <w:pPr>
        <w:pStyle w:val="Heading2"/>
        <w:tabs>
          <w:tab w:pos="10019" w:val="left" w:leader="none"/>
        </w:tabs>
        <w:spacing w:before="44"/>
        <w:ind w:left="6220"/>
        <w:rPr>
          <w:i w:val="0"/>
        </w:rPr>
      </w:pPr>
      <w:hyperlink w:history="true" w:anchor="_bookmark35">
        <w:r>
          <w:rPr>
            <w:i/>
          </w:rPr>
          <w:t>The </w:t>
        </w:r>
        <w:r>
          <w:rPr>
            <w:i/>
            <w:spacing w:val="-3"/>
          </w:rPr>
          <w:t>MPC’s</w:t>
        </w:r>
        <w:r>
          <w:rPr>
            <w:i/>
            <w:spacing w:val="-8"/>
          </w:rPr>
          <w:t> </w:t>
        </w:r>
        <w:r>
          <w:rPr>
            <w:i/>
          </w:rPr>
          <w:t>forecasting</w:t>
        </w:r>
        <w:r>
          <w:rPr>
            <w:i/>
            <w:spacing w:val="-4"/>
          </w:rPr>
          <w:t> record</w:t>
        </w:r>
      </w:hyperlink>
      <w:r>
        <w:rPr>
          <w:i/>
          <w:spacing w:val="-4"/>
        </w:rPr>
        <w:tab/>
      </w:r>
      <w:r>
        <w:rPr>
          <w:i w:val="0"/>
        </w:rPr>
        <w:t>63</w:t>
      </w:r>
    </w:p>
    <w:p>
      <w:pPr>
        <w:tabs>
          <w:tab w:pos="10019" w:val="left" w:leader="none"/>
        </w:tabs>
        <w:spacing w:before="344"/>
        <w:ind w:left="4980" w:right="0" w:firstLine="0"/>
        <w:jc w:val="left"/>
        <w:rPr>
          <w:sz w:val="24"/>
        </w:rPr>
      </w:pPr>
      <w:hyperlink w:history="true" w:anchor="_bookmark37">
        <w:r>
          <w:rPr>
            <w:b/>
            <w:color w:val="0092C7"/>
            <w:sz w:val="24"/>
          </w:rPr>
          <w:t>Agents’ summary of</w:t>
        </w:r>
        <w:r>
          <w:rPr>
            <w:b/>
            <w:color w:val="0092C7"/>
            <w:spacing w:val="-36"/>
            <w:sz w:val="24"/>
          </w:rPr>
          <w:t> </w:t>
        </w:r>
        <w:r>
          <w:rPr>
            <w:b/>
            <w:color w:val="0092C7"/>
            <w:sz w:val="24"/>
          </w:rPr>
          <w:t>business</w:t>
        </w:r>
        <w:r>
          <w:rPr>
            <w:b/>
            <w:color w:val="0092C7"/>
            <w:spacing w:val="-6"/>
            <w:sz w:val="24"/>
          </w:rPr>
          <w:t> </w:t>
        </w:r>
        <w:r>
          <w:rPr>
            <w:b/>
            <w:color w:val="0092C7"/>
            <w:sz w:val="24"/>
          </w:rPr>
          <w:t>conditions</w:t>
        </w:r>
      </w:hyperlink>
      <w:r>
        <w:rPr>
          <w:b/>
          <w:color w:val="0092C7"/>
          <w:sz w:val="24"/>
        </w:rPr>
        <w:tab/>
      </w:r>
      <w:r>
        <w:rPr>
          <w:sz w:val="24"/>
        </w:rPr>
        <w:t>67</w:t>
      </w:r>
    </w:p>
    <w:p>
      <w:pPr>
        <w:tabs>
          <w:tab w:pos="10019" w:val="left" w:leader="none"/>
        </w:tabs>
        <w:spacing w:line="278" w:lineRule="auto" w:before="364"/>
        <w:ind w:left="5960" w:right="359" w:hanging="980"/>
        <w:jc w:val="left"/>
        <w:rPr>
          <w:sz w:val="24"/>
        </w:rPr>
      </w:pPr>
      <w:hyperlink w:history="true" w:anchor="_bookmark38">
        <w:r>
          <w:rPr>
            <w:b/>
            <w:color w:val="0092C7"/>
            <w:sz w:val="24"/>
          </w:rPr>
          <w:t>Annex:  Minutes of the Monetary Policy Committee</w:t>
        </w:r>
      </w:hyperlink>
      <w:r>
        <w:rPr>
          <w:b/>
          <w:color w:val="0092C7"/>
          <w:sz w:val="24"/>
        </w:rPr>
        <w:tab/>
      </w:r>
      <w:r>
        <w:rPr>
          <w:spacing w:val="-9"/>
          <w:sz w:val="24"/>
        </w:rPr>
        <w:t>71</w:t>
      </w:r>
    </w:p>
    <w:p>
      <w:pPr>
        <w:tabs>
          <w:tab w:pos="10019" w:val="left" w:leader="none"/>
        </w:tabs>
        <w:spacing w:line="276" w:lineRule="exact" w:before="0"/>
        <w:ind w:left="5920" w:right="0" w:firstLine="0"/>
        <w:jc w:val="left"/>
        <w:rPr>
          <w:sz w:val="24"/>
        </w:rPr>
      </w:pPr>
      <w:hyperlink w:history="true" w:anchor="_bookmark39">
        <w:r>
          <w:rPr>
            <w:b/>
            <w:sz w:val="24"/>
          </w:rPr>
          <w:t>May</w:t>
        </w:r>
        <w:r>
          <w:rPr>
            <w:b/>
            <w:spacing w:val="-4"/>
            <w:sz w:val="24"/>
          </w:rPr>
          <w:t> </w:t>
        </w:r>
        <w:r>
          <w:rPr>
            <w:b/>
            <w:sz w:val="24"/>
          </w:rPr>
          <w:t>meeting</w:t>
        </w:r>
      </w:hyperlink>
      <w:r>
        <w:rPr>
          <w:b/>
          <w:sz w:val="24"/>
        </w:rPr>
        <w:tab/>
      </w:r>
      <w:r>
        <w:rPr>
          <w:sz w:val="24"/>
        </w:rPr>
        <w:t>73</w:t>
      </w:r>
    </w:p>
    <w:p>
      <w:pPr>
        <w:tabs>
          <w:tab w:pos="10019" w:val="left" w:leader="none"/>
        </w:tabs>
        <w:spacing w:before="44"/>
        <w:ind w:left="5920" w:right="0" w:firstLine="0"/>
        <w:jc w:val="left"/>
        <w:rPr>
          <w:sz w:val="24"/>
        </w:rPr>
      </w:pPr>
      <w:hyperlink w:history="true" w:anchor="_bookmark40">
        <w:r>
          <w:rPr>
            <w:b/>
            <w:sz w:val="24"/>
          </w:rPr>
          <w:t>June</w:t>
        </w:r>
        <w:r>
          <w:rPr>
            <w:b/>
            <w:spacing w:val="-5"/>
            <w:sz w:val="24"/>
          </w:rPr>
          <w:t> </w:t>
        </w:r>
        <w:r>
          <w:rPr>
            <w:b/>
            <w:sz w:val="24"/>
          </w:rPr>
          <w:t>meeting</w:t>
        </w:r>
      </w:hyperlink>
      <w:r>
        <w:rPr>
          <w:b/>
          <w:sz w:val="24"/>
        </w:rPr>
        <w:tab/>
      </w:r>
      <w:r>
        <w:rPr>
          <w:sz w:val="24"/>
        </w:rPr>
        <w:t>81</w:t>
      </w:r>
    </w:p>
    <w:p>
      <w:pPr>
        <w:tabs>
          <w:tab w:pos="10019" w:val="left" w:leader="none"/>
        </w:tabs>
        <w:spacing w:before="44"/>
        <w:ind w:left="5920" w:right="0" w:firstLine="0"/>
        <w:jc w:val="left"/>
        <w:rPr>
          <w:sz w:val="24"/>
        </w:rPr>
      </w:pPr>
      <w:hyperlink w:history="true" w:anchor="_bookmark41">
        <w:r>
          <w:rPr>
            <w:b/>
            <w:sz w:val="24"/>
          </w:rPr>
          <w:t>June</w:t>
        </w:r>
        <w:r>
          <w:rPr>
            <w:b/>
            <w:spacing w:val="-6"/>
            <w:sz w:val="24"/>
          </w:rPr>
          <w:t> </w:t>
        </w:r>
        <w:r>
          <w:rPr>
            <w:b/>
            <w:sz w:val="24"/>
          </w:rPr>
          <w:t>Press</w:t>
        </w:r>
        <w:r>
          <w:rPr>
            <w:b/>
            <w:spacing w:val="-6"/>
            <w:sz w:val="24"/>
          </w:rPr>
          <w:t> </w:t>
        </w:r>
        <w:r>
          <w:rPr>
            <w:b/>
            <w:sz w:val="24"/>
          </w:rPr>
          <w:t>Notice</w:t>
        </w:r>
      </w:hyperlink>
      <w:r>
        <w:rPr>
          <w:b/>
          <w:sz w:val="24"/>
        </w:rPr>
        <w:tab/>
      </w:r>
      <w:r>
        <w:rPr>
          <w:sz w:val="24"/>
        </w:rPr>
        <w:t>91</w:t>
      </w:r>
    </w:p>
    <w:p>
      <w:pPr>
        <w:tabs>
          <w:tab w:pos="10019" w:val="left" w:leader="none"/>
        </w:tabs>
        <w:spacing w:before="44"/>
        <w:ind w:left="5920" w:right="0" w:firstLine="0"/>
        <w:jc w:val="left"/>
        <w:rPr>
          <w:sz w:val="24"/>
        </w:rPr>
      </w:pPr>
      <w:hyperlink w:history="true" w:anchor="_bookmark42">
        <w:r>
          <w:rPr>
            <w:b/>
            <w:sz w:val="24"/>
          </w:rPr>
          <w:t>July</w:t>
        </w:r>
        <w:r>
          <w:rPr>
            <w:b/>
            <w:spacing w:val="-5"/>
            <w:sz w:val="24"/>
          </w:rPr>
          <w:t> </w:t>
        </w:r>
        <w:r>
          <w:rPr>
            <w:b/>
            <w:sz w:val="24"/>
          </w:rPr>
          <w:t>meeting</w:t>
        </w:r>
      </w:hyperlink>
      <w:r>
        <w:rPr>
          <w:b/>
          <w:sz w:val="24"/>
        </w:rPr>
        <w:tab/>
      </w:r>
      <w:r>
        <w:rPr>
          <w:sz w:val="24"/>
        </w:rPr>
        <w:t>92</w:t>
      </w:r>
    </w:p>
    <w:p>
      <w:pPr>
        <w:tabs>
          <w:tab w:pos="9899" w:val="left" w:leader="none"/>
        </w:tabs>
        <w:spacing w:before="44"/>
        <w:ind w:left="5920" w:right="0" w:firstLine="0"/>
        <w:jc w:val="left"/>
        <w:rPr>
          <w:sz w:val="24"/>
        </w:rPr>
      </w:pPr>
      <w:hyperlink w:history="true" w:anchor="_bookmark43">
        <w:r>
          <w:rPr>
            <w:b/>
            <w:sz w:val="24"/>
          </w:rPr>
          <w:t>July</w:t>
        </w:r>
        <w:r>
          <w:rPr>
            <w:b/>
            <w:spacing w:val="-6"/>
            <w:sz w:val="24"/>
          </w:rPr>
          <w:t> </w:t>
        </w:r>
        <w:r>
          <w:rPr>
            <w:b/>
            <w:sz w:val="24"/>
          </w:rPr>
          <w:t>Press</w:t>
        </w:r>
        <w:r>
          <w:rPr>
            <w:b/>
            <w:spacing w:val="-6"/>
            <w:sz w:val="24"/>
          </w:rPr>
          <w:t> </w:t>
        </w:r>
        <w:r>
          <w:rPr>
            <w:b/>
            <w:sz w:val="24"/>
          </w:rPr>
          <w:t>Notice</w:t>
        </w:r>
      </w:hyperlink>
      <w:r>
        <w:rPr>
          <w:b/>
          <w:sz w:val="24"/>
        </w:rPr>
        <w:tab/>
      </w:r>
      <w:r>
        <w:rPr>
          <w:sz w:val="24"/>
        </w:rPr>
        <w:t>100</w:t>
      </w:r>
    </w:p>
    <w:p>
      <w:pPr>
        <w:tabs>
          <w:tab w:pos="9899" w:val="left" w:leader="none"/>
        </w:tabs>
        <w:spacing w:before="44"/>
        <w:ind w:left="5920" w:right="0" w:firstLine="0"/>
        <w:jc w:val="left"/>
        <w:rPr>
          <w:sz w:val="24"/>
        </w:rPr>
      </w:pPr>
      <w:hyperlink w:history="true" w:anchor="_bookmark44">
        <w:r>
          <w:rPr>
            <w:b/>
            <w:spacing w:val="-3"/>
            <w:sz w:val="24"/>
          </w:rPr>
          <w:t>August</w:t>
        </w:r>
        <w:r>
          <w:rPr>
            <w:b/>
            <w:spacing w:val="-4"/>
            <w:sz w:val="24"/>
          </w:rPr>
          <w:t> </w:t>
        </w:r>
        <w:r>
          <w:rPr>
            <w:b/>
            <w:sz w:val="24"/>
          </w:rPr>
          <w:t>Press</w:t>
        </w:r>
        <w:r>
          <w:rPr>
            <w:b/>
            <w:spacing w:val="-4"/>
            <w:sz w:val="24"/>
          </w:rPr>
          <w:t> </w:t>
        </w:r>
        <w:r>
          <w:rPr>
            <w:b/>
            <w:sz w:val="24"/>
          </w:rPr>
          <w:t>Notice</w:t>
        </w:r>
      </w:hyperlink>
      <w:r>
        <w:rPr>
          <w:b/>
          <w:sz w:val="24"/>
        </w:rPr>
        <w:tab/>
      </w:r>
      <w:r>
        <w:rPr>
          <w:sz w:val="24"/>
        </w:rPr>
        <w:t>101</w:t>
      </w:r>
    </w:p>
    <w:p>
      <w:pPr>
        <w:tabs>
          <w:tab w:pos="9899" w:val="left" w:leader="none"/>
        </w:tabs>
        <w:spacing w:before="364"/>
        <w:ind w:left="4980" w:right="0" w:firstLine="0"/>
        <w:jc w:val="left"/>
        <w:rPr>
          <w:sz w:val="24"/>
        </w:rPr>
      </w:pPr>
      <w:hyperlink w:history="true" w:anchor="_bookmark45">
        <w:r>
          <w:rPr>
            <w:b/>
            <w:color w:val="0092C7"/>
            <w:sz w:val="24"/>
          </w:rPr>
          <w:t>Glossary and</w:t>
        </w:r>
        <w:r>
          <w:rPr>
            <w:b/>
            <w:color w:val="0092C7"/>
            <w:spacing w:val="-13"/>
            <w:sz w:val="24"/>
          </w:rPr>
          <w:t> </w:t>
        </w:r>
        <w:r>
          <w:rPr>
            <w:b/>
            <w:color w:val="0092C7"/>
            <w:sz w:val="24"/>
          </w:rPr>
          <w:t>other</w:t>
        </w:r>
        <w:r>
          <w:rPr>
            <w:b/>
            <w:color w:val="0092C7"/>
            <w:spacing w:val="-7"/>
            <w:sz w:val="24"/>
          </w:rPr>
          <w:t> </w:t>
        </w:r>
        <w:r>
          <w:rPr>
            <w:b/>
            <w:color w:val="0092C7"/>
            <w:sz w:val="24"/>
          </w:rPr>
          <w:t>information</w:t>
        </w:r>
      </w:hyperlink>
      <w:r>
        <w:rPr>
          <w:b/>
          <w:color w:val="0092C7"/>
          <w:sz w:val="24"/>
        </w:rPr>
        <w:tab/>
      </w:r>
      <w:r>
        <w:rPr>
          <w:sz w:val="24"/>
        </w:rPr>
        <w:t>102</w:t>
      </w:r>
    </w:p>
    <w:p>
      <w:pPr>
        <w:pStyle w:val="BodyText"/>
        <w:rPr>
          <w:sz w:val="26"/>
        </w:rPr>
      </w:pPr>
    </w:p>
    <w:p>
      <w:pPr>
        <w:pStyle w:val="BodyText"/>
        <w:rPr>
          <w:sz w:val="26"/>
        </w:rPr>
      </w:pPr>
    </w:p>
    <w:p>
      <w:pPr>
        <w:pStyle w:val="BodyText"/>
        <w:rPr>
          <w:sz w:val="26"/>
        </w:rPr>
      </w:pPr>
    </w:p>
    <w:p>
      <w:pPr>
        <w:pStyle w:val="BodyText"/>
        <w:spacing w:before="5"/>
        <w:rPr>
          <w:sz w:val="30"/>
        </w:rPr>
      </w:pPr>
    </w:p>
    <w:p>
      <w:pPr>
        <w:spacing w:before="0"/>
        <w:ind w:left="4980" w:right="0" w:firstLine="0"/>
        <w:jc w:val="left"/>
        <w:rPr>
          <w:b/>
          <w:sz w:val="28"/>
        </w:rPr>
      </w:pPr>
      <w:r>
        <w:rPr>
          <w:b/>
          <w:color w:val="009391"/>
          <w:sz w:val="28"/>
        </w:rPr>
        <w:t>Link to Quarterly Bulletin</w:t>
      </w:r>
    </w:p>
    <w:p>
      <w:pPr>
        <w:pStyle w:val="BodyText"/>
        <w:spacing w:before="11"/>
        <w:rPr>
          <w:b/>
          <w:sz w:val="30"/>
        </w:rPr>
      </w:pPr>
    </w:p>
    <w:p>
      <w:pPr>
        <w:spacing w:before="0"/>
        <w:ind w:left="4980" w:right="0" w:firstLine="0"/>
        <w:jc w:val="left"/>
        <w:rPr>
          <w:b/>
          <w:sz w:val="24"/>
        </w:rPr>
      </w:pPr>
      <w:r>
        <w:rPr>
          <w:b/>
          <w:color w:val="0092C7"/>
          <w:sz w:val="24"/>
        </w:rPr>
        <w:t>Section 1</w:t>
      </w:r>
    </w:p>
    <w:p>
      <w:pPr>
        <w:pStyle w:val="BodyText"/>
        <w:spacing w:before="7"/>
        <w:rPr>
          <w:b/>
          <w:sz w:val="31"/>
        </w:rPr>
      </w:pPr>
    </w:p>
    <w:p>
      <w:pPr>
        <w:spacing w:line="278" w:lineRule="auto" w:before="0"/>
        <w:ind w:left="4980" w:right="1033" w:firstLine="0"/>
        <w:jc w:val="left"/>
        <w:rPr>
          <w:sz w:val="24"/>
        </w:rPr>
      </w:pPr>
      <w:r>
        <w:rPr>
          <w:sz w:val="24"/>
        </w:rPr>
        <w:t>A comparison of long bond yields in the United Kingdom, the United States, and Germany Quarterly Bulletin, May 2000, pages 150–58.</w:t>
      </w:r>
    </w:p>
    <w:p>
      <w:pPr>
        <w:pStyle w:val="BodyText"/>
        <w:spacing w:before="9"/>
        <w:rPr>
          <w:sz w:val="27"/>
        </w:rPr>
      </w:pPr>
    </w:p>
    <w:p>
      <w:pPr>
        <w:spacing w:before="0"/>
        <w:ind w:left="4980" w:right="0" w:firstLine="0"/>
        <w:jc w:val="left"/>
        <w:rPr>
          <w:b/>
          <w:sz w:val="24"/>
        </w:rPr>
      </w:pPr>
      <w:r>
        <w:rPr>
          <w:b/>
          <w:color w:val="0092C7"/>
          <w:sz w:val="24"/>
        </w:rPr>
        <w:t>Section 2</w:t>
      </w:r>
    </w:p>
    <w:p>
      <w:pPr>
        <w:pStyle w:val="BodyText"/>
        <w:spacing w:before="8"/>
        <w:rPr>
          <w:b/>
          <w:sz w:val="31"/>
        </w:rPr>
      </w:pPr>
    </w:p>
    <w:p>
      <w:pPr>
        <w:spacing w:before="0"/>
        <w:ind w:left="4980" w:right="0" w:firstLine="0"/>
        <w:jc w:val="left"/>
        <w:rPr>
          <w:sz w:val="24"/>
        </w:rPr>
      </w:pPr>
      <w:r>
        <w:rPr>
          <w:sz w:val="24"/>
        </w:rPr>
        <w:t>The international environment</w:t>
      </w:r>
    </w:p>
    <w:p>
      <w:pPr>
        <w:spacing w:before="44"/>
        <w:ind w:left="4980" w:right="0" w:firstLine="0"/>
        <w:jc w:val="left"/>
        <w:rPr>
          <w:sz w:val="24"/>
        </w:rPr>
      </w:pPr>
      <w:r>
        <w:rPr>
          <w:sz w:val="24"/>
        </w:rPr>
        <w:t>Quarterly Bulletin, August 2000, pages 233–46.</w:t>
      </w:r>
    </w:p>
    <w:p>
      <w:pPr>
        <w:spacing w:after="0"/>
        <w:jc w:val="left"/>
        <w:rPr>
          <w:sz w:val="24"/>
        </w:rPr>
        <w:sectPr>
          <w:headerReference w:type="default" r:id="rId15"/>
          <w:footerReference w:type="default" r:id="rId16"/>
          <w:pgSz w:w="11900" w:h="16840"/>
          <w:pgMar w:header="0" w:footer="0" w:top="800" w:bottom="280" w:left="640" w:right="64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rPr>
          <w:sz w:val="20"/>
        </w:rPr>
      </w:pPr>
    </w:p>
    <w:p>
      <w:pPr>
        <w:pStyle w:val="BodyText"/>
        <w:spacing w:before="9"/>
      </w:pPr>
      <w:r>
        <w:rPr/>
        <w:pict>
          <v:shape style="position:absolute;margin-left:40pt;margin-top:12.000977pt;width:516pt;height:48pt;mso-position-horizontal-relative:page;mso-position-vertical-relative:paragraph;z-index:-15718912;mso-wrap-distance-left:0;mso-wrap-distance-right:0" type="#_x0000_t202" filled="true" fillcolor="#cee2e0" stroked="false">
            <v:textbox inset="0,0,0,0">
              <w:txbxContent>
                <w:p>
                  <w:pPr>
                    <w:tabs>
                      <w:tab w:pos="10099" w:val="right" w:leader="none"/>
                    </w:tabs>
                    <w:spacing w:before="51"/>
                    <w:ind w:left="260" w:right="0" w:firstLine="0"/>
                    <w:jc w:val="left"/>
                    <w:rPr>
                      <w:b/>
                      <w:sz w:val="72"/>
                    </w:rPr>
                  </w:pPr>
                  <w:bookmarkStart w:name="Money and financial markets" w:id="2"/>
                  <w:bookmarkEnd w:id="2"/>
                  <w:r>
                    <w:rPr/>
                  </w:r>
                  <w:bookmarkStart w:name="Money and credit" w:id="3"/>
                  <w:bookmarkEnd w:id="3"/>
                  <w:r>
                    <w:rPr/>
                  </w:r>
                  <w:bookmarkStart w:name="Narrow money" w:id="4"/>
                  <w:bookmarkEnd w:id="4"/>
                  <w:r>
                    <w:rPr/>
                  </w:r>
                  <w:bookmarkStart w:name="Broad money and credit" w:id="5"/>
                  <w:bookmarkEnd w:id="5"/>
                  <w:r>
                    <w:rPr/>
                  </w:r>
                  <w:bookmarkStart w:name="_bookmark1" w:id="6"/>
                  <w:bookmarkEnd w:id="6"/>
                  <w:r>
                    <w:rPr/>
                  </w:r>
                  <w:r>
                    <w:rPr>
                      <w:b/>
                      <w:color w:val="009391"/>
                      <w:sz w:val="48"/>
                    </w:rPr>
                    <w:t>Money and</w:t>
                  </w:r>
                  <w:r>
                    <w:rPr>
                      <w:b/>
                      <w:color w:val="009391"/>
                      <w:spacing w:val="-3"/>
                      <w:sz w:val="48"/>
                    </w:rPr>
                    <w:t> financial</w:t>
                  </w:r>
                  <w:r>
                    <w:rPr>
                      <w:b/>
                      <w:color w:val="009391"/>
                      <w:spacing w:val="-1"/>
                      <w:sz w:val="48"/>
                    </w:rPr>
                    <w:t> </w:t>
                  </w:r>
                  <w:r>
                    <w:rPr>
                      <w:b/>
                      <w:color w:val="009391"/>
                      <w:sz w:val="48"/>
                    </w:rPr>
                    <w:t>markets</w:t>
                    <w:tab/>
                  </w:r>
                  <w:r>
                    <w:rPr>
                      <w:b/>
                      <w:color w:val="009391"/>
                      <w:sz w:val="72"/>
                    </w:rPr>
                    <w:t>1</w:t>
                  </w:r>
                </w:p>
              </w:txbxContent>
            </v:textbox>
            <v:fill type="solid"/>
            <w10:wrap type="topAndBottom"/>
          </v:shape>
        </w:pict>
      </w:r>
    </w:p>
    <w:p>
      <w:pPr>
        <w:pStyle w:val="BodyText"/>
        <w:rPr>
          <w:sz w:val="20"/>
        </w:rPr>
      </w:pPr>
    </w:p>
    <w:p>
      <w:pPr>
        <w:pStyle w:val="BodyText"/>
        <w:rPr>
          <w:sz w:val="20"/>
        </w:rPr>
      </w:pPr>
    </w:p>
    <w:p>
      <w:pPr>
        <w:pStyle w:val="BodyText"/>
        <w:spacing w:before="8"/>
        <w:rPr>
          <w:sz w:val="20"/>
        </w:rPr>
      </w:pPr>
    </w:p>
    <w:p>
      <w:pPr>
        <w:spacing w:line="242" w:lineRule="auto" w:before="0"/>
        <w:ind w:left="4980" w:right="214" w:firstLine="0"/>
        <w:jc w:val="left"/>
        <w:rPr>
          <w:sz w:val="24"/>
        </w:rPr>
      </w:pPr>
      <w:r>
        <w:rPr>
          <w:sz w:val="24"/>
        </w:rPr>
        <w:t>Narrow money growth has slowed, but remains well above growth in nominal retail spending. Broad money growth has picked up, on account of a more rapid increase in deposits held by private non-financial corporations and non-bank financial corporations. By contrast, the rate of increase in household deposits has eased. Aggregate sterling lending growth has risen further and continues to be much more buoyant than sterling deposit growth. Household credit growth remains strong and corporate borrowing has increased more rapidly.</w:t>
      </w:r>
    </w:p>
    <w:p>
      <w:pPr>
        <w:pStyle w:val="BodyText"/>
        <w:rPr>
          <w:sz w:val="16"/>
        </w:rPr>
      </w:pPr>
    </w:p>
    <w:p>
      <w:pPr>
        <w:spacing w:after="0"/>
        <w:rPr>
          <w:sz w:val="16"/>
        </w:rPr>
        <w:sectPr>
          <w:headerReference w:type="default" r:id="rId17"/>
          <w:footerReference w:type="default" r:id="rId18"/>
          <w:footerReference w:type="even" r:id="rId19"/>
          <w:pgSz w:w="11900" w:h="16840"/>
          <w:pgMar w:header="0" w:footer="612" w:top="800" w:bottom="800" w:left="640" w:right="640"/>
          <w:pgNumType w:start="3"/>
        </w:sectPr>
      </w:pPr>
    </w:p>
    <w:p>
      <w:pPr>
        <w:pStyle w:val="Heading6"/>
        <w:spacing w:before="120"/>
        <w:ind w:left="200"/>
      </w:pPr>
      <w:r>
        <w:rPr>
          <w:color w:val="0092C7"/>
        </w:rPr>
        <w:t>Chart 1.1</w:t>
      </w:r>
    </w:p>
    <w:p>
      <w:pPr>
        <w:pStyle w:val="Heading6"/>
        <w:spacing w:line="249" w:lineRule="auto"/>
        <w:ind w:left="200" w:right="723"/>
      </w:pPr>
      <w:r>
        <w:rPr>
          <w:color w:val="0092C7"/>
        </w:rPr>
        <w:t>Growth of notes and coin and retail sales values</w:t>
      </w:r>
    </w:p>
    <w:p>
      <w:pPr>
        <w:spacing w:line="268" w:lineRule="auto" w:before="71"/>
        <w:ind w:left="2059" w:right="723" w:hanging="198"/>
        <w:jc w:val="left"/>
        <w:rPr>
          <w:sz w:val="12"/>
        </w:rPr>
      </w:pPr>
      <w:r>
        <w:rPr>
          <w:sz w:val="12"/>
        </w:rPr>
        <w:t>Percentage changes, three months on three months a year earlier</w:t>
      </w:r>
    </w:p>
    <w:p>
      <w:pPr>
        <w:spacing w:line="106" w:lineRule="exact" w:before="0"/>
        <w:ind w:left="3527" w:right="0" w:firstLine="0"/>
        <w:jc w:val="left"/>
        <w:rPr>
          <w:sz w:val="12"/>
        </w:rPr>
      </w:pPr>
      <w:r>
        <w:rPr/>
        <w:pict>
          <v:line style="position:absolute;mso-position-horizontal-relative:page;mso-position-vertical-relative:paragraph;z-index:15739904" from="45.333pt,3.312441pt" to="41pt,3.312441pt" stroked="true" strokeweight=".5pt" strokecolor="#000000">
            <v:stroke dashstyle="solid"/>
            <w10:wrap type="none"/>
          </v:line>
        </w:pict>
      </w:r>
      <w:r>
        <w:rPr/>
        <w:pict>
          <v:line style="position:absolute;mso-position-horizontal-relative:page;mso-position-vertical-relative:paragraph;z-index:15747072" from="206.665993pt,2.968441pt" to="202.332993pt,2.968441pt" stroked="true" strokeweight=".5pt" strokecolor="#000000">
            <v:stroke dashstyle="solid"/>
            <w10:wrap type="none"/>
          </v:line>
        </w:pict>
      </w:r>
      <w:r>
        <w:rPr>
          <w:sz w:val="12"/>
        </w:rPr>
        <w:t>12</w:t>
      </w:r>
    </w:p>
    <w:p>
      <w:pPr>
        <w:pStyle w:val="BodyText"/>
        <w:spacing w:before="6"/>
        <w:rPr>
          <w:sz w:val="9"/>
        </w:rPr>
      </w:pPr>
    </w:p>
    <w:p>
      <w:pPr>
        <w:spacing w:before="0"/>
        <w:ind w:left="0" w:right="582" w:firstLine="0"/>
        <w:jc w:val="right"/>
        <w:rPr>
          <w:sz w:val="12"/>
        </w:rPr>
      </w:pPr>
      <w:r>
        <w:rPr/>
        <w:pict>
          <v:group style="position:absolute;margin-left:50.125pt;margin-top:-.888641pt;width:145pt;height:114.25pt;mso-position-horizontal-relative:page;mso-position-vertical-relative:paragraph;z-index:15739392" coordorigin="1003,-18" coordsize="2900,2285">
            <v:line style="position:absolute" from="1013,1000" to="1035,852" stroked="true" strokeweight="1pt" strokecolor="#006caa">
              <v:stroke dashstyle="solid"/>
            </v:line>
            <v:line style="position:absolute" from="1040,842" to="1040,962" stroked="true" strokeweight="1.5pt" strokecolor="#006caa">
              <v:stroke dashstyle="solid"/>
            </v:line>
            <v:line style="position:absolute" from="1055,692" to="1055,962" stroked="true" strokeweight="2pt" strokecolor="#006caa">
              <v:stroke dashstyle="solid"/>
            </v:line>
            <v:shape style="position:absolute;left:1065;top:554;width:148;height:445" coordorigin="1065,555" coordsize="148,445" path="m1065,702l1088,885m1088,885l1098,870m1098,870l1118,1000m1118,1000l1140,885m1140,885l1160,785m1160,785l1170,770m1170,770l1193,720m1193,720l1213,555e" filled="false" stroked="true" strokeweight="1pt" strokecolor="#006caa">
              <v:path arrowok="t"/>
              <v:stroke dashstyle="solid"/>
            </v:shape>
            <v:line style="position:absolute" from="1218,297" to="1218,565" stroked="true" strokeweight="1.5pt" strokecolor="#006caa">
              <v:stroke dashstyle="solid"/>
            </v:line>
            <v:shape style="position:absolute;left:1222;top:224;width:95;height:330" coordorigin="1223,225" coordsize="95,330" path="m1223,307l1245,340m1245,340l1265,225m1265,225l1275,555m1275,555l1298,357m1298,357l1318,405e" filled="false" stroked="true" strokeweight="1pt" strokecolor="#006caa">
              <v:path arrowok="t"/>
              <v:stroke dashstyle="solid"/>
            </v:shape>
            <v:line style="position:absolute" from="1328,197" to="1328,415" stroked="true" strokeweight="2pt" strokecolor="#006caa">
              <v:stroke dashstyle="solid"/>
            </v:line>
            <v:shape style="position:absolute;left:1337;top:207;width:85;height:248" coordorigin="1338,207" coordsize="85,248" path="m1338,207l1348,275m1348,275l1370,322m1370,322l1390,390m1390,390l1400,422m1400,422l1423,455e" filled="false" stroked="true" strokeweight="1pt" strokecolor="#006caa">
              <v:path arrowok="t"/>
              <v:stroke dashstyle="solid"/>
            </v:shape>
            <v:line style="position:absolute" from="1433,445" to="1433,747" stroked="true" strokeweight="2pt" strokecolor="#006caa">
              <v:stroke dashstyle="solid"/>
            </v:line>
            <v:shape style="position:absolute;left:1442;top:687;width:73;height:83" coordorigin="1443,687" coordsize="73,83" path="m1443,737l1453,752m1453,752l1475,755m1475,752l1495,687m1495,687l1515,770e" filled="false" stroked="true" strokeweight="1pt" strokecolor="#006caa">
              <v:path arrowok="t"/>
              <v:stroke dashstyle="solid"/>
            </v:shape>
            <v:line style="position:absolute" from="1521,760" to="1521,962" stroked="true" strokeweight="1.625pt" strokecolor="#006caa">
              <v:stroke dashstyle="solid"/>
            </v:line>
            <v:shape style="position:absolute;left:1537;top:942;width:20;height:383" coordorigin="1538,942" coordsize="20,383" path="m1538,942l1538,1142m1558,1122l1558,1325e" filled="false" stroked="true" strokeweight="2pt" strokecolor="#006caa">
              <v:path arrowok="t"/>
              <v:stroke dashstyle="solid"/>
            </v:shape>
            <v:shape style="position:absolute;left:1567;top:1117;width:85;height:230" coordorigin="1568,1117" coordsize="85,230" path="m1568,1315l1580,1347m1580,1347l1600,1250m1600,1250l1620,1297m1620,1297l1633,1265m1633,1265l1653,1117e" filled="false" stroked="true" strokeweight="1pt" strokecolor="#006caa">
              <v:path arrowok="t"/>
              <v:stroke dashstyle="solid"/>
            </v:shape>
            <v:line style="position:absolute" from="1663,875" to="1663,1127" stroked="true" strokeweight="2pt" strokecolor="#006caa">
              <v:stroke dashstyle="solid"/>
            </v:line>
            <v:shape style="position:absolute;left:1672;top:819;width:138;height:380" coordorigin="1673,820" coordsize="138,380" path="m1673,885l1695,870m1695,870l1705,835m1705,835l1725,852m1725,852l1748,885m1748,885l1758,820m1758,820l1778,902m1778,902l1800,905m1800,902l1810,1200e" filled="false" stroked="true" strokeweight="1pt" strokecolor="#006caa">
              <v:path arrowok="t"/>
              <v:stroke dashstyle="solid"/>
            </v:shape>
            <v:line style="position:absolute" from="1820,1190" to="1820,1392" stroked="true" strokeweight="2pt" strokecolor="#006caa">
              <v:stroke dashstyle="solid"/>
            </v:line>
            <v:shape style="position:absolute;left:1830;top:1382;width:33;height:215" coordorigin="1830,1382" coordsize="33,215" path="m1830,1382l1850,1497m1850,1497l1863,1597e" filled="false" stroked="true" strokeweight="1pt" strokecolor="#006caa">
              <v:path arrowok="t"/>
              <v:stroke dashstyle="solid"/>
            </v:shape>
            <v:line style="position:absolute" from="1873,1587" to="1873,1820" stroked="true" strokeweight="2pt" strokecolor="#006caa">
              <v:stroke dashstyle="solid"/>
            </v:line>
            <v:shape style="position:absolute;left:1882;top:1644;width:95;height:183" coordorigin="1883,1645" coordsize="95,183" path="m1883,1810l1903,1827m1903,1827l1925,1795m1925,1795l1935,1727m1935,1727l1955,1680m1955,1680l1978,1645e" filled="false" stroked="true" strokeweight="1pt" strokecolor="#006caa">
              <v:path arrowok="t"/>
              <v:stroke dashstyle="solid"/>
            </v:shape>
            <v:line style="position:absolute" from="1983,1455" to="1983,1655" stroked="true" strokeweight="1.5pt" strokecolor="#006caa">
              <v:stroke dashstyle="solid"/>
            </v:line>
            <v:shape style="position:absolute;left:1987;top:1397;width:115;height:185" coordorigin="1988,1397" coordsize="115,185" path="m1988,1465l2008,1580m2008,1580l2030,1582m2030,1580l2040,1512m2040,1512l2060,1447m2060,1447l2083,1397m2083,1397l2103,1465e" filled="false" stroked="true" strokeweight="1pt" strokecolor="#006caa">
              <v:path arrowok="t"/>
              <v:stroke dashstyle="solid"/>
            </v:shape>
            <v:line style="position:absolute" from="2108,1455" to="2108,1622" stroked="true" strokeweight="1.5pt" strokecolor="#006caa">
              <v:stroke dashstyle="solid"/>
            </v:line>
            <v:shape style="position:absolute;left:2112;top:1612;width:53;height:183" coordorigin="2113,1612" coordsize="53,183" path="m2113,1612l2135,1712m2135,1712l2155,1795m2155,1795l2165,1745e" filled="false" stroked="true" strokeweight="1pt" strokecolor="#006caa">
              <v:path arrowok="t"/>
              <v:stroke dashstyle="solid"/>
            </v:shape>
            <v:line style="position:absolute" from="2175,1735" to="2175,2002" stroked="true" strokeweight="2pt" strokecolor="#006caa">
              <v:stroke dashstyle="solid"/>
            </v:line>
            <v:shape style="position:absolute;left:2185;top:1992;width:33;height:100" coordorigin="2185,1992" coordsize="33,100" path="m2185,1992l2208,2092m2208,2092l2218,2025e" filled="false" stroked="true" strokeweight="1pt" strokecolor="#006caa">
              <v:path arrowok="t"/>
              <v:stroke dashstyle="solid"/>
            </v:shape>
            <v:line style="position:absolute" from="2228,1752" to="2228,2035" stroked="true" strokeweight="2pt" strokecolor="#006caa">
              <v:stroke dashstyle="solid"/>
            </v:line>
            <v:shape style="position:absolute;left:2237;top:1679;width:75;height:148" coordorigin="2238,1680" coordsize="75,148" path="m2238,1762l2260,1695m2260,1695l2280,1777m2280,1777l2290,1827m2290,1827l2313,1680e" filled="false" stroked="true" strokeweight="1pt" strokecolor="#006caa">
              <v:path arrowok="t"/>
              <v:stroke dashstyle="solid"/>
            </v:shape>
            <v:line style="position:absolute" from="2323,1455" to="2323,1690" stroked="true" strokeweight="2pt" strokecolor="#006caa">
              <v:stroke dashstyle="solid"/>
            </v:line>
            <v:shape style="position:absolute;left:2332;top:1447;width:53;height:150" coordorigin="2333,1447" coordsize="53,150" path="m2333,1465l2343,1447m2343,1447l2365,1547m2365,1547l2385,1597e" filled="false" stroked="true" strokeweight="1pt" strokecolor="#006caa">
              <v:path arrowok="t"/>
              <v:stroke dashstyle="solid"/>
            </v:shape>
            <v:line style="position:absolute" from="2390,1437" to="2390,1607" stroked="true" strokeweight="1.5pt" strokecolor="#006caa">
              <v:stroke dashstyle="solid"/>
            </v:line>
            <v:shape style="position:absolute;left:2395;top:1297;width:115;height:150" coordorigin="2395,1297" coordsize="115,150" path="m2395,1447l2418,1332m2418,1332l2438,1297m2438,1297l2458,1382m2458,1382l2470,1415m2470,1415l2490,1447m2490,1447l2510,1430e" filled="false" stroked="true" strokeweight="1pt" strokecolor="#006caa">
              <v:path arrowok="t"/>
              <v:stroke dashstyle="solid"/>
            </v:shape>
            <v:line style="position:absolute" from="2515,1420" to="2515,1557" stroked="true" strokeweight="1.5pt" strokecolor="#006caa">
              <v:stroke dashstyle="solid"/>
            </v:line>
            <v:shape style="position:absolute;left:2520;top:1547;width:43;height:133" coordorigin="2520,1547" coordsize="43,133" path="m2520,1547l2543,1597m2543,1597l2563,1680e" filled="false" stroked="true" strokeweight="1pt" strokecolor="#006caa">
              <v:path arrowok="t"/>
              <v:stroke dashstyle="solid"/>
            </v:shape>
            <v:line style="position:absolute" from="2568,1587" to="2568,1690" stroked="true" strokeweight="1.5pt" strokecolor="#006caa">
              <v:stroke dashstyle="solid"/>
            </v:line>
            <v:shape style="position:absolute;left:2572;top:1529;width:400;height:300" coordorigin="2573,1530" coordsize="400,300" path="m2573,1597l2595,1580m2595,1580l2615,1530m2615,1530l2625,1580m2625,1580l2648,1597m2648,1597l2668,1662m2668,1662l2688,1695m2688,1695l2700,1697m2700,1695l2720,1762m2720,1762l2740,1712m2740,1712l2753,1810m2753,1810l2773,1745m2773,1745l2793,1810m2793,1810l2805,1777m2805,1777l2825,1780m2825,1777l2845,1810m2845,1810l2868,1827m2868,1827l2878,1830m2878,1827l2898,1727m2898,1727l2920,1695m2920,1695l2930,1762m2930,1762l2950,1727m2950,1727l2973,1680e" filled="false" stroked="true" strokeweight="1pt" strokecolor="#006caa">
              <v:path arrowok="t"/>
              <v:stroke dashstyle="solid"/>
            </v:shape>
            <v:line style="position:absolute" from="2978,1455" to="2978,1690" stroked="true" strokeweight="1.5pt" strokecolor="#006caa">
              <v:stroke dashstyle="solid"/>
            </v:line>
            <v:shape style="position:absolute;left:2982;top:1067;width:293;height:398" coordorigin="2983,1067" coordsize="293,398" path="m2983,1465l3003,1347m3003,1347l3023,1297m3023,1297l3045,1415m3045,1415l3055,1382m3055,1382l3075,1385m3075,1382l3098,1250m3098,1250l3108,1252m3108,1250l3128,1232m3128,1232l3150,1167m3150,1167l3160,1232m3160,1232l3180,1200m3180,1200l3203,1332m3203,1332l3213,1335m3213,1332l3233,1315m3233,1315l3255,1150m3255,1150l3275,1067e" filled="false" stroked="true" strokeweight="1pt" strokecolor="#006caa">
              <v:path arrowok="t"/>
              <v:stroke dashstyle="solid"/>
            </v:shape>
            <v:line style="position:absolute" from="3280,1057" to="3280,1210" stroked="true" strokeweight="1.5pt" strokecolor="#006caa">
              <v:stroke dashstyle="solid"/>
            </v:line>
            <v:shape style="position:absolute;left:3285;top:1199;width:43;height:183" coordorigin="3285,1200" coordsize="43,183" path="m3285,1200l3308,1282m3308,1282l3328,1382e" filled="false" stroked="true" strokeweight="1pt" strokecolor="#006caa">
              <v:path arrowok="t"/>
              <v:stroke dashstyle="solid"/>
            </v:shape>
            <v:line style="position:absolute" from="3333,1222" to="3333,1392" stroked="true" strokeweight="1.5pt" strokecolor="#006caa">
              <v:stroke dashstyle="solid"/>
            </v:line>
            <v:shape style="position:absolute;left:3337;top:1167;width:43;height:65" coordorigin="3338,1167" coordsize="43,65" path="m3338,1232l3358,1200m3358,1200l3380,1167e" filled="false" stroked="true" strokeweight="1pt" strokecolor="#006caa">
              <v:path arrowok="t"/>
              <v:stroke dashstyle="solid"/>
            </v:shape>
            <v:line style="position:absolute" from="3385,1157" to="3385,1292" stroked="true" strokeweight="1.5pt" strokecolor="#006caa">
              <v:stroke dashstyle="solid"/>
            </v:line>
            <v:line style="position:absolute" from="3400,1272" to="3400,1507" stroked="true" strokeweight="2pt" strokecolor="#006caa">
              <v:stroke dashstyle="solid"/>
            </v:line>
            <v:line style="position:absolute" from="3410,1497" to="3433,1480" stroked="true" strokeweight="1pt" strokecolor="#006caa">
              <v:stroke dashstyle="solid"/>
            </v:line>
            <v:line style="position:absolute" from="3443,1470" to="3443,1690" stroked="true" strokeweight="2pt" strokecolor="#006caa">
              <v:stroke dashstyle="solid"/>
            </v:line>
            <v:line style="position:absolute" from="3458,1670" to="3458,1787" stroked="true" strokeweight="1.5pt" strokecolor="#006caa">
              <v:stroke dashstyle="solid"/>
            </v:line>
            <v:shape style="position:absolute;left:3462;top:1777;width:43;height:200" coordorigin="3463,1777" coordsize="43,200" path="m3463,1777l3485,1977m3485,1977l3505,1827e" filled="false" stroked="true" strokeweight="1pt" strokecolor="#006caa">
              <v:path arrowok="t"/>
              <v:stroke dashstyle="solid"/>
            </v:shape>
            <v:line style="position:absolute" from="3510,1817" to="3510,1970" stroked="true" strokeweight="1.5pt" strokecolor="#006caa">
              <v:stroke dashstyle="solid"/>
            </v:line>
            <v:line style="position:absolute" from="3515,1960" to="3538,1962" stroked="true" strokeweight="1pt" strokecolor="#006caa">
              <v:stroke dashstyle="solid"/>
            </v:line>
            <v:line style="position:absolute" from="3548,1950" to="3548,2167" stroked="true" strokeweight="2pt" strokecolor="#006caa">
              <v:stroke dashstyle="solid"/>
            </v:line>
            <v:shape style="position:absolute;left:3557;top:1777;width:253;height:398" coordorigin="3558,1777" coordsize="253,398" path="m3558,2157l3568,2160m3568,2157l3590,2175m3590,2175l3610,2107m3610,2107l3630,2042m3630,2042l3643,2107m3643,2107l3663,2042m3663,2042l3683,2025m3683,2025l3693,1960m3693,1960l3715,2025m3715,2025l3745,1927m3745,1927l3768,1827m3768,1827l3788,1777m3788,1777l3810,1795e" filled="false" stroked="true" strokeweight="1pt" strokecolor="#006caa">
              <v:path arrowok="t"/>
              <v:stroke dashstyle="solid"/>
            </v:shape>
            <v:line style="position:absolute" from="3815,1785" to="3815,1905" stroked="true" strokeweight="1.5pt" strokecolor="#006caa">
              <v:stroke dashstyle="solid"/>
            </v:line>
            <v:shape style="position:absolute;left:3820;top:1894;width:53;height:83" coordorigin="3820,1895" coordsize="53,83" path="m3820,1895l3840,1960m3840,1960l3860,1977m3860,1977l3873,1910e" filled="false" stroked="true" strokeweight="1pt" strokecolor="#006caa">
              <v:path arrowok="t"/>
              <v:stroke dashstyle="solid"/>
            </v:shape>
            <v:line style="position:absolute" from="1013,1497" to="1035,1562" stroked="true" strokeweight="1pt" strokecolor="#c0a2c7">
              <v:stroke dashstyle="solid"/>
            </v:line>
            <v:line style="position:absolute" from="1040,1552" to="1040,1655" stroked="true" strokeweight="1.5pt" strokecolor="#c0a2c7">
              <v:stroke dashstyle="solid"/>
            </v:line>
            <v:shape style="position:absolute;left:1045;top:1382;width:220;height:298" coordorigin="1045,1382" coordsize="220,298" path="m1045,1645l1065,1680m1065,1680l1088,1662m1088,1662l1098,1612m1098,1612l1118,1597m1118,1597l1140,1600m1140,1597l1160,1580m1160,1580l1170,1562m1170,1562l1193,1547m1193,1547l1213,1562m1213,1562l1223,1580m1223,1580l1245,1497m1245,1497l1265,1382e" filled="false" stroked="true" strokeweight="1pt" strokecolor="#c0a2c7">
              <v:path arrowok="t"/>
              <v:stroke dashstyle="solid"/>
            </v:shape>
            <v:line style="position:absolute" from="1270,1222" to="1270,1392" stroked="true" strokeweight="1.5pt" strokecolor="#c0a2c7">
              <v:stroke dashstyle="solid"/>
            </v:line>
            <v:shape style="position:absolute;left:1275;top:1067;width:63;height:165" coordorigin="1275,1067" coordsize="63,165" path="m1275,1232l1298,1182m1298,1182l1318,1132m1318,1132l1338,1067e" filled="false" stroked="true" strokeweight="1pt" strokecolor="#c0a2c7">
              <v:path arrowok="t"/>
              <v:stroke dashstyle="solid"/>
            </v:shape>
            <v:line style="position:absolute" from="1343,957" to="1343,1077" stroked="true" strokeweight="1.5pt" strokecolor="#c0a2c7">
              <v:stroke dashstyle="solid"/>
            </v:line>
            <v:shape style="position:absolute;left:1347;top:802;width:95;height:165" coordorigin="1348,802" coordsize="95,165" path="m1348,967l1370,835m1370,835l1390,802m1390,802l1400,805m1400,802l1423,852m1423,852l1443,870e" filled="false" stroked="true" strokeweight="1pt" strokecolor="#c0a2c7">
              <v:path arrowok="t"/>
              <v:stroke dashstyle="solid"/>
            </v:shape>
            <v:line style="position:absolute" from="1448,860" to="1448,977" stroked="true" strokeweight="1.5pt" strokecolor="#c0a2c7">
              <v:stroke dashstyle="solid"/>
            </v:line>
            <v:shape style="position:absolute;left:1452;top:967;width:115;height:415" coordorigin="1453,967" coordsize="115,415" path="m1453,967l1475,1067m1475,1067l1495,1167m1495,1167l1515,1215m1515,1215l1528,1265m1528,1265l1548,1332m1548,1332l1568,1382e" filled="false" stroked="true" strokeweight="1pt" strokecolor="#c0a2c7">
              <v:path arrowok="t"/>
              <v:stroke dashstyle="solid"/>
            </v:shape>
            <v:line style="position:absolute" from="1574,1372" to="1574,1507" stroked="true" strokeweight="1.625pt" strokecolor="#c0a2c7">
              <v:stroke dashstyle="solid"/>
            </v:line>
            <v:shape style="position:absolute;left:1580;top:1149;width:220;height:365" coordorigin="1580,1150" coordsize="220,365" path="m1580,1497l1600,1512m1600,1512l1620,1515m1620,1512l1633,1415m1633,1415l1653,1347m1653,1347l1673,1282m1673,1282l1695,1250m1695,1250l1705,1200m1705,1200l1725,1167m1725,1167l1748,1150m1748,1150l1758,1215m1758,1215l1778,1315m1778,1315l1800,1447e" filled="false" stroked="true" strokeweight="1pt" strokecolor="#c0a2c7">
              <v:path arrowok="t"/>
              <v:stroke dashstyle="solid"/>
            </v:shape>
            <v:line style="position:absolute" from="1805,1437" to="1805,1590" stroked="true" strokeweight="1.5pt" strokecolor="#c0a2c7">
              <v:stroke dashstyle="solid"/>
            </v:line>
            <v:shape style="position:absolute;left:1810;top:1579;width:470;height:678" coordorigin="1810,1580" coordsize="470,678" path="m1810,1580l1850,1845m1850,1845l1863,1942m1863,1942l1883,2025m1883,2025l1903,2075m1903,2075l1925,2192m1925,2192l1935,2240m1935,2240l1955,2242m1955,2240l1978,2207m1978,2207l1988,2175m1988,2175l2008,2177m2008,2175l2030,2125m2030,2125l2040,2075m2040,2075l2060,2060m2060,2060l2083,2107m2083,2107l2103,2175m2103,2175l2113,2225m2113,2225l2135,2192m2135,2192l2155,2175m2155,2175l2165,2207m2165,2207l2185,2257m2185,2257l2208,2240m2208,2240l2218,2175m2218,2175l2238,2142m2238,2142l2260,2125m2260,2125l2280,2042e" filled="false" stroked="true" strokeweight="1pt" strokecolor="#c0a2c7">
              <v:path arrowok="t"/>
              <v:stroke dashstyle="solid"/>
            </v:shape>
            <v:line style="position:absolute" from="2285,1900" to="2285,2052" stroked="true" strokeweight="1.5pt" strokecolor="#c0a2c7">
              <v:stroke dashstyle="solid"/>
            </v:line>
            <v:shape style="position:absolute;left:2290;top:1049;width:755;height:860" coordorigin="2290,1050" coordsize="755,860" path="m2290,1910l2313,1777m2313,1777l2333,1662m2333,1662l2343,1630m2343,1630l2365,1645m2365,1645l2385,1630m2385,1630l2395,1562m2395,1562l2418,1512m2418,1512l2438,1480m2438,1480l2458,1465m2458,1465l2470,1430m2470,1430l2490,1382m2490,1382l2510,1347m2510,1347l2520,1332m2520,1332l2543,1335m2543,1332l2563,1282m2563,1282l2573,1215m2573,1215l2595,1167m2595,1167l2615,1170m2615,1167l2625,1170m2625,1167l2648,1150m2648,1150l2668,1085m2668,1085l2688,1087m2688,1085l2700,1117m2700,1117l2720,1167m2720,1167l2740,1215m2740,1215l2753,1232m2753,1232l2773,1250m2773,1250l2793,1252m2793,1250l2805,1282m2805,1282l2825,1265m2825,1265l2845,1315m2845,1315l2868,1332m2868,1332l2878,1365m2878,1365l2898,1382m2898,1382l2920,1385m2920,1382l2930,1365m2930,1365l2950,1282m2950,1282l2973,1232m2973,1232l2983,1182m2983,1182l3003,1185m3003,1182l3023,1117m3023,1117l3045,1050e" filled="false" stroked="true" strokeweight="1pt" strokecolor="#c0a2c7">
              <v:path arrowok="t"/>
              <v:stroke dashstyle="solid"/>
            </v:shape>
            <v:line style="position:absolute" from="3050,942" to="3050,1060" stroked="true" strokeweight="1.5pt" strokecolor="#c0a2c7">
              <v:stroke dashstyle="solid"/>
            </v:line>
            <v:shape style="position:absolute;left:3055;top:917;width:95;height:118" coordorigin="3055,917" coordsize="95,118" path="m3055,952l3075,917m3075,917l3098,920m3098,917l3108,952m3108,952l3128,1000m3128,1000l3150,1035e" filled="false" stroked="true" strokeweight="1pt" strokecolor="#c0a2c7">
              <v:path arrowok="t"/>
              <v:stroke dashstyle="solid"/>
            </v:shape>
            <v:line style="position:absolute" from="3155,1025" to="3155,1127" stroked="true" strokeweight="1.5pt" strokecolor="#c0a2c7">
              <v:stroke dashstyle="solid"/>
            </v:line>
            <v:shape style="position:absolute;left:3160;top:1084;width:470;height:445" coordorigin="3160,1085" coordsize="470,445" path="m3160,1117l3180,1167m3180,1167l3203,1215m3203,1215l3213,1217m3213,1215l3233,1232m3233,1232l3255,1282m3255,1282l3275,1365m3275,1365l3285,1382m3285,1382l3308,1315m3308,1315l3328,1215m3328,1215l3338,1150m3338,1150l3358,1132m3358,1132l3380,1085m3380,1085l3390,1100m3390,1100l3410,1150m3410,1150l3433,1232m3433,1232l3453,1315m3453,1315l3463,1347m3463,1347l3485,1365m3485,1365l3505,1315m3505,1315l3515,1347m3515,1347l3538,1447m3538,1447l3558,1512m3558,1512l3568,1530m3568,1530l3590,1497m3590,1497l3610,1465m3610,1465l3630,1397e" filled="false" stroked="true" strokeweight="1pt" strokecolor="#c0a2c7">
              <v:path arrowok="t"/>
              <v:stroke dashstyle="solid"/>
            </v:shape>
            <v:line style="position:absolute" from="3636,1272" to="3636,1407" stroked="true" strokeweight="1.625pt" strokecolor="#c0a2c7">
              <v:stroke dashstyle="solid"/>
            </v:line>
            <v:shape style="position:absolute;left:3642;top:1017;width:40;height:265" coordorigin="3643,1017" coordsize="40,265" path="m3643,1282l3663,1132m3663,1132l3683,1017e" filled="false" stroked="true" strokeweight="1pt" strokecolor="#c0a2c7">
              <v:path arrowok="t"/>
              <v:stroke dashstyle="solid"/>
            </v:shape>
            <v:line style="position:absolute" from="3688,925" to="3688,1027" stroked="true" strokeweight="1.5pt" strokecolor="#c0a2c7">
              <v:stroke dashstyle="solid"/>
            </v:line>
            <v:shape style="position:absolute;left:3692;top:934;width:43;height:35" coordorigin="3693,935" coordsize="43,35" path="m3693,935l3715,967m3715,967l3735,970e" filled="false" stroked="true" strokeweight="1pt" strokecolor="#c0a2c7">
              <v:path arrowok="t"/>
              <v:stroke dashstyle="solid"/>
            </v:shape>
            <v:line style="position:absolute" from="3740,875" to="3740,977" stroked="true" strokeweight="1.5pt" strokecolor="#c0a2c7">
              <v:stroke dashstyle="solid"/>
            </v:line>
            <v:shape style="position:absolute;left:3745;top:-8;width:75;height:893" coordorigin="3745,-8" coordsize="75,893" path="m3745,885l3768,455m3768,455l3788,-8m3788,-8l3810,25m3810,25l3820,340e" filled="false" stroked="true" strokeweight="1pt" strokecolor="#c0a2c7">
              <v:path arrowok="t"/>
              <v:stroke dashstyle="solid"/>
            </v:shape>
            <v:line style="position:absolute" from="3830,330" to="3830,730" stroked="true" strokeweight="2pt" strokecolor="#c0a2c7">
              <v:stroke dashstyle="solid"/>
            </v:line>
            <v:shape style="position:absolute;left:3840;top:719;width:53;height:198" coordorigin="3840,720" coordsize="53,198" path="m3840,720l3860,752m3860,752l3873,835m3873,835l3893,917e" filled="false" stroked="true" strokeweight="1pt" strokecolor="#c0a2c7">
              <v:path arrowok="t"/>
              <v:stroke dashstyle="solid"/>
            </v:shape>
            <v:shape style="position:absolute;left:1414;top:130;width:570;height:133" type="#_x0000_t202" filled="false" stroked="false">
              <v:textbox inset="0,0,0,0">
                <w:txbxContent>
                  <w:p>
                    <w:pPr>
                      <w:spacing w:line="133" w:lineRule="exact" w:before="0"/>
                      <w:ind w:left="0" w:right="0" w:firstLine="0"/>
                      <w:jc w:val="left"/>
                      <w:rPr>
                        <w:sz w:val="12"/>
                      </w:rPr>
                    </w:pPr>
                    <w:r>
                      <w:rPr>
                        <w:sz w:val="12"/>
                      </w:rPr>
                      <w:t>Retail sales</w:t>
                    </w:r>
                  </w:p>
                </w:txbxContent>
              </v:textbox>
              <w10:wrap type="none"/>
            </v:shape>
            <w10:wrap type="none"/>
          </v:group>
        </w:pict>
      </w:r>
      <w:r>
        <w:rPr/>
        <w:pict>
          <v:line style="position:absolute;mso-position-horizontal-relative:page;mso-position-vertical-relative:paragraph;z-index:15744000" from="45.333pt,4.893359pt" to="41pt,4.893359pt" stroked="true" strokeweight=".5pt" strokecolor="#000000">
            <v:stroke dashstyle="solid"/>
            <w10:wrap type="none"/>
          </v:line>
        </w:pict>
      </w:r>
      <w:r>
        <w:rPr/>
        <w:pict>
          <v:line style="position:absolute;mso-position-horizontal-relative:page;mso-position-vertical-relative:paragraph;z-index:15750656" from="206.666pt,4.549359pt" to="202.334pt,4.549359pt" stroked="true" strokeweight=".5pt" strokecolor="#000000">
            <v:stroke dashstyle="solid"/>
            <w10:wrap type="none"/>
          </v:line>
        </w:pict>
      </w:r>
      <w:r>
        <w:rPr>
          <w:sz w:val="12"/>
        </w:rPr>
        <w:t>11</w:t>
      </w:r>
    </w:p>
    <w:p>
      <w:pPr>
        <w:spacing w:before="95"/>
        <w:ind w:left="0" w:right="582" w:firstLine="0"/>
        <w:jc w:val="right"/>
        <w:rPr>
          <w:sz w:val="12"/>
        </w:rPr>
      </w:pPr>
      <w:r>
        <w:rPr/>
        <w:pict>
          <v:line style="position:absolute;mso-position-horizontal-relative:page;mso-position-vertical-relative:paragraph;z-index:15740416" from="45.333pt,9.361359pt" to="41pt,9.361359pt" stroked="true" strokeweight=".5pt" strokecolor="#000000">
            <v:stroke dashstyle="solid"/>
            <w10:wrap type="none"/>
          </v:line>
        </w:pict>
      </w:r>
      <w:r>
        <w:rPr/>
        <w:pict>
          <v:line style="position:absolute;mso-position-horizontal-relative:page;mso-position-vertical-relative:paragraph;z-index:15747584" from="206.665993pt,9.018358pt" to="202.332993pt,9.018358pt" stroked="true" strokeweight=".5pt" strokecolor="#000000">
            <v:stroke dashstyle="solid"/>
            <w10:wrap type="none"/>
          </v:line>
        </w:pict>
      </w:r>
      <w:r>
        <w:rPr>
          <w:sz w:val="12"/>
        </w:rPr>
        <w:t>10</w:t>
      </w:r>
    </w:p>
    <w:p>
      <w:pPr>
        <w:pStyle w:val="BodyText"/>
        <w:spacing w:before="6"/>
        <w:rPr>
          <w:sz w:val="9"/>
        </w:rPr>
      </w:pPr>
    </w:p>
    <w:p>
      <w:pPr>
        <w:spacing w:before="0"/>
        <w:ind w:left="0" w:right="582" w:firstLine="0"/>
        <w:jc w:val="right"/>
        <w:rPr>
          <w:sz w:val="12"/>
        </w:rPr>
      </w:pPr>
      <w:r>
        <w:rPr/>
        <w:pict>
          <v:line style="position:absolute;mso-position-horizontal-relative:page;mso-position-vertical-relative:paragraph;z-index:15744512" from="45.333pt,4.851358pt" to="41pt,4.851358pt" stroked="true" strokeweight=".5pt" strokecolor="#000000">
            <v:stroke dashstyle="solid"/>
            <w10:wrap type="none"/>
          </v:line>
        </w:pict>
      </w:r>
      <w:r>
        <w:rPr/>
        <w:pict>
          <v:line style="position:absolute;mso-position-horizontal-relative:page;mso-position-vertical-relative:paragraph;z-index:15751168" from="206.666pt,4.508358pt" to="202.334pt,4.508358pt" stroked="true" strokeweight=".5pt" strokecolor="#000000">
            <v:stroke dashstyle="solid"/>
            <w10:wrap type="none"/>
          </v:line>
        </w:pict>
      </w:r>
      <w:r>
        <w:rPr>
          <w:sz w:val="12"/>
        </w:rPr>
        <w:t>9</w:t>
      </w:r>
    </w:p>
    <w:p>
      <w:pPr>
        <w:spacing w:before="94"/>
        <w:ind w:left="0" w:right="582" w:firstLine="0"/>
        <w:jc w:val="right"/>
        <w:rPr>
          <w:sz w:val="12"/>
        </w:rPr>
      </w:pPr>
      <w:r>
        <w:rPr/>
        <w:pict>
          <v:line style="position:absolute;mso-position-horizontal-relative:page;mso-position-vertical-relative:paragraph;z-index:15740928" from="45.333pt,9.270359pt" to="41pt,9.270359pt" stroked="true" strokeweight=".5pt" strokecolor="#000000">
            <v:stroke dashstyle="solid"/>
            <w10:wrap type="none"/>
          </v:line>
        </w:pict>
      </w:r>
      <w:r>
        <w:rPr/>
        <w:pict>
          <v:line style="position:absolute;mso-position-horizontal-relative:page;mso-position-vertical-relative:paragraph;z-index:15748096" from="206.665993pt,8.926358pt" to="202.332993pt,8.926358pt" stroked="true" strokeweight=".5pt" strokecolor="#000000">
            <v:stroke dashstyle="solid"/>
            <w10:wrap type="none"/>
          </v:line>
        </w:pict>
      </w:r>
      <w:r>
        <w:rPr>
          <w:sz w:val="12"/>
        </w:rPr>
        <w:t>8</w:t>
      </w:r>
    </w:p>
    <w:p>
      <w:pPr>
        <w:pStyle w:val="BodyText"/>
        <w:spacing w:before="6"/>
        <w:rPr>
          <w:sz w:val="9"/>
        </w:rPr>
      </w:pPr>
    </w:p>
    <w:p>
      <w:pPr>
        <w:spacing w:before="0"/>
        <w:ind w:left="0" w:right="582" w:firstLine="0"/>
        <w:jc w:val="right"/>
        <w:rPr>
          <w:sz w:val="12"/>
        </w:rPr>
      </w:pPr>
      <w:r>
        <w:rPr/>
        <w:pict>
          <v:line style="position:absolute;mso-position-horizontal-relative:page;mso-position-vertical-relative:paragraph;z-index:15743488" from="45.333pt,4.184359pt" to="41pt,4.184359pt" stroked="true" strokeweight=".5pt" strokecolor="#000000">
            <v:stroke dashstyle="solid"/>
            <w10:wrap type="none"/>
          </v:line>
        </w:pict>
      </w:r>
      <w:r>
        <w:rPr/>
        <w:pict>
          <v:line style="position:absolute;mso-position-horizontal-relative:page;mso-position-vertical-relative:paragraph;z-index:15750144" from="206.666pt,3.841359pt" to="202.334pt,3.841359pt" stroked="true" strokeweight=".5pt" strokecolor="#000000">
            <v:stroke dashstyle="solid"/>
            <w10:wrap type="none"/>
          </v:line>
        </w:pict>
      </w:r>
      <w:r>
        <w:rPr>
          <w:sz w:val="12"/>
        </w:rPr>
        <w:t>7</w:t>
      </w:r>
    </w:p>
    <w:p>
      <w:pPr>
        <w:spacing w:before="95"/>
        <w:ind w:left="0" w:right="582" w:firstLine="0"/>
        <w:jc w:val="right"/>
        <w:rPr>
          <w:sz w:val="12"/>
        </w:rPr>
      </w:pPr>
      <w:r>
        <w:rPr/>
        <w:pict>
          <v:line style="position:absolute;mso-position-horizontal-relative:page;mso-position-vertical-relative:paragraph;z-index:15745024" from="45.333pt,9.684359pt" to="41pt,9.684359pt" stroked="true" strokeweight=".5pt" strokecolor="#000000">
            <v:stroke dashstyle="solid"/>
            <w10:wrap type="none"/>
          </v:line>
        </w:pict>
      </w:r>
      <w:r>
        <w:rPr/>
        <w:pict>
          <v:line style="position:absolute;mso-position-horizontal-relative:page;mso-position-vertical-relative:paragraph;z-index:15751680" from="206.666pt,9.341358pt" to="202.334pt,9.341358pt" stroked="true" strokeweight=".5pt" strokecolor="#000000">
            <v:stroke dashstyle="solid"/>
            <w10:wrap type="none"/>
          </v:line>
        </w:pict>
      </w:r>
      <w:r>
        <w:rPr>
          <w:sz w:val="12"/>
        </w:rPr>
        <w:t>6</w:t>
      </w:r>
    </w:p>
    <w:p>
      <w:pPr>
        <w:pStyle w:val="BodyText"/>
        <w:spacing w:before="6"/>
        <w:rPr>
          <w:sz w:val="9"/>
        </w:rPr>
      </w:pPr>
    </w:p>
    <w:p>
      <w:pPr>
        <w:spacing w:before="0"/>
        <w:ind w:left="0" w:right="582" w:firstLine="0"/>
        <w:jc w:val="right"/>
        <w:rPr>
          <w:sz w:val="12"/>
        </w:rPr>
      </w:pPr>
      <w:r>
        <w:rPr/>
        <w:pict>
          <v:line style="position:absolute;mso-position-horizontal-relative:page;mso-position-vertical-relative:paragraph;z-index:15741440" from="45.333pt,3.903359pt" to="41pt,3.903359pt" stroked="true" strokeweight=".5pt" strokecolor="#000000">
            <v:stroke dashstyle="solid"/>
            <w10:wrap type="none"/>
          </v:line>
        </w:pict>
      </w:r>
      <w:r>
        <w:rPr/>
        <w:pict>
          <v:line style="position:absolute;mso-position-horizontal-relative:page;mso-position-vertical-relative:paragraph;z-index:15748608" from="206.665993pt,3.559359pt" to="202.332993pt,3.559359pt" stroked="true" strokeweight=".5pt" strokecolor="#000000">
            <v:stroke dashstyle="solid"/>
            <w10:wrap type="none"/>
          </v:line>
        </w:pict>
      </w:r>
      <w:r>
        <w:rPr>
          <w:sz w:val="12"/>
        </w:rPr>
        <w:t>5</w:t>
      </w:r>
    </w:p>
    <w:p>
      <w:pPr>
        <w:spacing w:before="92"/>
        <w:ind w:left="0" w:right="582" w:firstLine="0"/>
        <w:jc w:val="right"/>
        <w:rPr>
          <w:sz w:val="12"/>
        </w:rPr>
      </w:pPr>
      <w:r>
        <w:rPr/>
        <w:pict>
          <v:line style="position:absolute;mso-position-horizontal-relative:page;mso-position-vertical-relative:paragraph;z-index:15745536" from="45.333pt,9.930176pt" to="41pt,9.930176pt" stroked="true" strokeweight=".5pt" strokecolor="#000000">
            <v:stroke dashstyle="solid"/>
            <w10:wrap type="none"/>
          </v:line>
        </w:pict>
      </w:r>
      <w:r>
        <w:rPr/>
        <w:pict>
          <v:line style="position:absolute;mso-position-horizontal-relative:page;mso-position-vertical-relative:paragraph;z-index:15752192" from="206.666pt,9.586176pt" to="202.334pt,9.586176pt" stroked="true" strokeweight=".5pt" strokecolor="#000000">
            <v:stroke dashstyle="solid"/>
            <w10:wrap type="none"/>
          </v:line>
        </w:pict>
      </w:r>
      <w:r>
        <w:rPr>
          <w:sz w:val="12"/>
        </w:rPr>
        <w:t>4</w:t>
      </w:r>
    </w:p>
    <w:p>
      <w:pPr>
        <w:pStyle w:val="BodyText"/>
        <w:spacing w:before="8"/>
        <w:rPr>
          <w:sz w:val="9"/>
        </w:rPr>
      </w:pPr>
    </w:p>
    <w:p>
      <w:pPr>
        <w:spacing w:before="0"/>
        <w:ind w:left="0" w:right="582" w:firstLine="0"/>
        <w:jc w:val="right"/>
        <w:rPr>
          <w:sz w:val="12"/>
        </w:rPr>
      </w:pPr>
      <w:r>
        <w:rPr/>
        <w:pict>
          <v:line style="position:absolute;mso-position-horizontal-relative:page;mso-position-vertical-relative:paragraph;z-index:15741952" from="45.333pt,4.173748pt" to="41pt,4.173748pt" stroked="true" strokeweight=".5pt" strokecolor="#000000">
            <v:stroke dashstyle="solid"/>
            <w10:wrap type="none"/>
          </v:line>
        </w:pict>
      </w:r>
      <w:r>
        <w:rPr/>
        <w:pict>
          <v:line style="position:absolute;mso-position-horizontal-relative:page;mso-position-vertical-relative:paragraph;z-index:15749120" from="206.665993pt,3.829748pt" to="202.332993pt,3.829748pt" stroked="true" strokeweight=".5pt" strokecolor="#000000">
            <v:stroke dashstyle="solid"/>
            <w10:wrap type="none"/>
          </v:line>
        </w:pict>
      </w:r>
      <w:r>
        <w:rPr>
          <w:sz w:val="12"/>
        </w:rPr>
        <w:t>3</w:t>
      </w:r>
    </w:p>
    <w:p>
      <w:pPr>
        <w:spacing w:line="125" w:lineRule="exact" w:before="93"/>
        <w:ind w:left="3587" w:right="0" w:firstLine="0"/>
        <w:jc w:val="left"/>
        <w:rPr>
          <w:sz w:val="12"/>
        </w:rPr>
      </w:pPr>
      <w:r>
        <w:rPr/>
        <w:pict>
          <v:line style="position:absolute;mso-position-horizontal-relative:page;mso-position-vertical-relative:paragraph;z-index:15746560" from="45.332999pt,9.010565pt" to="41.000999pt,9.010565pt" stroked="true" strokeweight=".5pt" strokecolor="#000000">
            <v:stroke dashstyle="solid"/>
            <w10:wrap type="none"/>
          </v:line>
        </w:pict>
      </w:r>
      <w:r>
        <w:rPr/>
        <w:pict>
          <v:line style="position:absolute;mso-position-horizontal-relative:page;mso-position-vertical-relative:paragraph;z-index:15753216" from="206.666pt,8.666565pt" to="202.334pt,8.666565pt" stroked="true" strokeweight=".5pt" strokecolor="#000000">
            <v:stroke dashstyle="solid"/>
            <w10:wrap type="none"/>
          </v:line>
        </w:pict>
      </w:r>
      <w:r>
        <w:rPr>
          <w:sz w:val="12"/>
        </w:rPr>
        <w:t>2</w:t>
      </w:r>
    </w:p>
    <w:p>
      <w:pPr>
        <w:spacing w:line="124" w:lineRule="exact" w:before="0"/>
        <w:ind w:left="967" w:right="0" w:firstLine="0"/>
        <w:jc w:val="left"/>
        <w:rPr>
          <w:sz w:val="12"/>
        </w:rPr>
      </w:pPr>
      <w:r>
        <w:rPr>
          <w:sz w:val="12"/>
        </w:rPr>
        <w:t>Notes and coin</w:t>
      </w:r>
    </w:p>
    <w:p>
      <w:pPr>
        <w:spacing w:line="136" w:lineRule="exact" w:before="0"/>
        <w:ind w:left="3587" w:right="0" w:firstLine="0"/>
        <w:jc w:val="left"/>
        <w:rPr>
          <w:sz w:val="12"/>
        </w:rPr>
      </w:pPr>
      <w:r>
        <w:rPr/>
        <w:pict>
          <v:line style="position:absolute;mso-position-horizontal-relative:page;mso-position-vertical-relative:paragraph;z-index:15746048" from="45.333pt,4.582563pt" to="41pt,4.582563pt" stroked="true" strokeweight=".5pt" strokecolor="#000000">
            <v:stroke dashstyle="solid"/>
            <w10:wrap type="none"/>
          </v:line>
        </w:pict>
      </w:r>
      <w:r>
        <w:rPr/>
        <w:pict>
          <v:line style="position:absolute;mso-position-horizontal-relative:page;mso-position-vertical-relative:paragraph;z-index:15752704" from="206.666pt,4.238564pt" to="202.334pt,4.238564pt" stroked="true" strokeweight=".5pt" strokecolor="#000000">
            <v:stroke dashstyle="solid"/>
            <w10:wrap type="none"/>
          </v:line>
        </w:pict>
      </w:r>
      <w:r>
        <w:rPr>
          <w:sz w:val="12"/>
        </w:rPr>
        <w:t>1</w:t>
      </w:r>
    </w:p>
    <w:p>
      <w:pPr>
        <w:spacing w:line="137" w:lineRule="exact" w:before="94"/>
        <w:ind w:left="3587" w:right="0" w:firstLine="0"/>
        <w:jc w:val="left"/>
        <w:rPr>
          <w:sz w:val="12"/>
        </w:rPr>
      </w:pPr>
      <w:r>
        <w:rPr/>
        <w:pict>
          <v:line style="position:absolute;mso-position-horizontal-relative:page;mso-position-vertical-relative:paragraph;z-index:15742464" from="45.333pt,9.081565pt" to="41pt,9.081565pt" stroked="true" strokeweight=".5pt" strokecolor="#000000">
            <v:stroke dashstyle="solid"/>
            <w10:wrap type="none"/>
          </v:line>
        </w:pict>
      </w:r>
      <w:r>
        <w:rPr/>
        <w:pict>
          <v:shape style="position:absolute;margin-left:50.717999pt;margin-top:6.000565pt;width:146.3pt;height:3.35pt;mso-position-horizontal-relative:page;mso-position-vertical-relative:paragraph;z-index:15742976" coordorigin="1014,120" coordsize="2926,67" path="m3787,120l3787,178m1017,125l1017,178m1217,125l1217,178m1447,125l1447,178m1653,120l1653,178m1850,125l1850,178m2085,125l2085,178m2285,125l2285,178m2515,125l2515,178m2725,125l2725,178m2925,125l2925,178m3155,125l3155,178m3355,125l3355,178m3555,125l3555,178m1014,186l3940,186e" filled="false" stroked="true" strokeweight=".5pt" strokecolor="#000000">
            <v:path arrowok="t"/>
            <v:stroke dashstyle="solid"/>
            <w10:wrap type="none"/>
          </v:shape>
        </w:pict>
      </w:r>
      <w:r>
        <w:rPr/>
        <w:pict>
          <v:line style="position:absolute;mso-position-horizontal-relative:page;mso-position-vertical-relative:paragraph;z-index:15749632" from="206.665993pt,8.737565pt" to="202.332993pt,8.737565pt" stroked="true" strokeweight=".5pt" strokecolor="#000000">
            <v:stroke dashstyle="solid"/>
            <w10:wrap type="none"/>
          </v:line>
        </w:pict>
      </w:r>
      <w:r>
        <w:rPr>
          <w:sz w:val="12"/>
        </w:rPr>
        <w:t>0</w:t>
      </w:r>
    </w:p>
    <w:p>
      <w:pPr>
        <w:spacing w:line="137" w:lineRule="exact" w:before="0"/>
        <w:ind w:left="309" w:right="0" w:firstLine="0"/>
        <w:jc w:val="left"/>
        <w:rPr>
          <w:sz w:val="12"/>
        </w:rPr>
      </w:pPr>
      <w:r>
        <w:rPr>
          <w:sz w:val="12"/>
        </w:rPr>
        <w:t>1987 88 89 90 91 92 93 94 95 96 97 98 99 2000</w:t>
      </w:r>
    </w:p>
    <w:p>
      <w:pPr>
        <w:spacing w:before="61"/>
        <w:ind w:left="180" w:right="0" w:firstLine="0"/>
        <w:jc w:val="left"/>
        <w:rPr>
          <w:sz w:val="12"/>
        </w:rPr>
      </w:pPr>
      <w:r>
        <w:rPr>
          <w:sz w:val="12"/>
        </w:rPr>
        <w:t>Sources: ONS and Bank of England.</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1"/>
        </w:rPr>
      </w:pPr>
    </w:p>
    <w:p>
      <w:pPr>
        <w:pStyle w:val="Heading6"/>
        <w:spacing w:before="1"/>
        <w:ind w:left="160"/>
      </w:pPr>
      <w:r>
        <w:rPr>
          <w:color w:val="0092C7"/>
        </w:rPr>
        <w:t>Table 1.A</w:t>
      </w:r>
    </w:p>
    <w:p>
      <w:pPr>
        <w:pStyle w:val="Heading6"/>
        <w:spacing w:line="249" w:lineRule="auto"/>
        <w:ind w:left="160" w:right="364"/>
        <w:rPr>
          <w:b w:val="0"/>
          <w:sz w:val="12"/>
        </w:rPr>
      </w:pPr>
      <w:r>
        <w:rPr>
          <w:color w:val="0092C7"/>
        </w:rPr>
        <w:t>Growth rates of notes and coin, M4, and M4 lending</w:t>
      </w:r>
      <w:r>
        <w:rPr>
          <w:b w:val="0"/>
          <w:position w:val="4"/>
          <w:sz w:val="12"/>
        </w:rPr>
        <w:t>(a)</w:t>
      </w:r>
    </w:p>
    <w:p>
      <w:pPr>
        <w:spacing w:before="97"/>
        <w:ind w:left="160" w:right="0" w:firstLine="0"/>
        <w:jc w:val="left"/>
        <w:rPr>
          <w:sz w:val="14"/>
        </w:rPr>
      </w:pPr>
      <w:r>
        <w:rPr>
          <w:sz w:val="14"/>
        </w:rPr>
        <w:t>Per cent</w:t>
      </w: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1"/>
        <w:gridCol w:w="649"/>
        <w:gridCol w:w="796"/>
        <w:gridCol w:w="905"/>
        <w:gridCol w:w="770"/>
      </w:tblGrid>
      <w:tr>
        <w:trPr>
          <w:trHeight w:val="217" w:hRule="atLeast"/>
        </w:trPr>
        <w:tc>
          <w:tcPr>
            <w:tcW w:w="1740" w:type="dxa"/>
            <w:gridSpan w:val="2"/>
          </w:tcPr>
          <w:p>
            <w:pPr>
              <w:pStyle w:val="TableParagraph"/>
              <w:spacing w:line="240" w:lineRule="auto"/>
              <w:rPr>
                <w:sz w:val="14"/>
              </w:rPr>
            </w:pPr>
          </w:p>
        </w:tc>
        <w:tc>
          <w:tcPr>
            <w:tcW w:w="796" w:type="dxa"/>
          </w:tcPr>
          <w:p>
            <w:pPr>
              <w:pStyle w:val="TableParagraph"/>
              <w:spacing w:line="141" w:lineRule="exact"/>
              <w:ind w:right="82"/>
              <w:jc w:val="center"/>
              <w:rPr>
                <w:sz w:val="12"/>
              </w:rPr>
            </w:pPr>
            <w:r>
              <w:rPr>
                <w:sz w:val="14"/>
                <w:u w:val="single"/>
              </w:rPr>
              <w:t>3 months </w:t>
            </w:r>
            <w:r>
              <w:rPr>
                <w:sz w:val="12"/>
                <w:u w:val="single"/>
              </w:rPr>
              <w:t>(b)</w:t>
            </w:r>
          </w:p>
        </w:tc>
        <w:tc>
          <w:tcPr>
            <w:tcW w:w="905" w:type="dxa"/>
          </w:tcPr>
          <w:p>
            <w:pPr>
              <w:pStyle w:val="TableParagraph"/>
              <w:spacing w:line="141" w:lineRule="exact"/>
              <w:ind w:left="84" w:right="88"/>
              <w:jc w:val="center"/>
              <w:rPr>
                <w:sz w:val="12"/>
              </w:rPr>
            </w:pPr>
            <w:r>
              <w:rPr>
                <w:sz w:val="14"/>
                <w:u w:val="single"/>
              </w:rPr>
              <w:t>6 months </w:t>
            </w:r>
            <w:r>
              <w:rPr>
                <w:sz w:val="12"/>
                <w:u w:val="single"/>
              </w:rPr>
              <w:t>(b</w:t>
            </w:r>
            <w:r>
              <w:rPr>
                <w:sz w:val="12"/>
              </w:rPr>
              <w:t>)</w:t>
            </w:r>
          </w:p>
        </w:tc>
        <w:tc>
          <w:tcPr>
            <w:tcW w:w="770" w:type="dxa"/>
          </w:tcPr>
          <w:p>
            <w:pPr>
              <w:pStyle w:val="TableParagraph"/>
              <w:spacing w:line="141" w:lineRule="exact"/>
              <w:ind w:left="92" w:right="50"/>
              <w:jc w:val="center"/>
              <w:rPr>
                <w:sz w:val="14"/>
              </w:rPr>
            </w:pPr>
            <w:r>
              <w:rPr>
                <w:sz w:val="14"/>
                <w:u w:val="single"/>
              </w:rPr>
              <w:t>12 months </w:t>
            </w:r>
          </w:p>
        </w:tc>
      </w:tr>
      <w:tr>
        <w:trPr>
          <w:trHeight w:val="210" w:hRule="atLeast"/>
        </w:trPr>
        <w:tc>
          <w:tcPr>
            <w:tcW w:w="1091" w:type="dxa"/>
          </w:tcPr>
          <w:p>
            <w:pPr>
              <w:pStyle w:val="TableParagraph"/>
              <w:spacing w:line="148" w:lineRule="exact" w:before="42"/>
              <w:ind w:left="50"/>
              <w:rPr>
                <w:sz w:val="12"/>
              </w:rPr>
            </w:pPr>
            <w:r>
              <w:rPr>
                <w:sz w:val="14"/>
              </w:rPr>
              <w:t>Notes and coin </w:t>
            </w:r>
            <w:r>
              <w:rPr>
                <w:sz w:val="12"/>
              </w:rPr>
              <w:t>(c)</w:t>
            </w:r>
          </w:p>
        </w:tc>
        <w:tc>
          <w:tcPr>
            <w:tcW w:w="649" w:type="dxa"/>
          </w:tcPr>
          <w:p>
            <w:pPr>
              <w:pStyle w:val="TableParagraph"/>
              <w:spacing w:line="148" w:lineRule="exact" w:before="42"/>
              <w:ind w:left="32"/>
              <w:rPr>
                <w:sz w:val="14"/>
              </w:rPr>
            </w:pPr>
            <w:r>
              <w:rPr>
                <w:sz w:val="14"/>
              </w:rPr>
              <w:t>2000 April</w:t>
            </w:r>
          </w:p>
        </w:tc>
        <w:tc>
          <w:tcPr>
            <w:tcW w:w="796" w:type="dxa"/>
          </w:tcPr>
          <w:p>
            <w:pPr>
              <w:pStyle w:val="TableParagraph"/>
              <w:spacing w:line="148" w:lineRule="exact" w:before="42"/>
              <w:ind w:right="90"/>
              <w:jc w:val="center"/>
              <w:rPr>
                <w:sz w:val="14"/>
              </w:rPr>
            </w:pPr>
            <w:r>
              <w:rPr>
                <w:sz w:val="14"/>
              </w:rPr>
              <w:t>-10.3</w:t>
            </w:r>
          </w:p>
        </w:tc>
        <w:tc>
          <w:tcPr>
            <w:tcW w:w="905" w:type="dxa"/>
          </w:tcPr>
          <w:p>
            <w:pPr>
              <w:pStyle w:val="TableParagraph"/>
              <w:spacing w:line="148" w:lineRule="exact" w:before="42"/>
              <w:ind w:left="236" w:right="88"/>
              <w:jc w:val="center"/>
              <w:rPr>
                <w:sz w:val="14"/>
              </w:rPr>
            </w:pPr>
            <w:r>
              <w:rPr>
                <w:sz w:val="14"/>
              </w:rPr>
              <w:t>8.0</w:t>
            </w:r>
          </w:p>
        </w:tc>
        <w:tc>
          <w:tcPr>
            <w:tcW w:w="770" w:type="dxa"/>
          </w:tcPr>
          <w:p>
            <w:pPr>
              <w:pStyle w:val="TableParagraph"/>
              <w:spacing w:line="148" w:lineRule="exact" w:before="42"/>
              <w:ind w:left="92" w:right="20"/>
              <w:jc w:val="center"/>
              <w:rPr>
                <w:sz w:val="14"/>
              </w:rPr>
            </w:pPr>
            <w:r>
              <w:rPr>
                <w:sz w:val="14"/>
              </w:rPr>
              <w:t>8.2</w:t>
            </w:r>
          </w:p>
        </w:tc>
      </w:tr>
      <w:tr>
        <w:trPr>
          <w:trHeight w:val="140" w:hRule="atLeast"/>
        </w:trPr>
        <w:tc>
          <w:tcPr>
            <w:tcW w:w="1091" w:type="dxa"/>
          </w:tcPr>
          <w:p>
            <w:pPr>
              <w:pStyle w:val="TableParagraph"/>
              <w:spacing w:line="240" w:lineRule="auto"/>
              <w:rPr>
                <w:sz w:val="8"/>
              </w:rPr>
            </w:pPr>
          </w:p>
        </w:tc>
        <w:tc>
          <w:tcPr>
            <w:tcW w:w="649" w:type="dxa"/>
          </w:tcPr>
          <w:p>
            <w:pPr>
              <w:pStyle w:val="TableParagraph"/>
              <w:ind w:right="42"/>
              <w:jc w:val="right"/>
              <w:rPr>
                <w:sz w:val="14"/>
              </w:rPr>
            </w:pPr>
            <w:r>
              <w:rPr>
                <w:sz w:val="14"/>
              </w:rPr>
              <w:t>May</w:t>
            </w:r>
          </w:p>
        </w:tc>
        <w:tc>
          <w:tcPr>
            <w:tcW w:w="796" w:type="dxa"/>
          </w:tcPr>
          <w:p>
            <w:pPr>
              <w:pStyle w:val="TableParagraph"/>
              <w:ind w:left="105" w:right="82"/>
              <w:jc w:val="center"/>
              <w:rPr>
                <w:sz w:val="14"/>
              </w:rPr>
            </w:pPr>
            <w:r>
              <w:rPr>
                <w:sz w:val="14"/>
              </w:rPr>
              <w:t>6.9</w:t>
            </w:r>
          </w:p>
        </w:tc>
        <w:tc>
          <w:tcPr>
            <w:tcW w:w="905" w:type="dxa"/>
          </w:tcPr>
          <w:p>
            <w:pPr>
              <w:pStyle w:val="TableParagraph"/>
              <w:ind w:left="236" w:right="88"/>
              <w:jc w:val="center"/>
              <w:rPr>
                <w:sz w:val="14"/>
              </w:rPr>
            </w:pPr>
            <w:r>
              <w:rPr>
                <w:sz w:val="14"/>
              </w:rPr>
              <w:t>6.3</w:t>
            </w:r>
          </w:p>
        </w:tc>
        <w:tc>
          <w:tcPr>
            <w:tcW w:w="770" w:type="dxa"/>
          </w:tcPr>
          <w:p>
            <w:pPr>
              <w:pStyle w:val="TableParagraph"/>
              <w:ind w:left="92" w:right="19"/>
              <w:jc w:val="center"/>
              <w:rPr>
                <w:sz w:val="14"/>
              </w:rPr>
            </w:pPr>
            <w:r>
              <w:rPr>
                <w:sz w:val="14"/>
              </w:rPr>
              <w:t>7.8</w:t>
            </w:r>
          </w:p>
        </w:tc>
      </w:tr>
      <w:tr>
        <w:trPr>
          <w:trHeight w:val="140" w:hRule="atLeast"/>
        </w:trPr>
        <w:tc>
          <w:tcPr>
            <w:tcW w:w="1091" w:type="dxa"/>
          </w:tcPr>
          <w:p>
            <w:pPr>
              <w:pStyle w:val="TableParagraph"/>
              <w:spacing w:line="240" w:lineRule="auto"/>
              <w:rPr>
                <w:sz w:val="8"/>
              </w:rPr>
            </w:pPr>
          </w:p>
        </w:tc>
        <w:tc>
          <w:tcPr>
            <w:tcW w:w="649" w:type="dxa"/>
          </w:tcPr>
          <w:p>
            <w:pPr>
              <w:pStyle w:val="TableParagraph"/>
              <w:ind w:right="42"/>
              <w:jc w:val="right"/>
              <w:rPr>
                <w:sz w:val="14"/>
              </w:rPr>
            </w:pPr>
            <w:r>
              <w:rPr>
                <w:sz w:val="14"/>
              </w:rPr>
              <w:t>June</w:t>
            </w:r>
          </w:p>
        </w:tc>
        <w:tc>
          <w:tcPr>
            <w:tcW w:w="796" w:type="dxa"/>
          </w:tcPr>
          <w:p>
            <w:pPr>
              <w:pStyle w:val="TableParagraph"/>
              <w:ind w:left="105" w:right="82"/>
              <w:jc w:val="center"/>
              <w:rPr>
                <w:sz w:val="14"/>
              </w:rPr>
            </w:pPr>
            <w:r>
              <w:rPr>
                <w:sz w:val="14"/>
              </w:rPr>
              <w:t>6.9</w:t>
            </w:r>
          </w:p>
        </w:tc>
        <w:tc>
          <w:tcPr>
            <w:tcW w:w="905" w:type="dxa"/>
          </w:tcPr>
          <w:p>
            <w:pPr>
              <w:pStyle w:val="TableParagraph"/>
              <w:ind w:left="189" w:right="88"/>
              <w:jc w:val="center"/>
              <w:rPr>
                <w:sz w:val="14"/>
              </w:rPr>
            </w:pPr>
            <w:r>
              <w:rPr>
                <w:sz w:val="14"/>
              </w:rPr>
              <w:t>-0.1</w:t>
            </w:r>
          </w:p>
        </w:tc>
        <w:tc>
          <w:tcPr>
            <w:tcW w:w="770" w:type="dxa"/>
          </w:tcPr>
          <w:p>
            <w:pPr>
              <w:pStyle w:val="TableParagraph"/>
              <w:ind w:left="92" w:right="20"/>
              <w:jc w:val="center"/>
              <w:rPr>
                <w:sz w:val="14"/>
              </w:rPr>
            </w:pPr>
            <w:r>
              <w:rPr>
                <w:sz w:val="14"/>
              </w:rPr>
              <w:t>7.5</w:t>
            </w:r>
          </w:p>
        </w:tc>
      </w:tr>
      <w:tr>
        <w:trPr>
          <w:trHeight w:val="210" w:hRule="atLeast"/>
        </w:trPr>
        <w:tc>
          <w:tcPr>
            <w:tcW w:w="1091" w:type="dxa"/>
          </w:tcPr>
          <w:p>
            <w:pPr>
              <w:pStyle w:val="TableParagraph"/>
              <w:spacing w:line="240" w:lineRule="auto"/>
              <w:rPr>
                <w:sz w:val="14"/>
              </w:rPr>
            </w:pPr>
          </w:p>
        </w:tc>
        <w:tc>
          <w:tcPr>
            <w:tcW w:w="649" w:type="dxa"/>
          </w:tcPr>
          <w:p>
            <w:pPr>
              <w:pStyle w:val="TableParagraph"/>
              <w:spacing w:line="133" w:lineRule="exact"/>
              <w:ind w:right="66"/>
              <w:jc w:val="right"/>
              <w:rPr>
                <w:sz w:val="14"/>
              </w:rPr>
            </w:pPr>
            <w:r>
              <w:rPr>
                <w:sz w:val="14"/>
              </w:rPr>
              <w:t>July</w:t>
            </w:r>
          </w:p>
        </w:tc>
        <w:tc>
          <w:tcPr>
            <w:tcW w:w="796" w:type="dxa"/>
          </w:tcPr>
          <w:p>
            <w:pPr>
              <w:pStyle w:val="TableParagraph"/>
              <w:spacing w:line="133" w:lineRule="exact"/>
              <w:ind w:left="105" w:right="82"/>
              <w:jc w:val="center"/>
              <w:rPr>
                <w:sz w:val="14"/>
              </w:rPr>
            </w:pPr>
            <w:r>
              <w:rPr>
                <w:sz w:val="14"/>
              </w:rPr>
              <w:t>6.5</w:t>
            </w:r>
          </w:p>
        </w:tc>
        <w:tc>
          <w:tcPr>
            <w:tcW w:w="905" w:type="dxa"/>
          </w:tcPr>
          <w:p>
            <w:pPr>
              <w:pStyle w:val="TableParagraph"/>
              <w:spacing w:line="133" w:lineRule="exact"/>
              <w:ind w:left="189" w:right="88"/>
              <w:jc w:val="center"/>
              <w:rPr>
                <w:sz w:val="14"/>
              </w:rPr>
            </w:pPr>
            <w:r>
              <w:rPr>
                <w:sz w:val="14"/>
              </w:rPr>
              <w:t>-2.3</w:t>
            </w:r>
          </w:p>
        </w:tc>
        <w:tc>
          <w:tcPr>
            <w:tcW w:w="770" w:type="dxa"/>
          </w:tcPr>
          <w:p>
            <w:pPr>
              <w:pStyle w:val="TableParagraph"/>
              <w:spacing w:line="133" w:lineRule="exact"/>
              <w:ind w:left="92" w:right="20"/>
              <w:jc w:val="center"/>
              <w:rPr>
                <w:sz w:val="14"/>
              </w:rPr>
            </w:pPr>
            <w:r>
              <w:rPr>
                <w:sz w:val="14"/>
              </w:rPr>
              <w:t>7.1</w:t>
            </w:r>
          </w:p>
        </w:tc>
      </w:tr>
      <w:tr>
        <w:trPr>
          <w:trHeight w:val="210" w:hRule="atLeast"/>
        </w:trPr>
        <w:tc>
          <w:tcPr>
            <w:tcW w:w="1091" w:type="dxa"/>
          </w:tcPr>
          <w:p>
            <w:pPr>
              <w:pStyle w:val="TableParagraph"/>
              <w:spacing w:line="148" w:lineRule="exact" w:before="42"/>
              <w:ind w:left="50"/>
              <w:rPr>
                <w:sz w:val="14"/>
              </w:rPr>
            </w:pPr>
            <w:r>
              <w:rPr>
                <w:sz w:val="14"/>
              </w:rPr>
              <w:t>M4</w:t>
            </w:r>
          </w:p>
        </w:tc>
        <w:tc>
          <w:tcPr>
            <w:tcW w:w="649" w:type="dxa"/>
          </w:tcPr>
          <w:p>
            <w:pPr>
              <w:pStyle w:val="TableParagraph"/>
              <w:spacing w:line="148" w:lineRule="exact" w:before="42"/>
              <w:ind w:left="32"/>
              <w:rPr>
                <w:sz w:val="14"/>
              </w:rPr>
            </w:pPr>
            <w:r>
              <w:rPr>
                <w:sz w:val="14"/>
              </w:rPr>
              <w:t>1999 Q3</w:t>
            </w:r>
          </w:p>
        </w:tc>
        <w:tc>
          <w:tcPr>
            <w:tcW w:w="796" w:type="dxa"/>
          </w:tcPr>
          <w:p>
            <w:pPr>
              <w:pStyle w:val="TableParagraph"/>
              <w:spacing w:line="148" w:lineRule="exact" w:before="42"/>
              <w:ind w:left="105" w:right="82"/>
              <w:jc w:val="center"/>
              <w:rPr>
                <w:sz w:val="14"/>
              </w:rPr>
            </w:pPr>
            <w:r>
              <w:rPr>
                <w:sz w:val="14"/>
              </w:rPr>
              <w:t>0.5</w:t>
            </w:r>
          </w:p>
        </w:tc>
        <w:tc>
          <w:tcPr>
            <w:tcW w:w="905" w:type="dxa"/>
          </w:tcPr>
          <w:p>
            <w:pPr>
              <w:pStyle w:val="TableParagraph"/>
              <w:spacing w:line="148" w:lineRule="exact" w:before="42"/>
              <w:ind w:left="236" w:right="88"/>
              <w:jc w:val="center"/>
              <w:rPr>
                <w:sz w:val="14"/>
              </w:rPr>
            </w:pPr>
            <w:r>
              <w:rPr>
                <w:sz w:val="14"/>
              </w:rPr>
              <w:t>2.0</w:t>
            </w:r>
          </w:p>
        </w:tc>
        <w:tc>
          <w:tcPr>
            <w:tcW w:w="770" w:type="dxa"/>
          </w:tcPr>
          <w:p>
            <w:pPr>
              <w:pStyle w:val="TableParagraph"/>
              <w:spacing w:line="148" w:lineRule="exact" w:before="42"/>
              <w:ind w:left="92" w:right="19"/>
              <w:jc w:val="center"/>
              <w:rPr>
                <w:sz w:val="14"/>
              </w:rPr>
            </w:pPr>
            <w:r>
              <w:rPr>
                <w:sz w:val="14"/>
              </w:rPr>
              <w:t>3.0</w:t>
            </w:r>
          </w:p>
        </w:tc>
      </w:tr>
      <w:tr>
        <w:trPr>
          <w:trHeight w:val="140" w:hRule="atLeast"/>
        </w:trPr>
        <w:tc>
          <w:tcPr>
            <w:tcW w:w="1091" w:type="dxa"/>
          </w:tcPr>
          <w:p>
            <w:pPr>
              <w:pStyle w:val="TableParagraph"/>
              <w:spacing w:line="240" w:lineRule="auto"/>
              <w:rPr>
                <w:sz w:val="8"/>
              </w:rPr>
            </w:pPr>
          </w:p>
        </w:tc>
        <w:tc>
          <w:tcPr>
            <w:tcW w:w="649" w:type="dxa"/>
          </w:tcPr>
          <w:p>
            <w:pPr>
              <w:pStyle w:val="TableParagraph"/>
              <w:ind w:left="347"/>
              <w:rPr>
                <w:sz w:val="14"/>
              </w:rPr>
            </w:pPr>
            <w:r>
              <w:rPr>
                <w:sz w:val="14"/>
              </w:rPr>
              <w:t>Q4</w:t>
            </w:r>
          </w:p>
        </w:tc>
        <w:tc>
          <w:tcPr>
            <w:tcW w:w="796" w:type="dxa"/>
          </w:tcPr>
          <w:p>
            <w:pPr>
              <w:pStyle w:val="TableParagraph"/>
              <w:ind w:left="105" w:right="82"/>
              <w:jc w:val="center"/>
              <w:rPr>
                <w:sz w:val="14"/>
              </w:rPr>
            </w:pPr>
            <w:r>
              <w:rPr>
                <w:sz w:val="14"/>
              </w:rPr>
              <w:t>8.7</w:t>
            </w:r>
          </w:p>
        </w:tc>
        <w:tc>
          <w:tcPr>
            <w:tcW w:w="905" w:type="dxa"/>
          </w:tcPr>
          <w:p>
            <w:pPr>
              <w:pStyle w:val="TableParagraph"/>
              <w:ind w:left="236" w:right="88"/>
              <w:jc w:val="center"/>
              <w:rPr>
                <w:sz w:val="14"/>
              </w:rPr>
            </w:pPr>
            <w:r>
              <w:rPr>
                <w:sz w:val="14"/>
              </w:rPr>
              <w:t>4.6</w:t>
            </w:r>
          </w:p>
        </w:tc>
        <w:tc>
          <w:tcPr>
            <w:tcW w:w="770" w:type="dxa"/>
          </w:tcPr>
          <w:p>
            <w:pPr>
              <w:pStyle w:val="TableParagraph"/>
              <w:ind w:left="92" w:right="19"/>
              <w:jc w:val="center"/>
              <w:rPr>
                <w:sz w:val="14"/>
              </w:rPr>
            </w:pPr>
            <w:r>
              <w:rPr>
                <w:sz w:val="14"/>
              </w:rPr>
              <w:t>4.0</w:t>
            </w:r>
          </w:p>
        </w:tc>
      </w:tr>
      <w:tr>
        <w:trPr>
          <w:trHeight w:val="140" w:hRule="atLeast"/>
        </w:trPr>
        <w:tc>
          <w:tcPr>
            <w:tcW w:w="1091" w:type="dxa"/>
          </w:tcPr>
          <w:p>
            <w:pPr>
              <w:pStyle w:val="TableParagraph"/>
              <w:spacing w:line="240" w:lineRule="auto"/>
              <w:rPr>
                <w:sz w:val="8"/>
              </w:rPr>
            </w:pPr>
          </w:p>
        </w:tc>
        <w:tc>
          <w:tcPr>
            <w:tcW w:w="649" w:type="dxa"/>
          </w:tcPr>
          <w:p>
            <w:pPr>
              <w:pStyle w:val="TableParagraph"/>
              <w:ind w:left="32"/>
              <w:rPr>
                <w:sz w:val="14"/>
              </w:rPr>
            </w:pPr>
            <w:r>
              <w:rPr>
                <w:sz w:val="14"/>
              </w:rPr>
              <w:t>2000 Q1</w:t>
            </w:r>
          </w:p>
        </w:tc>
        <w:tc>
          <w:tcPr>
            <w:tcW w:w="796" w:type="dxa"/>
          </w:tcPr>
          <w:p>
            <w:pPr>
              <w:pStyle w:val="TableParagraph"/>
              <w:ind w:left="105" w:right="82"/>
              <w:jc w:val="center"/>
              <w:rPr>
                <w:sz w:val="14"/>
              </w:rPr>
            </w:pPr>
            <w:r>
              <w:rPr>
                <w:sz w:val="14"/>
              </w:rPr>
              <w:t>8.8</w:t>
            </w:r>
          </w:p>
        </w:tc>
        <w:tc>
          <w:tcPr>
            <w:tcW w:w="905" w:type="dxa"/>
          </w:tcPr>
          <w:p>
            <w:pPr>
              <w:pStyle w:val="TableParagraph"/>
              <w:ind w:left="236" w:right="88"/>
              <w:jc w:val="center"/>
              <w:rPr>
                <w:sz w:val="14"/>
              </w:rPr>
            </w:pPr>
            <w:r>
              <w:rPr>
                <w:sz w:val="14"/>
              </w:rPr>
              <w:t>8.8</w:t>
            </w:r>
          </w:p>
        </w:tc>
        <w:tc>
          <w:tcPr>
            <w:tcW w:w="770" w:type="dxa"/>
          </w:tcPr>
          <w:p>
            <w:pPr>
              <w:pStyle w:val="TableParagraph"/>
              <w:ind w:left="92" w:right="19"/>
              <w:jc w:val="center"/>
              <w:rPr>
                <w:sz w:val="14"/>
              </w:rPr>
            </w:pPr>
            <w:r>
              <w:rPr>
                <w:sz w:val="14"/>
              </w:rPr>
              <w:t>5.3</w:t>
            </w:r>
          </w:p>
        </w:tc>
      </w:tr>
      <w:tr>
        <w:trPr>
          <w:trHeight w:val="210" w:hRule="atLeast"/>
        </w:trPr>
        <w:tc>
          <w:tcPr>
            <w:tcW w:w="1091" w:type="dxa"/>
          </w:tcPr>
          <w:p>
            <w:pPr>
              <w:pStyle w:val="TableParagraph"/>
              <w:spacing w:line="240" w:lineRule="auto"/>
              <w:rPr>
                <w:sz w:val="14"/>
              </w:rPr>
            </w:pPr>
          </w:p>
        </w:tc>
        <w:tc>
          <w:tcPr>
            <w:tcW w:w="649" w:type="dxa"/>
          </w:tcPr>
          <w:p>
            <w:pPr>
              <w:pStyle w:val="TableParagraph"/>
              <w:spacing w:line="133" w:lineRule="exact"/>
              <w:ind w:left="347"/>
              <w:rPr>
                <w:sz w:val="14"/>
              </w:rPr>
            </w:pPr>
            <w:r>
              <w:rPr>
                <w:sz w:val="14"/>
              </w:rPr>
              <w:t>Q2</w:t>
            </w:r>
          </w:p>
        </w:tc>
        <w:tc>
          <w:tcPr>
            <w:tcW w:w="796" w:type="dxa"/>
          </w:tcPr>
          <w:p>
            <w:pPr>
              <w:pStyle w:val="TableParagraph"/>
              <w:spacing w:line="133" w:lineRule="exact"/>
              <w:ind w:left="105" w:right="82"/>
              <w:jc w:val="center"/>
              <w:rPr>
                <w:sz w:val="14"/>
              </w:rPr>
            </w:pPr>
            <w:r>
              <w:rPr>
                <w:sz w:val="14"/>
              </w:rPr>
              <w:t>9.3</w:t>
            </w:r>
          </w:p>
        </w:tc>
        <w:tc>
          <w:tcPr>
            <w:tcW w:w="905" w:type="dxa"/>
          </w:tcPr>
          <w:p>
            <w:pPr>
              <w:pStyle w:val="TableParagraph"/>
              <w:spacing w:line="133" w:lineRule="exact"/>
              <w:ind w:left="236" w:right="88"/>
              <w:jc w:val="center"/>
              <w:rPr>
                <w:sz w:val="14"/>
              </w:rPr>
            </w:pPr>
            <w:r>
              <w:rPr>
                <w:sz w:val="14"/>
              </w:rPr>
              <w:t>9.1</w:t>
            </w:r>
          </w:p>
        </w:tc>
        <w:tc>
          <w:tcPr>
            <w:tcW w:w="770" w:type="dxa"/>
          </w:tcPr>
          <w:p>
            <w:pPr>
              <w:pStyle w:val="TableParagraph"/>
              <w:spacing w:line="133" w:lineRule="exact"/>
              <w:ind w:left="92" w:right="19"/>
              <w:jc w:val="center"/>
              <w:rPr>
                <w:sz w:val="14"/>
              </w:rPr>
            </w:pPr>
            <w:r>
              <w:rPr>
                <w:sz w:val="14"/>
              </w:rPr>
              <w:t>6.8</w:t>
            </w:r>
          </w:p>
        </w:tc>
      </w:tr>
      <w:tr>
        <w:trPr>
          <w:trHeight w:val="210" w:hRule="atLeast"/>
        </w:trPr>
        <w:tc>
          <w:tcPr>
            <w:tcW w:w="1091" w:type="dxa"/>
          </w:tcPr>
          <w:p>
            <w:pPr>
              <w:pStyle w:val="TableParagraph"/>
              <w:spacing w:line="148" w:lineRule="exact" w:before="42"/>
              <w:ind w:left="50"/>
              <w:rPr>
                <w:sz w:val="12"/>
              </w:rPr>
            </w:pPr>
            <w:r>
              <w:rPr>
                <w:sz w:val="14"/>
              </w:rPr>
              <w:t>M4 lending </w:t>
            </w:r>
            <w:r>
              <w:rPr>
                <w:sz w:val="12"/>
              </w:rPr>
              <w:t>(d)</w:t>
            </w:r>
          </w:p>
        </w:tc>
        <w:tc>
          <w:tcPr>
            <w:tcW w:w="649" w:type="dxa"/>
          </w:tcPr>
          <w:p>
            <w:pPr>
              <w:pStyle w:val="TableParagraph"/>
              <w:spacing w:line="148" w:lineRule="exact" w:before="42"/>
              <w:ind w:left="32"/>
              <w:rPr>
                <w:sz w:val="14"/>
              </w:rPr>
            </w:pPr>
            <w:r>
              <w:rPr>
                <w:sz w:val="14"/>
              </w:rPr>
              <w:t>1999 Q3</w:t>
            </w:r>
          </w:p>
        </w:tc>
        <w:tc>
          <w:tcPr>
            <w:tcW w:w="796" w:type="dxa"/>
          </w:tcPr>
          <w:p>
            <w:pPr>
              <w:pStyle w:val="TableParagraph"/>
              <w:spacing w:line="148" w:lineRule="exact" w:before="42"/>
              <w:ind w:left="105" w:right="82"/>
              <w:jc w:val="center"/>
              <w:rPr>
                <w:sz w:val="14"/>
              </w:rPr>
            </w:pPr>
            <w:r>
              <w:rPr>
                <w:sz w:val="14"/>
              </w:rPr>
              <w:t>7.8</w:t>
            </w:r>
          </w:p>
        </w:tc>
        <w:tc>
          <w:tcPr>
            <w:tcW w:w="905" w:type="dxa"/>
          </w:tcPr>
          <w:p>
            <w:pPr>
              <w:pStyle w:val="TableParagraph"/>
              <w:spacing w:line="148" w:lineRule="exact" w:before="42"/>
              <w:ind w:left="236" w:right="88"/>
              <w:jc w:val="center"/>
              <w:rPr>
                <w:sz w:val="14"/>
              </w:rPr>
            </w:pPr>
            <w:r>
              <w:rPr>
                <w:sz w:val="14"/>
              </w:rPr>
              <w:t>8.4</w:t>
            </w:r>
          </w:p>
        </w:tc>
        <w:tc>
          <w:tcPr>
            <w:tcW w:w="770" w:type="dxa"/>
          </w:tcPr>
          <w:p>
            <w:pPr>
              <w:pStyle w:val="TableParagraph"/>
              <w:spacing w:line="148" w:lineRule="exact" w:before="42"/>
              <w:ind w:left="92" w:right="19"/>
              <w:jc w:val="center"/>
              <w:rPr>
                <w:sz w:val="14"/>
              </w:rPr>
            </w:pPr>
            <w:r>
              <w:rPr>
                <w:sz w:val="14"/>
              </w:rPr>
              <w:t>7.2</w:t>
            </w:r>
          </w:p>
        </w:tc>
      </w:tr>
      <w:tr>
        <w:trPr>
          <w:trHeight w:val="140" w:hRule="atLeast"/>
        </w:trPr>
        <w:tc>
          <w:tcPr>
            <w:tcW w:w="1091" w:type="dxa"/>
          </w:tcPr>
          <w:p>
            <w:pPr>
              <w:pStyle w:val="TableParagraph"/>
              <w:spacing w:line="240" w:lineRule="auto"/>
              <w:rPr>
                <w:sz w:val="8"/>
              </w:rPr>
            </w:pPr>
          </w:p>
        </w:tc>
        <w:tc>
          <w:tcPr>
            <w:tcW w:w="649" w:type="dxa"/>
          </w:tcPr>
          <w:p>
            <w:pPr>
              <w:pStyle w:val="TableParagraph"/>
              <w:ind w:left="347"/>
              <w:rPr>
                <w:sz w:val="14"/>
              </w:rPr>
            </w:pPr>
            <w:r>
              <w:rPr>
                <w:sz w:val="14"/>
              </w:rPr>
              <w:t>Q4</w:t>
            </w:r>
          </w:p>
        </w:tc>
        <w:tc>
          <w:tcPr>
            <w:tcW w:w="796" w:type="dxa"/>
          </w:tcPr>
          <w:p>
            <w:pPr>
              <w:pStyle w:val="TableParagraph"/>
              <w:ind w:right="44"/>
              <w:jc w:val="center"/>
              <w:rPr>
                <w:sz w:val="14"/>
              </w:rPr>
            </w:pPr>
            <w:r>
              <w:rPr>
                <w:sz w:val="14"/>
              </w:rPr>
              <w:t>13.0</w:t>
            </w:r>
          </w:p>
        </w:tc>
        <w:tc>
          <w:tcPr>
            <w:tcW w:w="905" w:type="dxa"/>
          </w:tcPr>
          <w:p>
            <w:pPr>
              <w:pStyle w:val="TableParagraph"/>
              <w:ind w:left="84" w:right="6"/>
              <w:jc w:val="center"/>
              <w:rPr>
                <w:sz w:val="14"/>
              </w:rPr>
            </w:pPr>
            <w:r>
              <w:rPr>
                <w:sz w:val="14"/>
              </w:rPr>
              <w:t>10.4</w:t>
            </w:r>
          </w:p>
        </w:tc>
        <w:tc>
          <w:tcPr>
            <w:tcW w:w="770" w:type="dxa"/>
          </w:tcPr>
          <w:p>
            <w:pPr>
              <w:pStyle w:val="TableParagraph"/>
              <w:ind w:left="92" w:right="19"/>
              <w:jc w:val="center"/>
              <w:rPr>
                <w:sz w:val="14"/>
              </w:rPr>
            </w:pPr>
            <w:r>
              <w:rPr>
                <w:sz w:val="14"/>
              </w:rPr>
              <w:t>9.2</w:t>
            </w:r>
          </w:p>
        </w:tc>
      </w:tr>
      <w:tr>
        <w:trPr>
          <w:trHeight w:val="140" w:hRule="atLeast"/>
        </w:trPr>
        <w:tc>
          <w:tcPr>
            <w:tcW w:w="1091" w:type="dxa"/>
          </w:tcPr>
          <w:p>
            <w:pPr>
              <w:pStyle w:val="TableParagraph"/>
              <w:spacing w:line="240" w:lineRule="auto"/>
              <w:rPr>
                <w:sz w:val="8"/>
              </w:rPr>
            </w:pPr>
          </w:p>
        </w:tc>
        <w:tc>
          <w:tcPr>
            <w:tcW w:w="649" w:type="dxa"/>
          </w:tcPr>
          <w:p>
            <w:pPr>
              <w:pStyle w:val="TableParagraph"/>
              <w:ind w:left="32"/>
              <w:rPr>
                <w:sz w:val="14"/>
              </w:rPr>
            </w:pPr>
            <w:r>
              <w:rPr>
                <w:sz w:val="14"/>
              </w:rPr>
              <w:t>2000 Q1</w:t>
            </w:r>
          </w:p>
        </w:tc>
        <w:tc>
          <w:tcPr>
            <w:tcW w:w="796" w:type="dxa"/>
          </w:tcPr>
          <w:p>
            <w:pPr>
              <w:pStyle w:val="TableParagraph"/>
              <w:ind w:right="44"/>
              <w:jc w:val="center"/>
              <w:rPr>
                <w:sz w:val="14"/>
              </w:rPr>
            </w:pPr>
            <w:r>
              <w:rPr>
                <w:sz w:val="14"/>
              </w:rPr>
              <w:t>13.3</w:t>
            </w:r>
          </w:p>
        </w:tc>
        <w:tc>
          <w:tcPr>
            <w:tcW w:w="905" w:type="dxa"/>
          </w:tcPr>
          <w:p>
            <w:pPr>
              <w:pStyle w:val="TableParagraph"/>
              <w:ind w:left="84" w:right="6"/>
              <w:jc w:val="center"/>
              <w:rPr>
                <w:sz w:val="14"/>
              </w:rPr>
            </w:pPr>
            <w:r>
              <w:rPr>
                <w:sz w:val="14"/>
              </w:rPr>
              <w:t>13.1</w:t>
            </w:r>
          </w:p>
        </w:tc>
        <w:tc>
          <w:tcPr>
            <w:tcW w:w="770" w:type="dxa"/>
          </w:tcPr>
          <w:p>
            <w:pPr>
              <w:pStyle w:val="TableParagraph"/>
              <w:ind w:left="53" w:right="50"/>
              <w:jc w:val="center"/>
              <w:rPr>
                <w:sz w:val="14"/>
              </w:rPr>
            </w:pPr>
            <w:r>
              <w:rPr>
                <w:sz w:val="14"/>
              </w:rPr>
              <w:t>10.8</w:t>
            </w:r>
          </w:p>
        </w:tc>
      </w:tr>
      <w:tr>
        <w:trPr>
          <w:trHeight w:val="147" w:hRule="atLeast"/>
        </w:trPr>
        <w:tc>
          <w:tcPr>
            <w:tcW w:w="1091" w:type="dxa"/>
          </w:tcPr>
          <w:p>
            <w:pPr>
              <w:pStyle w:val="TableParagraph"/>
              <w:spacing w:line="240" w:lineRule="auto"/>
              <w:rPr>
                <w:sz w:val="8"/>
              </w:rPr>
            </w:pPr>
          </w:p>
        </w:tc>
        <w:tc>
          <w:tcPr>
            <w:tcW w:w="649" w:type="dxa"/>
          </w:tcPr>
          <w:p>
            <w:pPr>
              <w:pStyle w:val="TableParagraph"/>
              <w:spacing w:line="128" w:lineRule="exact"/>
              <w:ind w:left="347"/>
              <w:rPr>
                <w:sz w:val="14"/>
              </w:rPr>
            </w:pPr>
            <w:r>
              <w:rPr>
                <w:sz w:val="14"/>
              </w:rPr>
              <w:t>Q2</w:t>
            </w:r>
          </w:p>
        </w:tc>
        <w:tc>
          <w:tcPr>
            <w:tcW w:w="796" w:type="dxa"/>
          </w:tcPr>
          <w:p>
            <w:pPr>
              <w:pStyle w:val="TableParagraph"/>
              <w:spacing w:line="128" w:lineRule="exact"/>
              <w:ind w:right="44"/>
              <w:jc w:val="center"/>
              <w:rPr>
                <w:sz w:val="14"/>
              </w:rPr>
            </w:pPr>
            <w:r>
              <w:rPr>
                <w:sz w:val="14"/>
              </w:rPr>
              <w:t>12.1</w:t>
            </w:r>
          </w:p>
        </w:tc>
        <w:tc>
          <w:tcPr>
            <w:tcW w:w="905" w:type="dxa"/>
          </w:tcPr>
          <w:p>
            <w:pPr>
              <w:pStyle w:val="TableParagraph"/>
              <w:spacing w:line="128" w:lineRule="exact"/>
              <w:ind w:left="84" w:right="6"/>
              <w:jc w:val="center"/>
              <w:rPr>
                <w:sz w:val="14"/>
              </w:rPr>
            </w:pPr>
            <w:r>
              <w:rPr>
                <w:sz w:val="14"/>
              </w:rPr>
              <w:t>12.7</w:t>
            </w:r>
          </w:p>
        </w:tc>
        <w:tc>
          <w:tcPr>
            <w:tcW w:w="770" w:type="dxa"/>
          </w:tcPr>
          <w:p>
            <w:pPr>
              <w:pStyle w:val="TableParagraph"/>
              <w:spacing w:line="128" w:lineRule="exact"/>
              <w:ind w:left="53" w:right="50"/>
              <w:jc w:val="center"/>
              <w:rPr>
                <w:sz w:val="14"/>
              </w:rPr>
            </w:pPr>
            <w:r>
              <w:rPr>
                <w:sz w:val="14"/>
              </w:rPr>
              <w:t>11.5</w:t>
            </w:r>
          </w:p>
        </w:tc>
      </w:tr>
    </w:tbl>
    <w:p>
      <w:pPr>
        <w:spacing w:before="103"/>
        <w:ind w:left="160" w:right="0" w:firstLine="0"/>
        <w:jc w:val="left"/>
        <w:rPr>
          <w:sz w:val="12"/>
        </w:rPr>
      </w:pPr>
      <w:r>
        <w:rPr>
          <w:sz w:val="12"/>
        </w:rPr>
        <w:t>Source: Bank of England.</w:t>
      </w:r>
    </w:p>
    <w:p>
      <w:pPr>
        <w:pStyle w:val="ListParagraph"/>
        <w:numPr>
          <w:ilvl w:val="0"/>
          <w:numId w:val="2"/>
        </w:numPr>
        <w:tabs>
          <w:tab w:pos="401" w:val="left" w:leader="none"/>
        </w:tabs>
        <w:spacing w:line="129" w:lineRule="exact" w:before="102" w:after="0"/>
        <w:ind w:left="400" w:right="0" w:hanging="241"/>
        <w:jc w:val="left"/>
        <w:rPr>
          <w:sz w:val="12"/>
        </w:rPr>
      </w:pPr>
      <w:r>
        <w:rPr>
          <w:sz w:val="12"/>
        </w:rPr>
        <w:t>Seasonally</w:t>
      </w:r>
      <w:r>
        <w:rPr>
          <w:spacing w:val="-2"/>
          <w:sz w:val="12"/>
        </w:rPr>
        <w:t> </w:t>
      </w:r>
      <w:r>
        <w:rPr>
          <w:sz w:val="12"/>
        </w:rPr>
        <w:t>adjusted.</w:t>
      </w:r>
    </w:p>
    <w:p>
      <w:pPr>
        <w:pStyle w:val="ListParagraph"/>
        <w:numPr>
          <w:ilvl w:val="0"/>
          <w:numId w:val="2"/>
        </w:numPr>
        <w:tabs>
          <w:tab w:pos="401" w:val="left" w:leader="none"/>
        </w:tabs>
        <w:spacing w:line="120" w:lineRule="exact" w:before="0" w:after="0"/>
        <w:ind w:left="400" w:right="0" w:hanging="241"/>
        <w:jc w:val="left"/>
        <w:rPr>
          <w:sz w:val="12"/>
        </w:rPr>
      </w:pPr>
      <w:r>
        <w:rPr>
          <w:sz w:val="12"/>
        </w:rPr>
        <w:t>Annualised.</w:t>
      </w:r>
    </w:p>
    <w:p>
      <w:pPr>
        <w:pStyle w:val="ListParagraph"/>
        <w:numPr>
          <w:ilvl w:val="0"/>
          <w:numId w:val="2"/>
        </w:numPr>
        <w:tabs>
          <w:tab w:pos="401" w:val="left" w:leader="none"/>
        </w:tabs>
        <w:spacing w:line="208" w:lineRule="auto" w:before="6" w:after="0"/>
        <w:ind w:left="400" w:right="38" w:hanging="240"/>
        <w:jc w:val="left"/>
        <w:rPr>
          <w:sz w:val="12"/>
        </w:rPr>
      </w:pPr>
      <w:r>
        <w:rPr>
          <w:sz w:val="12"/>
        </w:rPr>
        <w:t>Growth rates based on an average of weekly observations in the month. July is provisional.</w:t>
      </w:r>
    </w:p>
    <w:p>
      <w:pPr>
        <w:pStyle w:val="ListParagraph"/>
        <w:numPr>
          <w:ilvl w:val="0"/>
          <w:numId w:val="2"/>
        </w:numPr>
        <w:tabs>
          <w:tab w:pos="401" w:val="left" w:leader="none"/>
        </w:tabs>
        <w:spacing w:line="123" w:lineRule="exact" w:before="0" w:after="0"/>
        <w:ind w:left="400" w:right="0" w:hanging="241"/>
        <w:jc w:val="left"/>
        <w:rPr>
          <w:sz w:val="12"/>
        </w:rPr>
      </w:pPr>
      <w:r>
        <w:rPr>
          <w:sz w:val="12"/>
        </w:rPr>
        <w:t>Excluding</w:t>
      </w:r>
      <w:r>
        <w:rPr>
          <w:spacing w:val="-2"/>
          <w:sz w:val="12"/>
        </w:rPr>
        <w:t> </w:t>
      </w:r>
      <w:r>
        <w:rPr>
          <w:sz w:val="12"/>
        </w:rPr>
        <w:t>securitisations.</w:t>
      </w:r>
    </w:p>
    <w:p>
      <w:pPr>
        <w:spacing w:line="242" w:lineRule="auto" w:before="90"/>
        <w:ind w:left="160" w:right="0" w:firstLine="0"/>
        <w:jc w:val="left"/>
        <w:rPr>
          <w:sz w:val="24"/>
        </w:rPr>
      </w:pPr>
      <w:r>
        <w:rPr/>
        <w:br w:type="column"/>
      </w:r>
      <w:r>
        <w:rPr>
          <w:sz w:val="24"/>
        </w:rPr>
        <w:t>The Bank of England official interest rate remains at 6% and was last changed in February. The market now anticipates a lower peak in UK official rates than at the time of the May </w:t>
      </w:r>
      <w:r>
        <w:rPr>
          <w:i/>
          <w:sz w:val="24"/>
        </w:rPr>
        <w:t>Report</w:t>
      </w:r>
      <w:r>
        <w:rPr>
          <w:sz w:val="24"/>
        </w:rPr>
        <w:t>; the peak is now expected to be around 25 basis points above the current level. UK</w:t>
      </w:r>
    </w:p>
    <w:p>
      <w:pPr>
        <w:spacing w:line="242" w:lineRule="auto" w:before="7"/>
        <w:ind w:left="160" w:right="215" w:firstLine="0"/>
        <w:jc w:val="left"/>
        <w:rPr>
          <w:sz w:val="24"/>
        </w:rPr>
      </w:pPr>
      <w:r>
        <w:rPr>
          <w:sz w:val="24"/>
        </w:rPr>
        <w:t>long-term interest rates have changed little. Official interest rates have risen in recent months in both the United States and the euro area. The sterling effective exchange rate has depreciated significantly since the May </w:t>
      </w:r>
      <w:r>
        <w:rPr>
          <w:i/>
          <w:sz w:val="24"/>
        </w:rPr>
        <w:t>Report</w:t>
      </w:r>
      <w:r>
        <w:rPr>
          <w:sz w:val="24"/>
        </w:rPr>
        <w:t>. Aggregate UK equity prices are a little higher than expected at the time of the May </w:t>
      </w:r>
      <w:r>
        <w:rPr>
          <w:i/>
          <w:sz w:val="24"/>
        </w:rPr>
        <w:t>Report</w:t>
      </w:r>
      <w:r>
        <w:rPr>
          <w:sz w:val="24"/>
        </w:rPr>
        <w:t>, whereas house price inflation has declined more quickly than expected.</w:t>
      </w:r>
    </w:p>
    <w:p>
      <w:pPr>
        <w:pStyle w:val="BodyText"/>
        <w:spacing w:before="5"/>
        <w:rPr>
          <w:sz w:val="25"/>
        </w:rPr>
      </w:pPr>
    </w:p>
    <w:p>
      <w:pPr>
        <w:pStyle w:val="Heading1"/>
        <w:numPr>
          <w:ilvl w:val="1"/>
          <w:numId w:val="3"/>
        </w:numPr>
        <w:tabs>
          <w:tab w:pos="3329" w:val="left" w:leader="none"/>
          <w:tab w:pos="3330" w:val="left" w:leader="none"/>
          <w:tab w:pos="5639" w:val="left" w:leader="none"/>
        </w:tabs>
        <w:spacing w:line="240" w:lineRule="auto" w:before="0" w:after="0"/>
        <w:ind w:left="3329" w:right="0" w:hanging="3170"/>
        <w:jc w:val="left"/>
      </w:pPr>
      <w:r>
        <w:rPr>
          <w:color w:val="009391"/>
          <w:u w:val="thick" w:color="0092C7"/>
        </w:rPr>
        <w:t>Money and</w:t>
      </w:r>
      <w:r>
        <w:rPr>
          <w:color w:val="009391"/>
          <w:spacing w:val="-17"/>
          <w:u w:val="thick" w:color="0092C7"/>
        </w:rPr>
        <w:t> </w:t>
      </w:r>
      <w:r>
        <w:rPr>
          <w:color w:val="009391"/>
          <w:u w:val="thick" w:color="0092C7"/>
        </w:rPr>
        <w:t>credit</w:t>
        <w:tab/>
      </w:r>
    </w:p>
    <w:p>
      <w:pPr>
        <w:pStyle w:val="BodyText"/>
        <w:spacing w:before="5"/>
        <w:rPr>
          <w:b/>
          <w:sz w:val="27"/>
        </w:rPr>
      </w:pPr>
    </w:p>
    <w:p>
      <w:pPr>
        <w:pStyle w:val="Heading2"/>
        <w:ind w:left="160"/>
        <w:rPr>
          <w:i/>
        </w:rPr>
      </w:pPr>
      <w:r>
        <w:rPr>
          <w:i/>
          <w:color w:val="009391"/>
        </w:rPr>
        <w:t>Narrow money</w:t>
      </w:r>
    </w:p>
    <w:p>
      <w:pPr>
        <w:spacing w:line="242" w:lineRule="auto" w:before="144"/>
        <w:ind w:left="160" w:right="188" w:firstLine="0"/>
        <w:jc w:val="left"/>
        <w:rPr>
          <w:sz w:val="24"/>
        </w:rPr>
      </w:pPr>
      <w:r>
        <w:rPr>
          <w:sz w:val="24"/>
        </w:rPr>
        <w:t>Narrow money (M0) consists mainly of notes and coin in circulation held by the household </w:t>
      </w:r>
      <w:r>
        <w:rPr>
          <w:spacing w:val="-3"/>
          <w:sz w:val="24"/>
        </w:rPr>
        <w:t>sector. </w:t>
      </w:r>
      <w:r>
        <w:rPr>
          <w:sz w:val="24"/>
        </w:rPr>
        <w:t>As notes and coin earn no interest they are held primarily for transaction purposes and so may provide information on retail sales trends.  Growth in notes and coin has eased in recent months, consistent with the </w:t>
      </w:r>
      <w:r>
        <w:rPr>
          <w:spacing w:val="-3"/>
          <w:sz w:val="24"/>
        </w:rPr>
        <w:t>slowdown </w:t>
      </w:r>
      <w:r>
        <w:rPr>
          <w:sz w:val="24"/>
        </w:rPr>
        <w:t>in retail sales values since the end of 1999 (see Chart 1.1), but continues to exceed growth in nominal retail</w:t>
      </w:r>
      <w:r>
        <w:rPr>
          <w:spacing w:val="-37"/>
          <w:sz w:val="24"/>
        </w:rPr>
        <w:t> </w:t>
      </w:r>
      <w:r>
        <w:rPr>
          <w:sz w:val="24"/>
        </w:rPr>
        <w:t>spending.</w:t>
      </w:r>
    </w:p>
    <w:p>
      <w:pPr>
        <w:spacing w:line="242" w:lineRule="auto" w:before="10"/>
        <w:ind w:left="160" w:right="82" w:firstLine="0"/>
        <w:jc w:val="left"/>
        <w:rPr>
          <w:sz w:val="24"/>
        </w:rPr>
      </w:pPr>
      <w:r>
        <w:rPr>
          <w:sz w:val="24"/>
        </w:rPr>
        <w:t>One potential explanation is that low and stable inflation has increased the relative attraction of notes and coin as an asset.</w:t>
      </w:r>
    </w:p>
    <w:p>
      <w:pPr>
        <w:pStyle w:val="BodyText"/>
        <w:spacing w:before="2"/>
        <w:rPr>
          <w:sz w:val="28"/>
        </w:rPr>
      </w:pPr>
    </w:p>
    <w:p>
      <w:pPr>
        <w:pStyle w:val="Heading2"/>
        <w:ind w:left="160"/>
        <w:rPr>
          <w:i/>
        </w:rPr>
      </w:pPr>
      <w:r>
        <w:rPr>
          <w:i/>
          <w:color w:val="009391"/>
        </w:rPr>
        <w:t>Broad money and credit</w:t>
      </w:r>
    </w:p>
    <w:p>
      <w:pPr>
        <w:spacing w:line="242" w:lineRule="auto" w:before="144"/>
        <w:ind w:left="160" w:right="0" w:firstLine="0"/>
        <w:jc w:val="left"/>
        <w:rPr>
          <w:sz w:val="24"/>
        </w:rPr>
      </w:pPr>
      <w:r>
        <w:rPr>
          <w:sz w:val="24"/>
        </w:rPr>
        <w:t>Annual broad money (M4) growth rose to 6.8% in 2000 Q2, from 5.3% in the previous quarter (see Table 1.A).</w:t>
      </w:r>
    </w:p>
    <w:p>
      <w:pPr>
        <w:spacing w:after="0" w:line="242" w:lineRule="auto"/>
        <w:jc w:val="left"/>
        <w:rPr>
          <w:sz w:val="24"/>
        </w:rPr>
        <w:sectPr>
          <w:type w:val="continuous"/>
          <w:pgSz w:w="11900" w:h="16840"/>
          <w:pgMar w:top="1260" w:bottom="280" w:left="640" w:right="640"/>
          <w:cols w:num="2" w:equalWidth="0">
            <w:col w:w="4232" w:space="588"/>
            <w:col w:w="5800"/>
          </w:cols>
        </w:sectPr>
      </w:pPr>
    </w:p>
    <w:p>
      <w:pPr>
        <w:pStyle w:val="BodyText"/>
        <w:rPr>
          <w:sz w:val="20"/>
        </w:rPr>
      </w:pPr>
    </w:p>
    <w:p>
      <w:pPr>
        <w:spacing w:after="0"/>
        <w:rPr>
          <w:sz w:val="20"/>
        </w:rPr>
        <w:sectPr>
          <w:headerReference w:type="default" r:id="rId20"/>
          <w:headerReference w:type="even" r:id="rId21"/>
          <w:pgSz w:w="11900" w:h="16840"/>
          <w:pgMar w:header="586" w:footer="612" w:top="780" w:bottom="780" w:left="640" w:right="640"/>
        </w:sectPr>
      </w:pPr>
    </w:p>
    <w:p>
      <w:pPr>
        <w:pStyle w:val="BodyText"/>
        <w:spacing w:before="10"/>
        <w:rPr>
          <w:sz w:val="24"/>
        </w:rPr>
      </w:pPr>
    </w:p>
    <w:p>
      <w:pPr>
        <w:pStyle w:val="Heading6"/>
        <w:spacing w:before="0"/>
        <w:ind w:left="200"/>
      </w:pPr>
      <w:bookmarkStart w:name="Household sector" w:id="7"/>
      <w:bookmarkEnd w:id="7"/>
      <w:r>
        <w:rPr>
          <w:b w:val="0"/>
        </w:rPr>
      </w:r>
      <w:bookmarkStart w:name="_bookmark2" w:id="8"/>
      <w:bookmarkEnd w:id="8"/>
      <w:r>
        <w:rPr>
          <w:b w:val="0"/>
        </w:rPr>
      </w:r>
      <w:r>
        <w:rPr>
          <w:color w:val="0092C7"/>
        </w:rPr>
        <w:t>Chart 1.2</w:t>
      </w:r>
    </w:p>
    <w:p>
      <w:pPr>
        <w:pStyle w:val="Heading6"/>
        <w:spacing w:line="249" w:lineRule="auto"/>
        <w:ind w:left="200"/>
      </w:pPr>
      <w:r>
        <w:rPr>
          <w:color w:val="0092C7"/>
        </w:rPr>
        <w:t>Growth in M4, M4 excluding OFCs, and nominal GDP</w:t>
      </w:r>
    </w:p>
    <w:p>
      <w:pPr>
        <w:spacing w:line="125" w:lineRule="exact" w:before="72"/>
        <w:ind w:left="1652" w:right="0" w:firstLine="0"/>
        <w:jc w:val="left"/>
        <w:rPr>
          <w:sz w:val="12"/>
        </w:rPr>
      </w:pPr>
      <w:r>
        <w:rPr>
          <w:sz w:val="12"/>
        </w:rPr>
        <w:t>Percentage changes on a year earlier</w:t>
      </w:r>
    </w:p>
    <w:p>
      <w:pPr>
        <w:spacing w:line="125" w:lineRule="exact" w:before="0"/>
        <w:ind w:left="3459" w:right="0" w:firstLine="0"/>
        <w:jc w:val="left"/>
        <w:rPr>
          <w:sz w:val="12"/>
        </w:rPr>
      </w:pPr>
      <w:r>
        <w:rPr/>
        <w:pict>
          <v:line style="position:absolute;mso-position-horizontal-relative:page;mso-position-vertical-relative:paragraph;z-index:15771136" from="45.333pt,3.007241pt" to="41pt,3.007241pt" stroked="true" strokeweight=".5pt" strokecolor="#000000">
            <v:stroke dashstyle="solid"/>
            <w10:wrap type="none"/>
          </v:line>
        </w:pict>
      </w:r>
      <w:r>
        <w:rPr/>
        <w:pict>
          <v:line style="position:absolute;mso-position-horizontal-relative:page;mso-position-vertical-relative:paragraph;z-index:15777280" from="202.665993pt,3.16324pt" to="198.332993pt,3.16324pt" stroked="true" strokeweight=".5pt" strokecolor="#000000">
            <v:stroke dashstyle="solid"/>
            <w10:wrap type="none"/>
          </v:line>
        </w:pict>
      </w:r>
      <w:r>
        <w:rPr>
          <w:sz w:val="12"/>
        </w:rPr>
        <w:t>20</w:t>
      </w:r>
    </w:p>
    <w:p>
      <w:pPr>
        <w:pStyle w:val="BodyText"/>
        <w:spacing w:before="10"/>
        <w:rPr>
          <w:sz w:val="13"/>
        </w:rPr>
      </w:pPr>
    </w:p>
    <w:p>
      <w:pPr>
        <w:spacing w:before="0"/>
        <w:ind w:left="3459" w:right="0" w:firstLine="0"/>
        <w:jc w:val="left"/>
        <w:rPr>
          <w:sz w:val="12"/>
        </w:rPr>
      </w:pPr>
      <w:r>
        <w:rPr/>
        <w:pict>
          <v:group style="position:absolute;margin-left:50.5pt;margin-top:3.101685pt;width:152.2pt;height:108.5pt;mso-position-horizontal-relative:page;mso-position-vertical-relative:paragraph;z-index:15770624" coordorigin="1010,62" coordsize="3044,2170">
            <v:shape style="position:absolute;left:1010;top:204;width:408;height:533" type="#_x0000_t75" stroked="false">
              <v:imagedata r:id="rId22" o:title=""/>
            </v:shape>
            <v:shape style="position:absolute;left:1407;top:727;width:958;height:1418" coordorigin="1408,727" coordsize="958,1418" path="m1408,727l1465,1117m1465,1117l1535,1242m1535,1242l1595,1320m1595,1320l1665,1430m1665,1430l1723,1460m1723,1460l1793,1585m1793,1585l1850,1772m1850,1772l1920,1880m1920,1880l1980,2005m1980,2005l2038,2115m2038,2115l2108,2145m2108,2145l2168,2100m2168,2100l2238,2020m2238,2020l2295,1880m2295,1880l2365,1975e" filled="false" stroked="true" strokeweight="1pt" strokecolor="#006caa">
              <v:path arrowok="t"/>
              <v:stroke dashstyle="solid"/>
            </v:shape>
            <v:line style="position:absolute" from="2355,1976" to="2435,1976" stroked="true" strokeweight="1.125pt" strokecolor="#006caa">
              <v:stroke dashstyle="solid"/>
            </v:line>
            <v:shape style="position:absolute;left:2425;top:1507;width:1473;height:530" coordorigin="2425,1507" coordsize="1473,530" path="m2425,1975l2495,2037m2495,2037l2553,2005m2553,2005l2623,1897m2623,1897l2680,1772m2680,1772l2750,1600m2750,1600l2810,1632m2810,1632l2880,1552m2880,1552l2938,1632m2938,1632l2998,1677m2998,1677l3068,1552m3068,1552l3125,1522m3125,1522l3195,1507m3195,1507l3255,1522m3255,1522l3325,1755m3325,1755l3383,1865m3383,1865l3453,1835m3453,1835l3510,1865m3510,1865l3580,1725m3580,1725l3640,1740m3640,1740l3710,1850m3710,1850l3768,1787m3768,1787l3838,1957m3838,1957l3898,1772e" filled="false" stroked="true" strokeweight="1pt" strokecolor="#006caa">
              <v:path arrowok="t"/>
              <v:stroke dashstyle="solid"/>
            </v:shape>
            <v:shape style="position:absolute;left:1010;top:62;width:408;height:505" type="#_x0000_t75" stroked="false">
              <v:imagedata r:id="rId23" o:title=""/>
            </v:shape>
            <v:shape style="position:absolute;left:1407;top:557;width:1718;height:1665" coordorigin="1408,557" coordsize="1718,1665" path="m1408,557l1465,945m1465,945l1535,1290m1535,1290l1595,1570m1595,1570l1665,1725m1665,1725l1723,1802m1723,1802l1793,1865m1793,1865l1850,1942m1850,1942l1920,1975m1920,1975l1980,2130m1980,2130l2038,2177m2038,2177l2108,2222m2108,2222l2168,2177m2168,2177l2238,1990m2238,1990l2295,1835m2295,1835l2365,1865m2365,1865l2425,1927m2425,1927l2495,1990m2495,1990l2553,1865m2553,1865l2623,1662m2623,1662l2680,1460m2680,1460l2750,1242m2750,1242l2810,1257m2810,1257l2880,1242m2880,1242l2938,1227m2938,1227l2998,1272m2998,1272l3068,1070m3068,1070l3125,977e" filled="false" stroked="true" strokeweight="1pt" strokecolor="#de0035">
              <v:path arrowok="t"/>
              <v:stroke dashstyle="solid"/>
            </v:shape>
            <v:line style="position:absolute" from="3115,978" to="3205,978" stroked="true" strokeweight="1.125pt" strokecolor="#de0035">
              <v:stroke dashstyle="solid"/>
            </v:line>
            <v:shape style="position:absolute;left:3195;top:962;width:703;height:1260" coordorigin="3195,962" coordsize="703,1260" path="m3195,977l3255,962m3255,962l3325,1227m3325,1227l3383,1272m3383,1272l3453,1290m3453,1290l3510,1475m3510,1475l3580,1647m3580,1647l3640,1865m3640,1865l3710,2222m3710,2222l3768,2082m3768,2082l3838,1897m3838,1897l3898,1677e" filled="false" stroked="true" strokeweight="1pt" strokecolor="#de0035">
              <v:path arrowok="t"/>
              <v:stroke dashstyle="solid"/>
            </v:shape>
            <v:shape style="position:absolute;left:1020;top:1039;width:2048;height:1183" coordorigin="1020,1040" coordsize="2048,1183" path="m1020,1040l1080,1165m1080,1165l1150,1320m1150,1320l1208,1475m1208,1475l1278,1430m1278,1430l1338,1227m1338,1227l1408,1397m1408,1397l1465,1755m1465,1755l1535,1787m1535,1787l1595,2037m1595,2037l1665,2052m1665,2052l1723,1817m1723,1817l1793,1975m1793,1975l1850,2005m1850,2005l1920,2100m1920,2100l1980,2222m1980,2222l2038,2082m2038,2082l2108,2052m2108,2052l2168,1817m2168,1817l2238,1725m2238,1725l2295,1787m2295,1787l2365,1772m2365,1772l2425,1865m2425,1865l2495,1755m2495,1755l2553,1817m2553,1817l2623,1835m2623,1835l2680,1897m2680,1897l2750,2005m2750,2005l2810,1850m2810,1850l2880,1835m2880,1835l2938,1755m2938,1755l2998,1787m2998,1787l3068,1755e" filled="false" stroked="true" strokeweight="1pt" strokecolor="#008360">
              <v:path arrowok="t"/>
              <v:stroke dashstyle="solid"/>
            </v:shape>
            <v:line style="position:absolute" from="3058,1756" to="3135,1756" stroked="true" strokeweight="1.125pt" strokecolor="#008360">
              <v:stroke dashstyle="solid"/>
            </v:line>
            <v:shape style="position:absolute;left:3125;top:1647;width:713;height:420" coordorigin="3125,1647" coordsize="713,420" path="m3125,1755l3195,1725m3195,1725l3255,1647m3255,1647l3325,1787m3325,1787l3383,1755m3383,1755l3453,1817m3453,1817l3510,1957m3510,1957l3580,2067m3580,2067l3640,2037m3640,2037l3710,1957m3710,1957l3768,1912m3768,1912l3838,1817e" filled="false" stroked="true" strokeweight="1pt" strokecolor="#008360">
              <v:path arrowok="t"/>
              <v:stroke dashstyle="solid"/>
            </v:shape>
            <v:line style="position:absolute" from="1860,667" to="1745,1370" stroked="true" strokeweight=".5pt" strokecolor="#000000">
              <v:stroke dashstyle="solid"/>
            </v:line>
            <v:shape style="position:absolute;left:1721;top:1350;width:51;height:87" coordorigin="1721,1350" coordsize="51,87" path="m1721,1350l1737,1417,1738,1437,1741,1428,1772,1355,1721,1350xe" filled="true" fillcolor="#000000" stroked="false">
              <v:path arrowok="t"/>
              <v:fill type="solid"/>
            </v:shape>
            <v:shape style="position:absolute;left:3966;top:68;width:87;height:2029" coordorigin="3967,68" coordsize="87,2029" path="m4053,358l3967,358m4053,938l3967,938m4053,1518l3967,1518m4053,2097l3967,2097m4053,68l3967,68m4053,648l3967,648m4053,1228l3967,1228m4053,1807l3967,1807e" filled="false" stroked="true" strokeweight=".5pt" strokecolor="#000000">
              <v:path arrowok="t"/>
              <v:stroke dashstyle="solid"/>
            </v:shape>
            <v:shape style="position:absolute;left:1727;top:512;width:1001;height:134" type="#_x0000_t202" filled="false" stroked="false">
              <v:textbox inset="0,0,0,0">
                <w:txbxContent>
                  <w:p>
                    <w:pPr>
                      <w:spacing w:line="133" w:lineRule="exact" w:before="0"/>
                      <w:ind w:left="0" w:right="0" w:firstLine="0"/>
                      <w:jc w:val="left"/>
                      <w:rPr>
                        <w:sz w:val="12"/>
                      </w:rPr>
                    </w:pPr>
                    <w:r>
                      <w:rPr>
                        <w:sz w:val="12"/>
                      </w:rPr>
                      <w:t>M4 excluding OFCs</w:t>
                    </w:r>
                  </w:p>
                </w:txbxContent>
              </v:textbox>
              <w10:wrap type="none"/>
            </v:shape>
            <v:shape style="position:absolute;left:3067;top:812;width:187;height:133" type="#_x0000_t202" filled="false" stroked="false">
              <v:textbox inset="0,0,0,0">
                <w:txbxContent>
                  <w:p>
                    <w:pPr>
                      <w:spacing w:line="133" w:lineRule="exact" w:before="0"/>
                      <w:ind w:left="0" w:right="0" w:firstLine="0"/>
                      <w:jc w:val="left"/>
                      <w:rPr>
                        <w:sz w:val="12"/>
                      </w:rPr>
                    </w:pPr>
                    <w:r>
                      <w:rPr>
                        <w:sz w:val="12"/>
                      </w:rPr>
                      <w:t>M4</w:t>
                    </w:r>
                  </w:p>
                </w:txbxContent>
              </v:textbox>
              <w10:wrap type="none"/>
            </v:shape>
            <v:shape style="position:absolute;left:1017;top:2097;width:710;height:134" type="#_x0000_t202" filled="false" stroked="false">
              <v:textbox inset="0,0,0,0">
                <w:txbxContent>
                  <w:p>
                    <w:pPr>
                      <w:spacing w:line="133" w:lineRule="exact" w:before="0"/>
                      <w:ind w:left="0" w:right="0" w:firstLine="0"/>
                      <w:jc w:val="left"/>
                      <w:rPr>
                        <w:sz w:val="12"/>
                      </w:rPr>
                    </w:pPr>
                    <w:r>
                      <w:rPr>
                        <w:sz w:val="12"/>
                      </w:rPr>
                      <w:t>Nominal GDP</w:t>
                    </w:r>
                  </w:p>
                </w:txbxContent>
              </v:textbox>
              <w10:wrap type="none"/>
            </v:shape>
            <w10:wrap type="none"/>
          </v:group>
        </w:pict>
      </w:r>
      <w:r>
        <w:rPr/>
        <w:pict>
          <v:line style="position:absolute;mso-position-horizontal-relative:page;mso-position-vertical-relative:paragraph;z-index:15774720" from="45.333pt,3.276685pt" to="41pt,3.276685pt" stroked="true" strokeweight=".5pt" strokecolor="#000000">
            <v:stroke dashstyle="solid"/>
            <w10:wrap type="none"/>
          </v:line>
        </w:pict>
      </w:r>
      <w:r>
        <w:rPr>
          <w:sz w:val="12"/>
        </w:rPr>
        <w:t>18</w:t>
      </w:r>
    </w:p>
    <w:p>
      <w:pPr>
        <w:pStyle w:val="BodyText"/>
        <w:spacing w:before="4"/>
        <w:rPr>
          <w:sz w:val="12"/>
        </w:rPr>
      </w:pPr>
    </w:p>
    <w:p>
      <w:pPr>
        <w:spacing w:before="0"/>
        <w:ind w:left="3459" w:right="0" w:firstLine="0"/>
        <w:jc w:val="left"/>
        <w:rPr>
          <w:sz w:val="12"/>
        </w:rPr>
      </w:pPr>
      <w:r>
        <w:rPr/>
        <w:pict>
          <v:line style="position:absolute;mso-position-horizontal-relative:page;mso-position-vertical-relative:paragraph;z-index:15771648" from="45.333pt,3.785868pt" to="41pt,3.785868pt" stroked="true" strokeweight=".5pt" strokecolor="#000000">
            <v:stroke dashstyle="solid"/>
            <w10:wrap type="none"/>
          </v:line>
        </w:pict>
      </w:r>
      <w:r>
        <w:rPr>
          <w:sz w:val="12"/>
        </w:rPr>
        <w:t>16</w:t>
      </w:r>
    </w:p>
    <w:p>
      <w:pPr>
        <w:pStyle w:val="BodyText"/>
        <w:spacing w:before="7"/>
        <w:rPr>
          <w:sz w:val="13"/>
        </w:rPr>
      </w:pPr>
    </w:p>
    <w:p>
      <w:pPr>
        <w:spacing w:before="0"/>
        <w:ind w:left="3459" w:right="0" w:firstLine="0"/>
        <w:jc w:val="left"/>
        <w:rPr>
          <w:sz w:val="12"/>
        </w:rPr>
      </w:pPr>
      <w:r>
        <w:rPr/>
        <w:pict>
          <v:line style="position:absolute;mso-position-horizontal-relative:page;mso-position-vertical-relative:paragraph;z-index:15775232" from="45.333pt,3.544112pt" to="41pt,3.544112pt" stroked="true" strokeweight=".5pt" strokecolor="#000000">
            <v:stroke dashstyle="solid"/>
            <w10:wrap type="none"/>
          </v:line>
        </w:pict>
      </w:r>
      <w:r>
        <w:rPr>
          <w:sz w:val="12"/>
        </w:rPr>
        <w:t>14</w:t>
      </w:r>
    </w:p>
    <w:p>
      <w:pPr>
        <w:pStyle w:val="BodyText"/>
        <w:spacing w:before="7"/>
        <w:rPr>
          <w:sz w:val="12"/>
        </w:rPr>
      </w:pPr>
    </w:p>
    <w:p>
      <w:pPr>
        <w:spacing w:before="0"/>
        <w:ind w:left="3459" w:right="0" w:firstLine="0"/>
        <w:jc w:val="left"/>
        <w:rPr>
          <w:sz w:val="12"/>
        </w:rPr>
      </w:pPr>
      <w:r>
        <w:rPr/>
        <w:pict>
          <v:line style="position:absolute;mso-position-horizontal-relative:page;mso-position-vertical-relative:paragraph;z-index:15772160" from="45.333pt,3.926868pt" to="41pt,3.926868pt" stroked="true" strokeweight=".5pt" strokecolor="#000000">
            <v:stroke dashstyle="solid"/>
            <w10:wrap type="none"/>
          </v:line>
        </w:pict>
      </w:r>
      <w:r>
        <w:rPr>
          <w:sz w:val="12"/>
        </w:rPr>
        <w:t>12</w:t>
      </w:r>
    </w:p>
    <w:p>
      <w:pPr>
        <w:pStyle w:val="BodyText"/>
        <w:spacing w:before="7"/>
        <w:rPr>
          <w:sz w:val="13"/>
        </w:rPr>
      </w:pPr>
    </w:p>
    <w:p>
      <w:pPr>
        <w:spacing w:before="1"/>
        <w:ind w:left="3459" w:right="0" w:firstLine="0"/>
        <w:jc w:val="left"/>
        <w:rPr>
          <w:sz w:val="12"/>
        </w:rPr>
      </w:pPr>
      <w:r>
        <w:rPr/>
        <w:pict>
          <v:line style="position:absolute;mso-position-horizontal-relative:page;mso-position-vertical-relative:paragraph;z-index:15775744" from="45.333pt,3.735112pt" to="41pt,3.735112pt" stroked="true" strokeweight=".5pt" strokecolor="#000000">
            <v:stroke dashstyle="solid"/>
            <w10:wrap type="none"/>
          </v:line>
        </w:pict>
      </w:r>
      <w:r>
        <w:rPr>
          <w:sz w:val="12"/>
        </w:rPr>
        <w:t>10</w:t>
      </w:r>
    </w:p>
    <w:p>
      <w:pPr>
        <w:pStyle w:val="BodyText"/>
        <w:spacing w:before="3"/>
        <w:rPr>
          <w:sz w:val="12"/>
        </w:rPr>
      </w:pPr>
    </w:p>
    <w:p>
      <w:pPr>
        <w:spacing w:before="1"/>
        <w:ind w:left="3519" w:right="0" w:firstLine="0"/>
        <w:jc w:val="left"/>
        <w:rPr>
          <w:sz w:val="12"/>
        </w:rPr>
      </w:pPr>
      <w:r>
        <w:rPr/>
        <w:pict>
          <v:line style="position:absolute;mso-position-horizontal-relative:page;mso-position-vertical-relative:paragraph;z-index:15772672" from="45.333pt,4.244295pt" to="41pt,4.244295pt" stroked="true" strokeweight=".5pt" strokecolor="#000000">
            <v:stroke dashstyle="solid"/>
            <w10:wrap type="none"/>
          </v:line>
        </w:pict>
      </w:r>
      <w:r>
        <w:rPr>
          <w:sz w:val="12"/>
        </w:rPr>
        <w:t>8</w:t>
      </w:r>
    </w:p>
    <w:p>
      <w:pPr>
        <w:pStyle w:val="BodyText"/>
        <w:spacing w:before="9"/>
        <w:rPr>
          <w:sz w:val="13"/>
        </w:rPr>
      </w:pPr>
    </w:p>
    <w:p>
      <w:pPr>
        <w:spacing w:before="1"/>
        <w:ind w:left="3519" w:right="0" w:firstLine="0"/>
        <w:jc w:val="left"/>
        <w:rPr>
          <w:sz w:val="12"/>
        </w:rPr>
      </w:pPr>
      <w:r>
        <w:rPr/>
        <w:pict>
          <v:line style="position:absolute;mso-position-horizontal-relative:page;mso-position-vertical-relative:paragraph;z-index:15776256" from="45.333pt,3.877112pt" to="41pt,3.877112pt" stroked="true" strokeweight=".5pt" strokecolor="#000000">
            <v:stroke dashstyle="solid"/>
            <w10:wrap type="none"/>
          </v:line>
        </w:pict>
      </w:r>
      <w:r>
        <w:rPr>
          <w:sz w:val="12"/>
        </w:rPr>
        <w:t>6</w:t>
      </w:r>
    </w:p>
    <w:p>
      <w:pPr>
        <w:pStyle w:val="BodyText"/>
        <w:spacing w:before="3"/>
        <w:rPr>
          <w:sz w:val="12"/>
        </w:rPr>
      </w:pPr>
    </w:p>
    <w:p>
      <w:pPr>
        <w:spacing w:before="1"/>
        <w:ind w:left="3519" w:right="0" w:firstLine="0"/>
        <w:jc w:val="left"/>
        <w:rPr>
          <w:sz w:val="12"/>
        </w:rPr>
      </w:pPr>
      <w:r>
        <w:rPr/>
        <w:pict>
          <v:line style="position:absolute;mso-position-horizontal-relative:page;mso-position-vertical-relative:paragraph;z-index:15773184" from="45.333pt,4.385295pt" to="41pt,4.385295pt" stroked="true" strokeweight=".5pt" strokecolor="#000000">
            <v:stroke dashstyle="solid"/>
            <w10:wrap type="none"/>
          </v:line>
        </w:pict>
      </w:r>
      <w:r>
        <w:rPr>
          <w:sz w:val="12"/>
        </w:rPr>
        <w:t>4</w:t>
      </w:r>
    </w:p>
    <w:p>
      <w:pPr>
        <w:pStyle w:val="BodyText"/>
        <w:spacing w:before="7"/>
        <w:rPr>
          <w:sz w:val="13"/>
        </w:rPr>
      </w:pPr>
    </w:p>
    <w:p>
      <w:pPr>
        <w:spacing w:before="0"/>
        <w:ind w:left="3519" w:right="0" w:firstLine="0"/>
        <w:jc w:val="left"/>
        <w:rPr>
          <w:sz w:val="12"/>
        </w:rPr>
      </w:pPr>
      <w:r>
        <w:rPr/>
        <w:pict>
          <v:line style="position:absolute;mso-position-horizontal-relative:page;mso-position-vertical-relative:paragraph;z-index:15776768" from="45.333pt,4.094478pt" to="41pt,4.094478pt" stroked="true" strokeweight=".5pt" strokecolor="#000000">
            <v:stroke dashstyle="solid"/>
            <w10:wrap type="none"/>
          </v:line>
        </w:pict>
      </w:r>
      <w:r>
        <w:rPr/>
        <w:pict>
          <v:line style="position:absolute;mso-position-horizontal-relative:page;mso-position-vertical-relative:paragraph;z-index:15777792" from="202.666pt,4.110478pt" to="198.334pt,4.110478pt" stroked="true" strokeweight=".5pt" strokecolor="#000000">
            <v:stroke dashstyle="solid"/>
            <w10:wrap type="none"/>
          </v:line>
        </w:pict>
      </w:r>
      <w:r>
        <w:rPr>
          <w:sz w:val="12"/>
        </w:rPr>
        <w:t>2</w:t>
      </w:r>
    </w:p>
    <w:p>
      <w:pPr>
        <w:pStyle w:val="BodyText"/>
        <w:spacing w:before="4"/>
        <w:rPr>
          <w:sz w:val="12"/>
        </w:rPr>
      </w:pPr>
    </w:p>
    <w:p>
      <w:pPr>
        <w:spacing w:before="0"/>
        <w:ind w:left="3519" w:right="0" w:firstLine="0"/>
        <w:jc w:val="left"/>
        <w:rPr>
          <w:sz w:val="12"/>
        </w:rPr>
      </w:pPr>
      <w:r>
        <w:rPr/>
        <w:pict>
          <v:line style="position:absolute;mso-position-horizontal-relative:page;mso-position-vertical-relative:paragraph;z-index:15773696" from="45.333pt,4.602661pt" to="41pt,4.602661pt" stroked="true" strokeweight=".5pt" strokecolor="#000000">
            <v:stroke dashstyle="solid"/>
            <w10:wrap type="none"/>
          </v:line>
        </w:pict>
      </w:r>
      <w:r>
        <w:rPr/>
        <w:pict>
          <v:shape style="position:absolute;margin-left:51.5pt;margin-top:1.362661pt;width:151.2pt;height:3.25pt;mso-position-horizontal-relative:page;mso-position-vertical-relative:paragraph;z-index:15774208" coordorigin="1030,27" coordsize="3024,65" path="m1277,27l1277,84m1037,30l1037,84m1547,30l1547,84m1807,30l1807,84m3843,27l3843,84m2040,30l2040,84m4053,92l3967,92m2303,30l2303,84m2563,30l2563,84m2817,30l2817,84m3073,30l3073,84m3333,30l3333,84m3587,30l3587,84m1030,92l3900,92e" filled="false" stroked="true" strokeweight=".5pt" strokecolor="#000000">
            <v:path arrowok="t"/>
            <v:stroke dashstyle="solid"/>
            <w10:wrap type="none"/>
          </v:shape>
        </w:pict>
      </w:r>
      <w:r>
        <w:rPr>
          <w:sz w:val="12"/>
        </w:rPr>
        <w:t>0</w:t>
      </w:r>
    </w:p>
    <w:p>
      <w:pPr>
        <w:spacing w:before="22"/>
        <w:ind w:left="387" w:right="0" w:firstLine="0"/>
        <w:jc w:val="left"/>
        <w:rPr>
          <w:sz w:val="12"/>
        </w:rPr>
      </w:pPr>
      <w:r>
        <w:rPr>
          <w:sz w:val="12"/>
        </w:rPr>
        <w:t>1989 90 91 92 93 94 95 96 97 98 99 2000</w:t>
      </w:r>
    </w:p>
    <w:p>
      <w:pPr>
        <w:spacing w:before="36"/>
        <w:ind w:left="180" w:right="0" w:firstLine="0"/>
        <w:jc w:val="left"/>
        <w:rPr>
          <w:sz w:val="12"/>
        </w:rPr>
      </w:pPr>
      <w:r>
        <w:rPr>
          <w:sz w:val="12"/>
        </w:rPr>
        <w:t>Sources: ONS and Bank of England.</w:t>
      </w:r>
    </w:p>
    <w:p>
      <w:pPr>
        <w:pStyle w:val="BodyText"/>
        <w:rPr>
          <w:sz w:val="12"/>
        </w:rPr>
      </w:pPr>
    </w:p>
    <w:p>
      <w:pPr>
        <w:pStyle w:val="BodyText"/>
        <w:rPr>
          <w:sz w:val="10"/>
        </w:rPr>
      </w:pPr>
    </w:p>
    <w:p>
      <w:pPr>
        <w:pStyle w:val="Heading6"/>
        <w:spacing w:before="0"/>
        <w:ind w:left="204"/>
      </w:pPr>
      <w:r>
        <w:rPr>
          <w:color w:val="0092C7"/>
        </w:rPr>
        <w:t>Chart 1.3</w:t>
      </w:r>
    </w:p>
    <w:p>
      <w:pPr>
        <w:pStyle w:val="Heading6"/>
        <w:spacing w:line="249" w:lineRule="auto"/>
        <w:ind w:left="204" w:right="10"/>
      </w:pPr>
      <w:r>
        <w:rPr>
          <w:color w:val="0092C7"/>
        </w:rPr>
        <w:t>Net new M4 borrowing by the M4 private sector and the current account deficit</w:t>
      </w:r>
    </w:p>
    <w:p>
      <w:pPr>
        <w:spacing w:before="92"/>
        <w:ind w:left="2062" w:right="0" w:firstLine="0"/>
        <w:jc w:val="left"/>
        <w:rPr>
          <w:sz w:val="12"/>
        </w:rPr>
      </w:pPr>
      <w:r>
        <w:rPr/>
        <w:pict>
          <v:line style="position:absolute;mso-position-horizontal-relative:page;mso-position-vertical-relative:paragraph;z-index:15757312" from="47.292pt,12.468568pt" to="42.958pt,12.468568pt" stroked="true" strokeweight=".5pt" strokecolor="#000000">
            <v:stroke dashstyle="solid"/>
            <w10:wrap type="none"/>
          </v:line>
        </w:pict>
      </w:r>
      <w:r>
        <w:rPr>
          <w:sz w:val="12"/>
        </w:rPr>
        <w:t>Percentage of nominal GD</w:t>
      </w:r>
      <w:r>
        <w:rPr>
          <w:sz w:val="12"/>
          <w:u w:val="single"/>
        </w:rPr>
        <w:t>P</w:t>
      </w:r>
      <w:r>
        <w:rPr>
          <w:spacing w:val="-10"/>
          <w:sz w:val="12"/>
        </w:rPr>
        <w:t> </w:t>
      </w:r>
      <w:r>
        <w:rPr>
          <w:position w:val="-7"/>
          <w:sz w:val="12"/>
        </w:rPr>
        <w:t>10</w:t>
      </w:r>
    </w:p>
    <w:p>
      <w:pPr>
        <w:pStyle w:val="BodyText"/>
        <w:spacing w:before="5"/>
        <w:rPr>
          <w:sz w:val="8"/>
        </w:rPr>
      </w:pPr>
    </w:p>
    <w:p>
      <w:pPr>
        <w:pStyle w:val="BodyText"/>
        <w:ind w:left="214"/>
        <w:rPr>
          <w:sz w:val="20"/>
        </w:rPr>
      </w:pPr>
      <w:r>
        <w:rPr>
          <w:sz w:val="20"/>
        </w:rPr>
        <w:pict>
          <v:group style="width:167.65pt;height:128.25pt;mso-position-horizontal-relative:char;mso-position-vertical-relative:line" coordorigin="0,0" coordsize="3353,2565">
            <v:line style="position:absolute" from="149,1618" to="3055,1618" stroked="true" strokeweight=".5pt" strokecolor="#000000">
              <v:stroke dashstyle="solid"/>
            </v:line>
            <v:line style="position:absolute" from="165,1673" to="205,1565" stroked="true" strokeweight="1pt" strokecolor="#610e7a">
              <v:stroke dashstyle="solid"/>
            </v:line>
            <v:line style="position:absolute" from="220,1555" to="220,2000" stroked="true" strokeweight="2.5pt" strokecolor="#610e7a">
              <v:stroke dashstyle="solid"/>
            </v:line>
            <v:line style="position:absolute" from="235,1990" to="275,2203" stroked="true" strokeweight="1pt" strokecolor="#610e7a">
              <v:stroke dashstyle="solid"/>
            </v:line>
            <v:line style="position:absolute" from="291,2193" to="291,2565" stroked="true" strokeweight="2.625pt" strokecolor="#610e7a">
              <v:stroke dashstyle="solid"/>
            </v:line>
            <v:line style="position:absolute" from="328,2085" to="328,2565" stroked="true" strokeweight="3pt" strokecolor="#610e7a">
              <v:stroke dashstyle="solid"/>
            </v:line>
            <v:shape style="position:absolute;left:337;top:1662;width:263;height:443" type="#_x0000_t75" stroked="false">
              <v:imagedata r:id="rId24" o:title=""/>
            </v:shape>
            <v:line style="position:absolute" from="611,1590" to="611,2018" stroked="true" strokeweight="3.125pt" strokecolor="#610e7a">
              <v:stroke dashstyle="solid"/>
            </v:line>
            <v:shape style="position:absolute;left:622;top:1485;width:273;height:425" type="#_x0000_t75" stroked="false">
              <v:imagedata r:id="rId25" o:title=""/>
            </v:shape>
            <v:line style="position:absolute" from="900,1485" to="900,1910" stroked="true" strokeweight="2.5pt" strokecolor="#610e7a">
              <v:stroke dashstyle="solid"/>
            </v:line>
            <v:shape style="position:absolute;left:915;top:1035;width:438;height:865" coordorigin="915,1035" coordsize="438,865" path="m915,1900l958,1778m958,1778l988,1743m988,1743l1028,1708m1028,1708l1058,1530m1058,1530l1098,1353m1098,1353l1140,1460m1140,1460l1170,1708m1170,1708l1210,1408m1210,1408l1240,1318m1240,1318l1280,1088m1280,1088l1313,1053m1313,1053l1353,1035e" filled="false" stroked="true" strokeweight="1pt" strokecolor="#610e7a">
              <v:path arrowok="t"/>
              <v:stroke dashstyle="solid"/>
            </v:shape>
            <v:line style="position:absolute" from="1343,1036" to="1393,1036" stroked="true" strokeweight="1.125pt" strokecolor="#610e7a">
              <v:stroke dashstyle="solid"/>
            </v:line>
            <v:shape style="position:absolute;left:1382;top:665;width:903;height:1025" coordorigin="1383,665" coordsize="903,1025" path="m1383,1035l1423,665m1423,665l1453,823m1453,823l1495,788m1495,788l1525,665m1525,665l1565,913m1565,913l1605,770m1605,770l1638,840m1638,840l1678,1140m1678,1140l1708,1178m1708,1178l1748,1230m1748,1230l1778,1495m1778,1495l1820,1318m1820,1318l1850,1388m1850,1388l1890,1370m1890,1370l1920,1283m1920,1283l1963,1318m1963,1318l1993,1300m1993,1300l2033,1265m2033,1265l2063,1283m2063,1283l2103,1353m2103,1353l2145,1370m2145,1370l2175,1513m2175,1513l2215,1478m2215,1478l2245,1600m2245,1600l2285,1690e" filled="false" stroked="true" strokeweight="1pt" strokecolor="#610e7a">
              <v:path arrowok="t"/>
              <v:stroke dashstyle="solid"/>
            </v:shape>
            <v:line style="position:absolute" from="2275,1691" to="2328,1691" stroked="true" strokeweight="1.125pt" strokecolor="#610e7a">
              <v:stroke dashstyle="solid"/>
            </v:line>
            <v:shape style="position:absolute;left:2317;top:1370;width:508;height:478" coordorigin="2318,1370" coordsize="508,478" path="m2318,1690l2358,1370m2358,1370l2388,1478m2388,1478l2428,1565m2428,1565l2458,1478m2458,1478l2500,1618m2500,1618l2530,1565m2530,1565l2570,1743m2570,1743l2610,1848m2610,1848l2643,1778m2643,1778l2683,1813m2683,1813l2713,1635m2713,1635l2753,1583m2753,1583l2783,1600m2783,1600l2825,1778e" filled="false" stroked="true" strokeweight="1pt" strokecolor="#610e7a">
              <v:path arrowok="t"/>
              <v:stroke dashstyle="solid"/>
            </v:shape>
            <v:line style="position:absolute" from="2840,1485" to="2840,1788" stroked="true" strokeweight="2.5pt" strokecolor="#610e7a">
              <v:stroke dashstyle="solid"/>
            </v:line>
            <v:shape style="position:absolute;left:2855;top:1282;width:70;height:213" coordorigin="2855,1283" coordsize="70,213" path="m2855,1495l2895,1283m2895,1283l2925,1408e" filled="false" stroked="true" strokeweight="1pt" strokecolor="#610e7a">
              <v:path arrowok="t"/>
              <v:stroke dashstyle="solid"/>
            </v:shape>
            <v:line style="position:absolute" from="2915,1409" to="2978,1409" stroked="true" strokeweight="1.125pt" strokecolor="#610e7a">
              <v:stroke dashstyle="solid"/>
            </v:line>
            <v:shape style="position:absolute;left:2967;top:1300;width:70;height:195" coordorigin="2968,1300" coordsize="70,195" path="m2968,1408l2998,1495m2998,1495l3038,1300e" filled="false" stroked="true" strokeweight="1pt" strokecolor="#610e7a">
              <v:path arrowok="t"/>
              <v:stroke dashstyle="solid"/>
            </v:shape>
            <v:line style="position:absolute" from="185,1238" to="185,1683" stroked="true" strokeweight="3pt" strokecolor="#efa900">
              <v:stroke dashstyle="solid"/>
            </v:line>
            <v:shape style="position:absolute;left:205;top:1672;width:70;height:318" coordorigin="205,1673" coordsize="70,318" path="m205,1673l235,1690m235,1690l275,1990e" filled="false" stroked="true" strokeweight="1pt" strokecolor="#efa900">
              <v:path arrowok="t"/>
              <v:stroke dashstyle="solid"/>
            </v:shape>
            <v:line style="position:absolute" from="291,1663" to="291,2000" stroked="true" strokeweight="2.625pt" strokecolor="#efa900">
              <v:stroke dashstyle="solid"/>
            </v:line>
            <v:line style="position:absolute" from="328,1663" to="328,2070" stroked="true" strokeweight="3pt" strokecolor="#efa900">
              <v:stroke dashstyle="solid"/>
            </v:line>
            <v:line style="position:absolute" from="363,1590" to="363,2070" stroked="true" strokeweight="2.5pt" strokecolor="#efa900">
              <v:stroke dashstyle="solid"/>
            </v:line>
            <v:shape style="position:absolute;left:377;top:627;width:143;height:973" coordorigin="378,628" coordsize="143,973" path="m378,1600l418,628m418,628l448,805m448,805l490,1035m490,1035l520,913e" filled="false" stroked="true" strokeweight="1pt" strokecolor="#efa900">
              <v:path arrowok="t"/>
              <v:stroke dashstyle="solid"/>
            </v:shape>
            <v:line style="position:absolute" from="540,903" to="540,1345" stroked="true" strokeweight="3pt" strokecolor="#efa900">
              <v:stroke dashstyle="solid"/>
            </v:line>
            <v:line style="position:absolute" from="575,1325" to="575,1823" stroked="true" strokeweight="2.5pt" strokecolor="#efa900">
              <v:stroke dashstyle="solid"/>
            </v:line>
            <v:shape style="position:absolute;left:590;top:1052;width:83;height:760" coordorigin="590,1053" coordsize="83,760" path="m590,1813l633,1178m633,1178l673,1053e" filled="false" stroked="true" strokeweight="1pt" strokecolor="#efa900">
              <v:path arrowok="t"/>
              <v:stroke dashstyle="solid"/>
            </v:shape>
            <v:shape style="position:absolute;left:662;top:1025;width:90;height:463" coordorigin="663,1025" coordsize="90,463" path="m753,1025l693,1025,693,1042,663,1042,663,1487,693,1487,713,1487,753,1487,753,1025xe" filled="true" fillcolor="#efa900" stroked="false">
              <v:path arrowok="t"/>
              <v:fill type="solid"/>
            </v:shape>
            <v:line style="position:absolute" from="758,1025" to="758,1345" stroked="true" strokeweight="2.5pt" strokecolor="#efa900">
              <v:stroke dashstyle="solid"/>
            </v:line>
            <v:shape style="position:absolute;left:772;top:1212;width:73;height:123" coordorigin="773,1213" coordsize="73,123" path="m773,1335l815,1213m815,1213l845,1335e" filled="false" stroked="true" strokeweight="1pt" strokecolor="#efa900">
              <v:path arrowok="t"/>
              <v:stroke dashstyle="solid"/>
            </v:shape>
            <v:line style="position:absolute" from="865,830" to="865,1345" stroked="true" strokeweight="3pt" strokecolor="#efa900">
              <v:stroke dashstyle="solid"/>
            </v:line>
            <v:line style="position:absolute" from="885,840" to="915,1053" stroked="true" strokeweight="1pt" strokecolor="#efa900">
              <v:stroke dashstyle="solid"/>
            </v:line>
            <v:line style="position:absolute" from="936,1043" to="936,1540" stroked="true" strokeweight="3.125pt" strokecolor="#efa900">
              <v:stroke dashstyle="solid"/>
            </v:line>
            <v:line style="position:absolute" from="958,1530" to="988,1388" stroked="true" strokeweight="1pt" strokecolor="#efa900">
              <v:stroke dashstyle="solid"/>
            </v:line>
            <v:line style="position:absolute" from="978,1389" to="1038,1389" stroked="true" strokeweight="1.125pt" strokecolor="#efa900">
              <v:stroke dashstyle="solid"/>
            </v:line>
            <v:line style="position:absolute" from="1028,1388" to="1058,1353" stroked="true" strokeweight="1pt" strokecolor="#efa900">
              <v:stroke dashstyle="solid"/>
            </v:line>
            <v:line style="position:absolute" from="1078,903" to="1078,1363" stroked="true" strokeweight="3pt" strokecolor="#efa900">
              <v:stroke dashstyle="solid"/>
            </v:line>
            <v:shape style="position:absolute;left:1097;top:522;width:73;height:920" coordorigin="1098,523" coordsize="73,920" path="m1098,913l1140,523m1140,523l1170,1443e" filled="false" stroked="true" strokeweight="1pt" strokecolor="#efa900">
              <v:path arrowok="t"/>
              <v:stroke dashstyle="solid"/>
            </v:shape>
            <v:line style="position:absolute" from="1190,990" to="1190,1453" stroked="true" strokeweight="3pt" strokecolor="#efa900">
              <v:stroke dashstyle="solid"/>
            </v:line>
            <v:shape style="position:absolute;left:1210;top:435;width:103;height:795" coordorigin="1210,435" coordsize="103,795" path="m1210,1000l1240,913m1240,913l1280,1230m1280,1230l1313,435e" filled="false" stroked="true" strokeweight="1pt" strokecolor="#efa900">
              <v:path arrowok="t"/>
              <v:stroke dashstyle="solid"/>
            </v:shape>
            <v:line style="position:absolute" from="1333,0" to="1333,445" stroked="true" strokeweight="3pt" strokecolor="#efa900">
              <v:stroke dashstyle="solid"/>
            </v:line>
            <v:line style="position:absolute" from="1353,10" to="1383,840" stroked="true" strokeweight="1pt" strokecolor="#efa900">
              <v:stroke dashstyle="solid"/>
            </v:line>
            <v:line style="position:absolute" from="1403,318" to="1403,850" stroked="true" strokeweight="3pt" strokecolor="#efa900">
              <v:stroke dashstyle="solid"/>
            </v:line>
            <v:line style="position:absolute" from="1438,318" to="1438,658" stroked="true" strokeweight="2.5pt" strokecolor="#efa900">
              <v:stroke dashstyle="solid"/>
            </v:line>
            <v:shape style="position:absolute;left:1452;top:470;width:73;height:230" coordorigin="1453,470" coordsize="73,230" path="m1453,648l1495,700m1495,700l1525,470e" filled="false" stroked="true" strokeweight="1pt" strokecolor="#efa900">
              <v:path arrowok="t"/>
              <v:stroke dashstyle="solid"/>
            </v:shape>
            <v:line style="position:absolute" from="1545,460" to="1545,1028" stroked="true" strokeweight="3pt" strokecolor="#efa900">
              <v:stroke dashstyle="solid"/>
            </v:line>
            <v:line style="position:absolute" from="1565,1018" to="1605,788" stroked="true" strokeweight="1pt" strokecolor="#efa900">
              <v:stroke dashstyle="solid"/>
            </v:line>
            <v:line style="position:absolute" from="1621,778" to="1621,1170" stroked="true" strokeweight="2.625pt" strokecolor="#efa900">
              <v:stroke dashstyle="solid"/>
            </v:line>
            <v:shape style="position:absolute;left:1637;top:912;width:253;height:760" coordorigin="1638,913" coordsize="253,760" path="m1638,1160l1678,1053m1678,1053l1708,930m1708,930l1748,913m1748,913l1778,1673m1778,1673l1820,1318m1820,1318l1850,1530m1850,1530l1890,1618e" filled="false" stroked="true" strokeweight="1pt" strokecolor="#efa900">
              <v:path arrowok="t"/>
              <v:stroke dashstyle="solid"/>
            </v:shape>
            <v:line style="position:absolute" from="1905,1168" to="1905,1628" stroked="true" strokeweight="2.5pt" strokecolor="#efa900">
              <v:stroke dashstyle="solid"/>
            </v:line>
            <v:line style="position:absolute" from="1941,1168" to="1941,1593" stroked="true" strokeweight="3.125pt" strokecolor="#efa900">
              <v:stroke dashstyle="solid"/>
            </v:line>
            <v:line style="position:absolute" from="1978,1220" to="1978,1593" stroked="true" strokeweight="2.5pt" strokecolor="#efa900">
              <v:stroke dashstyle="solid"/>
            </v:line>
            <v:shape style="position:absolute;left:1992;top:1230;width:223;height:795" coordorigin="1993,1230" coordsize="223,795" path="m1993,1230l2033,1443m2033,1443l2063,1460m2063,1460l2103,1565m2103,1565l2145,1865m2145,1865l2175,2025m2175,2025l2215,1370e" filled="false" stroked="true" strokeweight="1pt" strokecolor="#efa900">
              <v:path arrowok="t"/>
              <v:stroke dashstyle="solid"/>
            </v:shape>
            <v:line style="position:absolute" from="2230,1043" to="2230,1380" stroked="true" strokeweight="2.5pt" strokecolor="#efa900">
              <v:stroke dashstyle="solid"/>
            </v:line>
            <v:line style="position:absolute" from="2245,1053" to="2285,1000" stroked="true" strokeweight="1pt" strokecolor="#efa900">
              <v:stroke dashstyle="solid"/>
            </v:line>
            <v:line style="position:absolute" from="2301,990" to="2301,1435" stroked="true" strokeweight="2.625pt" strokecolor="#efa900">
              <v:stroke dashstyle="solid"/>
            </v:line>
            <v:shape style="position:absolute;left:2307;top:1325;width:313;height:640" type="#_x0000_t75" stroked="false">
              <v:imagedata r:id="rId26" o:title=""/>
            </v:shape>
            <v:line style="position:absolute" from="2626,1555" to="2626,1965" stroked="true" strokeweight="2.625pt" strokecolor="#efa900">
              <v:stroke dashstyle="solid"/>
            </v:line>
            <v:line style="position:absolute" from="2663,1555" to="2663,2105" stroked="true" strokeweight="3pt" strokecolor="#efa900">
              <v:stroke dashstyle="solid"/>
            </v:line>
            <v:shape style="position:absolute;left:2682;top:1352;width:70;height:743" coordorigin="2683,1353" coordsize="70,743" path="m2683,2095l2713,1443m2713,1443l2753,1353e" filled="false" stroked="true" strokeweight="1pt" strokecolor="#efa900">
              <v:path arrowok="t"/>
              <v:stroke dashstyle="solid"/>
            </v:shape>
            <v:line style="position:absolute" from="2768,1343" to="2768,1718" stroked="true" strokeweight="2.5pt" strokecolor="#efa900">
              <v:stroke dashstyle="solid"/>
            </v:line>
            <v:line style="position:absolute" from="2804,1290" to="2804,1718" stroked="true" strokeweight="3.125pt" strokecolor="#efa900">
              <v:stroke dashstyle="solid"/>
            </v:line>
            <v:shape style="position:absolute;left:2825;top:857;width:70;height:603" coordorigin="2825,858" coordsize="70,603" path="m2825,1300l2855,1460m2855,1460l2895,858e" filled="false" stroked="true" strokeweight="1pt" strokecolor="#efa900">
              <v:path arrowok="t"/>
              <v:stroke dashstyle="solid"/>
            </v:shape>
            <v:line style="position:absolute" from="2910,495" to="2910,868" stroked="true" strokeweight="2.5pt" strokecolor="#efa900">
              <v:stroke dashstyle="solid"/>
            </v:line>
            <v:line style="position:absolute" from="2925,505" to="2968,223" stroked="true" strokeweight="1pt" strokecolor="#efa900">
              <v:stroke dashstyle="solid"/>
            </v:line>
            <v:line style="position:absolute" from="2983,213" to="2983,550" stroked="true" strokeweight="2.5pt" strokecolor="#efa900">
              <v:stroke dashstyle="solid"/>
            </v:line>
            <v:line style="position:absolute" from="2998,540" to="3038,505" stroked="true" strokeweight="1pt" strokecolor="#efa900">
              <v:stroke dashstyle="solid"/>
            </v:line>
            <v:shape style="position:absolute;left:0;top:173;width:3193;height:2174" coordorigin="0,173" coordsize="3193,2174" path="m87,177l0,177m87,896l0,896m87,1618l0,1618m87,1975l0,1975m87,1279l0,1279m87,2346l0,2346m87,556l0,556m3193,173l3106,173m3193,892l3106,892m3193,1618l3106,1618m3193,1972l3106,1972m3193,1275l3106,1275m3193,2343l3106,2343m3193,552l3106,552e" filled="false" stroked="true" strokeweight=".5pt" strokecolor="#000000">
              <v:path arrowok="t"/>
              <v:stroke dashstyle="solid"/>
            </v:shape>
            <v:shape style="position:absolute;left:1386;top:10;width:1237;height:273" type="#_x0000_t202" filled="false" stroked="false">
              <v:textbox inset="0,0,0,0">
                <w:txbxContent>
                  <w:p>
                    <w:pPr>
                      <w:spacing w:line="133" w:lineRule="exact" w:before="0"/>
                      <w:ind w:left="0" w:right="0" w:firstLine="0"/>
                      <w:jc w:val="left"/>
                      <w:rPr>
                        <w:sz w:val="12"/>
                      </w:rPr>
                    </w:pPr>
                    <w:r>
                      <w:rPr>
                        <w:sz w:val="12"/>
                      </w:rPr>
                      <w:t>Net new borrowing</w:t>
                    </w:r>
                  </w:p>
                  <w:p>
                    <w:pPr>
                      <w:spacing w:before="2"/>
                      <w:ind w:left="60" w:right="0" w:firstLine="0"/>
                      <w:jc w:val="left"/>
                      <w:rPr>
                        <w:sz w:val="12"/>
                      </w:rPr>
                    </w:pPr>
                    <w:r>
                      <w:rPr>
                        <w:sz w:val="12"/>
                      </w:rPr>
                      <w:t>from M4 institutions (a)</w:t>
                    </w:r>
                  </w:p>
                </w:txbxContent>
              </v:textbox>
              <w10:wrap type="none"/>
            </v:shape>
            <v:shape style="position:absolute;left:3156;top:105;width:197;height:1936" type="#_x0000_t202" filled="false" stroked="false">
              <v:textbox inset="0,0,0,0">
                <w:txbxContent>
                  <w:p>
                    <w:pPr>
                      <w:spacing w:line="133" w:lineRule="exact" w:before="0"/>
                      <w:ind w:left="116" w:right="0" w:firstLine="0"/>
                      <w:jc w:val="left"/>
                      <w:rPr>
                        <w:sz w:val="12"/>
                      </w:rPr>
                    </w:pPr>
                    <w:r>
                      <w:rPr>
                        <w:sz w:val="12"/>
                      </w:rPr>
                      <w:t>8</w:t>
                    </w:r>
                  </w:p>
                  <w:p>
                    <w:pPr>
                      <w:spacing w:line="240" w:lineRule="auto" w:before="0"/>
                      <w:rPr>
                        <w:sz w:val="12"/>
                      </w:rPr>
                    </w:pPr>
                  </w:p>
                  <w:p>
                    <w:pPr>
                      <w:spacing w:before="96"/>
                      <w:ind w:left="116" w:right="0" w:firstLine="0"/>
                      <w:jc w:val="left"/>
                      <w:rPr>
                        <w:sz w:val="12"/>
                      </w:rPr>
                    </w:pPr>
                    <w:r>
                      <w:rPr>
                        <w:sz w:val="12"/>
                      </w:rPr>
                      <w:t>6</w:t>
                    </w:r>
                  </w:p>
                  <w:p>
                    <w:pPr>
                      <w:spacing w:line="240" w:lineRule="auto" w:before="0"/>
                      <w:rPr>
                        <w:sz w:val="12"/>
                      </w:rPr>
                    </w:pPr>
                  </w:p>
                  <w:p>
                    <w:pPr>
                      <w:spacing w:before="77"/>
                      <w:ind w:left="116" w:right="0" w:firstLine="0"/>
                      <w:jc w:val="left"/>
                      <w:rPr>
                        <w:sz w:val="12"/>
                      </w:rPr>
                    </w:pPr>
                    <w:r>
                      <w:rPr>
                        <w:sz w:val="12"/>
                      </w:rPr>
                      <w:t>4</w:t>
                    </w:r>
                  </w:p>
                  <w:p>
                    <w:pPr>
                      <w:spacing w:line="240" w:lineRule="auto" w:before="0"/>
                      <w:rPr>
                        <w:sz w:val="12"/>
                      </w:rPr>
                    </w:pPr>
                  </w:p>
                  <w:p>
                    <w:pPr>
                      <w:spacing w:before="94"/>
                      <w:ind w:left="116" w:right="0" w:firstLine="0"/>
                      <w:jc w:val="left"/>
                      <w:rPr>
                        <w:sz w:val="12"/>
                      </w:rPr>
                    </w:pPr>
                    <w:r>
                      <w:rPr>
                        <w:sz w:val="12"/>
                      </w:rPr>
                      <w:t>2</w:t>
                    </w:r>
                  </w:p>
                  <w:p>
                    <w:pPr>
                      <w:spacing w:before="26"/>
                      <w:ind w:left="0" w:right="0" w:firstLine="0"/>
                      <w:jc w:val="left"/>
                      <w:rPr>
                        <w:sz w:val="16"/>
                      </w:rPr>
                    </w:pPr>
                    <w:r>
                      <w:rPr>
                        <w:sz w:val="16"/>
                      </w:rPr>
                      <w:t>+</w:t>
                    </w:r>
                  </w:p>
                  <w:p>
                    <w:pPr>
                      <w:spacing w:before="7"/>
                      <w:ind w:left="0" w:right="0" w:firstLine="0"/>
                      <w:jc w:val="left"/>
                      <w:rPr>
                        <w:sz w:val="12"/>
                      </w:rPr>
                    </w:pPr>
                    <w:r>
                      <w:rPr>
                        <w:position w:val="-8"/>
                        <w:sz w:val="16"/>
                      </w:rPr>
                      <w:t>_ </w:t>
                    </w:r>
                    <w:r>
                      <w:rPr>
                        <w:sz w:val="12"/>
                      </w:rPr>
                      <w:t>0</w:t>
                    </w:r>
                  </w:p>
                  <w:p>
                    <w:pPr>
                      <w:spacing w:before="116"/>
                      <w:ind w:left="116" w:right="0" w:firstLine="0"/>
                      <w:jc w:val="left"/>
                      <w:rPr>
                        <w:sz w:val="12"/>
                      </w:rPr>
                    </w:pPr>
                    <w:r>
                      <w:rPr>
                        <w:sz w:val="12"/>
                      </w:rPr>
                      <w:t>2</w:t>
                    </w:r>
                  </w:p>
                </w:txbxContent>
              </v:textbox>
              <w10:wrap type="none"/>
            </v:shape>
            <v:shape style="position:absolute;left:372;top:2174;width:1127;height:133" type="#_x0000_t202" filled="false" stroked="false">
              <v:textbox inset="0,0,0,0">
                <w:txbxContent>
                  <w:p>
                    <w:pPr>
                      <w:spacing w:line="133" w:lineRule="exact" w:before="0"/>
                      <w:ind w:left="0" w:right="0" w:firstLine="0"/>
                      <w:jc w:val="left"/>
                      <w:rPr>
                        <w:sz w:val="12"/>
                      </w:rPr>
                    </w:pPr>
                    <w:r>
                      <w:rPr>
                        <w:sz w:val="12"/>
                      </w:rPr>
                      <w:t>Current account deficit</w:t>
                    </w:r>
                  </w:p>
                </w:txbxContent>
              </v:textbox>
              <w10:wrap type="none"/>
            </v:shape>
            <v:shape style="position:absolute;left:3272;top:2280;width:80;height:133" type="#_x0000_t202" filled="false" stroked="false">
              <v:textbox inset="0,0,0,0">
                <w:txbxContent>
                  <w:p>
                    <w:pPr>
                      <w:spacing w:line="133" w:lineRule="exact" w:before="0"/>
                      <w:ind w:left="0" w:right="0" w:firstLine="0"/>
                      <w:jc w:val="left"/>
                      <w:rPr>
                        <w:sz w:val="12"/>
                      </w:rPr>
                    </w:pPr>
                    <w:r>
                      <w:rPr>
                        <w:sz w:val="12"/>
                      </w:rPr>
                      <w:t>4</w:t>
                    </w:r>
                  </w:p>
                </w:txbxContent>
              </v:textbox>
              <w10:wrap type="none"/>
            </v:shape>
          </v:group>
        </w:pict>
      </w:r>
      <w:r>
        <w:rPr>
          <w:sz w:val="20"/>
        </w:rPr>
      </w:r>
    </w:p>
    <w:p>
      <w:pPr>
        <w:tabs>
          <w:tab w:pos="3259" w:val="left" w:leader="none"/>
        </w:tabs>
        <w:spacing w:line="122" w:lineRule="exact" w:before="23"/>
        <w:ind w:left="378" w:right="0" w:firstLine="0"/>
        <w:jc w:val="left"/>
        <w:rPr>
          <w:sz w:val="12"/>
        </w:rPr>
      </w:pPr>
      <w:r>
        <w:rPr/>
        <w:pict>
          <v:line style="position:absolute;mso-position-horizontal-relative:page;mso-position-vertical-relative:paragraph;z-index:15757824" from="47.292pt,5.22767pt" to="42.958pt,5.22767pt" stroked="true" strokeweight=".5pt" strokecolor="#000000">
            <v:stroke dashstyle="solid"/>
            <w10:wrap type="none"/>
          </v:line>
        </w:pict>
      </w:r>
      <w:r>
        <w:rPr/>
        <w:pict>
          <v:line style="position:absolute;mso-position-horizontal-relative:page;mso-position-vertical-relative:paragraph;z-index:15758336" from="51.109001pt,2.10867pt" to="51.109001pt,4.72767pt" stroked="true" strokeweight=".5pt" strokecolor="#000000">
            <v:stroke dashstyle="solid"/>
            <w10:wrap type="none"/>
          </v:line>
        </w:pict>
      </w:r>
      <w:r>
        <w:rPr/>
        <w:pict>
          <v:line style="position:absolute;mso-position-horizontal-relative:page;mso-position-vertical-relative:paragraph;z-index:-23539200" from="58.109001pt,2.06167pt" to="58.109001pt,4.72767pt" stroked="true" strokeweight=".5pt" strokecolor="#000000">
            <v:stroke dashstyle="solid"/>
            <w10:wrap type="none"/>
          </v:line>
        </w:pict>
      </w:r>
      <w:r>
        <w:rPr/>
        <w:pict>
          <v:line style="position:absolute;mso-position-horizontal-relative:page;mso-position-vertical-relative:paragraph;z-index:-23538688" from="65.443001pt,2.06167pt" to="65.443001pt,4.72767pt" stroked="true" strokeweight=".5pt" strokecolor="#000000">
            <v:stroke dashstyle="solid"/>
            <w10:wrap type="none"/>
          </v:line>
        </w:pict>
      </w:r>
      <w:r>
        <w:rPr/>
        <w:pict>
          <v:line style="position:absolute;mso-position-horizontal-relative:page;mso-position-vertical-relative:paragraph;z-index:-23538176" from="72.443001pt,2.06167pt" to="72.443001pt,4.72767pt" stroked="true" strokeweight=".5pt" strokecolor="#000000">
            <v:stroke dashstyle="solid"/>
            <w10:wrap type="none"/>
          </v:line>
        </w:pict>
      </w:r>
      <w:r>
        <w:rPr/>
        <w:pict>
          <v:line style="position:absolute;mso-position-horizontal-relative:page;mso-position-vertical-relative:paragraph;z-index:-23537664" from="130.774994pt,2.10867pt" to="130.774994pt,4.72767pt" stroked="true" strokeweight=".5pt" strokecolor="#000000">
            <v:stroke dashstyle="solid"/>
            <w10:wrap type="none"/>
          </v:line>
        </w:pict>
      </w:r>
      <w:r>
        <w:rPr/>
        <w:pict>
          <v:line style="position:absolute;mso-position-horizontal-relative:page;mso-position-vertical-relative:paragraph;z-index:-23537152" from="80.108002pt,2.06167pt" to="80.108002pt,4.72767pt" stroked="true" strokeweight=".5pt" strokecolor="#000000">
            <v:stroke dashstyle="solid"/>
            <w10:wrap type="none"/>
          </v:line>
        </w:pict>
      </w:r>
      <w:r>
        <w:rPr/>
        <w:pict>
          <v:line style="position:absolute;mso-position-horizontal-relative:page;mso-position-vertical-relative:paragraph;z-index:-23536640" from="86.942001pt,2.06167pt" to="86.942001pt,4.72767pt" stroked="true" strokeweight=".5pt" strokecolor="#000000">
            <v:stroke dashstyle="solid"/>
            <w10:wrap type="none"/>
          </v:line>
        </w:pict>
      </w:r>
      <w:r>
        <w:rPr/>
        <w:pict>
          <v:line style="position:absolute;mso-position-horizontal-relative:page;mso-position-vertical-relative:paragraph;z-index:-23536128" from="94.275002pt,2.06167pt" to="94.275002pt,4.72767pt" stroked="true" strokeweight=".5pt" strokecolor="#000000">
            <v:stroke dashstyle="solid"/>
            <w10:wrap type="none"/>
          </v:line>
        </w:pict>
      </w:r>
      <w:r>
        <w:rPr/>
        <w:pict>
          <v:line style="position:absolute;mso-position-horizontal-relative:page;mso-position-vertical-relative:paragraph;z-index:-23535616" from="101.275002pt,2.06167pt" to="101.275002pt,4.72767pt" stroked="true" strokeweight=".5pt" strokecolor="#000000">
            <v:stroke dashstyle="solid"/>
            <w10:wrap type="none"/>
          </v:line>
        </w:pict>
      </w:r>
      <w:r>
        <w:rPr/>
        <w:pict>
          <v:line style="position:absolute;mso-position-horizontal-relative:page;mso-position-vertical-relative:paragraph;z-index:-23535104" from="108.941002pt,2.06167pt" to="108.941002pt,4.72767pt" stroked="true" strokeweight=".5pt" strokecolor="#000000">
            <v:stroke dashstyle="solid"/>
            <w10:wrap type="none"/>
          </v:line>
        </w:pict>
      </w:r>
      <w:r>
        <w:rPr/>
        <w:pict>
          <v:line style="position:absolute;mso-position-horizontal-relative:page;mso-position-vertical-relative:paragraph;z-index:-23534592" from="115.609001pt,2.06167pt" to="115.609001pt,4.72767pt" stroked="true" strokeweight=".5pt" strokecolor="#000000">
            <v:stroke dashstyle="solid"/>
            <w10:wrap type="none"/>
          </v:line>
        </w:pict>
      </w:r>
      <w:r>
        <w:rPr/>
        <w:pict>
          <v:line style="position:absolute;mso-position-horizontal-relative:page;mso-position-vertical-relative:paragraph;z-index:-23534080" from="122.942001pt,2.06167pt" to="122.942001pt,4.72767pt" stroked="true" strokeweight=".5pt" strokecolor="#000000">
            <v:stroke dashstyle="solid"/>
            <w10:wrap type="none"/>
          </v:line>
        </w:pict>
      </w:r>
      <w:r>
        <w:rPr/>
        <w:pict>
          <v:line style="position:absolute;mso-position-horizontal-relative:page;mso-position-vertical-relative:paragraph;z-index:-23533568" from="137.608002pt,2.06167pt" to="137.608002pt,4.72767pt" stroked="true" strokeweight=".5pt" strokecolor="#000000">
            <v:stroke dashstyle="solid"/>
            <w10:wrap type="none"/>
          </v:line>
        </w:pict>
      </w:r>
      <w:r>
        <w:rPr/>
        <w:pict>
          <v:line style="position:absolute;mso-position-horizontal-relative:page;mso-position-vertical-relative:paragraph;z-index:-23533056" from="144.274002pt,2.06167pt" to="144.274002pt,4.72767pt" stroked="true" strokeweight=".5pt" strokecolor="#000000">
            <v:stroke dashstyle="solid"/>
            <w10:wrap type="none"/>
          </v:line>
        </w:pict>
      </w:r>
      <w:r>
        <w:rPr/>
        <w:pict>
          <v:line style="position:absolute;mso-position-horizontal-relative:page;mso-position-vertical-relative:paragraph;z-index:-23532544" from="151.608002pt,2.06167pt" to="151.608002pt,4.72767pt" stroked="true" strokeweight=".5pt" strokecolor="#000000">
            <v:stroke dashstyle="solid"/>
            <w10:wrap type="none"/>
          </v:line>
        </w:pict>
      </w:r>
      <w:r>
        <w:rPr/>
        <w:pict>
          <v:line style="position:absolute;mso-position-horizontal-relative:page;mso-position-vertical-relative:paragraph;z-index:-23532032" from="158.608002pt,2.06167pt" to="158.608002pt,4.72767pt" stroked="true" strokeweight=".5pt" strokecolor="#000000">
            <v:stroke dashstyle="solid"/>
            <w10:wrap type="none"/>
          </v:line>
        </w:pict>
      </w:r>
      <w:r>
        <w:rPr/>
        <w:pict>
          <v:line style="position:absolute;mso-position-horizontal-relative:page;mso-position-vertical-relative:paragraph;z-index:-23531520" from="166.274002pt,2.06167pt" to="166.274002pt,4.72767pt" stroked="true" strokeweight=".5pt" strokecolor="#000000">
            <v:stroke dashstyle="solid"/>
            <w10:wrap type="none"/>
          </v:line>
        </w:pict>
      </w:r>
      <w:r>
        <w:rPr/>
        <w:pict>
          <v:line style="position:absolute;mso-position-horizontal-relative:page;mso-position-vertical-relative:paragraph;z-index:-23531008" from="173.608002pt,2.06167pt" to="173.608002pt,4.72767pt" stroked="true" strokeweight=".5pt" strokecolor="#000000">
            <v:stroke dashstyle="solid"/>
            <w10:wrap type="none"/>
          </v:line>
        </w:pict>
      </w:r>
      <w:r>
        <w:rPr/>
        <w:pict>
          <v:line style="position:absolute;mso-position-horizontal-relative:page;mso-position-vertical-relative:paragraph;z-index:-23530496" from="180.942001pt,2.06167pt" to="180.942001pt,4.72767pt" stroked="true" strokeweight=".5pt" strokecolor="#000000">
            <v:stroke dashstyle="solid"/>
            <w10:wrap type="none"/>
          </v:line>
        </w:pict>
      </w:r>
      <w:r>
        <w:rPr/>
        <w:pict>
          <v:line style="position:absolute;mso-position-horizontal-relative:page;mso-position-vertical-relative:paragraph;z-index:-23529984" from="187.942001pt,2.06167pt" to="187.942001pt,4.72767pt" stroked="true" strokeweight=".5pt" strokecolor="#000000">
            <v:stroke dashstyle="solid"/>
            <w10:wrap type="none"/>
          </v:line>
        </w:pict>
      </w:r>
      <w:r>
        <w:rPr/>
        <w:pict>
          <v:line style="position:absolute;mso-position-horizontal-relative:page;mso-position-vertical-relative:paragraph;z-index:-23529472" from="194.942001pt,2.10867pt" to="194.942001pt,4.72767pt" stroked="true" strokeweight=".5pt" strokecolor="#000000">
            <v:stroke dashstyle="solid"/>
            <w10:wrap type="none"/>
          </v:line>
        </w:pict>
      </w:r>
      <w:r>
        <w:rPr>
          <w:sz w:val="12"/>
          <w:u w:val="single"/>
        </w:rPr>
        <w:t> </w:t>
        <w:tab/>
      </w:r>
      <w:r>
        <w:rPr>
          <w:sz w:val="12"/>
        </w:rPr>
        <w:t> </w:t>
      </w:r>
      <w:r>
        <w:rPr>
          <w:spacing w:val="5"/>
          <w:sz w:val="12"/>
        </w:rPr>
        <w:t> </w:t>
      </w:r>
      <w:r>
        <w:rPr>
          <w:sz w:val="12"/>
          <w:u w:val="single"/>
        </w:rPr>
        <w:t>  </w:t>
      </w:r>
      <w:r>
        <w:rPr>
          <w:spacing w:val="-4"/>
          <w:sz w:val="12"/>
          <w:u w:val="single"/>
        </w:rPr>
        <w:t> </w:t>
      </w:r>
      <w:r>
        <w:rPr>
          <w:sz w:val="12"/>
        </w:rPr>
        <w:t>  </w:t>
      </w:r>
      <w:r>
        <w:rPr>
          <w:spacing w:val="-11"/>
          <w:sz w:val="12"/>
        </w:rPr>
        <w:t> </w:t>
      </w:r>
      <w:r>
        <w:rPr>
          <w:sz w:val="12"/>
        </w:rPr>
        <w:t>6</w:t>
      </w:r>
    </w:p>
    <w:p>
      <w:pPr>
        <w:spacing w:line="122" w:lineRule="exact" w:before="0"/>
        <w:ind w:left="313" w:right="0" w:firstLine="0"/>
        <w:jc w:val="left"/>
        <w:rPr>
          <w:sz w:val="12"/>
        </w:rPr>
      </w:pPr>
      <w:r>
        <w:rPr>
          <w:sz w:val="12"/>
        </w:rPr>
        <w:t>1980 82 84 86 88 90 92 94 96 98 2000</w:t>
      </w:r>
    </w:p>
    <w:p>
      <w:pPr>
        <w:spacing w:before="62"/>
        <w:ind w:left="184" w:right="0" w:firstLine="0"/>
        <w:jc w:val="left"/>
        <w:rPr>
          <w:sz w:val="12"/>
        </w:rPr>
      </w:pPr>
      <w:r>
        <w:rPr>
          <w:sz w:val="12"/>
        </w:rPr>
        <w:t>Sources: ONS and Bank of England.</w:t>
      </w:r>
    </w:p>
    <w:p>
      <w:pPr>
        <w:spacing w:before="102"/>
        <w:ind w:left="184" w:right="0" w:firstLine="0"/>
        <w:jc w:val="left"/>
        <w:rPr>
          <w:sz w:val="12"/>
        </w:rPr>
      </w:pPr>
      <w:r>
        <w:rPr>
          <w:sz w:val="12"/>
        </w:rPr>
        <w:t>(a) M4 lending flows minus M4 deposit flows.</w:t>
      </w:r>
    </w:p>
    <w:p>
      <w:pPr>
        <w:pStyle w:val="BodyText"/>
        <w:rPr>
          <w:sz w:val="12"/>
        </w:rPr>
      </w:pPr>
    </w:p>
    <w:p>
      <w:pPr>
        <w:pStyle w:val="BodyText"/>
        <w:rPr>
          <w:sz w:val="12"/>
        </w:rPr>
      </w:pPr>
    </w:p>
    <w:p>
      <w:pPr>
        <w:pStyle w:val="Heading6"/>
        <w:spacing w:before="106"/>
        <w:ind w:left="204"/>
      </w:pPr>
      <w:r>
        <w:rPr>
          <w:color w:val="0092C7"/>
        </w:rPr>
        <w:t>Chart 1.4</w:t>
      </w:r>
    </w:p>
    <w:p>
      <w:pPr>
        <w:pStyle w:val="Heading6"/>
        <w:ind w:left="204"/>
      </w:pPr>
      <w:r>
        <w:rPr>
          <w:color w:val="0092C7"/>
        </w:rPr>
        <w:t>Household Divisia and consumption</w:t>
      </w:r>
    </w:p>
    <w:p>
      <w:pPr>
        <w:spacing w:line="123" w:lineRule="exact" w:before="92"/>
        <w:ind w:left="1698" w:right="0" w:firstLine="0"/>
        <w:jc w:val="left"/>
        <w:rPr>
          <w:sz w:val="12"/>
        </w:rPr>
      </w:pPr>
      <w:r>
        <w:rPr>
          <w:sz w:val="12"/>
        </w:rPr>
        <w:t>Percentage changes on a year earlier</w:t>
      </w:r>
    </w:p>
    <w:p>
      <w:pPr>
        <w:spacing w:line="123" w:lineRule="exact" w:before="0"/>
        <w:ind w:left="3498" w:right="0" w:firstLine="0"/>
        <w:jc w:val="left"/>
        <w:rPr>
          <w:sz w:val="12"/>
        </w:rPr>
      </w:pPr>
      <w:r>
        <w:rPr/>
        <w:pict>
          <v:group style="position:absolute;margin-left:51.470001pt;margin-top:2.978622pt;width:145pt;height:142.65pt;mso-position-horizontal-relative:page;mso-position-vertical-relative:paragraph;z-index:15779328" coordorigin="1029,60" coordsize="2900,2853">
            <v:shape style="position:absolute;left:1039;top:1357;width:360;height:1288" coordorigin="1039,1357" coordsize="360,1288" path="m1039,2645l1084,2455m1084,2455l1129,2317m1129,2317l1174,2010m1174,2010l1219,1785m1219,1785l1264,1940m1264,1940l1309,1855m1309,1855l1354,1785m1354,1785l1399,1357e" filled="false" stroked="true" strokeweight="1pt" strokecolor="#835335">
              <v:path arrowok="t"/>
              <v:stroke dashstyle="solid"/>
            </v:shape>
            <v:shape style="position:absolute;left:1389;top:1019;width:323;height:518" type="#_x0000_t75" stroked="false">
              <v:imagedata r:id="rId27" o:title=""/>
            </v:shape>
            <v:line style="position:absolute" from="1724,695" to="1724,1212" stroked="true" strokeweight="3.25pt" strokecolor="#835335">
              <v:stroke dashstyle="solid"/>
            </v:line>
            <v:shape style="position:absolute;left:1746;top:69;width:90;height:653" coordorigin="1747,70" coordsize="90,653" path="m1747,705l1792,722m1792,722l1837,70e" filled="false" stroked="true" strokeweight="1pt" strokecolor="#835335">
              <v:path arrowok="t"/>
              <v:stroke dashstyle="solid"/>
            </v:shape>
            <v:shape style="position:absolute;left:1826;top:59;width:325;height:638" type="#_x0000_t75" stroked="false">
              <v:imagedata r:id="rId28" o:title=""/>
            </v:shape>
            <v:shape style="position:absolute;left:2164;top:677;width:45;height:1085" coordorigin="2164,677" coordsize="45,1085" path="m2164,677l2164,1297m2209,1277l2209,1762e" filled="false" stroked="true" strokeweight="3.25pt" strokecolor="#835335">
              <v:path arrowok="t"/>
              <v:stroke dashstyle="solid"/>
            </v:shape>
            <v:shape style="position:absolute;left:2231;top:1632;width:1070;height:1270" coordorigin="2232,1632" coordsize="1070,1270" path="m2232,1752l2277,2025m2277,2025l2322,2335m2322,2335l2367,2402m2367,2402l2412,2627m2412,2627l2457,2610m2457,2610l2502,2660m2502,2660l2547,2730m2547,2730l2592,2610m2592,2610l2637,2902m2637,2902l2682,2867m2682,2867l2727,2797m2727,2797l2772,2780m2772,2780l2817,2575m2817,2575l2852,2730m2852,2730l2897,2712m2897,2712l2942,2747m2942,2747l2987,2660m2987,2660l3032,2370m3032,2370l3077,2162m3077,2162l3122,1975m3122,1975l3167,1647m3167,1647l3212,1632m3212,1632l3257,1717m3257,1717l3302,1767e" filled="false" stroked="true" strokeweight="1pt" strokecolor="#835335">
              <v:path arrowok="t"/>
              <v:stroke dashstyle="solid"/>
            </v:shape>
            <v:line style="position:absolute" from="3292,1768" to="3357,1768" stroked="true" strokeweight="1.125pt" strokecolor="#835335">
              <v:stroke dashstyle="solid"/>
            </v:line>
            <v:shape style="position:absolute;left:3346;top:1647;width:573;height:550" coordorigin="3347,1647" coordsize="573,550" path="m3347,1767l3392,1752m3392,1752l3437,1735m3437,1735l3482,1647m3482,1647l3527,2010m3527,2010l3559,2042m3559,2042l3649,2077m3649,2077l3694,1975m3694,1975l3739,1992m3739,1992l3784,2060m3784,2060l3829,2010m3829,2010l3874,2145m3874,2145l3919,2197e" filled="false" stroked="true" strokeweight="1pt" strokecolor="#835335">
              <v:path arrowok="t"/>
              <v:stroke dashstyle="solid"/>
            </v:shape>
            <v:shape style="position:absolute;left:1039;top:962;width:1903;height:1338" coordorigin="1039,962" coordsize="1903,1338" path="m1039,1855l1084,1767m1084,1767l1129,2180m1129,2180l1174,1905m1174,1905l1219,1735m1219,1735l1264,1802m1264,1802l1309,1425m1309,1425l1354,1510m1354,1510l1399,1442m1399,1442l1432,1237m1432,1237l1522,1477m1522,1477l1567,1545m1567,1545l1612,1735m1612,1735l1657,1580m1657,1580l1702,1305m1702,1305l1747,1167m1747,1167l1792,1117m1792,1117l1837,962m1837,962l1882,1100m1882,1100l1927,1357m1927,1357l1972,1375m1972,1375l2017,1767m2017,1767l2062,1717m2062,1717l2107,1735m2107,1735l2142,1632m2142,1632l2187,1665m2187,1665l2232,1837m2232,1837l2277,1975m2277,1975l2322,2145m2322,2145l2367,2042m2367,2042l2412,2145m2412,2145l2457,2162m2457,2162l2502,2145m2502,2145l2547,2267m2547,2267l2592,2250m2592,2250l2637,2130m2637,2130l2682,2112m2682,2112l2727,1957m2727,1957l2772,1905m2772,1905l2817,2042m2817,2042l2852,2180m2852,2180l2897,2300m2897,2300l2942,2282e" filled="false" stroked="true" strokeweight="1pt" strokecolor="#de8508">
              <v:path arrowok="t"/>
              <v:stroke dashstyle="solid"/>
            </v:shape>
            <v:line style="position:absolute" from="2932,2283" to="2997,2283" stroked="true" strokeweight="1.125pt" strokecolor="#de8508">
              <v:stroke dashstyle="solid"/>
            </v:line>
            <v:shape style="position:absolute;left:2986;top:1904;width:450;height:395" coordorigin="2987,1905" coordsize="450,395" path="m2987,2282l3032,2267m3032,2267l3077,2300m3077,2300l3122,2282m3122,2282l3167,2025m3167,2025l3212,2010m3212,2010l3257,1922m3257,1922l3302,1905m3302,1905l3347,2077m3347,2077l3392,2042m3392,2042l3437,1975e" filled="false" stroked="true" strokeweight="1pt" strokecolor="#de8508">
              <v:path arrowok="t"/>
              <v:stroke dashstyle="solid"/>
            </v:shape>
            <v:line style="position:absolute" from="3427,1976" to="3492,1976" stroked="true" strokeweight="1.125pt" strokecolor="#de8508">
              <v:stroke dashstyle="solid"/>
            </v:line>
            <v:line style="position:absolute" from="3482,1975" to="3527,1940" stroked="true" strokeweight="1pt" strokecolor="#de8508">
              <v:stroke dashstyle="solid"/>
            </v:line>
            <v:line style="position:absolute" from="3517,1941" to="3569,1941" stroked="true" strokeweight="1.125pt" strokecolor="#de8508">
              <v:stroke dashstyle="solid"/>
            </v:line>
            <v:shape style="position:absolute;left:3559;top:1939;width:135;height:155" coordorigin="3559,1940" coordsize="135,155" path="m3559,1940l3604,2042m3604,2042l3649,2095m3649,2095l3694,2060e" filled="false" stroked="true" strokeweight="1pt" strokecolor="#de8508">
              <v:path arrowok="t"/>
              <v:stroke dashstyle="solid"/>
            </v:shape>
            <v:shape style="position:absolute;left:3684;top:2060;width:110;height:2" coordorigin="3684,2061" coordsize="110,0" path="m3684,2061l3749,2061m3729,2061l3794,2061e" filled="false" stroked="true" strokeweight="1.125pt" strokecolor="#de8508">
              <v:path arrowok="t"/>
              <v:stroke dashstyle="solid"/>
            </v:shape>
            <v:shape style="position:absolute;left:3784;top:1974;width:90;height:138" coordorigin="3784,1975" coordsize="90,138" path="m3784,2060l3829,1975m3829,1975l3874,2112e" filled="false" stroked="true" strokeweight="1pt" strokecolor="#de8508">
              <v:path arrowok="t"/>
              <v:stroke dashstyle="solid"/>
            </v:shape>
            <v:line style="position:absolute" from="2902,1460" to="2802,1830" stroked="true" strokeweight=".5pt" strokecolor="#000000">
              <v:stroke dashstyle="solid"/>
            </v:line>
            <v:shape style="position:absolute;left:2781;top:1806;width:49;height:89" coordorigin="2782,1807" coordsize="49,89" path="m2782,1807l2784,1824,2785,1836,2786,1850,2786,1863,2786,1875,2785,1886,2784,1895,2788,1887,2831,1820,2782,1807xe" filled="true" fillcolor="#000000" stroked="false">
              <v:path arrowok="t"/>
              <v:fill type="solid"/>
            </v:shape>
            <v:shape style="position:absolute;left:2174;top:319;width:917;height:134" type="#_x0000_t202" filled="false" stroked="false">
              <v:textbox inset="0,0,0,0">
                <w:txbxContent>
                  <w:p>
                    <w:pPr>
                      <w:spacing w:line="133" w:lineRule="exact" w:before="0"/>
                      <w:ind w:left="0" w:right="0" w:firstLine="0"/>
                      <w:jc w:val="left"/>
                      <w:rPr>
                        <w:sz w:val="12"/>
                      </w:rPr>
                    </w:pPr>
                    <w:r>
                      <w:rPr>
                        <w:sz w:val="12"/>
                      </w:rPr>
                      <w:t>Household Divisia</w:t>
                    </w:r>
                  </w:p>
                </w:txbxContent>
              </v:textbox>
              <w10:wrap type="none"/>
            </v:shape>
            <v:shape style="position:absolute;left:2556;top:1299;width:1090;height:134" type="#_x0000_t202" filled="false" stroked="false">
              <v:textbox inset="0,0,0,0">
                <w:txbxContent>
                  <w:p>
                    <w:pPr>
                      <w:spacing w:line="133" w:lineRule="exact" w:before="0"/>
                      <w:ind w:left="0" w:right="0" w:firstLine="0"/>
                      <w:jc w:val="left"/>
                      <w:rPr>
                        <w:sz w:val="12"/>
                      </w:rPr>
                    </w:pPr>
                    <w:r>
                      <w:rPr>
                        <w:sz w:val="12"/>
                      </w:rPr>
                      <w:t>Nominal consumption</w:t>
                    </w:r>
                  </w:p>
                </w:txbxContent>
              </v:textbox>
              <w10:wrap type="none"/>
            </v:shape>
            <w10:wrap type="none"/>
          </v:group>
        </w:pict>
      </w:r>
      <w:r>
        <w:rPr/>
        <w:pict>
          <v:line style="position:absolute;mso-position-horizontal-relative:page;mso-position-vertical-relative:paragraph;z-index:15779840" from="45.887001pt,3.520622pt" to="41.553001pt,3.520622pt" stroked="true" strokeweight=".5pt" strokecolor="#000000">
            <v:stroke dashstyle="solid"/>
            <w10:wrap type="none"/>
          </v:line>
        </w:pict>
      </w:r>
      <w:r>
        <w:rPr/>
        <w:pict>
          <v:line style="position:absolute;mso-position-horizontal-relative:page;mso-position-vertical-relative:paragraph;z-index:15785472" from="204.385994pt,3.176622pt" to="200.052994pt,3.176622pt" stroked="true" strokeweight=".5pt" strokecolor="#000000">
            <v:stroke dashstyle="solid"/>
            <w10:wrap type="none"/>
          </v:line>
        </w:pict>
      </w:r>
      <w:r>
        <w:rPr>
          <w:sz w:val="12"/>
        </w:rPr>
        <w:t>20</w:t>
      </w:r>
    </w:p>
    <w:p>
      <w:pPr>
        <w:pStyle w:val="BodyText"/>
        <w:spacing w:before="3"/>
        <w:rPr>
          <w:sz w:val="13"/>
        </w:rPr>
      </w:pPr>
    </w:p>
    <w:p>
      <w:pPr>
        <w:spacing w:before="0"/>
        <w:ind w:left="3498" w:right="0" w:firstLine="0"/>
        <w:jc w:val="left"/>
        <w:rPr>
          <w:sz w:val="12"/>
        </w:rPr>
      </w:pPr>
      <w:r>
        <w:rPr/>
        <w:pict>
          <v:line style="position:absolute;mso-position-horizontal-relative:page;mso-position-vertical-relative:paragraph;z-index:15782912" from="45.886001pt,4.643237pt" to="41.553001pt,4.643237pt" stroked="true" strokeweight=".5pt" strokecolor="#000000">
            <v:stroke dashstyle="solid"/>
            <w10:wrap type="none"/>
          </v:line>
        </w:pict>
      </w:r>
      <w:r>
        <w:rPr/>
        <w:pict>
          <v:line style="position:absolute;mso-position-horizontal-relative:page;mso-position-vertical-relative:paragraph;z-index:15788544" from="204.385994pt,4.299237pt" to="200.052994pt,4.299237pt" stroked="true" strokeweight=".5pt" strokecolor="#000000">
            <v:stroke dashstyle="solid"/>
            <w10:wrap type="none"/>
          </v:line>
        </w:pict>
      </w:r>
      <w:r>
        <w:rPr>
          <w:sz w:val="12"/>
        </w:rPr>
        <w:t>18</w:t>
      </w:r>
    </w:p>
    <w:p>
      <w:pPr>
        <w:pStyle w:val="BodyText"/>
        <w:spacing w:before="5"/>
        <w:rPr>
          <w:sz w:val="13"/>
        </w:rPr>
      </w:pPr>
    </w:p>
    <w:p>
      <w:pPr>
        <w:spacing w:before="0"/>
        <w:ind w:left="3498" w:right="0" w:firstLine="0"/>
        <w:jc w:val="left"/>
        <w:rPr>
          <w:sz w:val="12"/>
        </w:rPr>
      </w:pPr>
      <w:r>
        <w:rPr/>
        <w:pict>
          <v:line style="position:absolute;mso-position-horizontal-relative:page;mso-position-vertical-relative:paragraph;z-index:15780352" from="45.887001pt,4.862236pt" to="41.553001pt,4.862236pt" stroked="true" strokeweight=".5pt" strokecolor="#000000">
            <v:stroke dashstyle="solid"/>
            <w10:wrap type="none"/>
          </v:line>
        </w:pict>
      </w:r>
      <w:r>
        <w:rPr/>
        <w:pict>
          <v:line style="position:absolute;mso-position-horizontal-relative:page;mso-position-vertical-relative:paragraph;z-index:15785984" from="204.385994pt,4.518237pt" to="200.052994pt,4.518237pt" stroked="true" strokeweight=".5pt" strokecolor="#000000">
            <v:stroke dashstyle="solid"/>
            <w10:wrap type="none"/>
          </v:line>
        </w:pict>
      </w:r>
      <w:r>
        <w:rPr>
          <w:sz w:val="12"/>
        </w:rPr>
        <w:t>16</w:t>
      </w:r>
    </w:p>
    <w:p>
      <w:pPr>
        <w:pStyle w:val="BodyText"/>
        <w:spacing w:before="10"/>
        <w:rPr>
          <w:sz w:val="11"/>
        </w:rPr>
      </w:pPr>
    </w:p>
    <w:p>
      <w:pPr>
        <w:spacing w:before="0"/>
        <w:ind w:left="3498" w:right="0" w:firstLine="0"/>
        <w:jc w:val="left"/>
        <w:rPr>
          <w:sz w:val="12"/>
        </w:rPr>
      </w:pPr>
      <w:r>
        <w:rPr/>
        <w:pict>
          <v:line style="position:absolute;mso-position-horizontal-relative:page;mso-position-vertical-relative:paragraph;z-index:15783424" from="45.886001pt,4.226023pt" to="41.553001pt,4.226023pt" stroked="true" strokeweight=".5pt" strokecolor="#000000">
            <v:stroke dashstyle="solid"/>
            <w10:wrap type="none"/>
          </v:line>
        </w:pict>
      </w:r>
      <w:r>
        <w:rPr/>
        <w:pict>
          <v:line style="position:absolute;mso-position-horizontal-relative:page;mso-position-vertical-relative:paragraph;z-index:15789056" from="204.385994pt,3.883023pt" to="200.052994pt,3.883023pt" stroked="true" strokeweight=".5pt" strokecolor="#000000">
            <v:stroke dashstyle="solid"/>
            <w10:wrap type="none"/>
          </v:line>
        </w:pict>
      </w:r>
      <w:r>
        <w:rPr>
          <w:sz w:val="12"/>
        </w:rPr>
        <w:t>14</w:t>
      </w:r>
    </w:p>
    <w:p>
      <w:pPr>
        <w:pStyle w:val="BodyText"/>
        <w:spacing w:before="5"/>
        <w:rPr>
          <w:sz w:val="13"/>
        </w:rPr>
      </w:pPr>
    </w:p>
    <w:p>
      <w:pPr>
        <w:spacing w:before="0"/>
        <w:ind w:left="3498" w:right="0" w:firstLine="0"/>
        <w:jc w:val="left"/>
        <w:rPr>
          <w:sz w:val="12"/>
        </w:rPr>
      </w:pPr>
      <w:r>
        <w:rPr/>
        <w:pict>
          <v:line style="position:absolute;mso-position-horizontal-relative:page;mso-position-vertical-relative:paragraph;z-index:15780864" from="45.887001pt,4.445023pt" to="41.553001pt,4.445023pt" stroked="true" strokeweight=".5pt" strokecolor="#000000">
            <v:stroke dashstyle="solid"/>
            <w10:wrap type="none"/>
          </v:line>
        </w:pict>
      </w:r>
      <w:r>
        <w:rPr/>
        <w:pict>
          <v:line style="position:absolute;mso-position-horizontal-relative:page;mso-position-vertical-relative:paragraph;z-index:15786496" from="204.385994pt,4.101023pt" to="200.052994pt,4.101023pt" stroked="true" strokeweight=".5pt" strokecolor="#000000">
            <v:stroke dashstyle="solid"/>
            <w10:wrap type="none"/>
          </v:line>
        </w:pict>
      </w:r>
      <w:r>
        <w:rPr>
          <w:sz w:val="12"/>
        </w:rPr>
        <w:t>12</w:t>
      </w:r>
    </w:p>
    <w:p>
      <w:pPr>
        <w:pStyle w:val="BodyText"/>
        <w:spacing w:before="3"/>
        <w:rPr>
          <w:sz w:val="13"/>
        </w:rPr>
      </w:pPr>
    </w:p>
    <w:p>
      <w:pPr>
        <w:spacing w:before="0"/>
        <w:ind w:left="3498" w:right="0" w:firstLine="0"/>
        <w:jc w:val="left"/>
        <w:rPr>
          <w:sz w:val="12"/>
        </w:rPr>
      </w:pPr>
      <w:r>
        <w:rPr/>
        <w:pict>
          <v:line style="position:absolute;mso-position-horizontal-relative:page;mso-position-vertical-relative:paragraph;z-index:15783936" from="45.886001pt,3.808825pt" to="41.553001pt,3.808825pt" stroked="true" strokeweight=".5pt" strokecolor="#000000">
            <v:stroke dashstyle="solid"/>
            <w10:wrap type="none"/>
          </v:line>
        </w:pict>
      </w:r>
      <w:r>
        <w:rPr/>
        <w:pict>
          <v:line style="position:absolute;mso-position-horizontal-relative:page;mso-position-vertical-relative:paragraph;z-index:15789568" from="204.385994pt,3.465825pt" to="200.052994pt,3.465825pt" stroked="true" strokeweight=".5pt" strokecolor="#000000">
            <v:stroke dashstyle="solid"/>
            <w10:wrap type="none"/>
          </v:line>
        </w:pict>
      </w:r>
      <w:r>
        <w:rPr>
          <w:sz w:val="12"/>
        </w:rPr>
        <w:t>10</w:t>
      </w:r>
    </w:p>
    <w:p>
      <w:pPr>
        <w:pStyle w:val="BodyText"/>
        <w:spacing w:before="5"/>
        <w:rPr>
          <w:sz w:val="13"/>
        </w:rPr>
      </w:pPr>
    </w:p>
    <w:p>
      <w:pPr>
        <w:spacing w:before="0"/>
        <w:ind w:left="3558" w:right="0" w:firstLine="0"/>
        <w:jc w:val="left"/>
        <w:rPr>
          <w:sz w:val="12"/>
        </w:rPr>
      </w:pPr>
      <w:r>
        <w:rPr/>
        <w:pict>
          <v:line style="position:absolute;mso-position-horizontal-relative:page;mso-position-vertical-relative:paragraph;z-index:15781376" from="45.887001pt,4.027824pt" to="41.553001pt,4.027824pt" stroked="true" strokeweight=".5pt" strokecolor="#000000">
            <v:stroke dashstyle="solid"/>
            <w10:wrap type="none"/>
          </v:line>
        </w:pict>
      </w:r>
      <w:r>
        <w:rPr/>
        <w:pict>
          <v:line style="position:absolute;mso-position-horizontal-relative:page;mso-position-vertical-relative:paragraph;z-index:15787008" from="204.385994pt,3.683825pt" to="200.052994pt,3.683825pt" stroked="true" strokeweight=".5pt" strokecolor="#000000">
            <v:stroke dashstyle="solid"/>
            <w10:wrap type="none"/>
          </v:line>
        </w:pict>
      </w:r>
      <w:r>
        <w:rPr>
          <w:sz w:val="12"/>
        </w:rPr>
        <w:t>8</w:t>
      </w:r>
    </w:p>
    <w:p>
      <w:pPr>
        <w:pStyle w:val="BodyText"/>
        <w:spacing w:before="5"/>
        <w:rPr>
          <w:sz w:val="13"/>
        </w:rPr>
      </w:pPr>
    </w:p>
    <w:p>
      <w:pPr>
        <w:spacing w:before="0"/>
        <w:ind w:left="3558" w:right="0" w:firstLine="0"/>
        <w:jc w:val="left"/>
        <w:rPr>
          <w:sz w:val="12"/>
        </w:rPr>
      </w:pPr>
      <w:r>
        <w:rPr/>
        <w:pict>
          <v:line style="position:absolute;mso-position-horizontal-relative:page;mso-position-vertical-relative:paragraph;z-index:15784448" from="45.886001pt,3.82923pt" to="41.553001pt,3.82923pt" stroked="true" strokeweight=".5pt" strokecolor="#000000">
            <v:stroke dashstyle="solid"/>
            <w10:wrap type="none"/>
          </v:line>
        </w:pict>
      </w:r>
      <w:r>
        <w:rPr/>
        <w:pict>
          <v:line style="position:absolute;mso-position-horizontal-relative:page;mso-position-vertical-relative:paragraph;z-index:15790080" from="204.385994pt,3.485229pt" to="200.052994pt,3.485229pt" stroked="true" strokeweight=".5pt" strokecolor="#000000">
            <v:stroke dashstyle="solid"/>
            <w10:wrap type="none"/>
          </v:line>
        </w:pict>
      </w:r>
      <w:r>
        <w:rPr>
          <w:sz w:val="12"/>
        </w:rPr>
        <w:t>6</w:t>
      </w:r>
    </w:p>
    <w:p>
      <w:pPr>
        <w:pStyle w:val="BodyText"/>
        <w:spacing w:before="10"/>
        <w:rPr>
          <w:sz w:val="11"/>
        </w:rPr>
      </w:pPr>
    </w:p>
    <w:p>
      <w:pPr>
        <w:spacing w:before="0"/>
        <w:ind w:left="3558" w:right="0" w:firstLine="0"/>
        <w:jc w:val="left"/>
        <w:rPr>
          <w:sz w:val="12"/>
        </w:rPr>
      </w:pPr>
      <w:r>
        <w:rPr/>
        <w:pict>
          <v:line style="position:absolute;mso-position-horizontal-relative:page;mso-position-vertical-relative:paragraph;z-index:15781888" from="45.887001pt,3.923031pt" to="41.553001pt,3.923031pt" stroked="true" strokeweight=".5pt" strokecolor="#000000">
            <v:stroke dashstyle="solid"/>
            <w10:wrap type="none"/>
          </v:line>
        </w:pict>
      </w:r>
      <w:r>
        <w:rPr/>
        <w:pict>
          <v:line style="position:absolute;mso-position-horizontal-relative:page;mso-position-vertical-relative:paragraph;z-index:15787520" from="204.385994pt,3.579031pt" to="200.052994pt,3.579031pt" stroked="true" strokeweight=".5pt" strokecolor="#000000">
            <v:stroke dashstyle="solid"/>
            <w10:wrap type="none"/>
          </v:line>
        </w:pict>
      </w:r>
      <w:r>
        <w:rPr>
          <w:sz w:val="12"/>
        </w:rPr>
        <w:t>4</w:t>
      </w:r>
    </w:p>
    <w:p>
      <w:pPr>
        <w:pStyle w:val="BodyText"/>
        <w:spacing w:before="3"/>
        <w:rPr>
          <w:sz w:val="13"/>
        </w:rPr>
      </w:pPr>
    </w:p>
    <w:p>
      <w:pPr>
        <w:spacing w:before="0"/>
        <w:ind w:left="3558" w:right="0" w:firstLine="0"/>
        <w:jc w:val="left"/>
        <w:rPr>
          <w:sz w:val="12"/>
        </w:rPr>
      </w:pPr>
      <w:r>
        <w:rPr/>
        <w:pict>
          <v:line style="position:absolute;mso-position-horizontal-relative:page;mso-position-vertical-relative:paragraph;z-index:15784960" from="45.886001pt,4.286833pt" to="41.553001pt,4.286833pt" stroked="true" strokeweight=".5pt" strokecolor="#000000">
            <v:stroke dashstyle="solid"/>
            <w10:wrap type="none"/>
          </v:line>
        </w:pict>
      </w:r>
      <w:r>
        <w:rPr/>
        <w:pict>
          <v:line style="position:absolute;mso-position-horizontal-relative:page;mso-position-vertical-relative:paragraph;z-index:15790592" from="204.385994pt,3.942833pt" to="200.052994pt,3.942833pt" stroked="true" strokeweight=".5pt" strokecolor="#000000">
            <v:stroke dashstyle="solid"/>
            <w10:wrap type="none"/>
          </v:line>
        </w:pict>
      </w:r>
      <w:r>
        <w:rPr>
          <w:sz w:val="12"/>
        </w:rPr>
        <w:t>2</w:t>
      </w:r>
    </w:p>
    <w:p>
      <w:pPr>
        <w:pStyle w:val="BodyText"/>
        <w:spacing w:before="5"/>
        <w:rPr>
          <w:sz w:val="13"/>
        </w:rPr>
      </w:pPr>
    </w:p>
    <w:p>
      <w:pPr>
        <w:spacing w:before="0"/>
        <w:ind w:left="3558" w:right="0" w:firstLine="0"/>
        <w:jc w:val="left"/>
        <w:rPr>
          <w:sz w:val="12"/>
        </w:rPr>
      </w:pPr>
      <w:r>
        <w:rPr/>
        <w:pict>
          <v:line style="position:absolute;mso-position-horizontal-relative:page;mso-position-vertical-relative:paragraph;z-index:15782400" from="45.887001pt,4.505833pt" to="41.553001pt,4.505833pt" stroked="true" strokeweight=".5pt" strokecolor="#000000">
            <v:stroke dashstyle="solid"/>
            <w10:wrap type="none"/>
          </v:line>
        </w:pict>
      </w:r>
      <w:r>
        <w:rPr/>
        <w:pict>
          <v:line style="position:absolute;mso-position-horizontal-relative:page;mso-position-vertical-relative:paragraph;z-index:15788032" from="204.385994pt,4.161833pt" to="200.052994pt,4.161833pt" stroked="true" strokeweight=".5pt" strokecolor="#000000">
            <v:stroke dashstyle="solid"/>
            <w10:wrap type="none"/>
          </v:line>
        </w:pict>
      </w:r>
      <w:r>
        <w:rPr>
          <w:sz w:val="12"/>
        </w:rPr>
        <w:t>0</w:t>
      </w:r>
    </w:p>
    <w:p>
      <w:pPr>
        <w:pStyle w:val="BodyText"/>
        <w:spacing w:line="75" w:lineRule="exact"/>
        <w:ind w:left="389"/>
        <w:rPr>
          <w:sz w:val="7"/>
        </w:rPr>
      </w:pPr>
      <w:r>
        <w:rPr>
          <w:position w:val="-1"/>
          <w:sz w:val="7"/>
        </w:rPr>
        <w:pict>
          <v:group style="width:145pt;height:3.55pt;mso-position-horizontal-relative:char;mso-position-vertical-relative:line" coordorigin="0,0" coordsize="2900,71">
            <v:shape style="position:absolute;left:0;top:0;width:2900;height:66" coordorigin="0,0" coordsize="2900,66" path="m1077,0l1077,57m7,4l7,57m187,4l187,57m367,4l367,57m2853,0l2853,57m540,4l540,57m713,4l713,57m893,4l893,57m1247,4l1247,57m1433,4l1433,57m1613,4l1613,57m1793,4l1793,57m1967,4l1967,57m2123,4l2123,57m2303,4l2303,57m2483,4l2483,57m2657,4l2657,57m0,65l2900,65e" filled="false" stroked="true" strokeweight=".5pt" strokecolor="#000000">
              <v:path arrowok="t"/>
              <v:stroke dashstyle="solid"/>
            </v:shape>
          </v:group>
        </w:pict>
      </w:r>
      <w:r>
        <w:rPr>
          <w:position w:val="-1"/>
          <w:sz w:val="7"/>
        </w:rPr>
      </w:r>
    </w:p>
    <w:p>
      <w:pPr>
        <w:tabs>
          <w:tab w:pos="1039" w:val="left" w:leader="none"/>
          <w:tab w:pos="1399" w:val="left" w:leader="none"/>
          <w:tab w:pos="1749" w:val="left" w:leader="none"/>
          <w:tab w:pos="2109" w:val="left" w:leader="none"/>
          <w:tab w:pos="2459" w:val="left" w:leader="none"/>
          <w:tab w:pos="2819" w:val="left" w:leader="none"/>
          <w:tab w:pos="3166" w:val="left" w:leader="none"/>
        </w:tabs>
        <w:spacing w:before="62"/>
        <w:ind w:left="291" w:right="0" w:firstLine="0"/>
        <w:jc w:val="left"/>
        <w:rPr>
          <w:sz w:val="12"/>
        </w:rPr>
      </w:pPr>
      <w:r>
        <w:rPr>
          <w:sz w:val="12"/>
        </w:rPr>
        <w:t>1984    </w:t>
      </w:r>
      <w:r>
        <w:rPr>
          <w:spacing w:val="10"/>
          <w:sz w:val="12"/>
        </w:rPr>
        <w:t> </w:t>
      </w:r>
      <w:r>
        <w:rPr>
          <w:sz w:val="12"/>
        </w:rPr>
        <w:t>86</w:t>
        <w:tab/>
        <w:t>88</w:t>
        <w:tab/>
        <w:t>90</w:t>
        <w:tab/>
        <w:t>92</w:t>
        <w:tab/>
        <w:t>94</w:t>
        <w:tab/>
        <w:t>96</w:t>
        <w:tab/>
        <w:t>98</w:t>
        <w:tab/>
        <w:t>2000</w:t>
      </w:r>
    </w:p>
    <w:p>
      <w:pPr>
        <w:spacing w:before="94"/>
        <w:ind w:left="184" w:right="0" w:firstLine="0"/>
        <w:jc w:val="left"/>
        <w:rPr>
          <w:sz w:val="12"/>
        </w:rPr>
      </w:pPr>
      <w:r>
        <w:rPr>
          <w:sz w:val="12"/>
        </w:rPr>
        <w:t>Sources: ONS and Bank of England.</w:t>
      </w:r>
    </w:p>
    <w:p>
      <w:pPr>
        <w:spacing w:line="242" w:lineRule="auto" w:before="227"/>
        <w:ind w:left="180" w:right="153" w:firstLine="0"/>
        <w:jc w:val="left"/>
        <w:rPr>
          <w:sz w:val="24"/>
        </w:rPr>
      </w:pPr>
      <w:r>
        <w:rPr/>
        <w:br w:type="column"/>
      </w:r>
      <w:r>
        <w:rPr>
          <w:sz w:val="24"/>
        </w:rPr>
        <w:t>In</w:t>
      </w:r>
      <w:r>
        <w:rPr>
          <w:spacing w:val="-6"/>
          <w:sz w:val="24"/>
        </w:rPr>
        <w:t> </w:t>
      </w:r>
      <w:r>
        <w:rPr>
          <w:sz w:val="24"/>
        </w:rPr>
        <w:t>the</w:t>
      </w:r>
      <w:r>
        <w:rPr>
          <w:spacing w:val="-5"/>
          <w:sz w:val="24"/>
        </w:rPr>
        <w:t> </w:t>
      </w:r>
      <w:r>
        <w:rPr>
          <w:sz w:val="24"/>
        </w:rPr>
        <w:t>recent</w:t>
      </w:r>
      <w:r>
        <w:rPr>
          <w:spacing w:val="-5"/>
          <w:sz w:val="24"/>
        </w:rPr>
        <w:t> </w:t>
      </w:r>
      <w:r>
        <w:rPr>
          <w:sz w:val="24"/>
        </w:rPr>
        <w:t>past,</w:t>
      </w:r>
      <w:r>
        <w:rPr>
          <w:spacing w:val="-5"/>
          <w:sz w:val="24"/>
        </w:rPr>
        <w:t> </w:t>
      </w:r>
      <w:r>
        <w:rPr>
          <w:sz w:val="24"/>
        </w:rPr>
        <w:t>movements</w:t>
      </w:r>
      <w:r>
        <w:rPr>
          <w:spacing w:val="-5"/>
          <w:sz w:val="24"/>
        </w:rPr>
        <w:t> </w:t>
      </w:r>
      <w:r>
        <w:rPr>
          <w:sz w:val="24"/>
        </w:rPr>
        <w:t>in</w:t>
      </w:r>
      <w:r>
        <w:rPr>
          <w:spacing w:val="-5"/>
          <w:sz w:val="24"/>
        </w:rPr>
        <w:t> </w:t>
      </w:r>
      <w:r>
        <w:rPr>
          <w:sz w:val="24"/>
        </w:rPr>
        <w:t>aggregate</w:t>
      </w:r>
      <w:r>
        <w:rPr>
          <w:spacing w:val="-6"/>
          <w:sz w:val="24"/>
        </w:rPr>
        <w:t> </w:t>
      </w:r>
      <w:r>
        <w:rPr>
          <w:sz w:val="24"/>
        </w:rPr>
        <w:t>M4</w:t>
      </w:r>
      <w:r>
        <w:rPr>
          <w:spacing w:val="-5"/>
          <w:sz w:val="24"/>
        </w:rPr>
        <w:t> </w:t>
      </w:r>
      <w:r>
        <w:rPr>
          <w:spacing w:val="-3"/>
          <w:sz w:val="24"/>
        </w:rPr>
        <w:t>have</w:t>
      </w:r>
      <w:r>
        <w:rPr>
          <w:spacing w:val="-5"/>
          <w:sz w:val="24"/>
        </w:rPr>
        <w:t> </w:t>
      </w:r>
      <w:r>
        <w:rPr>
          <w:sz w:val="24"/>
        </w:rPr>
        <w:t>been strongly influenced by the money holdings of other financial corporations (OFCs), such as securities dealers, which are less likely to be related directly to aggregate nominal spending on goods and services than money holdings by other sectors. Chart 1.2 shows that, in recent years, M4 excluding OFCs has been more closely related to nominal GDP than M4. Growth in M4 excluding OFCs was higher in Q2 than in the previous</w:t>
      </w:r>
      <w:r>
        <w:rPr>
          <w:spacing w:val="-24"/>
          <w:sz w:val="24"/>
        </w:rPr>
        <w:t> </w:t>
      </w:r>
      <w:r>
        <w:rPr>
          <w:spacing w:val="-3"/>
          <w:sz w:val="24"/>
        </w:rPr>
        <w:t>quarter.</w:t>
      </w:r>
    </w:p>
    <w:p>
      <w:pPr>
        <w:pStyle w:val="BodyText"/>
        <w:spacing w:before="7"/>
        <w:rPr>
          <w:sz w:val="23"/>
        </w:rPr>
      </w:pPr>
    </w:p>
    <w:p>
      <w:pPr>
        <w:spacing w:line="242" w:lineRule="auto" w:before="0"/>
        <w:ind w:left="180" w:right="184" w:firstLine="0"/>
        <w:jc w:val="left"/>
        <w:rPr>
          <w:sz w:val="24"/>
        </w:rPr>
      </w:pPr>
      <w:r>
        <w:rPr>
          <w:sz w:val="24"/>
        </w:rPr>
        <w:t>UK bank and building society sterling (M4) lending to the </w:t>
      </w:r>
      <w:r>
        <w:rPr>
          <w:spacing w:val="-3"/>
          <w:sz w:val="24"/>
        </w:rPr>
        <w:t>private </w:t>
      </w:r>
      <w:r>
        <w:rPr>
          <w:sz w:val="24"/>
        </w:rPr>
        <w:t>sector</w:t>
      </w:r>
      <w:r>
        <w:rPr>
          <w:position w:val="5"/>
          <w:sz w:val="16"/>
        </w:rPr>
        <w:t>(1) </w:t>
      </w:r>
      <w:r>
        <w:rPr>
          <w:sz w:val="24"/>
        </w:rPr>
        <w:t>rose by 11.5% in the year to 2000 Q2 (see </w:t>
      </w:r>
      <w:r>
        <w:rPr>
          <w:spacing w:val="-5"/>
          <w:sz w:val="24"/>
        </w:rPr>
        <w:t>Table </w:t>
      </w:r>
      <w:r>
        <w:rPr>
          <w:sz w:val="24"/>
        </w:rPr>
        <w:t>1.A), the highest growth rate since 1990. The gap</w:t>
      </w:r>
      <w:r>
        <w:rPr>
          <w:spacing w:val="-5"/>
          <w:sz w:val="24"/>
        </w:rPr>
        <w:t> </w:t>
      </w:r>
      <w:r>
        <w:rPr>
          <w:sz w:val="24"/>
        </w:rPr>
        <w:t>between</w:t>
      </w:r>
      <w:r>
        <w:rPr>
          <w:spacing w:val="-5"/>
          <w:sz w:val="24"/>
        </w:rPr>
        <w:t> </w:t>
      </w:r>
      <w:r>
        <w:rPr>
          <w:sz w:val="24"/>
        </w:rPr>
        <w:t>M4</w:t>
      </w:r>
      <w:r>
        <w:rPr>
          <w:spacing w:val="-5"/>
          <w:sz w:val="24"/>
        </w:rPr>
        <w:t> </w:t>
      </w:r>
      <w:r>
        <w:rPr>
          <w:sz w:val="24"/>
        </w:rPr>
        <w:t>and</w:t>
      </w:r>
      <w:r>
        <w:rPr>
          <w:spacing w:val="-5"/>
          <w:sz w:val="24"/>
        </w:rPr>
        <w:t> </w:t>
      </w:r>
      <w:r>
        <w:rPr>
          <w:sz w:val="24"/>
        </w:rPr>
        <w:t>M4</w:t>
      </w:r>
      <w:r>
        <w:rPr>
          <w:spacing w:val="-5"/>
          <w:sz w:val="24"/>
        </w:rPr>
        <w:t> </w:t>
      </w:r>
      <w:r>
        <w:rPr>
          <w:sz w:val="24"/>
        </w:rPr>
        <w:t>lending</w:t>
      </w:r>
      <w:r>
        <w:rPr>
          <w:spacing w:val="-5"/>
          <w:sz w:val="24"/>
        </w:rPr>
        <w:t> </w:t>
      </w:r>
      <w:r>
        <w:rPr>
          <w:sz w:val="24"/>
        </w:rPr>
        <w:t>flows</w:t>
      </w:r>
      <w:r>
        <w:rPr>
          <w:spacing w:val="-5"/>
          <w:sz w:val="24"/>
        </w:rPr>
        <w:t> </w:t>
      </w:r>
      <w:r>
        <w:rPr>
          <w:sz w:val="24"/>
        </w:rPr>
        <w:t>remains</w:t>
      </w:r>
      <w:r>
        <w:rPr>
          <w:spacing w:val="-5"/>
          <w:sz w:val="24"/>
        </w:rPr>
        <w:t> </w:t>
      </w:r>
      <w:r>
        <w:rPr>
          <w:sz w:val="24"/>
        </w:rPr>
        <w:t>high</w:t>
      </w:r>
      <w:r>
        <w:rPr>
          <w:spacing w:val="-5"/>
          <w:sz w:val="24"/>
        </w:rPr>
        <w:t> </w:t>
      </w:r>
      <w:r>
        <w:rPr>
          <w:sz w:val="24"/>
        </w:rPr>
        <w:t>and is close to its late 1980s peak as a percentage of nominal GDP (see Chart 1.3). As discussed in the May </w:t>
      </w:r>
      <w:r>
        <w:rPr>
          <w:i/>
          <w:sz w:val="24"/>
        </w:rPr>
        <w:t>Report</w:t>
      </w:r>
      <w:r>
        <w:rPr>
          <w:sz w:val="24"/>
        </w:rPr>
        <w:t>, this gap may partly be related to the current account position. The UK </w:t>
      </w:r>
      <w:r>
        <w:rPr>
          <w:spacing w:val="-3"/>
          <w:sz w:val="24"/>
        </w:rPr>
        <w:t>private </w:t>
      </w:r>
      <w:r>
        <w:rPr>
          <w:sz w:val="24"/>
        </w:rPr>
        <w:t>and public sector collectively can spend in excess of their income by raising funds from overseas. The counterpart to this is a current account deficit. Many firms and households are likely to borrow via the UK banking system, causing domestic borrowing from UK banks (M4 lending) to exceed domestic deposits placed with UK banks (M4 deposits). But cross-border capital flows also include portfolio and direct investment, which can offset UK banking lending flows. That appears to </w:t>
      </w:r>
      <w:r>
        <w:rPr>
          <w:spacing w:val="-3"/>
          <w:sz w:val="24"/>
        </w:rPr>
        <w:t>have </w:t>
      </w:r>
      <w:r>
        <w:rPr>
          <w:sz w:val="24"/>
        </w:rPr>
        <w:t>been happening </w:t>
      </w:r>
      <w:r>
        <w:rPr>
          <w:spacing w:val="-3"/>
          <w:sz w:val="24"/>
        </w:rPr>
        <w:t>recently, </w:t>
      </w:r>
      <w:r>
        <w:rPr>
          <w:sz w:val="24"/>
        </w:rPr>
        <w:t>as sterling funds from overseas flowing through the UK banking sector </w:t>
      </w:r>
      <w:r>
        <w:rPr>
          <w:spacing w:val="-3"/>
          <w:sz w:val="24"/>
        </w:rPr>
        <w:t>have </w:t>
      </w:r>
      <w:r>
        <w:rPr>
          <w:sz w:val="24"/>
        </w:rPr>
        <w:t>been considerably larger than the current account</w:t>
      </w:r>
      <w:r>
        <w:rPr>
          <w:spacing w:val="-3"/>
          <w:sz w:val="24"/>
        </w:rPr>
        <w:t> </w:t>
      </w:r>
      <w:r>
        <w:rPr>
          <w:sz w:val="24"/>
        </w:rPr>
        <w:t>deficit.</w:t>
      </w:r>
    </w:p>
    <w:p>
      <w:pPr>
        <w:pStyle w:val="BodyText"/>
        <w:rPr>
          <w:sz w:val="30"/>
        </w:rPr>
      </w:pPr>
    </w:p>
    <w:p>
      <w:pPr>
        <w:pStyle w:val="Heading2"/>
        <w:ind w:left="180"/>
        <w:rPr>
          <w:i/>
        </w:rPr>
      </w:pPr>
      <w:r>
        <w:rPr>
          <w:i/>
          <w:color w:val="009391"/>
        </w:rPr>
        <w:t>Household sector</w:t>
      </w:r>
    </w:p>
    <w:p>
      <w:pPr>
        <w:spacing w:line="242" w:lineRule="auto" w:before="144"/>
        <w:ind w:left="180" w:right="355" w:firstLine="0"/>
        <w:jc w:val="left"/>
        <w:rPr>
          <w:sz w:val="24"/>
        </w:rPr>
      </w:pPr>
      <w:r>
        <w:rPr>
          <w:sz w:val="24"/>
        </w:rPr>
        <w:t>Household sector M4 </w:t>
      </w:r>
      <w:r>
        <w:rPr>
          <w:spacing w:val="-3"/>
          <w:sz w:val="24"/>
        </w:rPr>
        <w:t>grew </w:t>
      </w:r>
      <w:r>
        <w:rPr>
          <w:sz w:val="24"/>
        </w:rPr>
        <w:t>by 5.4% in the year to  2000 Q2, a lower rate than in the previous </w:t>
      </w:r>
      <w:r>
        <w:rPr>
          <w:spacing w:val="-3"/>
          <w:sz w:val="24"/>
        </w:rPr>
        <w:t>quarter.</w:t>
      </w:r>
      <w:r>
        <w:rPr>
          <w:spacing w:val="14"/>
          <w:sz w:val="24"/>
        </w:rPr>
        <w:t> </w:t>
      </w:r>
      <w:r>
        <w:rPr>
          <w:sz w:val="24"/>
        </w:rPr>
        <w:t>The</w:t>
      </w:r>
    </w:p>
    <w:p>
      <w:pPr>
        <w:spacing w:line="242" w:lineRule="auto" w:before="3"/>
        <w:ind w:left="180" w:right="167" w:firstLine="0"/>
        <w:jc w:val="left"/>
        <w:rPr>
          <w:sz w:val="24"/>
        </w:rPr>
      </w:pPr>
      <w:r>
        <w:rPr>
          <w:sz w:val="24"/>
        </w:rPr>
        <w:t>interest rate paid on M4 deposits tends to vary inversely with the maturity of the deposit, which determines the ease with which such deposits can be used for spending. Divisia M4 is a measure that weights deposits according to the likelihood that they will be used for spending rather than saving—proxied by the inverse of the interest rate paid— and should therefore have a closer relationship to nominal consumption than aggregate household M4. Growth in household Divisia has weakened over the past six months, consistent with a slowdown in consumption in the near term (see</w:t>
      </w:r>
    </w:p>
    <w:p>
      <w:pPr>
        <w:spacing w:before="14"/>
        <w:ind w:left="180" w:right="0" w:firstLine="0"/>
        <w:jc w:val="left"/>
        <w:rPr>
          <w:sz w:val="24"/>
        </w:rPr>
      </w:pPr>
      <w:r>
        <w:rPr>
          <w:sz w:val="24"/>
        </w:rPr>
        <w:t>Chart 1.4).</w:t>
      </w:r>
    </w:p>
    <w:p>
      <w:pPr>
        <w:pStyle w:val="BodyText"/>
        <w:spacing w:before="11"/>
        <w:rPr>
          <w:sz w:val="22"/>
        </w:rPr>
      </w:pPr>
    </w:p>
    <w:p>
      <w:pPr>
        <w:spacing w:line="242" w:lineRule="auto" w:before="0"/>
        <w:ind w:left="180" w:right="0" w:firstLine="0"/>
        <w:jc w:val="left"/>
        <w:rPr>
          <w:sz w:val="24"/>
        </w:rPr>
      </w:pPr>
      <w:r>
        <w:rPr>
          <w:sz w:val="24"/>
        </w:rPr>
        <w:t>Annual growth in total lending to individuals (lending by banks, building societies and other specialist lenders)</w:t>
      </w:r>
    </w:p>
    <w:p>
      <w:pPr>
        <w:pStyle w:val="BodyText"/>
        <w:spacing w:before="2"/>
        <w:rPr>
          <w:sz w:val="10"/>
        </w:rPr>
      </w:pPr>
      <w:r>
        <w:rPr/>
        <w:pict>
          <v:shape style="position:absolute;margin-left:278.820007pt;margin-top:7.939592pt;width:277.2pt;height:.1pt;mso-position-horizontal-relative:page;mso-position-vertical-relative:paragraph;z-index:-15700480;mso-wrap-distance-left:0;mso-wrap-distance-right:0" coordorigin="5576,159" coordsize="5544,0" path="m5576,159l11120,159e" filled="false" stroked="true" strokeweight=".125pt" strokecolor="#000000">
            <v:path arrowok="t"/>
            <v:stroke dashstyle="solid"/>
            <w10:wrap type="topAndBottom"/>
          </v:shape>
        </w:pict>
      </w:r>
    </w:p>
    <w:p>
      <w:pPr>
        <w:pStyle w:val="ListParagraph"/>
        <w:numPr>
          <w:ilvl w:val="0"/>
          <w:numId w:val="4"/>
        </w:numPr>
        <w:tabs>
          <w:tab w:pos="421" w:val="left" w:leader="none"/>
        </w:tabs>
        <w:spacing w:line="208" w:lineRule="auto" w:before="10" w:after="0"/>
        <w:ind w:left="420" w:right="801" w:hanging="240"/>
        <w:jc w:val="left"/>
        <w:rPr>
          <w:sz w:val="16"/>
        </w:rPr>
      </w:pPr>
      <w:r>
        <w:rPr>
          <w:sz w:val="16"/>
        </w:rPr>
        <w:t>All</w:t>
      </w:r>
      <w:r>
        <w:rPr>
          <w:spacing w:val="-6"/>
          <w:sz w:val="16"/>
        </w:rPr>
        <w:t> </w:t>
      </w:r>
      <w:r>
        <w:rPr>
          <w:sz w:val="16"/>
        </w:rPr>
        <w:t>M4</w:t>
      </w:r>
      <w:r>
        <w:rPr>
          <w:spacing w:val="-6"/>
          <w:sz w:val="16"/>
        </w:rPr>
        <w:t> </w:t>
      </w:r>
      <w:r>
        <w:rPr>
          <w:sz w:val="16"/>
        </w:rPr>
        <w:t>lending</w:t>
      </w:r>
      <w:r>
        <w:rPr>
          <w:spacing w:val="-6"/>
          <w:sz w:val="16"/>
        </w:rPr>
        <w:t> </w:t>
      </w:r>
      <w:r>
        <w:rPr>
          <w:sz w:val="16"/>
        </w:rPr>
        <w:t>data</w:t>
      </w:r>
      <w:r>
        <w:rPr>
          <w:spacing w:val="-6"/>
          <w:sz w:val="16"/>
        </w:rPr>
        <w:t> </w:t>
      </w:r>
      <w:r>
        <w:rPr>
          <w:sz w:val="16"/>
        </w:rPr>
        <w:t>discussed</w:t>
      </w:r>
      <w:r>
        <w:rPr>
          <w:spacing w:val="-6"/>
          <w:sz w:val="16"/>
        </w:rPr>
        <w:t> </w:t>
      </w:r>
      <w:r>
        <w:rPr>
          <w:sz w:val="16"/>
        </w:rPr>
        <w:t>here</w:t>
      </w:r>
      <w:r>
        <w:rPr>
          <w:spacing w:val="-6"/>
          <w:sz w:val="16"/>
        </w:rPr>
        <w:t> </w:t>
      </w:r>
      <w:r>
        <w:rPr>
          <w:sz w:val="16"/>
        </w:rPr>
        <w:t>exclude</w:t>
      </w:r>
      <w:r>
        <w:rPr>
          <w:spacing w:val="-6"/>
          <w:sz w:val="16"/>
        </w:rPr>
        <w:t> </w:t>
      </w:r>
      <w:r>
        <w:rPr>
          <w:sz w:val="16"/>
        </w:rPr>
        <w:t>the</w:t>
      </w:r>
      <w:r>
        <w:rPr>
          <w:spacing w:val="-6"/>
          <w:sz w:val="16"/>
        </w:rPr>
        <w:t> </w:t>
      </w:r>
      <w:r>
        <w:rPr>
          <w:sz w:val="16"/>
        </w:rPr>
        <w:t>effects</w:t>
      </w:r>
      <w:r>
        <w:rPr>
          <w:spacing w:val="-6"/>
          <w:sz w:val="16"/>
        </w:rPr>
        <w:t> </w:t>
      </w:r>
      <w:r>
        <w:rPr>
          <w:sz w:val="16"/>
        </w:rPr>
        <w:t>of</w:t>
      </w:r>
      <w:r>
        <w:rPr>
          <w:spacing w:val="-6"/>
          <w:sz w:val="16"/>
        </w:rPr>
        <w:t> </w:t>
      </w:r>
      <w:r>
        <w:rPr>
          <w:sz w:val="16"/>
        </w:rPr>
        <w:t>securitisations and other loan</w:t>
      </w:r>
      <w:r>
        <w:rPr>
          <w:spacing w:val="-4"/>
          <w:sz w:val="16"/>
        </w:rPr>
        <w:t> </w:t>
      </w:r>
      <w:r>
        <w:rPr>
          <w:sz w:val="16"/>
        </w:rPr>
        <w:t>transfers.</w:t>
      </w:r>
    </w:p>
    <w:p>
      <w:pPr>
        <w:spacing w:after="0" w:line="208" w:lineRule="auto"/>
        <w:jc w:val="left"/>
        <w:rPr>
          <w:sz w:val="16"/>
        </w:rPr>
        <w:sectPr>
          <w:type w:val="continuous"/>
          <w:pgSz w:w="11900" w:h="16840"/>
          <w:pgMar w:top="1260" w:bottom="280" w:left="640" w:right="640"/>
          <w:cols w:num="2" w:equalWidth="0">
            <w:col w:w="3795" w:space="979"/>
            <w:col w:w="5846"/>
          </w:cols>
        </w:sectPr>
      </w:pPr>
    </w:p>
    <w:p>
      <w:pPr>
        <w:pStyle w:val="BodyText"/>
        <w:rPr>
          <w:sz w:val="20"/>
        </w:rPr>
      </w:pPr>
    </w:p>
    <w:p>
      <w:pPr>
        <w:spacing w:after="0"/>
        <w:rPr>
          <w:sz w:val="20"/>
        </w:rPr>
        <w:sectPr>
          <w:footerReference w:type="default" r:id="rId29"/>
          <w:footerReference w:type="even" r:id="rId30"/>
          <w:pgSz w:w="11900" w:h="16840"/>
          <w:pgMar w:footer="612" w:header="586" w:top="800" w:bottom="800" w:left="640" w:right="640"/>
          <w:pgNumType w:start="5"/>
        </w:sectPr>
      </w:pPr>
    </w:p>
    <w:p>
      <w:pPr>
        <w:pStyle w:val="BodyText"/>
        <w:spacing w:before="8"/>
        <w:rPr>
          <w:sz w:val="21"/>
        </w:rPr>
      </w:pPr>
    </w:p>
    <w:p>
      <w:pPr>
        <w:pStyle w:val="Heading6"/>
        <w:spacing w:before="0"/>
        <w:ind w:left="185"/>
      </w:pPr>
      <w:bookmarkStart w:name="Private non-financial corporations" w:id="9"/>
      <w:bookmarkEnd w:id="9"/>
      <w:r>
        <w:rPr>
          <w:b w:val="0"/>
        </w:rPr>
      </w:r>
      <w:bookmarkStart w:name="_bookmark3" w:id="10"/>
      <w:bookmarkEnd w:id="10"/>
      <w:r>
        <w:rPr>
          <w:b w:val="0"/>
        </w:rPr>
      </w:r>
      <w:r>
        <w:rPr>
          <w:color w:val="0092C7"/>
        </w:rPr>
        <w:t>Chart 1.5</w:t>
      </w:r>
    </w:p>
    <w:p>
      <w:pPr>
        <w:pStyle w:val="Heading6"/>
        <w:spacing w:line="249" w:lineRule="auto"/>
        <w:ind w:left="185"/>
      </w:pPr>
      <w:r>
        <w:rPr>
          <w:color w:val="0092C7"/>
        </w:rPr>
        <w:t>Total lending for consumption and household financial confidence</w:t>
      </w:r>
    </w:p>
    <w:p>
      <w:pPr>
        <w:spacing w:line="127" w:lineRule="exact" w:before="75"/>
        <w:ind w:left="329" w:right="0" w:firstLine="0"/>
        <w:jc w:val="left"/>
        <w:rPr>
          <w:sz w:val="12"/>
        </w:rPr>
      </w:pPr>
      <w:r>
        <w:rPr>
          <w:sz w:val="12"/>
        </w:rPr>
        <w:t>Percentage of disposable</w:t>
      </w:r>
    </w:p>
    <w:p>
      <w:pPr>
        <w:tabs>
          <w:tab w:pos="2622" w:val="left" w:leader="none"/>
        </w:tabs>
        <w:spacing w:line="125" w:lineRule="exact" w:before="0"/>
        <w:ind w:left="329" w:right="0" w:firstLine="0"/>
        <w:jc w:val="left"/>
        <w:rPr>
          <w:sz w:val="12"/>
        </w:rPr>
      </w:pPr>
      <w:r>
        <w:rPr>
          <w:position w:val="2"/>
          <w:sz w:val="12"/>
        </w:rPr>
        <w:t>income</w:t>
        <w:tab/>
      </w:r>
      <w:r>
        <w:rPr>
          <w:sz w:val="12"/>
        </w:rPr>
        <w:t>Percentage balance</w:t>
      </w:r>
    </w:p>
    <w:p>
      <w:pPr>
        <w:tabs>
          <w:tab w:pos="3568" w:val="left" w:leader="none"/>
        </w:tabs>
        <w:spacing w:line="126" w:lineRule="exact" w:before="0"/>
        <w:ind w:left="169" w:right="0" w:firstLine="0"/>
        <w:jc w:val="left"/>
        <w:rPr>
          <w:sz w:val="12"/>
        </w:rPr>
      </w:pPr>
      <w:r>
        <w:rPr/>
        <w:pict>
          <v:line style="position:absolute;mso-position-horizontal-relative:page;mso-position-vertical-relative:paragraph;z-index:-23502336" from="48.493999pt,3.339231pt" to="52.826999pt,3.339231pt" stroked="true" strokeweight=".5pt" strokecolor="#000000">
            <v:stroke dashstyle="solid"/>
            <w10:wrap type="none"/>
          </v:line>
        </w:pict>
      </w:r>
      <w:r>
        <w:rPr/>
        <w:pict>
          <v:line style="position:absolute;mso-position-horizontal-relative:page;mso-position-vertical-relative:paragraph;z-index:-23498240" from="204.964005pt,3.536231pt" to="209.296005pt,3.536231pt" stroked="true" strokeweight=".5pt" strokecolor="#000000">
            <v:stroke dashstyle="solid"/>
            <w10:wrap type="none"/>
          </v:line>
        </w:pict>
      </w:r>
      <w:r>
        <w:rPr>
          <w:sz w:val="12"/>
        </w:rPr>
        <w:t>12</w:t>
        <w:tab/>
      </w:r>
      <w:r>
        <w:rPr>
          <w:position w:val="1"/>
          <w:sz w:val="12"/>
        </w:rPr>
        <w:t>24</w:t>
      </w:r>
    </w:p>
    <w:p>
      <w:pPr>
        <w:pStyle w:val="BodyText"/>
        <w:rPr>
          <w:sz w:val="14"/>
        </w:rPr>
      </w:pPr>
    </w:p>
    <w:p>
      <w:pPr>
        <w:tabs>
          <w:tab w:pos="3568" w:val="left" w:leader="none"/>
        </w:tabs>
        <w:spacing w:before="103"/>
        <w:ind w:left="169" w:right="0" w:firstLine="0"/>
        <w:jc w:val="left"/>
        <w:rPr>
          <w:sz w:val="12"/>
        </w:rPr>
      </w:pPr>
      <w:r>
        <w:rPr/>
        <w:pict>
          <v:group style="position:absolute;margin-left:56.779999pt;margin-top:1.213803pt;width:152.550pt;height:119.2pt;mso-position-horizontal-relative:page;mso-position-vertical-relative:paragraph;z-index:-23502848" coordorigin="1136,24" coordsize="3051,2384">
            <v:shape style="position:absolute;left:1141;top:2261;width:3045;height:2" coordorigin="1142,2262" coordsize="3045,0" path="m4099,2262l4186,2262m1142,2262l4041,2262e" filled="false" stroked="true" strokeweight=".5pt" strokecolor="#000000">
              <v:path arrowok="t"/>
              <v:stroke dashstyle="solid"/>
            </v:shape>
            <v:line style="position:absolute" from="1136,849" to="1213,849" stroked="true" strokeweight="1.125pt" strokecolor="#9ed01a">
              <v:stroke dashstyle="solid"/>
            </v:line>
            <v:shape style="position:absolute;left:1203;top:395;width:215;height:453" coordorigin="1203,395" coordsize="215,453" path="m1203,848l1251,828m1251,828l1311,433m1311,433l1358,395m1358,395l1418,505e" filled="false" stroked="true" strokeweight="1pt" strokecolor="#9ed01a">
              <v:path arrowok="t"/>
              <v:stroke dashstyle="solid"/>
            </v:shape>
            <v:line style="position:absolute" from="1442,25" to="1442,515" stroked="true" strokeweight="3.375pt" strokecolor="#9ed01a">
              <v:stroke dashstyle="solid"/>
            </v:line>
            <v:shape style="position:absolute;left:1465;top:35;width:275;height:1118" coordorigin="1466,35" coordsize="275,1118" path="m1466,35l1526,1010m1526,1010l1586,1153m1586,1153l1633,1028m1633,1028l1691,973m1691,973l1741,900e" filled="false" stroked="true" strokeweight="1pt" strokecolor="#9ed01a">
              <v:path arrowok="t"/>
              <v:stroke dashstyle="solid"/>
            </v:shape>
            <v:line style="position:absolute" from="1731,901" to="1808,901" stroked="true" strokeweight="1.125pt" strokecolor="#9ed01a">
              <v:stroke dashstyle="solid"/>
            </v:line>
            <v:shape style="position:absolute;left:1798;top:900;width:1525;height:1498" coordorigin="1798,900" coordsize="1525,1498" path="m1798,900l1846,1083m1846,1083l1906,1335m1906,1335l1953,1243m1953,1243l2013,1405m2013,1405l2073,1495m2073,1495l2121,1658m2121,1658l2181,1785m2181,1785l2228,1803m2228,1803l2286,2020m2286,2020l2336,2003m2336,2003l2393,2398m2393,2398l2453,2145m2453,2145l2501,2200m2501,2200l2561,2110m2561,2110l2608,1910m2608,1910l2668,2128m2668,2128l2716,1875m2716,1875l2776,1983m2776,1983l2833,2020m2833,2020l2883,2055m2883,2055l2941,2218m2941,2218l2988,2163m2988,2163l3048,2093m3048,2093l3096,2073m3096,2073l3156,2003m3156,2003l3216,1965m3216,1965l3263,1910m3263,1910l3323,1803e" filled="false" stroked="true" strokeweight="1pt" strokecolor="#9ed01a">
              <v:path arrowok="t"/>
              <v:stroke dashstyle="solid"/>
            </v:shape>
            <v:line style="position:absolute" from="3313,1804" to="3381,1804" stroked="true" strokeweight="1.125pt" strokecolor="#9ed01a">
              <v:stroke dashstyle="solid"/>
            </v:line>
            <v:shape style="position:absolute;left:3370;top:1315;width:595;height:615" coordorigin="3371,1315" coordsize="595,615" path="m3371,1803l3428,1930m3428,1930l3478,1803m3478,1803l3536,1785m3536,1785l3583,1803m3583,1803l3643,1678m3643,1678l3703,1768m3703,1768l3751,1750m3751,1750l3811,1495m3811,1495l3858,1315m3858,1315l3918,1370m3918,1370l3966,1478e" filled="false" stroked="true" strokeweight="1pt" strokecolor="#9ed01a">
              <v:path arrowok="t"/>
              <v:stroke dashstyle="solid"/>
            </v:shape>
            <v:shape style="position:absolute;left:2940;top:1750;width:383;height:575" coordorigin="2941,1750" coordsize="383,575" path="m2941,2038l2988,2183m2988,2183l3048,2325m3048,2325l3096,2235m3096,2235l3156,2183m3156,2183l3216,2003m3216,2003l3263,2183m3263,2183l3323,1750e" filled="false" stroked="true" strokeweight="1pt" strokecolor="#de0035">
              <v:path arrowok="t"/>
              <v:stroke dashstyle="solid"/>
            </v:shape>
            <v:shape style="position:absolute;left:3313;top:1252;width:720;height:600" type="#_x0000_t75" stroked="false">
              <v:imagedata r:id="rId31" o:title=""/>
            </v:shape>
            <v:shape style="position:absolute;left:4099;top:196;width:87;height:1653" coordorigin="4099,197" coordsize="87,1653" path="m4099,197l4186,197m4099,610l4186,610m4099,1023l4186,1023m4099,1436l4186,1436m4099,1849l4186,1849e" filled="false" stroked="true" strokeweight=".5pt" strokecolor="#000000">
              <v:path arrowok="t"/>
              <v:stroke dashstyle="solid"/>
            </v:shape>
            <v:shape style="position:absolute;left:1510;top:24;width:1450;height:254" type="#_x0000_t202" filled="false" stroked="false">
              <v:textbox inset="0,0,0,0">
                <w:txbxContent>
                  <w:p>
                    <w:pPr>
                      <w:spacing w:line="208" w:lineRule="auto" w:before="9"/>
                      <w:ind w:left="60" w:right="18" w:hanging="60"/>
                      <w:jc w:val="left"/>
                      <w:rPr>
                        <w:sz w:val="12"/>
                      </w:rPr>
                    </w:pPr>
                    <w:r>
                      <w:rPr>
                        <w:sz w:val="12"/>
                      </w:rPr>
                      <w:t>Unsecured lending and MEW (left-hand scale)</w:t>
                    </w:r>
                  </w:p>
                </w:txbxContent>
              </v:textbox>
              <w10:wrap type="none"/>
            </v:shape>
            <v:shape style="position:absolute;left:2327;top:1125;width:1710;height:254" type="#_x0000_t202" filled="false" stroked="false">
              <v:textbox inset="0,0,0,0">
                <w:txbxContent>
                  <w:p>
                    <w:pPr>
                      <w:spacing w:line="208" w:lineRule="auto" w:before="10"/>
                      <w:ind w:left="60" w:right="18" w:hanging="60"/>
                      <w:jc w:val="left"/>
                      <w:rPr>
                        <w:sz w:val="12"/>
                      </w:rPr>
                    </w:pPr>
                    <w:r>
                      <w:rPr>
                        <w:sz w:val="12"/>
                      </w:rPr>
                      <w:t>Household financial confidence (a) (right-hand scale)</w:t>
                    </w:r>
                  </w:p>
                </w:txbxContent>
              </v:textbox>
              <w10:wrap type="none"/>
            </v:shape>
            <w10:wrap type="none"/>
          </v:group>
        </w:pict>
      </w:r>
      <w:r>
        <w:rPr/>
        <w:pict>
          <v:line style="position:absolute;mso-position-horizontal-relative:page;mso-position-vertical-relative:paragraph;z-index:-23501824" from="48.493999pt,9.633487pt" to="52.826999pt,9.633487pt" stroked="true" strokeweight=".5pt" strokecolor="#000000">
            <v:stroke dashstyle="solid"/>
            <w10:wrap type="none"/>
          </v:line>
        </w:pict>
      </w:r>
      <w:r>
        <w:rPr>
          <w:sz w:val="12"/>
        </w:rPr>
        <w:t>10</w:t>
        <w:tab/>
      </w:r>
      <w:r>
        <w:rPr>
          <w:position w:val="1"/>
          <w:sz w:val="12"/>
        </w:rPr>
        <w:t>20</w:t>
      </w:r>
    </w:p>
    <w:p>
      <w:pPr>
        <w:pStyle w:val="BodyText"/>
        <w:rPr>
          <w:sz w:val="14"/>
        </w:rPr>
      </w:pPr>
    </w:p>
    <w:p>
      <w:pPr>
        <w:tabs>
          <w:tab w:pos="3568" w:val="left" w:leader="none"/>
        </w:tabs>
        <w:spacing w:before="104"/>
        <w:ind w:left="229" w:right="0" w:firstLine="0"/>
        <w:jc w:val="left"/>
        <w:rPr>
          <w:sz w:val="12"/>
        </w:rPr>
      </w:pPr>
      <w:r>
        <w:rPr/>
        <w:pict>
          <v:line style="position:absolute;mso-position-horizontal-relative:page;mso-position-vertical-relative:paragraph;z-index:-23501312" from="48.493999pt,9.708487pt" to="52.826999pt,9.708487pt" stroked="true" strokeweight=".5pt" strokecolor="#000000">
            <v:stroke dashstyle="solid"/>
            <w10:wrap type="none"/>
          </v:line>
        </w:pict>
      </w:r>
      <w:r>
        <w:rPr>
          <w:sz w:val="12"/>
        </w:rPr>
        <w:t>8</w:t>
        <w:tab/>
      </w:r>
      <w:r>
        <w:rPr>
          <w:position w:val="1"/>
          <w:sz w:val="12"/>
        </w:rPr>
        <w:t>16</w:t>
      </w:r>
    </w:p>
    <w:p>
      <w:pPr>
        <w:pStyle w:val="BodyText"/>
        <w:rPr>
          <w:sz w:val="14"/>
        </w:rPr>
      </w:pPr>
    </w:p>
    <w:p>
      <w:pPr>
        <w:tabs>
          <w:tab w:pos="3568" w:val="left" w:leader="none"/>
        </w:tabs>
        <w:spacing w:before="103"/>
        <w:ind w:left="229" w:right="0" w:firstLine="0"/>
        <w:jc w:val="left"/>
        <w:rPr>
          <w:sz w:val="12"/>
        </w:rPr>
      </w:pPr>
      <w:r>
        <w:rPr/>
        <w:pict>
          <v:line style="position:absolute;mso-position-horizontal-relative:page;mso-position-vertical-relative:paragraph;z-index:-23500800" from="48.493999pt,9.684486pt" to="52.826999pt,9.684486pt" stroked="true" strokeweight=".5pt" strokecolor="#000000">
            <v:stroke dashstyle="solid"/>
            <w10:wrap type="none"/>
          </v:line>
        </w:pict>
      </w:r>
      <w:r>
        <w:rPr>
          <w:sz w:val="12"/>
        </w:rPr>
        <w:t>6</w:t>
        <w:tab/>
      </w:r>
      <w:r>
        <w:rPr>
          <w:position w:val="1"/>
          <w:sz w:val="12"/>
        </w:rPr>
        <w:t>12</w:t>
      </w:r>
    </w:p>
    <w:p>
      <w:pPr>
        <w:pStyle w:val="BodyText"/>
        <w:rPr>
          <w:sz w:val="14"/>
        </w:rPr>
      </w:pPr>
    </w:p>
    <w:p>
      <w:pPr>
        <w:tabs>
          <w:tab w:pos="3628" w:val="left" w:leader="none"/>
        </w:tabs>
        <w:spacing w:before="104"/>
        <w:ind w:left="229" w:right="0" w:firstLine="0"/>
        <w:jc w:val="left"/>
        <w:rPr>
          <w:sz w:val="12"/>
        </w:rPr>
      </w:pPr>
      <w:r>
        <w:rPr/>
        <w:pict>
          <v:line style="position:absolute;mso-position-horizontal-relative:page;mso-position-vertical-relative:paragraph;z-index:-23500288" from="48.493999pt,9.760487pt" to="52.826999pt,9.760487pt" stroked="true" strokeweight=".5pt" strokecolor="#000000">
            <v:stroke dashstyle="solid"/>
            <w10:wrap type="none"/>
          </v:line>
        </w:pict>
      </w:r>
      <w:r>
        <w:rPr>
          <w:sz w:val="12"/>
        </w:rPr>
        <w:t>4</w:t>
        <w:tab/>
      </w:r>
      <w:r>
        <w:rPr>
          <w:position w:val="1"/>
          <w:sz w:val="12"/>
        </w:rPr>
        <w:t>8</w:t>
      </w:r>
    </w:p>
    <w:p>
      <w:pPr>
        <w:pStyle w:val="BodyText"/>
        <w:rPr>
          <w:sz w:val="14"/>
        </w:rPr>
      </w:pPr>
    </w:p>
    <w:p>
      <w:pPr>
        <w:tabs>
          <w:tab w:pos="3628" w:val="left" w:leader="none"/>
        </w:tabs>
        <w:spacing w:before="103"/>
        <w:ind w:left="229" w:right="0" w:firstLine="0"/>
        <w:jc w:val="left"/>
        <w:rPr>
          <w:sz w:val="12"/>
        </w:rPr>
      </w:pPr>
      <w:r>
        <w:rPr/>
        <w:pict>
          <v:line style="position:absolute;mso-position-horizontal-relative:page;mso-position-vertical-relative:paragraph;z-index:-23499264" from="48.493999pt,9.735876pt" to="52.826999pt,9.735876pt" stroked="true" strokeweight=".5pt" strokecolor="#000000">
            <v:stroke dashstyle="solid"/>
            <w10:wrap type="none"/>
          </v:line>
        </w:pict>
      </w:r>
      <w:r>
        <w:rPr>
          <w:sz w:val="12"/>
        </w:rPr>
        <w:t>2</w:t>
        <w:tab/>
      </w:r>
      <w:r>
        <w:rPr>
          <w:position w:val="1"/>
          <w:sz w:val="12"/>
        </w:rPr>
        <w:t>4</w:t>
      </w:r>
    </w:p>
    <w:p>
      <w:pPr>
        <w:tabs>
          <w:tab w:pos="3539" w:val="left" w:leader="none"/>
        </w:tabs>
        <w:spacing w:line="188" w:lineRule="exact" w:before="84"/>
        <w:ind w:left="264" w:right="0" w:firstLine="0"/>
        <w:jc w:val="left"/>
        <w:rPr>
          <w:sz w:val="16"/>
        </w:rPr>
      </w:pPr>
      <w:r>
        <w:rPr>
          <w:position w:val="1"/>
          <w:sz w:val="16"/>
        </w:rPr>
        <w:t>+</w:t>
        <w:tab/>
      </w:r>
      <w:r>
        <w:rPr>
          <w:sz w:val="16"/>
        </w:rPr>
        <w:t>+</w:t>
      </w:r>
    </w:p>
    <w:p>
      <w:pPr>
        <w:tabs>
          <w:tab w:pos="3628" w:val="left" w:leader="none"/>
        </w:tabs>
        <w:spacing w:line="105" w:lineRule="exact" w:before="0"/>
        <w:ind w:left="229" w:right="0" w:firstLine="0"/>
        <w:jc w:val="left"/>
        <w:rPr>
          <w:sz w:val="12"/>
        </w:rPr>
      </w:pPr>
      <w:r>
        <w:rPr/>
        <w:pict>
          <v:line style="position:absolute;mso-position-horizontal-relative:page;mso-position-vertical-relative:paragraph;z-index:15798272" from="48.493999pt,4.486710pt" to="52.826999pt,4.486710pt" stroked="true" strokeweight=".5pt" strokecolor="#000000">
            <v:stroke dashstyle="solid"/>
            <w10:wrap type="none"/>
          </v:line>
        </w:pict>
      </w:r>
      <w:r>
        <w:rPr/>
        <w:pict>
          <v:shape style="position:absolute;margin-left:46.224873pt;margin-top:3.072625pt;width:4.05pt;height:8.9pt;mso-position-horizontal-relative:page;mso-position-vertical-relative:paragraph;z-index:-23490048" type="#_x0000_t202" filled="false" stroked="false">
            <v:textbox inset="0,0,0,0">
              <w:txbxContent>
                <w:p>
                  <w:pPr>
                    <w:spacing w:line="177" w:lineRule="exact" w:before="0"/>
                    <w:ind w:left="0" w:right="0" w:firstLine="0"/>
                    <w:jc w:val="left"/>
                    <w:rPr>
                      <w:sz w:val="16"/>
                    </w:rPr>
                  </w:pPr>
                  <w:r>
                    <w:rPr>
                      <w:sz w:val="16"/>
                    </w:rPr>
                    <w:t>_</w:t>
                  </w:r>
                </w:p>
              </w:txbxContent>
            </v:textbox>
            <w10:wrap type="none"/>
          </v:shape>
        </w:pict>
      </w:r>
      <w:r>
        <w:rPr>
          <w:sz w:val="12"/>
        </w:rPr>
        <w:t>0</w:t>
        <w:tab/>
      </w:r>
      <w:r>
        <w:rPr>
          <w:position w:val="1"/>
          <w:sz w:val="12"/>
        </w:rPr>
        <w:t>0</w:t>
      </w:r>
    </w:p>
    <w:p>
      <w:pPr>
        <w:spacing w:line="148" w:lineRule="exact" w:before="0"/>
        <w:ind w:left="3559" w:right="0" w:firstLine="0"/>
        <w:jc w:val="left"/>
        <w:rPr>
          <w:sz w:val="16"/>
        </w:rPr>
      </w:pPr>
      <w:r>
        <w:rPr>
          <w:sz w:val="16"/>
        </w:rPr>
        <w:t>_</w:t>
      </w:r>
    </w:p>
    <w:p>
      <w:pPr>
        <w:tabs>
          <w:tab w:pos="3628" w:val="left" w:leader="none"/>
        </w:tabs>
        <w:spacing w:line="142" w:lineRule="exact" w:before="153"/>
        <w:ind w:left="229" w:right="0" w:firstLine="0"/>
        <w:jc w:val="left"/>
        <w:rPr>
          <w:sz w:val="12"/>
        </w:rPr>
      </w:pPr>
      <w:r>
        <w:rPr/>
        <w:pict>
          <v:line style="position:absolute;mso-position-horizontal-relative:page;mso-position-vertical-relative:paragraph;z-index:-23498752" from="48.493999pt,12.286877pt" to="52.826999pt,12.286877pt" stroked="true" strokeweight=".5pt" strokecolor="#000000">
            <v:stroke dashstyle="solid"/>
            <w10:wrap type="none"/>
          </v:line>
        </w:pict>
      </w:r>
      <w:r>
        <w:rPr/>
        <w:pict>
          <v:shape style="position:absolute;margin-left:57.426998pt;margin-top:8.974876pt;width:151.9pt;height:3.55pt;mso-position-horizontal-relative:page;mso-position-vertical-relative:paragraph;z-index:-23497728" coordorigin="1149,179" coordsize="3038,71" path="m4099,250l4186,250m1151,247l4049,247m1149,179l1149,247m1580,179l1580,247m2011,179l2011,247m2442,179l2442,247m2873,179l2873,247m3089,179l3089,247m3520,179l3520,247m3304,179l3304,247m3735,179l3735,247m3951,179l3951,247m1364,179l1364,247m1795,179l1795,247m2226,179l2226,247m2657,179l2657,247e" filled="false" stroked="true" strokeweight=".5pt" strokecolor="#000000">
            <v:path arrowok="t"/>
            <v:stroke dashstyle="solid"/>
            <w10:wrap type="none"/>
          </v:shape>
        </w:pict>
      </w:r>
      <w:r>
        <w:rPr>
          <w:sz w:val="12"/>
        </w:rPr>
        <w:t>2</w:t>
        <w:tab/>
      </w:r>
      <w:r>
        <w:rPr>
          <w:position w:val="1"/>
          <w:sz w:val="12"/>
        </w:rPr>
        <w:t>4</w:t>
      </w:r>
    </w:p>
    <w:p>
      <w:pPr>
        <w:spacing w:line="132" w:lineRule="exact" w:before="0"/>
        <w:ind w:left="484" w:right="0" w:firstLine="0"/>
        <w:jc w:val="left"/>
        <w:rPr>
          <w:sz w:val="12"/>
        </w:rPr>
      </w:pPr>
      <w:r>
        <w:rPr>
          <w:sz w:val="12"/>
        </w:rPr>
        <w:t>1987 88 89 90 91 92 93 94 95 96 97 98 99 2000</w:t>
      </w:r>
    </w:p>
    <w:p>
      <w:pPr>
        <w:spacing w:before="102"/>
        <w:ind w:left="165" w:right="0" w:firstLine="0"/>
        <w:jc w:val="left"/>
        <w:rPr>
          <w:sz w:val="12"/>
        </w:rPr>
      </w:pPr>
      <w:r>
        <w:rPr>
          <w:sz w:val="12"/>
        </w:rPr>
        <w:t>Sources: ONS, Bank of England and GfK.</w:t>
      </w:r>
    </w:p>
    <w:p>
      <w:pPr>
        <w:pStyle w:val="BodyText"/>
        <w:spacing w:before="2"/>
        <w:rPr>
          <w:sz w:val="10"/>
        </w:rPr>
      </w:pPr>
    </w:p>
    <w:p>
      <w:pPr>
        <w:pStyle w:val="ListParagraph"/>
        <w:numPr>
          <w:ilvl w:val="1"/>
          <w:numId w:val="4"/>
        </w:numPr>
        <w:tabs>
          <w:tab w:pos="406" w:val="left" w:leader="none"/>
        </w:tabs>
        <w:spacing w:line="208" w:lineRule="auto" w:before="0" w:after="0"/>
        <w:ind w:left="405" w:right="38" w:hanging="240"/>
        <w:jc w:val="both"/>
        <w:rPr>
          <w:sz w:val="12"/>
        </w:rPr>
      </w:pPr>
      <w:r>
        <w:rPr>
          <w:sz w:val="12"/>
        </w:rPr>
        <w:t>Percentage balance responses to the question: ‘How do you think the financial</w:t>
      </w:r>
      <w:r>
        <w:rPr>
          <w:spacing w:val="-6"/>
          <w:sz w:val="12"/>
        </w:rPr>
        <w:t> </w:t>
      </w:r>
      <w:r>
        <w:rPr>
          <w:sz w:val="12"/>
        </w:rPr>
        <w:t>situation</w:t>
      </w:r>
      <w:r>
        <w:rPr>
          <w:spacing w:val="-6"/>
          <w:sz w:val="12"/>
        </w:rPr>
        <w:t> </w:t>
      </w:r>
      <w:r>
        <w:rPr>
          <w:sz w:val="12"/>
        </w:rPr>
        <w:t>of</w:t>
      </w:r>
      <w:r>
        <w:rPr>
          <w:spacing w:val="-5"/>
          <w:sz w:val="12"/>
        </w:rPr>
        <w:t> </w:t>
      </w:r>
      <w:r>
        <w:rPr>
          <w:sz w:val="12"/>
        </w:rPr>
        <w:t>your</w:t>
      </w:r>
      <w:r>
        <w:rPr>
          <w:spacing w:val="-6"/>
          <w:sz w:val="12"/>
        </w:rPr>
        <w:t> </w:t>
      </w:r>
      <w:r>
        <w:rPr>
          <w:sz w:val="12"/>
        </w:rPr>
        <w:t>household</w:t>
      </w:r>
      <w:r>
        <w:rPr>
          <w:spacing w:val="-5"/>
          <w:sz w:val="12"/>
        </w:rPr>
        <w:t> </w:t>
      </w:r>
      <w:r>
        <w:rPr>
          <w:sz w:val="12"/>
        </w:rPr>
        <w:t>will</w:t>
      </w:r>
      <w:r>
        <w:rPr>
          <w:spacing w:val="-6"/>
          <w:sz w:val="12"/>
        </w:rPr>
        <w:t> </w:t>
      </w:r>
      <w:r>
        <w:rPr>
          <w:sz w:val="12"/>
        </w:rPr>
        <w:t>change</w:t>
      </w:r>
      <w:r>
        <w:rPr>
          <w:spacing w:val="-6"/>
          <w:sz w:val="12"/>
        </w:rPr>
        <w:t> </w:t>
      </w:r>
      <w:r>
        <w:rPr>
          <w:sz w:val="12"/>
        </w:rPr>
        <w:t>over</w:t>
      </w:r>
      <w:r>
        <w:rPr>
          <w:spacing w:val="-5"/>
          <w:sz w:val="12"/>
        </w:rPr>
        <w:t> </w:t>
      </w:r>
      <w:r>
        <w:rPr>
          <w:sz w:val="12"/>
        </w:rPr>
        <w:t>the</w:t>
      </w:r>
      <w:r>
        <w:rPr>
          <w:spacing w:val="-6"/>
          <w:sz w:val="12"/>
        </w:rPr>
        <w:t> </w:t>
      </w:r>
      <w:r>
        <w:rPr>
          <w:sz w:val="12"/>
        </w:rPr>
        <w:t>next</w:t>
      </w:r>
      <w:r>
        <w:rPr>
          <w:spacing w:val="-5"/>
          <w:sz w:val="12"/>
        </w:rPr>
        <w:t> </w:t>
      </w:r>
      <w:r>
        <w:rPr>
          <w:sz w:val="12"/>
        </w:rPr>
        <w:t>twelve months: improve/remain the</w:t>
      </w:r>
      <w:r>
        <w:rPr>
          <w:spacing w:val="-6"/>
          <w:sz w:val="12"/>
        </w:rPr>
        <w:t> </w:t>
      </w:r>
      <w:r>
        <w:rPr>
          <w:sz w:val="12"/>
        </w:rPr>
        <w:t>same/worsen?’</w:t>
      </w:r>
    </w:p>
    <w:p>
      <w:pPr>
        <w:pStyle w:val="BodyText"/>
        <w:rPr>
          <w:sz w:val="12"/>
        </w:rPr>
      </w:pPr>
    </w:p>
    <w:p>
      <w:pPr>
        <w:pStyle w:val="BodyText"/>
        <w:spacing w:before="4"/>
        <w:rPr>
          <w:sz w:val="15"/>
        </w:rPr>
      </w:pPr>
    </w:p>
    <w:p>
      <w:pPr>
        <w:pStyle w:val="Heading6"/>
        <w:spacing w:before="0"/>
        <w:ind w:left="205"/>
      </w:pPr>
      <w:r>
        <w:rPr>
          <w:color w:val="0092C7"/>
        </w:rPr>
        <w:t>Chart 1.6</w:t>
      </w:r>
    </w:p>
    <w:p>
      <w:pPr>
        <w:pStyle w:val="Heading6"/>
        <w:ind w:left="205"/>
        <w:rPr>
          <w:b w:val="0"/>
          <w:sz w:val="12"/>
        </w:rPr>
      </w:pPr>
      <w:r>
        <w:rPr>
          <w:color w:val="0092C7"/>
        </w:rPr>
        <w:t>PNFCs’ saving and investment</w:t>
      </w:r>
      <w:r>
        <w:rPr>
          <w:b w:val="0"/>
          <w:position w:val="4"/>
          <w:sz w:val="12"/>
        </w:rPr>
        <w:t>(a)</w:t>
      </w:r>
    </w:p>
    <w:p>
      <w:pPr>
        <w:spacing w:line="118" w:lineRule="exact" w:before="117"/>
        <w:ind w:left="1525" w:right="0" w:firstLine="0"/>
        <w:jc w:val="left"/>
        <w:rPr>
          <w:sz w:val="12"/>
        </w:rPr>
      </w:pPr>
      <w:r>
        <w:rPr>
          <w:sz w:val="12"/>
        </w:rPr>
        <w:t>Percentage of post-tax operating surplus</w:t>
      </w:r>
    </w:p>
    <w:p>
      <w:pPr>
        <w:spacing w:line="118" w:lineRule="exact" w:before="0"/>
        <w:ind w:left="3484" w:right="0" w:firstLine="0"/>
        <w:jc w:val="left"/>
        <w:rPr>
          <w:sz w:val="12"/>
        </w:rPr>
      </w:pPr>
      <w:r>
        <w:rPr/>
        <w:pict>
          <v:line style="position:absolute;mso-position-horizontal-relative:page;mso-position-vertical-relative:paragraph;z-index:15802880" from="46.946pt,3.517762pt" to="42.612pt,3.517762pt" stroked="true" strokeweight=".5pt" strokecolor="#000000">
            <v:stroke dashstyle="solid"/>
            <w10:wrap type="none"/>
          </v:line>
        </w:pict>
      </w:r>
      <w:r>
        <w:rPr/>
        <w:pict>
          <v:line style="position:absolute;mso-position-horizontal-relative:page;mso-position-vertical-relative:paragraph;z-index:15803392" from="204.946998pt,3.173762pt" to="200.613998pt,3.173762pt" stroked="true" strokeweight=".5pt" strokecolor="#000000">
            <v:stroke dashstyle="solid"/>
            <w10:wrap type="none"/>
          </v:line>
        </w:pict>
      </w:r>
      <w:r>
        <w:rPr>
          <w:sz w:val="12"/>
        </w:rPr>
        <w:t>100</w:t>
      </w:r>
    </w:p>
    <w:p>
      <w:pPr>
        <w:spacing w:line="242" w:lineRule="auto" w:before="222"/>
        <w:ind w:left="165" w:right="263" w:firstLine="0"/>
        <w:jc w:val="left"/>
        <w:rPr>
          <w:sz w:val="24"/>
        </w:rPr>
      </w:pPr>
      <w:r>
        <w:rPr/>
        <w:br w:type="column"/>
      </w:r>
      <w:r>
        <w:rPr>
          <w:sz w:val="24"/>
        </w:rPr>
        <w:t>remained robust at 9.8% in 2000 Q2. Within the total, annual growth in net secured lending to individuals was 8.9%. The majority of secured lending is used to finance house purchase or home improvements. The difference between net lending secured on housing and investment in housing is termed mortgage equity withdrawal (MEW). MEW can be used to finance consumption. Bank estimates suggest that MEW has fallen back since its recent peak in 1999 Q3.</w:t>
      </w:r>
    </w:p>
    <w:p>
      <w:pPr>
        <w:pStyle w:val="BodyText"/>
        <w:spacing w:before="4"/>
        <w:rPr>
          <w:sz w:val="25"/>
        </w:rPr>
      </w:pPr>
    </w:p>
    <w:p>
      <w:pPr>
        <w:spacing w:line="242" w:lineRule="auto" w:before="0"/>
        <w:ind w:left="165" w:right="209" w:firstLine="0"/>
        <w:jc w:val="left"/>
        <w:rPr>
          <w:sz w:val="24"/>
        </w:rPr>
      </w:pPr>
      <w:r>
        <w:rPr>
          <w:sz w:val="24"/>
        </w:rPr>
        <w:t>Consumer credit and MEW together provide a proxy for total borrowing for consumption. Borrowing on this measure has fallen a little relative to disposable income since 1999 Q3. This decline is consistent with indications from surveys that households are slightly less confident about their future financial situation than they were at the same time last year (see Chart 1.5).</w:t>
      </w:r>
    </w:p>
    <w:p>
      <w:pPr>
        <w:pStyle w:val="BodyText"/>
        <w:spacing w:before="7"/>
        <w:rPr>
          <w:sz w:val="28"/>
        </w:rPr>
      </w:pPr>
    </w:p>
    <w:p>
      <w:pPr>
        <w:pStyle w:val="Heading2"/>
        <w:ind w:left="165"/>
        <w:rPr>
          <w:i/>
        </w:rPr>
      </w:pPr>
      <w:r>
        <w:rPr>
          <w:i/>
          <w:color w:val="009391"/>
        </w:rPr>
        <w:t>Private non-financial corporations</w:t>
      </w:r>
    </w:p>
    <w:p>
      <w:pPr>
        <w:spacing w:line="242" w:lineRule="auto" w:before="164"/>
        <w:ind w:left="165" w:right="457" w:firstLine="0"/>
        <w:jc w:val="both"/>
        <w:rPr>
          <w:sz w:val="24"/>
        </w:rPr>
      </w:pPr>
      <w:r>
        <w:rPr>
          <w:sz w:val="24"/>
        </w:rPr>
        <w:t>Annual</w:t>
      </w:r>
      <w:r>
        <w:rPr>
          <w:spacing w:val="-5"/>
          <w:sz w:val="24"/>
        </w:rPr>
        <w:t> </w:t>
      </w:r>
      <w:r>
        <w:rPr>
          <w:sz w:val="24"/>
        </w:rPr>
        <w:t>growth</w:t>
      </w:r>
      <w:r>
        <w:rPr>
          <w:spacing w:val="-5"/>
          <w:sz w:val="24"/>
        </w:rPr>
        <w:t> </w:t>
      </w:r>
      <w:r>
        <w:rPr>
          <w:sz w:val="24"/>
        </w:rPr>
        <w:t>in</w:t>
      </w:r>
      <w:r>
        <w:rPr>
          <w:spacing w:val="-5"/>
          <w:sz w:val="24"/>
        </w:rPr>
        <w:t> </w:t>
      </w:r>
      <w:r>
        <w:rPr>
          <w:sz w:val="24"/>
        </w:rPr>
        <w:t>PNFCs’</w:t>
      </w:r>
      <w:r>
        <w:rPr>
          <w:spacing w:val="-21"/>
          <w:sz w:val="24"/>
        </w:rPr>
        <w:t> </w:t>
      </w:r>
      <w:r>
        <w:rPr>
          <w:sz w:val="24"/>
        </w:rPr>
        <w:t>M4</w:t>
      </w:r>
      <w:r>
        <w:rPr>
          <w:spacing w:val="-5"/>
          <w:sz w:val="24"/>
        </w:rPr>
        <w:t> </w:t>
      </w:r>
      <w:r>
        <w:rPr>
          <w:sz w:val="24"/>
        </w:rPr>
        <w:t>rose</w:t>
      </w:r>
      <w:r>
        <w:rPr>
          <w:spacing w:val="-4"/>
          <w:sz w:val="24"/>
        </w:rPr>
        <w:t> </w:t>
      </w:r>
      <w:r>
        <w:rPr>
          <w:sz w:val="24"/>
        </w:rPr>
        <w:t>sharply</w:t>
      </w:r>
      <w:r>
        <w:rPr>
          <w:spacing w:val="-5"/>
          <w:sz w:val="24"/>
        </w:rPr>
        <w:t> </w:t>
      </w:r>
      <w:r>
        <w:rPr>
          <w:sz w:val="24"/>
        </w:rPr>
        <w:t>to</w:t>
      </w:r>
      <w:r>
        <w:rPr>
          <w:spacing w:val="-5"/>
          <w:sz w:val="24"/>
        </w:rPr>
        <w:t> </w:t>
      </w:r>
      <w:r>
        <w:rPr>
          <w:sz w:val="24"/>
        </w:rPr>
        <w:t>9.0%</w:t>
      </w:r>
      <w:r>
        <w:rPr>
          <w:spacing w:val="-5"/>
          <w:sz w:val="24"/>
        </w:rPr>
        <w:t> </w:t>
      </w:r>
      <w:r>
        <w:rPr>
          <w:sz w:val="24"/>
        </w:rPr>
        <w:t>in 2000 Q2, from 1.2% in the previous </w:t>
      </w:r>
      <w:r>
        <w:rPr>
          <w:spacing w:val="-3"/>
          <w:sz w:val="24"/>
        </w:rPr>
        <w:t>quarter. </w:t>
      </w:r>
      <w:r>
        <w:rPr>
          <w:sz w:val="24"/>
        </w:rPr>
        <w:t>Deposit growth in 2000 Q1 was very weak, perhaps</w:t>
      </w:r>
      <w:r>
        <w:rPr>
          <w:spacing w:val="-36"/>
          <w:sz w:val="24"/>
        </w:rPr>
        <w:t> </w:t>
      </w:r>
      <w:r>
        <w:rPr>
          <w:sz w:val="24"/>
        </w:rPr>
        <w:t>because</w:t>
      </w:r>
    </w:p>
    <w:p>
      <w:pPr>
        <w:spacing w:after="0" w:line="242" w:lineRule="auto"/>
        <w:jc w:val="both"/>
        <w:rPr>
          <w:sz w:val="24"/>
        </w:rPr>
        <w:sectPr>
          <w:type w:val="continuous"/>
          <w:pgSz w:w="11900" w:h="16840"/>
          <w:pgMar w:top="1260" w:bottom="280" w:left="640" w:right="640"/>
          <w:cols w:num="2" w:equalWidth="0">
            <w:col w:w="3795" w:space="1025"/>
            <w:col w:w="5800"/>
          </w:cols>
        </w:sectPr>
      </w:pPr>
    </w:p>
    <w:p>
      <w:pPr>
        <w:pStyle w:val="BodyText"/>
        <w:rPr>
          <w:sz w:val="8"/>
        </w:rPr>
      </w:pPr>
    </w:p>
    <w:p>
      <w:pPr>
        <w:pStyle w:val="BodyText"/>
        <w:spacing w:line="20" w:lineRule="exact"/>
        <w:ind w:left="207"/>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spacing w:before="3"/>
        <w:rPr>
          <w:sz w:val="29"/>
        </w:rPr>
      </w:pPr>
      <w:r>
        <w:rPr/>
        <w:pict>
          <v:shape style="position:absolute;margin-left:42.612999pt;margin-top:19.025116pt;width:4.350pt;height:.1pt;mso-position-horizontal-relative:page;mso-position-vertical-relative:paragraph;z-index:-15665664;mso-wrap-distance-left:0;mso-wrap-distance-right:0" coordorigin="852,381" coordsize="87,0" path="m939,381l852,381e" filled="false" stroked="true" strokeweight=".5pt" strokecolor="#000000">
            <v:path arrowok="t"/>
            <v:stroke dashstyle="solid"/>
            <w10:wrap type="topAndBottom"/>
          </v:shape>
        </w:pict>
      </w:r>
    </w:p>
    <w:p>
      <w:pPr>
        <w:pStyle w:val="BodyText"/>
        <w:rPr>
          <w:sz w:val="20"/>
        </w:rPr>
      </w:pPr>
    </w:p>
    <w:p>
      <w:pPr>
        <w:pStyle w:val="BodyText"/>
        <w:rPr>
          <w:sz w:val="10"/>
        </w:rPr>
      </w:pPr>
      <w:r>
        <w:rPr/>
        <w:pict>
          <v:shape style="position:absolute;margin-left:42.612pt;margin-top:7.987977pt;width:4.350pt;height:.1pt;mso-position-horizontal-relative:page;mso-position-vertical-relative:paragraph;z-index:-15665152;mso-wrap-distance-left:0;mso-wrap-distance-right:0" coordorigin="852,160" coordsize="87,0" path="m939,160l852,160e" filled="false" stroked="true" strokeweight=".5pt" strokecolor="#000000">
            <v:path arrowok="t"/>
            <v:stroke dashstyle="solid"/>
            <w10:wrap type="topAndBottom"/>
          </v:shape>
        </w:pict>
      </w:r>
      <w:r>
        <w:rPr/>
        <w:pict>
          <v:shape style="position:absolute;margin-left:42.612pt;margin-top:27.695976pt;width:4.350pt;height:.1pt;mso-position-horizontal-relative:page;mso-position-vertical-relative:paragraph;z-index:-15664640;mso-wrap-distance-left:0;mso-wrap-distance-right:0" coordorigin="852,554" coordsize="87,0" path="m939,554l852,554e" filled="false" stroked="true" strokeweight=".5pt" strokecolor="#000000">
            <v:path arrowok="t"/>
            <v:stroke dashstyle="solid"/>
            <w10:wrap type="topAndBottom"/>
          </v:shape>
        </w:pict>
      </w:r>
    </w:p>
    <w:p>
      <w:pPr>
        <w:pStyle w:val="BodyText"/>
        <w:spacing w:before="5"/>
        <w:rPr>
          <w:sz w:val="27"/>
        </w:rPr>
      </w:pPr>
    </w:p>
    <w:p>
      <w:pPr>
        <w:pStyle w:val="BodyText"/>
        <w:rPr>
          <w:sz w:val="20"/>
        </w:rPr>
      </w:pPr>
    </w:p>
    <w:p>
      <w:pPr>
        <w:pStyle w:val="BodyText"/>
        <w:rPr>
          <w:sz w:val="20"/>
        </w:rPr>
      </w:pPr>
    </w:p>
    <w:p>
      <w:pPr>
        <w:pStyle w:val="BodyText"/>
        <w:spacing w:before="11"/>
        <w:rPr>
          <w:sz w:val="24"/>
        </w:rPr>
      </w:pPr>
      <w:r>
        <w:rPr/>
        <w:pict>
          <v:shape style="position:absolute;margin-left:42.612pt;margin-top:16.571953pt;width:4.350pt;height:.1pt;mso-position-horizontal-relative:page;mso-position-vertical-relative:paragraph;z-index:-15664128;mso-wrap-distance-left:0;mso-wrap-distance-right:0" coordorigin="852,331" coordsize="87,0" path="m939,331l852,331e" filled="false" stroked="true" strokeweight=".5pt" strokecolor="#000000">
            <v:path arrowok="t"/>
            <v:stroke dashstyle="solid"/>
            <w10:wrap type="topAndBottom"/>
          </v:shape>
        </w:pict>
      </w:r>
    </w:p>
    <w:p>
      <w:pPr>
        <w:pStyle w:val="BodyText"/>
        <w:rPr>
          <w:sz w:val="20"/>
        </w:rPr>
      </w:pPr>
    </w:p>
    <w:p>
      <w:pPr>
        <w:pStyle w:val="BodyText"/>
        <w:spacing w:before="11"/>
        <w:rPr>
          <w:sz w:val="10"/>
        </w:rPr>
      </w:pPr>
      <w:r>
        <w:rPr/>
        <w:pict>
          <v:shape style="position:absolute;margin-left:42.612pt;margin-top:8.508977pt;width:4.350pt;height:.1pt;mso-position-horizontal-relative:page;mso-position-vertical-relative:paragraph;z-index:-15663616;mso-wrap-distance-left:0;mso-wrap-distance-right:0" coordorigin="852,170" coordsize="87,0" path="m939,170l852,170e" filled="false" stroked="true" strokeweight=".5pt" strokecolor="#000000">
            <v:path arrowok="t"/>
            <v:stroke dashstyle="solid"/>
            <w10:wrap type="topAndBottom"/>
          </v:shape>
        </w:pict>
      </w:r>
    </w:p>
    <w:p>
      <w:pPr>
        <w:spacing w:before="27"/>
        <w:ind w:left="235" w:right="0" w:firstLine="0"/>
        <w:jc w:val="left"/>
        <w:rPr>
          <w:sz w:val="12"/>
        </w:rPr>
      </w:pPr>
      <w:r>
        <w:rPr>
          <w:sz w:val="12"/>
        </w:rPr>
        <w:t>1968 70</w:t>
      </w:r>
    </w:p>
    <w:p>
      <w:pPr>
        <w:tabs>
          <w:tab w:pos="2949" w:val="right" w:leader="none"/>
        </w:tabs>
        <w:spacing w:line="125" w:lineRule="exact" w:before="0"/>
        <w:ind w:left="235" w:right="0" w:firstLine="0"/>
        <w:jc w:val="left"/>
        <w:rPr>
          <w:sz w:val="12"/>
        </w:rPr>
      </w:pPr>
      <w:r>
        <w:rPr/>
        <w:br w:type="column"/>
      </w:r>
      <w:r>
        <w:rPr>
          <w:position w:val="1"/>
          <w:sz w:val="12"/>
        </w:rPr>
        <w:t>Investment in real assets (b)</w:t>
        <w:tab/>
      </w:r>
      <w:r>
        <w:rPr>
          <w:sz w:val="12"/>
        </w:rPr>
        <w:t>80</w:t>
      </w:r>
    </w:p>
    <w:p>
      <w:pPr>
        <w:pStyle w:val="BodyText"/>
        <w:rPr>
          <w:sz w:val="14"/>
        </w:rPr>
      </w:pPr>
    </w:p>
    <w:p>
      <w:pPr>
        <w:spacing w:before="115"/>
        <w:ind w:left="2829" w:right="0" w:firstLine="0"/>
        <w:jc w:val="left"/>
        <w:rPr>
          <w:sz w:val="12"/>
        </w:rPr>
      </w:pPr>
      <w:r>
        <w:rPr/>
        <w:pict>
          <v:group style="position:absolute;margin-left:50.779999pt;margin-top:-8.951438pt;width:145.15pt;height:44.3pt;mso-position-horizontal-relative:page;mso-position-vertical-relative:paragraph;z-index:15801344" coordorigin="1016,-179" coordsize="2903,886">
            <v:shape style="position:absolute;left:1025;top:148;width:1663;height:388" coordorigin="1026,148" coordsize="1663,388" path="m1026,496l1048,498m1048,496l1068,426m1068,426l1098,453m1098,453l1118,411m1118,411l1138,398m1138,398l1161,411m1161,411l1181,383m1181,383l1211,398m1211,398l1231,438m1231,438l1253,441m1253,438l1273,411m1273,411l1293,426m1293,426l1323,411m1323,411l1343,398m1343,398l1366,383m1366,383l1386,398m1386,398l1406,383m1406,383l1436,371m1436,371l1458,343m1458,343l1498,258m1498,258l1518,246m1518,246l1538,231m1538,231l1571,301m1571,301l1591,356m1591,356l1611,398m1611,398l1631,481m1631,481l1651,483m1651,481l1683,523m1683,523l1703,508m1703,508l1723,466m1723,466l1743,411m1743,411l1766,371m1766,371l1796,343m1796,343l1816,328m1816,328l1836,316m1836,316l1856,286m1856,286l1878,258m1878,258l1908,246m1908,246l1928,203m1928,203l1948,191m1948,191l1971,148m1971,148l1991,163m1991,163l2021,191m2021,191l2041,193m2041,191l2063,218m2063,218l2083,273m2083,273l2103,343m2103,343l2133,383m2133,383l2153,481m2153,481l2176,508m2176,508l2196,536m2196,536l2216,523m2216,523l2246,481m2246,481l2268,438m2268,438l2288,466m2288,466l2308,468m2308,466l2328,468m2328,466l2358,426m2358,426l2381,356m2381,356l2401,371m2401,371l2421,316m2421,316l2441,343m2441,343l2473,301m2473,301l2493,258m2493,258l2513,316m2513,316l2533,273m2533,273l2553,301m2553,301l2576,258m2576,258l2606,246m2606,246l2626,258m2626,258l2646,246m2646,246l2666,273m2666,273l2688,258e" filled="false" stroked="true" strokeweight="1pt" strokecolor="#006caa">
              <v:path arrowok="t"/>
              <v:stroke dashstyle="solid"/>
            </v:shape>
            <v:line style="position:absolute" from="2678,260" to="2728,260" stroked="true" strokeweight="1.125pt" strokecolor="#006caa">
              <v:stroke dashstyle="solid"/>
            </v:line>
            <v:shape style="position:absolute;left:2718;top:78;width:308;height:458" coordorigin="2718,78" coordsize="308,458" path="m2718,258l2758,148m2758,148l2781,106m2781,106l2801,78m2801,78l2831,93m2831,93l2851,133m2851,133l2871,163m2871,163l2893,203m2893,203l2913,231m2913,231l2943,273m2943,273l2963,371m2963,371l2986,438m2986,438l3006,496m3006,496l3026,536e" filled="false" stroked="true" strokeweight="1pt" strokecolor="#006caa">
              <v:path arrowok="t"/>
              <v:stroke dashstyle="solid"/>
            </v:shape>
            <v:line style="position:absolute" from="3016,537" to="3066,537" stroked="true" strokeweight="1.125pt" strokecolor="#006caa">
              <v:stroke dashstyle="solid"/>
            </v:line>
            <v:shape style="position:absolute;left:3055;top:163;width:853;height:388" coordorigin="3056,163" coordsize="853,388" path="m3056,536l3076,538m3076,536l3098,551m3098,551l3118,508m3118,508l3138,481m3138,481l3168,438m3168,438l3191,441m3191,438l3211,453m3211,453l3231,438m3231,438l3251,466m3251,466l3283,398m3283,398l3303,401m3303,398l3323,343m3323,343l3343,286m3343,286l3363,246m3363,246l3396,191m3396,191l3416,203m3416,203l3436,191m3436,191l3456,231m3456,231l3476,258m3476,258l3498,273m3498,273l3528,316m3528,316l3548,318m3548,316l3568,286m3568,286l3591,288m3591,286l3611,288m3611,286l3641,258m3641,258l3661,316m3661,316l3681,273m3681,273l3703,286m3703,286l3723,328m3723,328l3753,286m3753,286l3773,288m3773,286l3796,231m3796,231l3816,163m3816,163l3836,316m3836,316l3866,356m3866,356l3886,398m3886,398l3908,438e" filled="false" stroked="true" strokeweight="1pt" strokecolor="#006caa">
              <v:path arrowok="t"/>
              <v:stroke dashstyle="solid"/>
            </v:shape>
            <v:shape style="position:absolute;left:1025;top:148;width:545;height:458" coordorigin="1026,148" coordsize="545,458" path="m1026,508l1048,466m1048,466l1068,426m1068,426l1098,343m1098,343l1118,273m1118,273l1138,276m1138,273l1161,276m1161,273l1181,316m1181,316l1211,301m1211,301l1231,218m1231,218l1253,176m1253,176l1273,191m1273,191l1293,231m1293,231l1323,356m1323,356l1343,453m1343,453l1366,508m1366,508l1386,551m1386,551l1406,563m1406,563l1436,591m1436,591l1458,606m1458,606l1478,523m1478,523l1498,466m1498,466l1518,328m1518,328l1538,203m1538,203l1571,148e" filled="false" stroked="true" strokeweight="1pt" strokecolor="#de0035">
              <v:path arrowok="t"/>
              <v:stroke dashstyle="solid"/>
            </v:shape>
            <v:line style="position:absolute" from="1581,-57" to="1581,158" stroked="true" strokeweight="2pt" strokecolor="#de0035">
              <v:stroke dashstyle="solid"/>
            </v:line>
            <v:shape style="position:absolute;left:1590;top:-170;width:985;height:815" coordorigin="1591,-169" coordsize="985,815" path="m1591,-47l1611,-169m1611,-169l1631,-167m1631,-169l1651,-32m1651,-32l1683,203m1683,203l1703,371m1703,371l1723,453m1723,453l1743,438m1743,438l1766,383m1766,383l1796,301m1796,301l1816,203m1816,203l1836,148m1836,148l1856,121m1856,121l1878,231m1878,231l1908,286m1908,286l1928,288m1928,286l1948,288m1948,286l1971,246m1971,246l1991,203m1991,203l2021,133m2021,133l2041,163m2041,163l2063,106m2063,106l2083,133m2083,133l2103,258m2103,258l2133,286m2133,286l2153,383m2153,383l2176,481m2176,481l2196,496m2196,496l2216,563m2216,563l2246,551m2246,551l2268,523m2268,523l2288,453m2288,453l2308,411m2308,411l2328,466m2328,466l2358,551m2358,551l2381,618m2381,618l2401,633m2401,633l2421,646m2421,646l2441,551m2441,551l2473,536m2473,536l2493,508m2493,508l2513,453m2513,453l2533,456m2533,453l2553,411m2553,411l2576,413e" filled="false" stroked="true" strokeweight="1pt" strokecolor="#de0035">
              <v:path arrowok="t"/>
              <v:stroke dashstyle="solid"/>
            </v:shape>
            <v:line style="position:absolute" from="2566,412" to="2616,412" stroked="true" strokeweight="1.125pt" strokecolor="#de0035">
              <v:stroke dashstyle="solid"/>
            </v:line>
            <v:shape style="position:absolute;left:2605;top:-115;width:1005;height:540" coordorigin="2606,-114" coordsize="1005,540" path="m2606,411l2626,413m2626,411l2646,426m2646,426l2666,411m2666,411l2688,398m2688,398l2718,356m2718,356l2738,328m2738,328l2758,273m2758,273l2781,203m2781,203l2801,176m2801,176l2831,148m2831,148l2851,133m2851,133l2871,106m2871,106l2893,51m2893,51l2913,23m2913,23l2943,-17m2943,-17l2963,-59m2963,-59l2986,-32m2986,-32l3006,-74m3006,-74l3026,-114m3026,-114l3056,-74m3056,-74l3076,-4m3076,-4l3098,51m3098,51l3118,176m3118,176l3138,273m3138,273l3168,258m3168,258l3191,286m3191,286l3211,301m3211,301l3231,303m3231,301l3251,316m3251,316l3283,328m3283,328l3303,331m3303,328l3323,343m3323,343l3343,371m3343,371l3363,383m3363,383l3396,398m3396,398l3416,401m3416,398l3436,401m3436,398l3456,411m3456,411l3476,356m3476,356l3498,316m3498,316l3528,301m3528,301l3548,273m3548,273l3568,316m3568,316l3591,328m3591,328l3611,331e" filled="false" stroked="true" strokeweight="1pt" strokecolor="#de0035">
              <v:path arrowok="t"/>
              <v:stroke dashstyle="solid"/>
            </v:shape>
            <v:line style="position:absolute" from="3601,330" to="3651,330" stroked="true" strokeweight="1.125pt" strokecolor="#de0035">
              <v:stroke dashstyle="solid"/>
            </v:line>
            <v:shape style="position:absolute;left:3640;top:190;width:83;height:138" coordorigin="3641,191" coordsize="83,138" path="m3641,328l3661,286m3661,286l3681,273m3681,273l3703,203m3703,203l3723,191e" filled="false" stroked="true" strokeweight="1pt" strokecolor="#de0035">
              <v:path arrowok="t"/>
              <v:stroke dashstyle="solid"/>
            </v:shape>
            <v:line style="position:absolute" from="3713,192" to="3763,192" stroked="true" strokeweight="1.125pt" strokecolor="#de0035">
              <v:stroke dashstyle="solid"/>
            </v:line>
            <v:shape style="position:absolute;left:3753;top:120;width:83;height:70" coordorigin="3753,121" coordsize="83,70" path="m3753,191l3773,176m3773,176l3796,163m3796,163l3816,148m3816,148l3836,121e" filled="false" stroked="true" strokeweight="1pt" strokecolor="#de0035">
              <v:path arrowok="t"/>
              <v:stroke dashstyle="solid"/>
            </v:shape>
            <v:line style="position:absolute" from="3826,122" to="3876,122" stroked="true" strokeweight="1.125pt" strokecolor="#de0035">
              <v:stroke dashstyle="solid"/>
            </v:line>
            <v:shape style="position:absolute;left:3865;top:120;width:43;height:43" coordorigin="3866,121" coordsize="43,43" path="m3866,121l3886,163m3886,163l3908,148e" filled="false" stroked="true" strokeweight="1pt" strokecolor="#de0035">
              <v:path arrowok="t"/>
              <v:stroke dashstyle="solid"/>
            </v:shape>
            <v:shape style="position:absolute;left:2790;top:573;width:354;height:133" type="#_x0000_t202" filled="false" stroked="false">
              <v:textbox inset="0,0,0,0">
                <w:txbxContent>
                  <w:p>
                    <w:pPr>
                      <w:spacing w:line="133" w:lineRule="exact" w:before="0"/>
                      <w:ind w:left="0" w:right="0" w:firstLine="0"/>
                      <w:jc w:val="left"/>
                      <w:rPr>
                        <w:sz w:val="12"/>
                      </w:rPr>
                    </w:pPr>
                    <w:r>
                      <w:rPr>
                        <w:sz w:val="12"/>
                      </w:rPr>
                      <w:t>Saving</w:t>
                    </w:r>
                  </w:p>
                </w:txbxContent>
              </v:textbox>
              <w10:wrap type="none"/>
            </v:shape>
            <w10:wrap type="none"/>
          </v:group>
        </w:pict>
      </w:r>
      <w:r>
        <w:rPr/>
        <w:pict>
          <v:line style="position:absolute;mso-position-horizontal-relative:page;mso-position-vertical-relative:paragraph;z-index:15803904" from="204.946998pt,-9.794438pt" to="200.613998pt,-9.794438pt" stroked="true" strokeweight=".5pt" strokecolor="#000000">
            <v:stroke dashstyle="solid"/>
            <w10:wrap type="none"/>
          </v:line>
        </w:pict>
      </w:r>
      <w:r>
        <w:rPr/>
        <w:pict>
          <v:line style="position:absolute;mso-position-horizontal-relative:page;mso-position-vertical-relative:paragraph;z-index:15806464" from="204.946998pt,9.976562pt" to="200.613998pt,9.976562pt" stroked="true" strokeweight=".5pt" strokecolor="#000000">
            <v:stroke dashstyle="solid"/>
            <w10:wrap type="none"/>
          </v:line>
        </w:pict>
      </w:r>
      <w:r>
        <w:rPr>
          <w:sz w:val="12"/>
        </w:rPr>
        <w:t>60</w:t>
      </w:r>
    </w:p>
    <w:p>
      <w:pPr>
        <w:pStyle w:val="BodyText"/>
        <w:rPr>
          <w:sz w:val="12"/>
        </w:rPr>
      </w:pPr>
    </w:p>
    <w:p>
      <w:pPr>
        <w:pStyle w:val="BodyText"/>
        <w:rPr>
          <w:sz w:val="12"/>
        </w:rPr>
      </w:pPr>
    </w:p>
    <w:p>
      <w:pPr>
        <w:spacing w:before="0"/>
        <w:ind w:left="2829" w:right="0" w:firstLine="0"/>
        <w:jc w:val="left"/>
        <w:rPr>
          <w:sz w:val="12"/>
        </w:rPr>
      </w:pPr>
      <w:r>
        <w:rPr/>
        <w:pict>
          <v:line style="position:absolute;mso-position-horizontal-relative:page;mso-position-vertical-relative:paragraph;z-index:15804416" from="204.946998pt,4.699176pt" to="200.613998pt,4.699176pt" stroked="true" strokeweight=".5pt" strokecolor="#000000">
            <v:stroke dashstyle="solid"/>
            <w10:wrap type="none"/>
          </v:line>
        </w:pict>
      </w:r>
      <w:r>
        <w:rPr>
          <w:sz w:val="12"/>
        </w:rPr>
        <w:t>40</w:t>
      </w:r>
    </w:p>
    <w:p>
      <w:pPr>
        <w:pStyle w:val="BodyText"/>
        <w:rPr>
          <w:sz w:val="12"/>
        </w:rPr>
      </w:pPr>
    </w:p>
    <w:p>
      <w:pPr>
        <w:pStyle w:val="BodyText"/>
        <w:rPr>
          <w:sz w:val="12"/>
        </w:rPr>
      </w:pPr>
    </w:p>
    <w:p>
      <w:pPr>
        <w:spacing w:before="1"/>
        <w:ind w:left="2829" w:right="0" w:firstLine="0"/>
        <w:jc w:val="left"/>
        <w:rPr>
          <w:sz w:val="12"/>
        </w:rPr>
      </w:pPr>
      <w:r>
        <w:rPr/>
        <w:pict>
          <v:group style="position:absolute;margin-left:42.612999pt;margin-top:6.16976pt;width:153.5pt;height:61.25pt;mso-position-horizontal-relative:page;mso-position-vertical-relative:paragraph;z-index:-23495680" coordorigin="852,123" coordsize="3070,1225">
            <v:shape style="position:absolute;left:1025;top:160;width:545;height:445" coordorigin="1026,161" coordsize="545,445" path="m1026,356l1048,368m1048,368l1068,328m1068,328l1098,466m1098,466l1118,493m1118,493l1138,466m1138,466l1161,468m1161,466l1181,383m1181,383l1211,411m1211,411l1231,536m1231,536l1253,606m1253,606l1273,578m1273,578l1293,521m1293,521l1323,398m1323,398l1343,273m1343,273l1366,231m1366,231l1386,216m1386,216l1406,203m1406,203l1436,176m1436,176l1458,161m1458,161l1478,203m1478,203l1498,216m1498,216l1518,341m1518,341l1538,453m1538,453l1571,578e" filled="false" stroked="true" strokeweight="1pt" strokecolor="#008360">
              <v:path arrowok="t"/>
              <v:stroke dashstyle="solid"/>
            </v:shape>
            <v:shape style="position:absolute;left:1580;top:568;width:20;height:448" coordorigin="1581,568" coordsize="20,448" path="m1581,568l1581,823m1601,803l1601,1016e" filled="false" stroked="true" strokeweight="2pt" strokecolor="#008360">
              <v:path arrowok="t"/>
              <v:stroke dashstyle="solid"/>
            </v:shape>
            <v:shape style="position:absolute;left:1610;top:770;width:73;height:305" coordorigin="1611,771" coordsize="73,305" path="m1611,1006l1631,1076m1631,1076l1651,966m1651,966l1683,771e" filled="false" stroked="true" strokeweight="1pt" strokecolor="#008360">
              <v:path arrowok="t"/>
              <v:stroke dashstyle="solid"/>
            </v:shape>
            <v:line style="position:absolute" from="1693,581" to="1693,781" stroked="true" strokeweight="2pt" strokecolor="#008360">
              <v:stroke dashstyle="solid"/>
            </v:line>
            <v:shape style="position:absolute;left:1703;top:133;width:738;height:500" coordorigin="1703,133" coordsize="738,500" path="m1703,591l1723,466m1723,466l1743,426m1743,426l1766,428m1766,426l1796,493m1796,493l1816,563m1816,563l1836,606m1836,606l1856,633m1856,633l1878,493m1878,493l1908,426m1908,426l1928,383m1928,383l1948,368m1948,368l1971,371m1971,368l1991,411m1991,411l2021,508m2021,508l2041,481m2041,481l2063,563m2063,563l2083,606m2083,606l2103,563m2103,563l2133,578m2133,578l2153,563m2153,563l2176,508m2176,508l2196,511m2196,508l2216,438m2216,438l2246,398m2246,398l2268,401m2268,398l2288,481m2288,481l2308,536m2308,536l2328,481m2328,481l2358,356m2358,356l2381,203m2381,203l2401,206m2401,203l2421,133m2421,133l2441,273e" filled="false" stroked="true" strokeweight="1pt" strokecolor="#008360">
              <v:path arrowok="t"/>
              <v:stroke dashstyle="solid"/>
            </v:shape>
            <v:line style="position:absolute" from="2431,275" to="2483,275" stroked="true" strokeweight="1.125pt" strokecolor="#008360">
              <v:stroke dashstyle="solid"/>
            </v:line>
            <v:shape style="position:absolute;left:2473;top:258;width:1435;height:915" coordorigin="2473,258" coordsize="1435,915" path="m2473,273l2493,258m2493,258l2513,341m2513,341l2533,301m2533,301l2553,368m2553,368l2576,341m2576,341l2606,328m2606,328l2626,341m2626,341l2646,328m2646,328l2666,383m2666,383l2688,368m2688,368l2718,411m2718,411l2738,383m2738,383l2758,386m2758,383l2781,426m2781,426l2801,428m2801,426l2831,481m2831,481l2851,536m2851,536l2871,578m2871,578l2893,673m2893,673l2913,743m2913,743l2943,813m2943,813l2963,978m2963,978l2986,1006m2986,1006l3006,1091m3006,1091l3026,1173m3026,1173l3056,1118m3056,1118l3076,1048m3076,1048l3098,1006m3098,1006l3118,841m3118,841l3138,716m3138,716l3168,688m3168,688l3191,661m3191,661l3211,646m3211,646l3231,633m3231,633l3251,646m3251,646l3283,563m3283,563l3303,578m3303,578l3323,508m3323,508l3343,426m3343,426l3363,356m3363,356l3396,301m3396,301l3416,303m3416,301l3436,286m3436,286l3456,328m3456,328l3476,411m3476,411l3498,466m3498,466l3528,508m3528,508l3548,548m3548,548l3568,481m3568,481l3591,466m3591,466l3611,453m3611,453l3641,438m3641,438l3661,521m3661,521l3681,508m3681,508l3703,578m3703,578l3723,633m3723,633l3753,591m3753,591l3773,618m3773,618l3796,578m3796,578l3816,521m3816,521l3836,688m3836,688l3866,728m3866,728l3886,743m3886,743l3908,798e" filled="false" stroked="true" strokeweight="1pt" strokecolor="#008360">
              <v:path arrowok="t"/>
              <v:stroke dashstyle="solid"/>
            </v:shape>
            <v:shape style="position:absolute;left:852;top:507;width:3064;height:835" coordorigin="852,508" coordsize="3064,835" path="m1212,1239l1212,1339m1026,1286l1026,1339m1119,1286l1119,1339m1292,1286l1292,1339m3912,1239l3912,1339m1386,1286l1386,1339m1482,1286l1482,1339m1576,1286l1576,1339m1654,1239l1654,1339m1734,1286l1734,1339m1827,1286l1827,1339m1924,1286l1924,1339m2017,1286l2017,1339m2107,1239l2107,1339m2187,1286l2187,1339m2281,1286l2281,1339m2377,1286l2377,1339m2471,1286l2471,1339m2567,1239l2567,1339m2647,1286l2647,1339m2741,1286l2741,1339m2837,1286l2837,1339m2931,1286l2931,1339m3014,1239l3014,1339m3094,1286l3094,1339m3187,1286l3187,1339m3284,1286l3284,1339m3377,1286l3377,1339m3454,1239l3454,1339m3534,1286l3534,1339m3627,1286l3627,1339m3724,1286l3724,1339m3817,1286l3817,1339m1029,1343l3916,1343m939,508l852,508e" filled="false" stroked="true" strokeweight=".5pt" strokecolor="#000000">
              <v:path arrowok="t"/>
              <v:stroke dashstyle="solid"/>
            </v:shape>
            <v:line style="position:absolute" from="3922,508" to="1002,508" stroked="true" strokeweight=".5pt" strokecolor="#000000">
              <v:stroke dashstyle="solid"/>
            </v:line>
            <v:shape style="position:absolute;left:852;top:123;width:3070;height:1225" type="#_x0000_t202"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1"/>
                      </w:rPr>
                    </w:pPr>
                  </w:p>
                  <w:p>
                    <w:pPr>
                      <w:spacing w:line="225" w:lineRule="auto" w:before="0"/>
                      <w:ind w:left="893" w:right="993" w:hanging="50"/>
                      <w:jc w:val="left"/>
                      <w:rPr>
                        <w:sz w:val="12"/>
                      </w:rPr>
                    </w:pPr>
                    <w:r>
                      <w:rPr>
                        <w:sz w:val="12"/>
                      </w:rPr>
                      <w:t>Saving minus investment (financial balance)</w:t>
                    </w:r>
                  </w:p>
                </w:txbxContent>
              </v:textbox>
              <w10:wrap type="none"/>
            </v:shape>
            <w10:wrap type="none"/>
          </v:group>
        </w:pict>
      </w:r>
      <w:r>
        <w:rPr/>
        <w:pict>
          <v:line style="position:absolute;mso-position-horizontal-relative:page;mso-position-vertical-relative:paragraph;z-index:15804928" from="204.946998pt,3.742759pt" to="200.613998pt,3.742759pt" stroked="true" strokeweight=".5pt" strokecolor="#000000">
            <v:stroke dashstyle="solid"/>
            <w10:wrap type="none"/>
          </v:line>
        </w:pict>
      </w:r>
      <w:r>
        <w:rPr>
          <w:sz w:val="12"/>
        </w:rPr>
        <w:t>20</w:t>
      </w:r>
    </w:p>
    <w:p>
      <w:pPr>
        <w:spacing w:before="85"/>
        <w:ind w:left="2772" w:right="0" w:firstLine="0"/>
        <w:jc w:val="left"/>
        <w:rPr>
          <w:sz w:val="16"/>
        </w:rPr>
      </w:pPr>
      <w:r>
        <w:rPr>
          <w:sz w:val="16"/>
        </w:rPr>
        <w:t>+</w:t>
      </w:r>
    </w:p>
    <w:p>
      <w:pPr>
        <w:spacing w:line="137" w:lineRule="exact" w:before="7"/>
        <w:ind w:left="2889" w:right="0" w:firstLine="0"/>
        <w:jc w:val="left"/>
        <w:rPr>
          <w:sz w:val="12"/>
        </w:rPr>
      </w:pPr>
      <w:r>
        <w:rPr/>
        <w:pict>
          <v:line style="position:absolute;mso-position-horizontal-relative:page;mso-position-vertical-relative:paragraph;z-index:15806976" from="204.946998pt,4.984374pt" to="200.613998pt,4.984374pt" stroked="true" strokeweight=".5pt" strokecolor="#000000">
            <v:stroke dashstyle="solid"/>
            <w10:wrap type="none"/>
          </v:line>
        </w:pict>
      </w:r>
      <w:r>
        <w:rPr>
          <w:sz w:val="12"/>
        </w:rPr>
        <w:t>0</w:t>
      </w:r>
    </w:p>
    <w:p>
      <w:pPr>
        <w:spacing w:line="183" w:lineRule="exact" w:before="0"/>
        <w:ind w:left="2777" w:right="0" w:firstLine="0"/>
        <w:jc w:val="left"/>
        <w:rPr>
          <w:sz w:val="16"/>
        </w:rPr>
      </w:pPr>
      <w:r>
        <w:rPr>
          <w:sz w:val="16"/>
        </w:rPr>
        <w:t>–</w:t>
      </w:r>
    </w:p>
    <w:p>
      <w:pPr>
        <w:spacing w:before="95"/>
        <w:ind w:left="2829" w:right="0" w:firstLine="0"/>
        <w:jc w:val="left"/>
        <w:rPr>
          <w:sz w:val="12"/>
        </w:rPr>
      </w:pPr>
      <w:r>
        <w:rPr/>
        <w:pict>
          <v:line style="position:absolute;mso-position-horizontal-relative:page;mso-position-vertical-relative:paragraph;z-index:15805440" from="204.946998pt,8.284377pt" to="200.613998pt,8.284377pt" stroked="true" strokeweight=".5pt" strokecolor="#000000">
            <v:stroke dashstyle="solid"/>
            <w10:wrap type="none"/>
          </v:line>
        </w:pict>
      </w:r>
      <w:r>
        <w:rPr>
          <w:sz w:val="12"/>
        </w:rPr>
        <w:t>20</w:t>
      </w:r>
    </w:p>
    <w:p>
      <w:pPr>
        <w:pStyle w:val="BodyText"/>
        <w:rPr>
          <w:sz w:val="12"/>
        </w:rPr>
      </w:pPr>
    </w:p>
    <w:p>
      <w:pPr>
        <w:pStyle w:val="BodyText"/>
        <w:rPr>
          <w:sz w:val="12"/>
        </w:rPr>
      </w:pPr>
    </w:p>
    <w:p>
      <w:pPr>
        <w:spacing w:before="0"/>
        <w:ind w:left="2829" w:right="0" w:firstLine="0"/>
        <w:jc w:val="left"/>
        <w:rPr>
          <w:sz w:val="12"/>
        </w:rPr>
      </w:pPr>
      <w:r>
        <w:rPr/>
        <w:pict>
          <v:line style="position:absolute;mso-position-horizontal-relative:page;mso-position-vertical-relative:paragraph;z-index:15805952" from="204.946998pt,4.528571pt" to="200.613998pt,4.528571pt" stroked="true" strokeweight=".5pt" strokecolor="#000000">
            <v:stroke dashstyle="solid"/>
            <w10:wrap type="none"/>
          </v:line>
        </w:pict>
      </w:r>
      <w:r>
        <w:rPr>
          <w:sz w:val="12"/>
        </w:rPr>
        <w:t>40</w:t>
      </w:r>
    </w:p>
    <w:p>
      <w:pPr>
        <w:tabs>
          <w:tab w:pos="701" w:val="left" w:leader="none"/>
          <w:tab w:pos="1173" w:val="left" w:leader="none"/>
          <w:tab w:pos="1617" w:val="left" w:leader="none"/>
          <w:tab w:pos="2055" w:val="left" w:leader="none"/>
          <w:tab w:pos="2466" w:val="left" w:leader="none"/>
        </w:tabs>
        <w:spacing w:before="21"/>
        <w:ind w:left="241" w:right="0" w:firstLine="0"/>
        <w:jc w:val="left"/>
        <w:rPr>
          <w:sz w:val="12"/>
        </w:rPr>
      </w:pPr>
      <w:r>
        <w:rPr>
          <w:sz w:val="12"/>
        </w:rPr>
        <w:t>75</w:t>
        <w:tab/>
        <w:t>80</w:t>
        <w:tab/>
        <w:t>85</w:t>
        <w:tab/>
        <w:t>90</w:t>
        <w:tab/>
        <w:t>95</w:t>
        <w:tab/>
        <w:t>2000</w:t>
      </w:r>
    </w:p>
    <w:p>
      <w:pPr>
        <w:spacing w:line="242" w:lineRule="auto" w:before="4"/>
        <w:ind w:left="235" w:right="250" w:firstLine="0"/>
        <w:jc w:val="left"/>
        <w:rPr>
          <w:sz w:val="24"/>
        </w:rPr>
      </w:pPr>
      <w:r>
        <w:rPr/>
        <w:br w:type="column"/>
      </w:r>
      <w:r>
        <w:rPr>
          <w:sz w:val="24"/>
        </w:rPr>
        <w:t>some firms unwound deposits built up as a precautionary measure in advance of the millennium date change. The robust growth in deposits in 2000 Q2 is consistent with the BCC survey for Q2, which indicated that cash flow in the service sector increased sharply. But a breakdown of sterling bank deposits by industry indicates that manufacturers also increased their deposits in 2000 Q2.</w:t>
      </w:r>
    </w:p>
    <w:p>
      <w:pPr>
        <w:pStyle w:val="BodyText"/>
        <w:spacing w:before="2"/>
        <w:rPr>
          <w:sz w:val="25"/>
        </w:rPr>
      </w:pPr>
    </w:p>
    <w:p>
      <w:pPr>
        <w:spacing w:before="1"/>
        <w:ind w:left="235" w:right="0" w:firstLine="0"/>
        <w:jc w:val="left"/>
        <w:rPr>
          <w:sz w:val="24"/>
        </w:rPr>
      </w:pPr>
      <w:r>
        <w:rPr>
          <w:sz w:val="24"/>
        </w:rPr>
        <w:t>PNFCs’ M4 borrowing rose by 12.7% in the year to</w:t>
      </w:r>
    </w:p>
    <w:p>
      <w:pPr>
        <w:spacing w:after="0"/>
        <w:jc w:val="left"/>
        <w:rPr>
          <w:sz w:val="24"/>
        </w:rPr>
        <w:sectPr>
          <w:type w:val="continuous"/>
          <w:pgSz w:w="11900" w:h="16840"/>
          <w:pgMar w:top="1260" w:bottom="280" w:left="640" w:right="640"/>
          <w:cols w:num="3" w:equalWidth="0">
            <w:col w:w="647" w:space="68"/>
            <w:col w:w="2990" w:space="1045"/>
            <w:col w:w="5870"/>
          </w:cols>
        </w:sectPr>
      </w:pPr>
    </w:p>
    <w:p>
      <w:pPr>
        <w:pStyle w:val="ListParagraph"/>
        <w:numPr>
          <w:ilvl w:val="0"/>
          <w:numId w:val="5"/>
        </w:numPr>
        <w:tabs>
          <w:tab w:pos="426" w:val="left" w:leader="none"/>
        </w:tabs>
        <w:spacing w:line="129" w:lineRule="exact" w:before="102" w:after="0"/>
        <w:ind w:left="425" w:right="0" w:hanging="241"/>
        <w:jc w:val="left"/>
        <w:rPr>
          <w:sz w:val="12"/>
        </w:rPr>
      </w:pPr>
      <w:r>
        <w:rPr>
          <w:sz w:val="12"/>
        </w:rPr>
        <w:t>Backward-looking four-quarter moving</w:t>
      </w:r>
      <w:r>
        <w:rPr>
          <w:spacing w:val="-8"/>
          <w:sz w:val="12"/>
        </w:rPr>
        <w:t> </w:t>
      </w:r>
      <w:r>
        <w:rPr>
          <w:sz w:val="12"/>
        </w:rPr>
        <w:t>average.</w:t>
      </w:r>
    </w:p>
    <w:p>
      <w:pPr>
        <w:pStyle w:val="ListParagraph"/>
        <w:numPr>
          <w:ilvl w:val="0"/>
          <w:numId w:val="5"/>
        </w:numPr>
        <w:tabs>
          <w:tab w:pos="426" w:val="left" w:leader="none"/>
        </w:tabs>
        <w:spacing w:line="129" w:lineRule="exact" w:before="0" w:after="0"/>
        <w:ind w:left="425" w:right="0" w:hanging="241"/>
        <w:jc w:val="left"/>
        <w:rPr>
          <w:sz w:val="12"/>
        </w:rPr>
      </w:pPr>
      <w:r>
        <w:rPr>
          <w:sz w:val="12"/>
        </w:rPr>
        <w:t>Fixed assets plus</w:t>
      </w:r>
      <w:r>
        <w:rPr>
          <w:spacing w:val="-5"/>
          <w:sz w:val="12"/>
        </w:rPr>
        <w:t> </w:t>
      </w:r>
      <w:r>
        <w:rPr>
          <w:sz w:val="12"/>
        </w:rPr>
        <w:t>inventories.</w:t>
      </w:r>
    </w:p>
    <w:p>
      <w:pPr>
        <w:pStyle w:val="BodyText"/>
        <w:rPr>
          <w:sz w:val="12"/>
        </w:rPr>
      </w:pPr>
    </w:p>
    <w:p>
      <w:pPr>
        <w:pStyle w:val="BodyText"/>
        <w:spacing w:before="2"/>
        <w:rPr>
          <w:sz w:val="16"/>
        </w:rPr>
      </w:pPr>
    </w:p>
    <w:p>
      <w:pPr>
        <w:pStyle w:val="Heading6"/>
        <w:spacing w:before="1"/>
        <w:ind w:left="155"/>
      </w:pPr>
      <w:r>
        <w:rPr>
          <w:color w:val="0092C7"/>
        </w:rPr>
        <w:t>Chart 1.7</w:t>
      </w:r>
    </w:p>
    <w:p>
      <w:pPr>
        <w:pStyle w:val="Heading6"/>
        <w:spacing w:line="249" w:lineRule="auto"/>
        <w:ind w:left="155" w:right="9"/>
        <w:rPr>
          <w:b w:val="0"/>
          <w:sz w:val="12"/>
        </w:rPr>
      </w:pPr>
      <w:r>
        <w:rPr>
          <w:color w:val="0092C7"/>
        </w:rPr>
        <w:t>Flow of borrowing from banks and debt markets by PNFCs</w:t>
      </w:r>
      <w:r>
        <w:rPr>
          <w:b w:val="0"/>
          <w:position w:val="4"/>
          <w:sz w:val="12"/>
        </w:rPr>
        <w:t>(a)</w:t>
      </w:r>
    </w:p>
    <w:p>
      <w:pPr>
        <w:spacing w:line="115" w:lineRule="exact" w:before="67"/>
        <w:ind w:left="1416" w:right="0" w:firstLine="0"/>
        <w:jc w:val="left"/>
        <w:rPr>
          <w:sz w:val="12"/>
        </w:rPr>
      </w:pPr>
      <w:r>
        <w:rPr>
          <w:sz w:val="12"/>
        </w:rPr>
        <w:t>Percentage of retained earnings (saving)</w:t>
      </w:r>
    </w:p>
    <w:p>
      <w:pPr>
        <w:spacing w:line="115" w:lineRule="exact" w:before="0"/>
        <w:ind w:left="3367" w:right="0" w:firstLine="0"/>
        <w:jc w:val="left"/>
        <w:rPr>
          <w:sz w:val="12"/>
        </w:rPr>
      </w:pPr>
      <w:r>
        <w:rPr/>
        <w:pict>
          <v:group style="position:absolute;margin-left:39.112999pt;margin-top:3.403899pt;width:160.35pt;height:146.2pt;mso-position-horizontal-relative:page;mso-position-vertical-relative:paragraph;z-index:15807488" coordorigin="782,68" coordsize="3207,2924">
            <v:shape style="position:absolute;left:945;top:1554;width:378;height:645" type="#_x0000_t75" stroked="false">
              <v:imagedata r:id="rId32" o:title=""/>
            </v:shape>
            <v:shape style="position:absolute;left:1313;top:1001;width:73;height:655" coordorigin="1313,1002" coordsize="73,655" path="m1313,1657l1333,1229m1333,1229l1366,1124m1366,1124l1386,1002e" filled="false" stroked="true" strokeweight="1pt" strokecolor="#835335">
              <v:path arrowok="t"/>
              <v:stroke dashstyle="solid"/>
            </v:shape>
            <v:shape style="position:absolute;left:1395;top:991;width:40;height:445" coordorigin="1396,992" coordsize="40,445" path="m1396,992l1396,1209m1416,1189l1416,1437m1436,1219l1436,1437e" filled="false" stroked="true" strokeweight="2pt" strokecolor="#835335">
              <v:path arrowok="t"/>
              <v:stroke dashstyle="solid"/>
            </v:shape>
            <v:line style="position:absolute" from="1461,824" to="1461,1239" stroked="true" strokeweight="2.5pt" strokecolor="#835335">
              <v:stroke dashstyle="solid"/>
            </v:line>
            <v:line style="position:absolute" from="1476,834" to="1498,409" stroked="true" strokeweight="1pt" strokecolor="#835335">
              <v:stroke dashstyle="solid"/>
            </v:line>
            <v:line style="position:absolute" from="1508,184" to="1508,419" stroked="true" strokeweight="2pt" strokecolor="#835335">
              <v:stroke dashstyle="solid"/>
            </v:line>
            <v:shape style="position:absolute;left:1518;top:89;width:113;height:1933" coordorigin="1518,89" coordsize="113,1933" path="m1518,194l1538,89m1538,89l1558,577m1558,577l1588,774m1588,774l1611,1307m1611,1307l1631,2022e" filled="false" stroked="true" strokeweight="1pt" strokecolor="#835335">
              <v:path arrowok="t"/>
              <v:stroke dashstyle="solid"/>
            </v:shape>
            <v:line style="position:absolute" from="1641,2012" to="1641,2274" stroked="true" strokeweight="2pt" strokecolor="#835335">
              <v:stroke dashstyle="solid"/>
            </v:line>
            <v:line style="position:absolute" from="1651,2264" to="1681,2812" stroked="true" strokeweight="1pt" strokecolor="#835335">
              <v:stroke dashstyle="solid"/>
            </v:line>
            <v:line style="position:absolute" from="1691,2482" to="1691,2822" stroked="true" strokeweight="2pt" strokecolor="#835335">
              <v:stroke dashstyle="solid"/>
            </v:line>
            <v:line style="position:absolute" from="1701,2492" to="1723,2037" stroked="true" strokeweight="1pt" strokecolor="#835335">
              <v:stroke dashstyle="solid"/>
            </v:line>
            <v:line style="position:absolute" from="1733,1707" to="1733,2047" stroked="true" strokeweight="2pt" strokecolor="#835335">
              <v:stroke dashstyle="solid"/>
            </v:line>
            <v:shape style="position:absolute;left:1743;top:1564;width:50;height:153" coordorigin="1743,1564" coordsize="50,153" path="m1743,1717l1763,1564m1763,1564l1793,1717e" filled="false" stroked="true" strokeweight="1pt" strokecolor="#835335">
              <v:path arrowok="t"/>
              <v:stroke dashstyle="solid"/>
            </v:shape>
            <v:line style="position:absolute" from="1803,1707" to="1803,1924" stroked="true" strokeweight="2pt" strokecolor="#835335">
              <v:stroke dashstyle="solid"/>
            </v:line>
            <v:shape style="position:absolute;left:1813;top:1914;width:205;height:335" coordorigin="1813,1914" coordsize="205,335" path="m1813,1914l1833,2082m1833,2082l1856,2174m1856,2174l1876,2189m1876,2189l1906,2249m1906,2249l1926,2234m1926,2234l1946,2067m1946,2067l1968,2069m1968,2067l2018,1992e" filled="false" stroked="true" strokeweight="1pt" strokecolor="#835335">
              <v:path arrowok="t"/>
              <v:stroke dashstyle="solid"/>
            </v:shape>
            <v:shape style="position:absolute;left:2028;top:1569;width:20;height:433" coordorigin="2028,1569" coordsize="20,433" path="m2028,1799l2028,2002m2048,1569l2048,1819e" filled="false" stroked="true" strokeweight="2pt" strokecolor="#835335">
              <v:path arrowok="t"/>
              <v:stroke dashstyle="solid"/>
            </v:shape>
            <v:line style="position:absolute" from="2069,1297" to="2069,1589" stroked="true" strokeweight="2.125pt" strokecolor="#835335">
              <v:stroke dashstyle="solid"/>
            </v:line>
            <v:shape style="position:absolute;left:2080;top:1306;width:50;height:258" coordorigin="2081,1307" coordsize="50,258" path="m2081,1307l2101,1322m2101,1322l2131,1564e" filled="false" stroked="true" strokeweight="1pt" strokecolor="#835335">
              <v:path arrowok="t"/>
              <v:stroke dashstyle="solid"/>
            </v:shape>
            <v:line style="position:absolute" from="2141,1554" to="2141,1939" stroked="true" strokeweight="2pt" strokecolor="#835335">
              <v:stroke dashstyle="solid"/>
            </v:line>
            <v:shape style="position:absolute;left:2150;top:726;width:153;height:1463" coordorigin="2151,727" coordsize="153,1463" path="m2151,1929l2171,1992m2171,1992l2191,1474m2191,1474l2213,987m2213,987l2243,727m2243,727l2263,804m2263,804l2283,1519m2283,1519l2303,2189e" filled="false" stroked="true" strokeweight="1pt" strokecolor="#835335">
              <v:path arrowok="t"/>
              <v:stroke dashstyle="solid"/>
            </v:shape>
            <v:shape style="position:absolute;left:2293;top:1676;width:450;height:795" type="#_x0000_t75" stroked="false">
              <v:imagedata r:id="rId33" o:title=""/>
            </v:shape>
            <v:line style="position:absolute" from="2733,1884" to="2753,1489" stroked="true" strokeweight="1pt" strokecolor="#835335">
              <v:stroke dashstyle="solid"/>
            </v:line>
            <v:line style="position:absolute" from="2763,1159" to="2763,1499" stroked="true" strokeweight="2pt" strokecolor="#835335">
              <v:stroke dashstyle="solid"/>
            </v:line>
            <v:line style="position:absolute" from="2773,1169" to="2806,972" stroked="true" strokeweight="1pt" strokecolor="#835335">
              <v:stroke dashstyle="solid"/>
            </v:line>
            <v:line style="position:absolute" from="2816,749" to="2816,982" stroked="true" strokeweight="2pt" strokecolor="#835335">
              <v:stroke dashstyle="solid"/>
            </v:line>
            <v:shape style="position:absolute;left:2825;top:179;width:173;height:685" coordorigin="2826,179" coordsize="173,685" path="m2826,759l2846,727m2846,727l2866,742m2866,742l2886,179m2886,179l2918,257m2918,257l2938,227m2938,227l2958,229m2958,227l2978,789m2978,789l2998,864e" filled="false" stroked="true" strokeweight="1pt" strokecolor="#835335">
              <v:path arrowok="t"/>
              <v:stroke dashstyle="solid"/>
            </v:shape>
            <v:line style="position:absolute" from="3013,854" to="3013,1194" stroked="true" strokeweight="2.5pt" strokecolor="#835335">
              <v:stroke dashstyle="solid"/>
            </v:line>
            <v:line style="position:absolute" from="3028,1184" to="3051,1609" stroked="true" strokeweight="1pt" strokecolor="#835335">
              <v:stroke dashstyle="solid"/>
            </v:line>
            <v:line style="position:absolute" from="3061,1599" to="3061,1987" stroked="true" strokeweight="2pt" strokecolor="#835335">
              <v:stroke dashstyle="solid"/>
            </v:line>
            <v:shape style="position:absolute;left:3070;top:1976;width:113;height:760" coordorigin="3071,1977" coordsize="113,760" path="m3071,1977l3091,2112m3091,2112l3121,2372m3121,2372l3141,2509m3141,2509l3163,2629m3163,2629l3183,2737e" filled="false" stroked="true" strokeweight="1pt" strokecolor="#835335">
              <v:path arrowok="t"/>
              <v:stroke dashstyle="solid"/>
            </v:shape>
            <v:line style="position:absolute" from="3193,2727" to="3193,2929" stroked="true" strokeweight="2pt" strokecolor="#835335">
              <v:stroke dashstyle="solid"/>
            </v:line>
            <v:shape style="position:absolute;left:3203;top:2659;width:113;height:260" coordorigin="3203,2659" coordsize="113,260" path="m3203,2919l3233,2812m3233,2812l3253,2737m3253,2737l3273,2842m3273,2842l3296,2659m3296,2659l3316,2737e" filled="false" stroked="true" strokeweight="1pt" strokecolor="#835335">
              <v:path arrowok="t"/>
              <v:stroke dashstyle="solid"/>
            </v:shape>
            <v:line style="position:absolute" from="3306,2738" to="3356,2738" stroked="true" strokeweight="1.125pt" strokecolor="#835335">
              <v:stroke dashstyle="solid"/>
            </v:line>
            <v:line style="position:absolute" from="3346,2737" to="3366,2584" stroked="true" strokeweight="1pt" strokecolor="#835335">
              <v:stroke dashstyle="solid"/>
            </v:line>
            <v:line style="position:absolute" from="3376,2239" to="3376,2594" stroked="true" strokeweight="2pt" strokecolor="#835335">
              <v:stroke dashstyle="solid"/>
            </v:line>
            <v:shape style="position:absolute;left:3385;top:1686;width:245;height:563" coordorigin="3386,1687" coordsize="245,563" path="m3386,2249l3408,2127m3408,2127l3428,1959m3428,1959l3458,1687m3458,1687l3478,1777m3478,1777l3498,1732m3498,1732l3521,1839m3521,1839l3541,1944m3541,1944l3571,2112m3571,2112l3591,2022m3591,2022l3611,1854m3611,1854l3631,1929e" filled="false" stroked="true" strokeweight="1pt" strokecolor="#835335">
              <v:path arrowok="t"/>
              <v:stroke dashstyle="solid"/>
            </v:shape>
            <v:line style="position:absolute" from="3642,1584" to="3642,1939" stroked="true" strokeweight="2.125pt" strokecolor="#835335">
              <v:stroke dashstyle="solid"/>
            </v:line>
            <v:shape style="position:absolute;left:3653;top:286;width:183;height:1325" coordorigin="3653,287" coordsize="183,1325" path="m3653,1594l3683,1609m3683,1609l3703,1612m3703,1609l3723,1534m3723,1534l3743,1579m3743,1579l3766,652m3766,652l3796,439m3796,439l3816,392m3816,392l3836,287e" filled="false" stroked="true" strokeweight="1pt" strokecolor="#835335">
              <v:path arrowok="t"/>
              <v:stroke dashstyle="solid"/>
            </v:shape>
            <v:line style="position:absolute" from="3846,2723" to="906,2723" stroked="true" strokeweight=".5pt" strokecolor="#000000">
              <v:stroke dashstyle="solid"/>
            </v:line>
            <v:shape style="position:absolute;left:782;top:73;width:3207;height:2914" coordorigin="782,73" coordsize="3207,2914" path="m869,80l782,80m869,614l782,614m869,1133l782,1133m869,1667l782,1667m869,2453l782,2453m869,2987l782,2987m1142,2887l1142,2987m956,2933l956,2987m1049,2933l1049,2987m1222,2933l1222,2987m3842,2887l3842,2987m869,1933l782,1933m869,347l782,347m869,866l782,866m869,1401l782,1401m869,2186l782,2186m869,2723l782,2723m3989,73l3902,73m3989,607l3902,607m3989,1126l3902,1126m3989,1661l3902,1661m3989,2446l3902,2446m3989,2980l3902,2980m3989,1926l3902,1926m3989,340l3902,340m3989,860l3902,860m3989,1394l3902,1394m3989,2179l3902,2179m3989,2723l3902,2723m1312,2933l1312,2987m1407,2933l1407,2987m1497,2933l1497,2987m1588,2893l1588,2987m1678,2933l1678,2987m1773,2933l1773,2987m1863,2933l1863,2987m1955,2933l1955,2987m2140,2933l2140,2987m2230,2933l2230,2987m2315,2933l2315,2987m2405,2933l2405,2987m2500,2893l2500,2987m2590,2933l2590,2987m2668,2933l2668,2987m2758,2933l2758,2987m2853,2933l2853,2987m3028,2933l3028,2987m3118,2933l3118,2987m3213,2933l3213,2987m3303,2933l3303,2987m3388,2893l3388,2987m3478,2933l3478,2987m3573,2933l3573,2987m3663,2933l3663,2987m3746,2933l3746,2987e" filled="false" stroked="true" strokeweight=".5pt" strokecolor="#000000">
              <v:path arrowok="t"/>
              <v:stroke dashstyle="solid"/>
            </v:shape>
            <v:line style="position:absolute" from="952,2983" to="3846,2983" stroked="true" strokeweight=".5pt" strokecolor="#000000">
              <v:stroke dashstyle="solid"/>
            </v:line>
            <v:shape style="position:absolute;left:2045;top:2886;width:900;height:100" coordorigin="2046,2887" coordsize="900,100" path="m2046,2887l2046,2987m2946,2887l2946,2987e" filled="false" stroked="true" strokeweight=".5pt" strokecolor="#000000">
              <v:path arrowok="t"/>
              <v:stroke dashstyle="solid"/>
            </v:shape>
            <w10:wrap type="none"/>
          </v:group>
        </w:pict>
      </w:r>
      <w:r>
        <w:rPr>
          <w:sz w:val="12"/>
        </w:rPr>
        <w:t>100</w:t>
      </w:r>
    </w:p>
    <w:p>
      <w:pPr>
        <w:pStyle w:val="BodyText"/>
        <w:spacing w:before="1"/>
        <w:rPr>
          <w:sz w:val="11"/>
        </w:rPr>
      </w:pPr>
    </w:p>
    <w:p>
      <w:pPr>
        <w:spacing w:before="0"/>
        <w:ind w:left="0" w:right="56" w:firstLine="0"/>
        <w:jc w:val="right"/>
        <w:rPr>
          <w:sz w:val="12"/>
        </w:rPr>
      </w:pPr>
      <w:r>
        <w:rPr>
          <w:sz w:val="12"/>
        </w:rPr>
        <w:t>90</w:t>
      </w:r>
    </w:p>
    <w:p>
      <w:pPr>
        <w:pStyle w:val="BodyText"/>
        <w:spacing w:before="2"/>
        <w:rPr>
          <w:sz w:val="11"/>
        </w:rPr>
      </w:pPr>
    </w:p>
    <w:p>
      <w:pPr>
        <w:spacing w:before="0"/>
        <w:ind w:left="0" w:right="56" w:firstLine="0"/>
        <w:jc w:val="right"/>
        <w:rPr>
          <w:sz w:val="12"/>
        </w:rPr>
      </w:pPr>
      <w:r>
        <w:rPr>
          <w:sz w:val="12"/>
        </w:rPr>
        <w:t>80</w:t>
      </w:r>
    </w:p>
    <w:p>
      <w:pPr>
        <w:pStyle w:val="BodyText"/>
        <w:spacing w:before="1"/>
        <w:rPr>
          <w:sz w:val="11"/>
        </w:rPr>
      </w:pPr>
    </w:p>
    <w:p>
      <w:pPr>
        <w:spacing w:before="1"/>
        <w:ind w:left="0" w:right="56" w:firstLine="0"/>
        <w:jc w:val="right"/>
        <w:rPr>
          <w:sz w:val="12"/>
        </w:rPr>
      </w:pPr>
      <w:r>
        <w:rPr>
          <w:sz w:val="12"/>
        </w:rPr>
        <w:t>70</w:t>
      </w:r>
    </w:p>
    <w:p>
      <w:pPr>
        <w:pStyle w:val="BodyText"/>
        <w:spacing w:before="1"/>
        <w:rPr>
          <w:sz w:val="11"/>
        </w:rPr>
      </w:pPr>
    </w:p>
    <w:p>
      <w:pPr>
        <w:spacing w:before="0"/>
        <w:ind w:left="0" w:right="56" w:firstLine="0"/>
        <w:jc w:val="right"/>
        <w:rPr>
          <w:sz w:val="12"/>
        </w:rPr>
      </w:pPr>
      <w:r>
        <w:rPr>
          <w:sz w:val="12"/>
        </w:rPr>
        <w:t>60</w:t>
      </w:r>
    </w:p>
    <w:p>
      <w:pPr>
        <w:pStyle w:val="BodyText"/>
        <w:spacing w:before="1"/>
        <w:rPr>
          <w:sz w:val="11"/>
        </w:rPr>
      </w:pPr>
    </w:p>
    <w:p>
      <w:pPr>
        <w:spacing w:before="1"/>
        <w:ind w:left="0" w:right="56" w:firstLine="0"/>
        <w:jc w:val="right"/>
        <w:rPr>
          <w:sz w:val="12"/>
        </w:rPr>
      </w:pPr>
      <w:r>
        <w:rPr>
          <w:sz w:val="12"/>
        </w:rPr>
        <w:t>50</w:t>
      </w:r>
    </w:p>
    <w:p>
      <w:pPr>
        <w:pStyle w:val="BodyText"/>
        <w:spacing w:before="1"/>
        <w:rPr>
          <w:sz w:val="11"/>
        </w:rPr>
      </w:pPr>
    </w:p>
    <w:p>
      <w:pPr>
        <w:spacing w:before="0"/>
        <w:ind w:left="0" w:right="56" w:firstLine="0"/>
        <w:jc w:val="right"/>
        <w:rPr>
          <w:sz w:val="12"/>
        </w:rPr>
      </w:pPr>
      <w:r>
        <w:rPr>
          <w:sz w:val="12"/>
        </w:rPr>
        <w:t>40</w:t>
      </w:r>
    </w:p>
    <w:p>
      <w:pPr>
        <w:pStyle w:val="BodyText"/>
        <w:spacing w:before="1"/>
        <w:rPr>
          <w:sz w:val="11"/>
        </w:rPr>
      </w:pPr>
    </w:p>
    <w:p>
      <w:pPr>
        <w:spacing w:before="1"/>
        <w:ind w:left="0" w:right="56" w:firstLine="0"/>
        <w:jc w:val="right"/>
        <w:rPr>
          <w:sz w:val="12"/>
        </w:rPr>
      </w:pPr>
      <w:r>
        <w:rPr>
          <w:sz w:val="12"/>
        </w:rPr>
        <w:t>30</w:t>
      </w:r>
    </w:p>
    <w:p>
      <w:pPr>
        <w:pStyle w:val="BodyText"/>
        <w:spacing w:before="1"/>
        <w:rPr>
          <w:sz w:val="11"/>
        </w:rPr>
      </w:pPr>
    </w:p>
    <w:p>
      <w:pPr>
        <w:spacing w:before="0"/>
        <w:ind w:left="0" w:right="56" w:firstLine="0"/>
        <w:jc w:val="right"/>
        <w:rPr>
          <w:sz w:val="12"/>
        </w:rPr>
      </w:pPr>
      <w:r>
        <w:rPr>
          <w:sz w:val="12"/>
        </w:rPr>
        <w:t>20</w:t>
      </w:r>
    </w:p>
    <w:p>
      <w:pPr>
        <w:pStyle w:val="BodyText"/>
        <w:spacing w:before="1"/>
        <w:rPr>
          <w:sz w:val="11"/>
        </w:rPr>
      </w:pPr>
    </w:p>
    <w:p>
      <w:pPr>
        <w:spacing w:line="129" w:lineRule="exact" w:before="1"/>
        <w:ind w:left="3427" w:right="0" w:firstLine="0"/>
        <w:jc w:val="left"/>
        <w:rPr>
          <w:sz w:val="12"/>
        </w:rPr>
      </w:pPr>
      <w:r>
        <w:rPr>
          <w:sz w:val="12"/>
        </w:rPr>
        <w:t>10</w:t>
      </w:r>
    </w:p>
    <w:p>
      <w:pPr>
        <w:spacing w:line="156" w:lineRule="exact" w:before="0"/>
        <w:ind w:left="3383" w:right="0" w:firstLine="0"/>
        <w:jc w:val="left"/>
        <w:rPr>
          <w:sz w:val="16"/>
        </w:rPr>
      </w:pPr>
      <w:r>
        <w:rPr>
          <w:sz w:val="16"/>
        </w:rPr>
        <w:t>+</w:t>
      </w:r>
    </w:p>
    <w:p>
      <w:pPr>
        <w:spacing w:line="148" w:lineRule="auto" w:before="18"/>
        <w:ind w:left="3379" w:right="0" w:firstLine="0"/>
        <w:jc w:val="left"/>
        <w:rPr>
          <w:sz w:val="12"/>
        </w:rPr>
      </w:pPr>
      <w:r>
        <w:rPr>
          <w:position w:val="-4"/>
          <w:sz w:val="16"/>
        </w:rPr>
        <w:t>_</w:t>
      </w:r>
      <w:r>
        <w:rPr>
          <w:spacing w:val="-13"/>
          <w:position w:val="-4"/>
          <w:sz w:val="16"/>
        </w:rPr>
        <w:t> </w:t>
      </w:r>
      <w:r>
        <w:rPr>
          <w:sz w:val="12"/>
        </w:rPr>
        <w:t>0</w:t>
      </w:r>
    </w:p>
    <w:p>
      <w:pPr>
        <w:spacing w:line="129" w:lineRule="exact" w:before="101"/>
        <w:ind w:left="3427" w:right="0" w:firstLine="0"/>
        <w:jc w:val="left"/>
        <w:rPr>
          <w:sz w:val="12"/>
        </w:rPr>
      </w:pPr>
      <w:r>
        <w:rPr>
          <w:sz w:val="12"/>
        </w:rPr>
        <w:t>10</w:t>
      </w:r>
    </w:p>
    <w:p>
      <w:pPr>
        <w:tabs>
          <w:tab w:pos="893" w:val="left" w:leader="none"/>
          <w:tab w:pos="1358" w:val="left" w:leader="none"/>
          <w:tab w:pos="1824" w:val="left" w:leader="none"/>
          <w:tab w:pos="2255" w:val="left" w:leader="none"/>
          <w:tab w:pos="2698" w:val="left" w:leader="none"/>
          <w:tab w:pos="3108" w:val="left" w:leader="none"/>
        </w:tabs>
        <w:spacing w:line="129" w:lineRule="exact" w:before="0"/>
        <w:ind w:left="182" w:right="0" w:firstLine="0"/>
        <w:jc w:val="left"/>
        <w:rPr>
          <w:sz w:val="12"/>
        </w:rPr>
      </w:pPr>
      <w:r>
        <w:rPr>
          <w:sz w:val="12"/>
        </w:rPr>
        <w:t>1968</w:t>
      </w:r>
      <w:r>
        <w:rPr>
          <w:spacing w:val="-5"/>
          <w:sz w:val="12"/>
        </w:rPr>
        <w:t> </w:t>
      </w:r>
      <w:r>
        <w:rPr>
          <w:sz w:val="12"/>
        </w:rPr>
        <w:t>70</w:t>
        <w:tab/>
        <w:t>75</w:t>
        <w:tab/>
        <w:t>80</w:t>
        <w:tab/>
        <w:t>85</w:t>
        <w:tab/>
        <w:t>90</w:t>
        <w:tab/>
        <w:t>95</w:t>
        <w:tab/>
        <w:t>2000</w:t>
      </w:r>
    </w:p>
    <w:p>
      <w:pPr>
        <w:spacing w:before="99"/>
        <w:ind w:left="135" w:right="0" w:firstLine="0"/>
        <w:jc w:val="left"/>
        <w:rPr>
          <w:sz w:val="12"/>
        </w:rPr>
      </w:pPr>
      <w:r>
        <w:rPr>
          <w:sz w:val="12"/>
        </w:rPr>
        <w:t>(a) Backward-looking four-quarter moving average.</w:t>
      </w:r>
    </w:p>
    <w:p>
      <w:pPr>
        <w:spacing w:line="242" w:lineRule="auto" w:before="4"/>
        <w:ind w:left="135" w:right="197" w:firstLine="0"/>
        <w:jc w:val="left"/>
        <w:rPr>
          <w:sz w:val="24"/>
        </w:rPr>
      </w:pPr>
      <w:r>
        <w:rPr/>
        <w:br w:type="column"/>
      </w:r>
      <w:r>
        <w:rPr>
          <w:sz w:val="24"/>
        </w:rPr>
        <w:t>2000 Q2. Borrowing has picked up sharply since the autumn of last year. Chart 1.6 shows that one reason for the increase in borrowing is the imbalance between PNFCs’ investment in real assets (fixed assets and inventories) and their retained earnings, or saving. But companies also borrow, from capital markets as well as banks, to finance the acquisition of other assets.</w:t>
      </w:r>
    </w:p>
    <w:p>
      <w:pPr>
        <w:spacing w:line="242" w:lineRule="auto" w:before="8"/>
        <w:ind w:left="135" w:right="535" w:firstLine="0"/>
        <w:jc w:val="left"/>
        <w:rPr>
          <w:sz w:val="24"/>
        </w:rPr>
      </w:pPr>
      <w:r>
        <w:rPr>
          <w:sz w:val="24"/>
        </w:rPr>
        <w:t>Important recent examples are the purchases of the third-generation mobile telecommunications licences from the Government.</w:t>
      </w:r>
    </w:p>
    <w:p>
      <w:pPr>
        <w:pStyle w:val="BodyText"/>
        <w:spacing w:before="8"/>
        <w:rPr>
          <w:sz w:val="24"/>
        </w:rPr>
      </w:pPr>
    </w:p>
    <w:p>
      <w:pPr>
        <w:spacing w:line="242" w:lineRule="auto" w:before="0"/>
        <w:ind w:left="135" w:right="197" w:firstLine="0"/>
        <w:jc w:val="left"/>
        <w:rPr>
          <w:sz w:val="24"/>
        </w:rPr>
      </w:pPr>
      <w:r>
        <w:rPr>
          <w:sz w:val="24"/>
        </w:rPr>
        <w:t>PNFCs’ use of debt finance relative to retained earnings has reached relatively high levels (see Chart 1.7). That may indicate confidence in future profitability on the part of lenders and borrowers. Despite moderating recently, PNFCs’ expectations about future profitability remain at relatively high levels according to the BCC survey. And relatively high equity price-earnings ratios</w:t>
      </w:r>
    </w:p>
    <w:p>
      <w:pPr>
        <w:spacing w:after="0" w:line="242" w:lineRule="auto"/>
        <w:jc w:val="left"/>
        <w:rPr>
          <w:sz w:val="24"/>
        </w:rPr>
        <w:sectPr>
          <w:type w:val="continuous"/>
          <w:pgSz w:w="11900" w:h="16840"/>
          <w:pgMar w:top="1260" w:bottom="280" w:left="640" w:right="640"/>
          <w:cols w:num="2" w:equalWidth="0">
            <w:col w:w="3607" w:space="1243"/>
            <w:col w:w="5770"/>
          </w:cols>
        </w:sectPr>
      </w:pPr>
    </w:p>
    <w:p>
      <w:pPr>
        <w:pStyle w:val="BodyText"/>
        <w:rPr>
          <w:sz w:val="20"/>
        </w:rPr>
      </w:pPr>
    </w:p>
    <w:p>
      <w:pPr>
        <w:spacing w:after="0"/>
        <w:rPr>
          <w:sz w:val="20"/>
        </w:rPr>
        <w:sectPr>
          <w:pgSz w:w="11900" w:h="16840"/>
          <w:pgMar w:header="601" w:footer="592" w:top="780" w:bottom="780" w:left="640" w:right="640"/>
        </w:sectPr>
      </w:pPr>
    </w:p>
    <w:p>
      <w:pPr>
        <w:pStyle w:val="BodyText"/>
        <w:spacing w:before="9"/>
        <w:rPr>
          <w:sz w:val="25"/>
        </w:rPr>
      </w:pPr>
    </w:p>
    <w:p>
      <w:pPr>
        <w:pStyle w:val="Heading6"/>
        <w:spacing w:line="249" w:lineRule="auto" w:before="0"/>
        <w:ind w:right="38"/>
        <w:rPr>
          <w:b w:val="0"/>
          <w:sz w:val="12"/>
        </w:rPr>
      </w:pPr>
      <w:bookmarkStart w:name="Other financial corporations" w:id="11"/>
      <w:bookmarkEnd w:id="11"/>
      <w:r>
        <w:rPr>
          <w:b w:val="0"/>
        </w:rPr>
      </w:r>
      <w:bookmarkStart w:name="Interest rates and asset prices" w:id="12"/>
      <w:bookmarkEnd w:id="12"/>
      <w:r>
        <w:rPr>
          <w:b w:val="0"/>
        </w:rPr>
      </w:r>
      <w:bookmarkStart w:name="Short-term interest rates" w:id="13"/>
      <w:bookmarkEnd w:id="13"/>
      <w:r>
        <w:rPr>
          <w:b w:val="0"/>
        </w:rPr>
      </w:r>
      <w:bookmarkStart w:name="_bookmark4" w:id="14"/>
      <w:bookmarkEnd w:id="14"/>
      <w:r>
        <w:rPr>
          <w:b w:val="0"/>
        </w:rPr>
      </w:r>
      <w:r>
        <w:rPr>
          <w:color w:val="0092C7"/>
        </w:rPr>
        <w:t>Chart 1.8 Corporate</w:t>
      </w:r>
      <w:r>
        <w:rPr>
          <w:color w:val="0092C7"/>
          <w:spacing w:val="-14"/>
        </w:rPr>
        <w:t> </w:t>
      </w:r>
      <w:r>
        <w:rPr>
          <w:color w:val="0092C7"/>
        </w:rPr>
        <w:t>gearing</w:t>
      </w:r>
      <w:r>
        <w:rPr>
          <w:b w:val="0"/>
          <w:position w:val="4"/>
          <w:sz w:val="12"/>
        </w:rPr>
        <w:t>(a)</w:t>
      </w:r>
    </w:p>
    <w:p>
      <w:pPr>
        <w:pStyle w:val="BodyText"/>
        <w:spacing w:before="2" w:after="40"/>
      </w:pPr>
    </w:p>
    <w:p>
      <w:pPr>
        <w:pStyle w:val="BodyText"/>
        <w:spacing w:line="20" w:lineRule="exact"/>
        <w:ind w:left="16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10"/>
        <w:rPr>
          <w:sz w:val="19"/>
        </w:rPr>
      </w:pPr>
      <w:r>
        <w:rPr/>
        <w:pict>
          <v:shape style="position:absolute;margin-left:40.393002pt;margin-top:13.647pt;width:4.350pt;height:.1pt;mso-position-horizontal-relative:page;mso-position-vertical-relative:paragraph;z-index:-15648256;mso-wrap-distance-left:0;mso-wrap-distance-right:0" coordorigin="808,273" coordsize="87,0" path="m808,273l895,273e" filled="false" stroked="true" strokeweight=".5pt" strokecolor="#000000">
            <v:path arrowok="t"/>
            <v:stroke dashstyle="solid"/>
            <w10:wrap type="topAndBottom"/>
          </v:shape>
        </w:pict>
      </w:r>
      <w:r>
        <w:rPr/>
        <w:pict>
          <v:shape style="position:absolute;margin-left:40.393002pt;margin-top:28.044001pt;width:4.350pt;height:.1pt;mso-position-horizontal-relative:page;mso-position-vertical-relative:paragraph;z-index:-15647744;mso-wrap-distance-left:0;mso-wrap-distance-right:0" coordorigin="808,561" coordsize="87,0" path="m808,561l895,561e" filled="false" stroked="true" strokeweight=".5pt" strokecolor="#000000">
            <v:path arrowok="t"/>
            <v:stroke dashstyle="solid"/>
            <w10:wrap type="topAndBottom"/>
          </v:shape>
        </w:pict>
      </w:r>
      <w:r>
        <w:rPr/>
        <w:pict>
          <v:shape style="position:absolute;margin-left:40.393002pt;margin-top:42.439999pt;width:4.350pt;height:.1pt;mso-position-horizontal-relative:page;mso-position-vertical-relative:paragraph;z-index:-15647232;mso-wrap-distance-left:0;mso-wrap-distance-right:0" coordorigin="808,849" coordsize="87,0" path="m808,849l895,849e" filled="false" stroked="true" strokeweight=".5pt" strokecolor="#000000">
            <v:path arrowok="t"/>
            <v:stroke dashstyle="solid"/>
            <w10:wrap type="topAndBottom"/>
          </v:shape>
        </w:pict>
      </w:r>
      <w:r>
        <w:rPr/>
        <w:pict>
          <v:shape style="position:absolute;margin-left:40.393002pt;margin-top:56.837002pt;width:4.350pt;height:.1pt;mso-position-horizontal-relative:page;mso-position-vertical-relative:paragraph;z-index:-15646720;mso-wrap-distance-left:0;mso-wrap-distance-right:0" coordorigin="808,1137" coordsize="87,0" path="m808,1137l895,1137e" filled="false" stroked="true" strokeweight=".5pt" strokecolor="#000000">
            <v:path arrowok="t"/>
            <v:stroke dashstyle="solid"/>
            <w10:wrap type="topAndBottom"/>
          </v:shape>
        </w:pict>
      </w:r>
      <w:r>
        <w:rPr/>
        <w:pict>
          <v:shape style="position:absolute;margin-left:40.393002pt;margin-top:71.234001pt;width:4.350pt;height:.1pt;mso-position-horizontal-relative:page;mso-position-vertical-relative:paragraph;z-index:-15646208;mso-wrap-distance-left:0;mso-wrap-distance-right:0" coordorigin="808,1425" coordsize="87,0" path="m808,1425l895,1425e" filled="false" stroked="true" strokeweight=".5pt" strokecolor="#000000">
            <v:path arrowok="t"/>
            <v:stroke dashstyle="solid"/>
            <w10:wrap type="topAndBottom"/>
          </v:shape>
        </w:pict>
      </w:r>
      <w:r>
        <w:rPr/>
        <w:pict>
          <v:shape style="position:absolute;margin-left:40.393002pt;margin-top:85.630997pt;width:4.350pt;height:.1pt;mso-position-horizontal-relative:page;mso-position-vertical-relative:paragraph;z-index:-15645696;mso-wrap-distance-left:0;mso-wrap-distance-right:0" coordorigin="808,1713" coordsize="87,0" path="m808,1713l895,1713e" filled="false" stroked="true" strokeweight=".5pt" strokecolor="#000000">
            <v:path arrowok="t"/>
            <v:stroke dashstyle="solid"/>
            <w10:wrap type="topAndBottom"/>
          </v:shape>
        </w:pict>
      </w:r>
      <w:r>
        <w:rPr/>
        <w:pict>
          <v:shape style="position:absolute;margin-left:40.393002pt;margin-top:100.027pt;width:4.350pt;height:.1pt;mso-position-horizontal-relative:page;mso-position-vertical-relative:paragraph;z-index:-15645184;mso-wrap-distance-left:0;mso-wrap-distance-right:0" coordorigin="808,2001" coordsize="87,0" path="m808,2001l895,2001e" filled="false" stroked="true" strokeweight=".5pt" strokecolor="#000000">
            <v:path arrowok="t"/>
            <v:stroke dashstyle="solid"/>
            <w10:wrap type="topAndBottom"/>
          </v:shape>
        </w:pict>
      </w:r>
      <w:r>
        <w:rPr/>
        <w:pict>
          <v:shape style="position:absolute;margin-left:40.393002pt;margin-top:114.424004pt;width:4.350pt;height:.1pt;mso-position-horizontal-relative:page;mso-position-vertical-relative:paragraph;z-index:-15644672;mso-wrap-distance-left:0;mso-wrap-distance-right:0" coordorigin="808,2288" coordsize="87,0" path="m808,2288l895,2288e" filled="false" stroked="true" strokeweight=".5pt" strokecolor="#000000">
            <v:path arrowok="t"/>
            <v:stroke dashstyle="solid"/>
            <w10:wrap type="topAndBottom"/>
          </v:shape>
        </w:pict>
      </w:r>
      <w:r>
        <w:rPr/>
        <w:pict>
          <v:shape style="position:absolute;margin-left:40.393002pt;margin-top:128.820999pt;width:4.350pt;height:.1pt;mso-position-horizontal-relative:page;mso-position-vertical-relative:paragraph;z-index:-15644160;mso-wrap-distance-left:0;mso-wrap-distance-right:0" coordorigin="808,2576" coordsize="87,0" path="m808,2576l895,2576e" filled="false" stroked="true" strokeweight=".5pt" strokecolor="#000000">
            <v:path arrowok="t"/>
            <v:stroke dashstyle="solid"/>
            <w10:wrap type="topAndBottom"/>
          </v:shape>
        </w:pict>
      </w:r>
    </w:p>
    <w:p>
      <w:pPr>
        <w:pStyle w:val="BodyText"/>
        <w:spacing w:before="2"/>
      </w:pPr>
    </w:p>
    <w:p>
      <w:pPr>
        <w:pStyle w:val="BodyText"/>
        <w:spacing w:before="2"/>
      </w:pPr>
    </w:p>
    <w:p>
      <w:pPr>
        <w:pStyle w:val="BodyText"/>
        <w:spacing w:before="2"/>
      </w:pPr>
    </w:p>
    <w:p>
      <w:pPr>
        <w:pStyle w:val="BodyText"/>
        <w:spacing w:before="2"/>
      </w:pPr>
    </w:p>
    <w:p>
      <w:pPr>
        <w:pStyle w:val="BodyText"/>
        <w:spacing w:before="2"/>
      </w:pPr>
    </w:p>
    <w:p>
      <w:pPr>
        <w:pStyle w:val="BodyText"/>
        <w:spacing w:before="2"/>
      </w:pPr>
    </w:p>
    <w:p>
      <w:pPr>
        <w:pStyle w:val="BodyText"/>
        <w:spacing w:before="2"/>
      </w:pPr>
    </w:p>
    <w:p>
      <w:pPr>
        <w:pStyle w:val="BodyText"/>
        <w:spacing w:before="2"/>
      </w:pPr>
    </w:p>
    <w:p>
      <w:pPr>
        <w:pStyle w:val="BodyText"/>
        <w:rPr>
          <w:sz w:val="20"/>
        </w:rPr>
      </w:pPr>
      <w:r>
        <w:rPr/>
        <w:br w:type="column"/>
      </w:r>
      <w:r>
        <w:rPr>
          <w:sz w:val="20"/>
        </w:rPr>
      </w:r>
    </w:p>
    <w:p>
      <w:pPr>
        <w:pStyle w:val="BodyText"/>
        <w:rPr>
          <w:sz w:val="20"/>
        </w:rPr>
      </w:pPr>
    </w:p>
    <w:p>
      <w:pPr>
        <w:pStyle w:val="BodyText"/>
        <w:rPr>
          <w:sz w:val="20"/>
        </w:rPr>
      </w:pPr>
    </w:p>
    <w:p>
      <w:pPr>
        <w:spacing w:before="166"/>
        <w:ind w:left="180" w:right="0" w:firstLine="0"/>
        <w:jc w:val="left"/>
        <w:rPr>
          <w:sz w:val="12"/>
        </w:rPr>
      </w:pPr>
      <w:r>
        <w:rPr>
          <w:sz w:val="12"/>
        </w:rPr>
        <w:t>Per cent</w:t>
      </w:r>
      <w:r>
        <w:rPr>
          <w:spacing w:val="-10"/>
          <w:sz w:val="12"/>
        </w:rPr>
        <w:t> </w:t>
      </w:r>
      <w:r>
        <w:rPr>
          <w:position w:val="-7"/>
          <w:sz w:val="12"/>
        </w:rPr>
        <w:t>100</w:t>
      </w:r>
    </w:p>
    <w:p>
      <w:pPr>
        <w:spacing w:before="152"/>
        <w:ind w:left="0" w:right="38" w:firstLine="0"/>
        <w:jc w:val="right"/>
        <w:rPr>
          <w:sz w:val="12"/>
        </w:rPr>
      </w:pPr>
      <w:r>
        <w:rPr/>
        <w:pict>
          <v:group style="position:absolute;margin-left:51.625pt;margin-top:8.323938pt;width:140.4pt;height:90pt;mso-position-horizontal-relative:page;mso-position-vertical-relative:paragraph;z-index:15816704" coordorigin="1033,166" coordsize="2808,1800">
            <v:shape style="position:absolute;left:1042;top:1761;width:348;height:183" coordorigin="1043,1761" coordsize="348,183" path="m1043,1761l1155,1846m1155,1846l1268,1886m1268,1886l1390,1944e" filled="false" stroked="true" strokeweight="1pt" strokecolor="#006caa">
              <v:path arrowok="t"/>
              <v:stroke dashstyle="dash"/>
            </v:shape>
            <v:shape style="position:absolute;left:1380;top:1950;width:253;height:2" coordorigin="1380,1950" coordsize="253,0" path="m1380,1950l1510,1950m1490,1950l1633,1950e" filled="false" stroked="true" strokeweight="1.625pt" strokecolor="#006caa">
              <v:path arrowok="t"/>
              <v:stroke dashstyle="dash"/>
            </v:shape>
            <v:shape style="position:absolute;left:1622;top:1148;width:1278;height:795" coordorigin="1623,1149" coordsize="1278,795" path="m1623,1944l1735,1929m1735,1929l1848,1859m1848,1859l1970,1831m1970,1831l2083,1789m2083,1789l2205,1691m2205,1691l2318,1734m2318,1734l2430,1749m2430,1749l2553,1566m2553,1566l2665,1274m2665,1274l2788,1149m2788,1149l2900,1206e" filled="false" stroked="true" strokeweight="1pt" strokecolor="#006caa">
              <v:path arrowok="t"/>
              <v:stroke dashstyle="dash"/>
            </v:shape>
            <v:line style="position:absolute" from="2890,1208" to="3023,1208" stroked="true" strokeweight="1.125pt" strokecolor="#006caa">
              <v:stroke dashstyle="dash"/>
            </v:line>
            <v:shape style="position:absolute;left:3012;top:1108;width:358;height:293" coordorigin="3013,1109" coordsize="358,293" path="m3013,1206l3135,1109m3135,1109l3248,1401m3248,1401l3370,1344e" filled="false" stroked="true" strokeweight="1pt" strokecolor="#006caa">
              <v:path arrowok="t"/>
              <v:stroke dashstyle="dash"/>
            </v:shape>
            <v:line style="position:absolute" from="3360,1345" to="3493,1345" stroked="true" strokeweight="1.125pt" strokecolor="#006caa">
              <v:stroke dashstyle="dash"/>
            </v:line>
            <v:shape style="position:absolute;left:3482;top:176;width:348;height:1168" coordorigin="3483,176" coordsize="348,1168" path="m3483,1344l3595,1094m3595,1094l3718,606m3718,606l3830,176e" filled="false" stroked="true" strokeweight="1pt" strokecolor="#006caa">
              <v:path arrowok="t"/>
              <v:stroke dashstyle="dash"/>
            </v:shape>
            <v:shape style="position:absolute;left:1042;top:941;width:580;height:418" coordorigin="1043,941" coordsize="580,418" path="m1043,1149l1155,1109m1155,1109l1268,1289m1268,1289l1390,1359m1390,1359l1500,1149m1500,1149l1623,941e" filled="false" stroked="true" strokeweight="1pt" strokecolor="#de0035">
              <v:path arrowok="t"/>
              <v:stroke dashstyle="dash"/>
            </v:shape>
            <v:line style="position:absolute" from="1613,948" to="1745,948" stroked="true" strokeweight="1.625pt" strokecolor="#de0035">
              <v:stroke dashstyle="dash"/>
            </v:line>
            <v:shape style="position:absolute;left:1735;top:898;width:695;height:1015" coordorigin="1735,899" coordsize="695,1015" path="m1735,954l1848,899m1848,899l1970,1176m1970,1176l2083,1386m2083,1386l2205,1456m2205,1456l2318,1761m2318,1761l2430,1914e" filled="false" stroked="true" strokeweight="1pt" strokecolor="#de0035">
              <v:path arrowok="t"/>
              <v:stroke dashstyle="dash"/>
            </v:shape>
            <v:line style="position:absolute" from="2420,1915" to="2563,1915" stroked="true" strokeweight="1.125pt" strokecolor="#de0035">
              <v:stroke dashstyle="dash"/>
            </v:line>
            <v:shape style="position:absolute;left:2552;top:1066;width:583;height:848" coordorigin="2553,1066" coordsize="583,848" path="m2553,1914l2665,1609m2665,1609l2788,1079m2788,1079l2900,1176m2900,1176l3013,1066m3013,1066l3135,1526e" filled="false" stroked="true" strokeweight="1pt" strokecolor="#de0035">
              <v:path arrowok="t"/>
              <v:stroke dashstyle="dash"/>
            </v:shape>
            <v:shape style="position:absolute;left:3125;top:1458;width:715;height:340" type="#_x0000_t75" stroked="false">
              <v:imagedata r:id="rId34" o:title=""/>
            </v:shape>
            <v:shape style="position:absolute;left:2783;top:202;width:970;height:254" type="#_x0000_t202" filled="false" stroked="false">
              <v:textbox inset="0,0,0,0">
                <w:txbxContent>
                  <w:p>
                    <w:pPr>
                      <w:spacing w:line="208" w:lineRule="auto" w:before="9"/>
                      <w:ind w:left="60" w:right="0" w:hanging="60"/>
                      <w:jc w:val="left"/>
                      <w:rPr>
                        <w:sz w:val="12"/>
                      </w:rPr>
                    </w:pPr>
                    <w:r>
                      <w:rPr>
                        <w:sz w:val="12"/>
                      </w:rPr>
                      <w:t>90th percentile (b) (replacement cost)</w:t>
                    </w:r>
                  </w:p>
                </w:txbxContent>
              </v:textbox>
              <w10:wrap type="none"/>
            </v:shape>
            <v:shape style="position:absolute;left:1326;top:622;width:907;height:254" type="#_x0000_t202" filled="false" stroked="false">
              <v:textbox inset="0,0,0,0">
                <w:txbxContent>
                  <w:p>
                    <w:pPr>
                      <w:spacing w:line="208" w:lineRule="auto" w:before="9"/>
                      <w:ind w:left="60" w:right="0" w:hanging="60"/>
                      <w:jc w:val="left"/>
                      <w:rPr>
                        <w:sz w:val="12"/>
                      </w:rPr>
                    </w:pPr>
                    <w:r>
                      <w:rPr>
                        <w:sz w:val="12"/>
                      </w:rPr>
                      <w:t>90th percentile (b) (market value)</w:t>
                    </w:r>
                  </w:p>
                </w:txbxContent>
              </v:textbox>
              <w10:wrap type="none"/>
            </v:shape>
            <w10:wrap type="none"/>
          </v:group>
        </w:pict>
      </w:r>
      <w:r>
        <w:rPr/>
        <w:pict>
          <v:line style="position:absolute;mso-position-horizontal-relative:page;mso-position-vertical-relative:paragraph;z-index:15817728" from="196.843002pt,12.073938pt" to="201.175002pt,12.073938pt" stroked="true" strokeweight=".5pt" strokecolor="#000000">
            <v:stroke dashstyle="solid"/>
            <w10:wrap type="none"/>
          </v:line>
        </w:pict>
      </w:r>
      <w:r>
        <w:rPr/>
        <w:pict>
          <v:line style="position:absolute;mso-position-horizontal-relative:page;mso-position-vertical-relative:paragraph;z-index:-23476224" from="196.843002pt,-2.323062pt" to="201.175002pt,-2.323062pt" stroked="true" strokeweight=".5pt" strokecolor="#000000">
            <v:stroke dashstyle="solid"/>
            <w10:wrap type="none"/>
          </v:line>
        </w:pict>
      </w:r>
      <w:r>
        <w:rPr>
          <w:sz w:val="12"/>
        </w:rPr>
        <w:t>90</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5818240" from="196.843002pt,4.470974pt" to="201.175002pt,4.470974pt" stroked="true" strokeweight=".5pt" strokecolor="#000000">
            <v:stroke dashstyle="solid"/>
            <w10:wrap type="none"/>
          </v:line>
        </w:pict>
      </w:r>
      <w:r>
        <w:rPr>
          <w:sz w:val="12"/>
        </w:rPr>
        <w:t>80</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5818752" from="196.843002pt,4.46795pt" to="201.175002pt,4.46795pt" stroked="true" strokeweight=".5pt" strokecolor="#000000">
            <v:stroke dashstyle="solid"/>
            <w10:wrap type="none"/>
          </v:line>
        </w:pict>
      </w:r>
      <w:r>
        <w:rPr>
          <w:sz w:val="12"/>
        </w:rPr>
        <w:t>70</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5819264" from="196.843002pt,4.463987pt" to="201.175002pt,4.463987pt" stroked="true" strokeweight=".5pt" strokecolor="#000000">
            <v:stroke dashstyle="solid"/>
            <w10:wrap type="none"/>
          </v:line>
        </w:pict>
      </w:r>
      <w:r>
        <w:rPr>
          <w:sz w:val="12"/>
        </w:rPr>
        <w:t>60</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5819776" from="196.843002pt,4.460962pt" to="201.175002pt,4.460962pt" stroked="true" strokeweight=".5pt" strokecolor="#000000">
            <v:stroke dashstyle="solid"/>
            <w10:wrap type="none"/>
          </v:line>
        </w:pict>
      </w:r>
      <w:r>
        <w:rPr>
          <w:sz w:val="12"/>
        </w:rPr>
        <w:t>50</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5820288" from="196.843002pt,4.457938pt" to="201.175002pt,4.457938pt" stroked="true" strokeweight=".5pt" strokecolor="#000000">
            <v:stroke dashstyle="solid"/>
            <w10:wrap type="none"/>
          </v:line>
        </w:pict>
      </w:r>
      <w:r>
        <w:rPr>
          <w:sz w:val="12"/>
        </w:rPr>
        <w:t>40</w:t>
      </w:r>
    </w:p>
    <w:p>
      <w:pPr>
        <w:pStyle w:val="BodyText"/>
        <w:rPr>
          <w:sz w:val="13"/>
        </w:rPr>
      </w:pPr>
    </w:p>
    <w:p>
      <w:pPr>
        <w:spacing w:before="1"/>
        <w:ind w:left="0" w:right="38" w:firstLine="0"/>
        <w:jc w:val="right"/>
        <w:rPr>
          <w:sz w:val="12"/>
        </w:rPr>
      </w:pPr>
      <w:r>
        <w:rPr/>
        <w:pict>
          <v:group style="position:absolute;margin-left:48.5pt;margin-top:10.145694pt;width:152.7pt;height:31.35pt;mso-position-horizontal-relative:page;mso-position-vertical-relative:paragraph;z-index:15815168" coordorigin="970,203" coordsize="3054,627">
            <v:line style="position:absolute" from="980,690" to="1010,677" stroked="true" strokeweight="1pt" strokecolor="#006caa">
              <v:stroke dashstyle="solid"/>
            </v:line>
            <v:line style="position:absolute" from="1000,679" to="1053,679" stroked="true" strokeweight="1.125pt" strokecolor="#006caa">
              <v:stroke dashstyle="solid"/>
            </v:line>
            <v:shape style="position:absolute;left:1042;top:677;width:113;height:28" coordorigin="1043,677" coordsize="113,28" path="m1043,677l1073,690m1073,690l1093,692m1093,690l1123,705m1123,705l1155,690e" filled="false" stroked="true" strokeweight="1pt" strokecolor="#006caa">
              <v:path arrowok="t"/>
              <v:stroke dashstyle="solid"/>
            </v:shape>
            <v:shape style="position:absolute;left:1145;top:691;width:80;height:2" coordorigin="1145,691" coordsize="80,0" path="m1145,691l1195,691m1175,691l1225,691e" filled="false" stroked="true" strokeweight="1.125pt" strokecolor="#006caa">
              <v:path arrowok="t"/>
              <v:stroke dashstyle="solid"/>
            </v:shape>
            <v:shape style="position:absolute;left:1215;top:689;width:83;height:55" coordorigin="1215,690" coordsize="83,55" path="m1215,690l1245,717m1245,717l1268,732m1268,732l1298,745e" filled="false" stroked="true" strokeweight="1pt" strokecolor="#006caa">
              <v:path arrowok="t"/>
              <v:stroke dashstyle="solid"/>
            </v:shape>
            <v:line style="position:absolute" from="1288,746" to="1338,746" stroked="true" strokeweight="1.125pt" strokecolor="#006caa">
              <v:stroke dashstyle="solid"/>
            </v:line>
            <v:shape style="position:absolute;left:1327;top:744;width:143;height:33" coordorigin="1328,745" coordsize="143,33" path="m1328,745l1358,760m1358,760l1390,775m1390,775l1420,745m1420,745l1450,775m1450,775l1470,777e" filled="false" stroked="true" strokeweight="1pt" strokecolor="#006caa">
              <v:path arrowok="t"/>
              <v:stroke dashstyle="solid"/>
            </v:shape>
            <v:line style="position:absolute" from="1460,776" to="1510,776" stroked="true" strokeweight="1.125pt" strokecolor="#006caa">
              <v:stroke dashstyle="solid"/>
            </v:line>
            <v:line style="position:absolute" from="1500,775" to="1533,732" stroked="true" strokeweight="1pt" strokecolor="#006caa">
              <v:stroke dashstyle="solid"/>
            </v:line>
            <v:line style="position:absolute" from="1523,734" to="1573,734" stroked="true" strokeweight="1.125pt" strokecolor="#006caa">
              <v:stroke dashstyle="solid"/>
            </v:line>
            <v:shape style="position:absolute;left:1562;top:732;width:205;height:83" coordorigin="1563,732" coordsize="205,83" path="m1563,732l1593,745m1593,745l1623,775m1623,775l1655,760m1655,760l1675,815m1675,815l1705,802m1705,802l1735,775m1735,775l1768,732e" filled="false" stroked="true" strokeweight="1pt" strokecolor="#006caa">
              <v:path arrowok="t"/>
              <v:stroke dashstyle="solid"/>
            </v:shape>
            <v:line style="position:absolute" from="1758,734" to="1808,734" stroked="true" strokeweight="1.125pt" strokecolor="#006caa">
              <v:stroke dashstyle="solid"/>
            </v:line>
            <v:shape style="position:absolute;left:1797;top:704;width:50;height:28" coordorigin="1798,705" coordsize="50,28" path="m1798,732l1828,705m1828,705l1848,717e" filled="false" stroked="true" strokeweight="1pt" strokecolor="#006caa">
              <v:path arrowok="t"/>
              <v:stroke dashstyle="solid"/>
            </v:shape>
            <v:line style="position:absolute" from="1838,719" to="1890,719" stroked="true" strokeweight="1.125pt" strokecolor="#006caa">
              <v:stroke dashstyle="solid"/>
            </v:line>
            <v:line style="position:absolute" from="1880,717" to="1910,732" stroked="true" strokeweight="1pt" strokecolor="#006caa">
              <v:stroke dashstyle="solid"/>
            </v:line>
            <v:line style="position:absolute" from="1900,734" to="1950,734" stroked="true" strokeweight="1.125pt" strokecolor="#006caa">
              <v:stroke dashstyle="solid"/>
            </v:line>
            <v:shape style="position:absolute;left:1940;top:689;width:235;height:70" coordorigin="1940,690" coordsize="235,70" path="m1940,732l1970,760m1970,760l2003,745m2003,745l2033,732m2033,732l2053,735m2053,732l2083,705m2083,705l2115,690m2115,690l2145,705m2145,705l2175,690e" filled="false" stroked="true" strokeweight="1pt" strokecolor="#006caa">
              <v:path arrowok="t"/>
              <v:stroke dashstyle="solid"/>
            </v:shape>
            <v:line style="position:absolute" from="2165,691" to="2215,691" stroked="true" strokeweight="1.125pt" strokecolor="#006caa">
              <v:stroke dashstyle="solid"/>
            </v:line>
            <v:shape style="position:absolute;left:2205;top:689;width:113;height:43" coordorigin="2205,690" coordsize="113,43" path="m2205,690l2228,692m2228,690l2258,717m2258,717l2288,732m2288,732l2318,705e" filled="false" stroked="true" strokeweight="1pt" strokecolor="#006caa">
              <v:path arrowok="t"/>
              <v:stroke dashstyle="solid"/>
            </v:shape>
            <v:shape style="position:absolute;left:2307;top:706;width:83;height:2" coordorigin="2308,706" coordsize="83,0" path="m2308,706l2360,706m2340,706l2390,706e" filled="false" stroked="true" strokeweight="1.125pt" strokecolor="#006caa">
              <v:path arrowok="t"/>
              <v:stroke dashstyle="solid"/>
            </v:shape>
            <v:shape style="position:absolute;left:2380;top:467;width:205;height:253" coordorigin="2380,467" coordsize="205,253" path="m2380,705l2410,717m2410,717l2430,720m2430,717l2460,635m2460,635l2493,580m2493,580l2523,565m2523,565l2553,537m2553,537l2585,467e" filled="false" stroked="true" strokeweight="1pt" strokecolor="#006caa">
              <v:path arrowok="t"/>
              <v:stroke dashstyle="solid"/>
            </v:shape>
            <v:line style="position:absolute" from="2575,469" to="2625,469" stroked="true" strokeweight="1.125pt" strokecolor="#006caa">
              <v:stroke dashstyle="solid"/>
            </v:line>
            <v:shape style="position:absolute;left:2615;top:229;width:225;height:238" coordorigin="2615,230" coordsize="225,238" path="m2615,467l2635,425m2635,425l2665,452m2665,452l2695,272m2695,272l2728,300m2728,300l2758,315m2758,315l2788,300m2788,300l2808,230m2808,230l2840,260e" filled="false" stroked="true" strokeweight="1pt" strokecolor="#006caa">
              <v:path arrowok="t"/>
              <v:stroke dashstyle="solid"/>
            </v:shape>
            <v:line style="position:absolute" from="2830,261" to="2880,261" stroked="true" strokeweight="1.125pt" strokecolor="#006caa">
              <v:stroke dashstyle="solid"/>
            </v:line>
            <v:line style="position:absolute" from="2870,260" to="2900,272" stroked="true" strokeweight="1pt" strokecolor="#006caa">
              <v:stroke dashstyle="solid"/>
            </v:line>
            <v:line style="position:absolute" from="2890,274" to="2940,274" stroked="true" strokeweight="1.125pt" strokecolor="#006caa">
              <v:stroke dashstyle="solid"/>
            </v:line>
            <v:shape style="position:absolute;left:2930;top:244;width:113;height:55" coordorigin="2930,245" coordsize="113,55" path="m2930,272l2963,287m2963,287l2993,300m2993,300l3013,245m3013,245l3043,260e" filled="false" stroked="true" strokeweight="1pt" strokecolor="#006caa">
              <v:path arrowok="t"/>
              <v:stroke dashstyle="solid"/>
            </v:shape>
            <v:line style="position:absolute" from="3033,261" to="3085,261" stroked="true" strokeweight="1.125pt" strokecolor="#006caa">
              <v:stroke dashstyle="solid"/>
            </v:line>
            <v:shape style="position:absolute;left:3075;top:259;width:143;height:125" coordorigin="3075,260" coordsize="143,125" path="m3075,260l3105,287m3105,287l3135,272m3135,272l3165,300m3165,300l3188,370m3188,370l3218,385e" filled="false" stroked="true" strokeweight="1pt" strokecolor="#006caa">
              <v:path arrowok="t"/>
              <v:stroke dashstyle="solid"/>
            </v:shape>
            <v:line style="position:absolute" from="3208,386" to="3258,386" stroked="true" strokeweight="1.125pt" strokecolor="#006caa">
              <v:stroke dashstyle="solid"/>
            </v:line>
            <v:shape style="position:absolute;left:3247;top:299;width:175;height:85" coordorigin="3248,300" coordsize="175,85" path="m3248,385l3278,357m3278,357l3310,327m3310,327l3340,315m3340,315l3370,300m3370,300l3390,302m3390,300l3423,315e" filled="false" stroked="true" strokeweight="1pt" strokecolor="#006caa">
              <v:path arrowok="t"/>
              <v:stroke dashstyle="solid"/>
            </v:shape>
            <v:line style="position:absolute" from="3413,316" to="3463,316" stroked="true" strokeweight="1.125pt" strokecolor="#006caa">
              <v:stroke dashstyle="solid"/>
            </v:line>
            <v:shape style="position:absolute;left:3452;top:299;width:143;height:58" coordorigin="3453,300" coordsize="143,58" path="m3453,315l3483,342m3483,342l3513,357m3513,357l3545,342m3545,342l3575,300m3575,300l3595,327e" filled="false" stroked="true" strokeweight="1pt" strokecolor="#006caa">
              <v:path arrowok="t"/>
              <v:stroke dashstyle="solid"/>
            </v:shape>
            <v:line style="position:absolute" from="3585,329" to="3635,329" stroked="true" strokeweight="1.125pt" strokecolor="#006caa">
              <v:stroke dashstyle="solid"/>
            </v:line>
            <v:shape style="position:absolute;left:3625;top:217;width:175;height:125" coordorigin="3625,217" coordsize="175,125" path="m3625,327l3655,342m3655,342l3688,327m3688,327l3718,315m3718,315l3748,272m3748,272l3768,217m3768,217l3800,245e" filled="false" stroked="true" strokeweight="1pt" strokecolor="#006caa">
              <v:path arrowok="t"/>
              <v:stroke dashstyle="solid"/>
            </v:shape>
            <v:line style="position:absolute" from="3790,246" to="3840,246" stroked="true" strokeweight="1.125pt" strokecolor="#006caa">
              <v:stroke dashstyle="solid"/>
            </v:line>
            <v:line style="position:absolute" from="3830,245" to="3860,217" stroked="true" strokeweight="1pt" strokecolor="#006caa">
              <v:stroke dashstyle="solid"/>
            </v:line>
            <v:shape style="position:absolute;left:980;top:244;width:440;height:265" coordorigin="980,245" coordsize="440,265" path="m980,342l1010,287m1010,287l1043,315m1043,315l1073,342m1073,342l1093,300m1093,300l1123,245m1123,245l1155,260m1155,260l1185,315m1185,315l1215,327m1215,327l1245,425m1245,425l1268,452m1268,452l1298,440m1298,440l1328,452m1328,452l1358,495m1358,495l1390,482m1390,482l1420,510e" filled="false" stroked="true" strokeweight="1pt" strokecolor="#de0035">
              <v:path arrowok="t"/>
              <v:stroke dashstyle="solid"/>
            </v:shape>
            <v:line style="position:absolute" from="1410,511" to="1460,511" stroked="true" strokeweight="1.125pt" strokecolor="#de0035">
              <v:stroke dashstyle="solid"/>
            </v:line>
            <v:shape style="position:absolute;left:1450;top:357;width:520;height:250" coordorigin="1450,357" coordsize="520,250" path="m1450,510l1470,495m1470,495l1500,440m1500,440l1533,357m1533,357l1563,385m1563,385l1593,425m1593,425l1623,467m1623,467l1655,452m1655,452l1675,580m1675,580l1705,522m1705,522l1735,482m1735,482l1768,412m1768,412l1798,425m1798,425l1828,440m1828,440l1848,482m1848,482l1880,510m1880,510l1910,565m1910,565l1940,550m1940,550l1970,607e" filled="false" stroked="true" strokeweight="1pt" strokecolor="#de0035">
              <v:path arrowok="t"/>
              <v:stroke dashstyle="solid"/>
            </v:shape>
            <v:line style="position:absolute" from="1960,609" to="2013,609" stroked="true" strokeweight="1.125pt" strokecolor="#de0035">
              <v:stroke dashstyle="solid"/>
            </v:line>
            <v:shape style="position:absolute;left:2002;top:537;width:50;height:70" coordorigin="2003,537" coordsize="50,70" path="m2003,607l2033,537m2033,537l2053,565e" filled="false" stroked="true" strokeweight="1pt" strokecolor="#de0035">
              <v:path arrowok="t"/>
              <v:stroke dashstyle="solid"/>
            </v:shape>
            <v:shape style="position:absolute;left:2042;top:566;width:83;height:2" coordorigin="2043,566" coordsize="83,0" path="m2043,566l2093,566m2073,566l2125,566e" filled="false" stroked="true" strokeweight="1.125pt" strokecolor="#de0035">
              <v:path arrowok="t"/>
              <v:stroke dashstyle="solid"/>
            </v:shape>
            <v:shape style="position:absolute;left:2115;top:549;width:143;height:113" coordorigin="2115,550" coordsize="143,113" path="m2115,565l2145,550m2145,550l2175,565m2175,565l2205,592m2205,592l2228,635m2228,635l2258,662e" filled="false" stroked="true" strokeweight="1pt" strokecolor="#de0035">
              <v:path arrowok="t"/>
              <v:stroke dashstyle="solid"/>
            </v:shape>
            <v:line style="position:absolute" from="2248,664" to="2298,664" stroked="true" strokeweight="1.125pt" strokecolor="#de0035">
              <v:stroke dashstyle="solid"/>
            </v:line>
            <v:line style="position:absolute" from="2288,662" to="2318,620" stroked="true" strokeweight="1pt" strokecolor="#de0035">
              <v:stroke dashstyle="solid"/>
            </v:line>
            <v:line style="position:absolute" from="2308,621" to="2360,621" stroked="true" strokeweight="1.125pt" strokecolor="#de0035">
              <v:stroke dashstyle="solid"/>
            </v:line>
            <v:shape style="position:absolute;left:2350;top:452;width:203;height:280" coordorigin="2350,452" coordsize="203,280" path="m2350,620l2380,717m2380,717l2410,732m2410,732l2430,635m2430,635l2460,565m2460,565l2493,522m2493,522l2523,495m2523,495l2553,452e" filled="false" stroked="true" strokeweight="1pt" strokecolor="#de0035">
              <v:path arrowok="t"/>
              <v:stroke dashstyle="solid"/>
            </v:shape>
            <v:line style="position:absolute" from="2543,454" to="2595,454" stroked="true" strokeweight="1.125pt" strokecolor="#de0035">
              <v:stroke dashstyle="solid"/>
            </v:line>
            <v:shape style="position:absolute;left:2585;top:412;width:50;height:40" coordorigin="2585,412" coordsize="50,40" path="m2585,452l2615,440m2615,440l2635,412e" filled="false" stroked="true" strokeweight="1pt" strokecolor="#de0035">
              <v:path arrowok="t"/>
              <v:stroke dashstyle="solid"/>
            </v:shape>
            <v:line style="position:absolute" from="2625,414" to="2675,414" stroked="true" strokeweight="1.125pt" strokecolor="#de0035">
              <v:stroke dashstyle="solid"/>
            </v:line>
            <v:shape style="position:absolute;left:2665;top:217;width:205;height:195" coordorigin="2665,217" coordsize="205,195" path="m2665,412l2695,272m2695,272l2728,300m2728,300l2758,230m2758,230l2788,217m2788,217l2808,245m2808,245l2840,260m2840,260l2870,300e" filled="false" stroked="true" strokeweight="1pt" strokecolor="#de0035">
              <v:path arrowok="t"/>
              <v:stroke dashstyle="solid"/>
            </v:shape>
            <v:line style="position:absolute" from="2860,301" to="2910,301" stroked="true" strokeweight="1.125pt" strokecolor="#de0035">
              <v:stroke dashstyle="solid"/>
            </v:line>
            <v:shape style="position:absolute;left:2900;top:287;width:63;height:40" coordorigin="2900,287" coordsize="63,40" path="m2900,300l2930,287m2930,287l2963,327e" filled="false" stroked="true" strokeweight="1pt" strokecolor="#de0035">
              <v:path arrowok="t"/>
              <v:stroke dashstyle="solid"/>
            </v:shape>
            <v:line style="position:absolute" from="2953,329" to="3003,329" stroked="true" strokeweight="1.125pt" strokecolor="#de0035">
              <v:stroke dashstyle="solid"/>
            </v:line>
            <v:shape style="position:absolute;left:2992;top:327;width:225;height:125" coordorigin="2993,327" coordsize="225,125" path="m2993,327l3013,330m3013,327l3043,342m3043,342l3075,357m3075,357l3105,397m3105,397l3135,440m3135,440l3165,425m3165,425l3188,440m3188,440l3218,452e" filled="false" stroked="true" strokeweight="1pt" strokecolor="#de0035">
              <v:path arrowok="t"/>
              <v:stroke dashstyle="solid"/>
            </v:shape>
            <v:line style="position:absolute" from="3208,454" to="3258,454" stroked="true" strokeweight="1.125pt" strokecolor="#de0035">
              <v:stroke dashstyle="solid"/>
            </v:line>
            <v:shape style="position:absolute;left:3247;top:424;width:143;height:28" coordorigin="3248,425" coordsize="143,28" path="m3248,452l3278,440m3278,440l3310,425m3310,425l3340,440m3340,440l3370,425m3370,425l3390,440e" filled="false" stroked="true" strokeweight="1pt" strokecolor="#de0035">
              <v:path arrowok="t"/>
              <v:stroke dashstyle="solid"/>
            </v:shape>
            <v:line style="position:absolute" from="3380,441" to="3433,441" stroked="true" strokeweight="1.125pt" strokecolor="#de0035">
              <v:stroke dashstyle="solid"/>
            </v:line>
            <v:shape style="position:absolute;left:3422;top:439;width:295;height:125" coordorigin="3423,440" coordsize="295,125" path="m3423,440l3453,452m3453,452l3483,467m3483,467l3513,510m3513,510l3545,495m3545,495l3575,510m3575,510l3595,512m3595,510l3625,550m3625,550l3655,565m3655,565l3688,482m3688,482l3718,510e" filled="false" stroked="true" strokeweight="1pt" strokecolor="#de0035">
              <v:path arrowok="t"/>
              <v:stroke dashstyle="solid"/>
            </v:shape>
            <v:line style="position:absolute" from="3708,511" to="3758,511" stroked="true" strokeweight="1.125pt" strokecolor="#de0035">
              <v:stroke dashstyle="solid"/>
            </v:line>
            <v:shape style="position:absolute;left:3747;top:467;width:113;height:70" coordorigin="3748,467" coordsize="113,70" path="m3748,510l3768,495m3768,495l3800,467m3800,467l3830,537m3830,537l3860,510e" filled="false" stroked="true" strokeweight="1pt" strokecolor="#de0035">
              <v:path arrowok="t"/>
              <v:stroke dashstyle="solid"/>
            </v:shape>
            <v:shape style="position:absolute;left:3416;top:377;width:608;height:329" coordorigin="3416,378" coordsize="608,329" path="m3937,666l4023,666m3937,378l4023,378m3486,448l3416,706e" filled="false" stroked="true" strokeweight=".5pt" strokecolor="#000000">
              <v:path arrowok="t"/>
              <v:stroke dashstyle="solid"/>
            </v:shape>
            <v:shape style="position:absolute;left:3457;top:382;width:49;height:89" coordorigin="3457,382" coordsize="49,89" path="m3504,382l3457,457,3506,471,3504,454,3503,441,3502,428,3502,414,3502,402,3503,391,3504,382xe" filled="true" fillcolor="#000000" stroked="false">
              <v:path arrowok="t"/>
              <v:fill type="solid"/>
            </v:shape>
            <v:shape style="position:absolute;left:1800;top:202;width:783;height:254" type="#_x0000_t202" filled="false" stroked="false">
              <v:textbox inset="0,0,0,0">
                <w:txbxContent>
                  <w:p>
                    <w:pPr>
                      <w:spacing w:line="208" w:lineRule="auto" w:before="9"/>
                      <w:ind w:left="60" w:right="0" w:hanging="60"/>
                      <w:jc w:val="left"/>
                      <w:rPr>
                        <w:sz w:val="12"/>
                      </w:rPr>
                    </w:pPr>
                    <w:r>
                      <w:rPr>
                        <w:sz w:val="12"/>
                      </w:rPr>
                      <w:t>Aggregate (c) (market value)</w:t>
                    </w:r>
                  </w:p>
                </w:txbxContent>
              </v:textbox>
              <w10:wrap type="none"/>
            </v:shape>
            <v:shape style="position:absolute;left:2699;top:576;width:970;height:254" type="#_x0000_t202" filled="false" stroked="false">
              <v:textbox inset="0,0,0,0">
                <w:txbxContent>
                  <w:p>
                    <w:pPr>
                      <w:spacing w:line="208" w:lineRule="auto" w:before="9"/>
                      <w:ind w:left="60" w:right="0" w:hanging="60"/>
                      <w:jc w:val="left"/>
                      <w:rPr>
                        <w:sz w:val="12"/>
                      </w:rPr>
                    </w:pPr>
                    <w:r>
                      <w:rPr>
                        <w:sz w:val="12"/>
                      </w:rPr>
                      <w:t>Aggregate (c) (replacement cost)</w:t>
                    </w:r>
                  </w:p>
                </w:txbxContent>
              </v:textbox>
              <w10:wrap type="none"/>
            </v:shape>
            <w10:wrap type="none"/>
          </v:group>
        </w:pict>
      </w:r>
      <w:r>
        <w:rPr/>
        <w:pict>
          <v:line style="position:absolute;mso-position-horizontal-relative:page;mso-position-vertical-relative:paragraph;z-index:15820800" from="196.843002pt,4.504364pt" to="201.175002pt,4.504364pt" stroked="true" strokeweight=".5pt" strokecolor="#000000">
            <v:stroke dashstyle="solid"/>
            <w10:wrap type="none"/>
          </v:line>
        </w:pict>
      </w:r>
      <w:r>
        <w:rPr>
          <w:sz w:val="12"/>
        </w:rPr>
        <w:t>30</w:t>
      </w:r>
    </w:p>
    <w:p>
      <w:pPr>
        <w:pStyle w:val="BodyText"/>
        <w:rPr>
          <w:sz w:val="13"/>
        </w:rPr>
      </w:pPr>
    </w:p>
    <w:p>
      <w:pPr>
        <w:spacing w:before="0"/>
        <w:ind w:left="0" w:right="38" w:firstLine="0"/>
        <w:jc w:val="right"/>
        <w:rPr>
          <w:sz w:val="12"/>
        </w:rPr>
      </w:pPr>
      <w:r>
        <w:rPr>
          <w:sz w:val="12"/>
        </w:rPr>
        <w:t>20</w:t>
      </w:r>
    </w:p>
    <w:p>
      <w:pPr>
        <w:pStyle w:val="BodyText"/>
        <w:rPr>
          <w:sz w:val="13"/>
        </w:rPr>
      </w:pPr>
    </w:p>
    <w:p>
      <w:pPr>
        <w:spacing w:before="1"/>
        <w:ind w:left="0" w:right="38" w:firstLine="0"/>
        <w:jc w:val="right"/>
        <w:rPr>
          <w:sz w:val="12"/>
        </w:rPr>
      </w:pPr>
      <w:r>
        <w:rPr>
          <w:sz w:val="12"/>
        </w:rPr>
        <w:t>10</w:t>
      </w:r>
    </w:p>
    <w:p>
      <w:pPr>
        <w:pStyle w:val="BodyText"/>
        <w:spacing w:before="7"/>
        <w:rPr>
          <w:sz w:val="20"/>
        </w:rPr>
      </w:pPr>
      <w:r>
        <w:rPr/>
        <w:br w:type="column"/>
      </w:r>
      <w:r>
        <w:rPr>
          <w:sz w:val="20"/>
        </w:rPr>
      </w:r>
    </w:p>
    <w:p>
      <w:pPr>
        <w:spacing w:line="242" w:lineRule="auto" w:before="0"/>
        <w:ind w:left="180" w:right="156" w:firstLine="0"/>
        <w:jc w:val="left"/>
        <w:rPr>
          <w:sz w:val="24"/>
        </w:rPr>
      </w:pPr>
      <w:r>
        <w:rPr>
          <w:sz w:val="24"/>
        </w:rPr>
        <w:t>suggest that </w:t>
      </w:r>
      <w:r>
        <w:rPr>
          <w:spacing w:val="-3"/>
          <w:sz w:val="24"/>
        </w:rPr>
        <w:t>investors </w:t>
      </w:r>
      <w:r>
        <w:rPr>
          <w:sz w:val="24"/>
        </w:rPr>
        <w:t>are also optimistic about future profits. So while there has been a significant increase in borrowing by PNFCs, the market valuation of their assets has also been increasing. One measure of gearing, net indebtedness relative to the market valuation of PNFCs,</w:t>
      </w:r>
      <w:r>
        <w:rPr>
          <w:spacing w:val="-6"/>
          <w:sz w:val="24"/>
        </w:rPr>
        <w:t> </w:t>
      </w:r>
      <w:r>
        <w:rPr>
          <w:sz w:val="24"/>
        </w:rPr>
        <w:t>therefore</w:t>
      </w:r>
      <w:r>
        <w:rPr>
          <w:spacing w:val="-7"/>
          <w:sz w:val="24"/>
        </w:rPr>
        <w:t> </w:t>
      </w:r>
      <w:r>
        <w:rPr>
          <w:sz w:val="24"/>
        </w:rPr>
        <w:t>shows</w:t>
      </w:r>
      <w:r>
        <w:rPr>
          <w:spacing w:val="-7"/>
          <w:sz w:val="24"/>
        </w:rPr>
        <w:t> </w:t>
      </w:r>
      <w:r>
        <w:rPr>
          <w:sz w:val="24"/>
        </w:rPr>
        <w:t>a</w:t>
      </w:r>
      <w:r>
        <w:rPr>
          <w:spacing w:val="-7"/>
          <w:sz w:val="24"/>
        </w:rPr>
        <w:t> </w:t>
      </w:r>
      <w:r>
        <w:rPr>
          <w:sz w:val="24"/>
        </w:rPr>
        <w:t>reasonably</w:t>
      </w:r>
      <w:r>
        <w:rPr>
          <w:spacing w:val="-7"/>
          <w:sz w:val="24"/>
        </w:rPr>
        <w:t> </w:t>
      </w:r>
      <w:r>
        <w:rPr>
          <w:sz w:val="24"/>
        </w:rPr>
        <w:t>benign</w:t>
      </w:r>
      <w:r>
        <w:rPr>
          <w:spacing w:val="-7"/>
          <w:sz w:val="24"/>
        </w:rPr>
        <w:t> </w:t>
      </w:r>
      <w:r>
        <w:rPr>
          <w:sz w:val="24"/>
        </w:rPr>
        <w:t>picture</w:t>
      </w:r>
      <w:r>
        <w:rPr>
          <w:spacing w:val="-7"/>
          <w:sz w:val="24"/>
        </w:rPr>
        <w:t> </w:t>
      </w:r>
      <w:r>
        <w:rPr>
          <w:sz w:val="24"/>
        </w:rPr>
        <w:t>(see Chart 1.8). But expectations about future </w:t>
      </w:r>
      <w:r>
        <w:rPr>
          <w:spacing w:val="-3"/>
          <w:sz w:val="24"/>
        </w:rPr>
        <w:t>profitability, </w:t>
      </w:r>
      <w:r>
        <w:rPr>
          <w:sz w:val="24"/>
        </w:rPr>
        <w:t>and hence market valuations, may be subject to sudden adjustments, so other indicators of gearing may also be relevant. For example, net debt relative to the current replacement cost of PNFCs’ tangible assets is at historically high</w:t>
      </w:r>
      <w:r>
        <w:rPr>
          <w:spacing w:val="-3"/>
          <w:sz w:val="24"/>
        </w:rPr>
        <w:t> levels.</w:t>
      </w:r>
    </w:p>
    <w:p>
      <w:pPr>
        <w:spacing w:after="0" w:line="242" w:lineRule="auto"/>
        <w:jc w:val="left"/>
        <w:rPr>
          <w:sz w:val="24"/>
        </w:rPr>
        <w:sectPr>
          <w:type w:val="continuous"/>
          <w:pgSz w:w="11900" w:h="16840"/>
          <w:pgMar w:top="1260" w:bottom="280" w:left="640" w:right="640"/>
          <w:cols w:num="3" w:equalWidth="0">
            <w:col w:w="1934" w:space="879"/>
            <w:col w:w="811" w:space="1176"/>
            <w:col w:w="5820"/>
          </w:cols>
        </w:sectPr>
      </w:pPr>
    </w:p>
    <w:p>
      <w:pPr>
        <w:pStyle w:val="BodyText"/>
        <w:rPr>
          <w:sz w:val="13"/>
        </w:rPr>
      </w:pPr>
    </w:p>
    <w:p>
      <w:pPr>
        <w:spacing w:line="129" w:lineRule="exact" w:before="0"/>
        <w:ind w:left="3524" w:right="0" w:firstLine="0"/>
        <w:jc w:val="left"/>
        <w:rPr>
          <w:sz w:val="12"/>
        </w:rPr>
      </w:pPr>
      <w:r>
        <w:rPr/>
        <w:pict>
          <v:line style="position:absolute;mso-position-horizontal-relative:page;mso-position-vertical-relative:paragraph;z-index:15817216" from="40.393002pt,4.467573pt" to="44.726002pt,4.467573pt" stroked="true" strokeweight=".5pt" strokecolor="#000000">
            <v:stroke dashstyle="solid"/>
            <w10:wrap type="none"/>
          </v:line>
        </w:pict>
      </w:r>
      <w:r>
        <w:rPr/>
        <w:pict>
          <v:line style="position:absolute;mso-position-horizontal-relative:page;mso-position-vertical-relative:paragraph;z-index:15821312" from="196.843002pt,4.445573pt" to="201.175002pt,4.445573pt" stroked="true" strokeweight=".5pt" strokecolor="#000000">
            <v:stroke dashstyle="solid"/>
            <w10:wrap type="none"/>
          </v:line>
        </w:pict>
      </w:r>
      <w:r>
        <w:rPr/>
        <w:pict>
          <v:shape style="position:absolute;margin-left:49.057999pt;margin-top:1.504573pt;width:143.8pt;height:3.4pt;mso-position-horizontal-relative:page;mso-position-vertical-relative:paragraph;z-index:15822336" coordorigin="981,30" coordsize="2876,68" path="m984,97l3857,97m981,30l981,97m1326,30l1326,97m1556,30l1556,97m2016,30l2016,97m2476,30l2476,97m2937,30l2937,97m3167,30l3167,97m3627,30l3627,97m3397,30l3397,97m3857,30l3857,97m1096,30l1096,97m1211,30l1211,97m1441,30l1441,97m1901,30l1901,97m2361,30l2361,97m2821,30l2821,97m3052,30l3052,97m3512,30l3512,97m3282,30l3282,97m3742,30l3742,97m1786,30l1786,97m2246,30l2246,97m2706,30l2706,97m1671,30l1671,97m2131,30l2131,97m2591,30l2591,97e" filled="false" stroked="true" strokeweight=".5pt" strokecolor="#000000">
            <v:path arrowok="t"/>
            <v:stroke dashstyle="solid"/>
            <w10:wrap type="none"/>
          </v:shape>
        </w:pict>
      </w:r>
      <w:r>
        <w:rPr>
          <w:sz w:val="12"/>
        </w:rPr>
        <w:t>0</w:t>
      </w:r>
    </w:p>
    <w:p>
      <w:pPr>
        <w:spacing w:line="129" w:lineRule="exact" w:before="0"/>
        <w:ind w:left="219" w:right="0" w:firstLine="0"/>
        <w:jc w:val="left"/>
        <w:rPr>
          <w:sz w:val="12"/>
        </w:rPr>
      </w:pPr>
      <w:r>
        <w:rPr>
          <w:sz w:val="12"/>
        </w:rPr>
        <w:t>1975 77 79 81 83 85 87 89 91 93 95 97 99</w:t>
      </w:r>
    </w:p>
    <w:p>
      <w:pPr>
        <w:pStyle w:val="BodyText"/>
        <w:spacing w:before="10"/>
        <w:rPr>
          <w:sz w:val="9"/>
        </w:rPr>
      </w:pPr>
    </w:p>
    <w:p>
      <w:pPr>
        <w:pStyle w:val="ListParagraph"/>
        <w:numPr>
          <w:ilvl w:val="0"/>
          <w:numId w:val="6"/>
        </w:numPr>
        <w:tabs>
          <w:tab w:pos="401" w:val="left" w:leader="none"/>
        </w:tabs>
        <w:spacing w:line="208" w:lineRule="auto" w:before="0" w:after="0"/>
        <w:ind w:left="400" w:right="117" w:hanging="240"/>
        <w:jc w:val="left"/>
        <w:rPr>
          <w:sz w:val="12"/>
        </w:rPr>
      </w:pPr>
      <w:r>
        <w:rPr>
          <w:sz w:val="12"/>
        </w:rPr>
        <w:t>Measured as the ratio of net debt to either the market value of corporate debt and equity or to the replacement cost of corporate fixed assets plus</w:t>
      </w:r>
      <w:r>
        <w:rPr>
          <w:spacing w:val="-5"/>
          <w:sz w:val="12"/>
        </w:rPr>
        <w:t> </w:t>
      </w:r>
      <w:r>
        <w:rPr>
          <w:sz w:val="12"/>
        </w:rPr>
        <w:t>inventories.</w:t>
      </w:r>
    </w:p>
    <w:p>
      <w:pPr>
        <w:pStyle w:val="ListParagraph"/>
        <w:numPr>
          <w:ilvl w:val="0"/>
          <w:numId w:val="6"/>
        </w:numPr>
        <w:tabs>
          <w:tab w:pos="401" w:val="left" w:leader="none"/>
        </w:tabs>
        <w:spacing w:line="114" w:lineRule="exact" w:before="0" w:after="0"/>
        <w:ind w:left="400" w:right="0" w:hanging="241"/>
        <w:jc w:val="left"/>
        <w:rPr>
          <w:sz w:val="12"/>
        </w:rPr>
      </w:pPr>
      <w:r>
        <w:rPr>
          <w:sz w:val="12"/>
        </w:rPr>
        <w:t>Based</w:t>
      </w:r>
      <w:r>
        <w:rPr>
          <w:spacing w:val="-6"/>
          <w:sz w:val="12"/>
        </w:rPr>
        <w:t> </w:t>
      </w:r>
      <w:r>
        <w:rPr>
          <w:sz w:val="12"/>
        </w:rPr>
        <w:t>on</w:t>
      </w:r>
      <w:r>
        <w:rPr>
          <w:spacing w:val="-5"/>
          <w:sz w:val="12"/>
        </w:rPr>
        <w:t> </w:t>
      </w:r>
      <w:r>
        <w:rPr>
          <w:sz w:val="12"/>
        </w:rPr>
        <w:t>quoted</w:t>
      </w:r>
      <w:r>
        <w:rPr>
          <w:spacing w:val="-5"/>
          <w:sz w:val="12"/>
        </w:rPr>
        <w:t> </w:t>
      </w:r>
      <w:r>
        <w:rPr>
          <w:sz w:val="12"/>
        </w:rPr>
        <w:t>company</w:t>
      </w:r>
      <w:r>
        <w:rPr>
          <w:spacing w:val="-5"/>
          <w:sz w:val="12"/>
        </w:rPr>
        <w:t> </w:t>
      </w:r>
      <w:r>
        <w:rPr>
          <w:sz w:val="12"/>
        </w:rPr>
        <w:t>information</w:t>
      </w:r>
      <w:r>
        <w:rPr>
          <w:spacing w:val="-5"/>
          <w:sz w:val="12"/>
        </w:rPr>
        <w:t> </w:t>
      </w:r>
      <w:r>
        <w:rPr>
          <w:sz w:val="12"/>
        </w:rPr>
        <w:t>from</w:t>
      </w:r>
      <w:r>
        <w:rPr>
          <w:spacing w:val="-5"/>
          <w:sz w:val="12"/>
        </w:rPr>
        <w:t> </w:t>
      </w:r>
      <w:r>
        <w:rPr>
          <w:sz w:val="12"/>
        </w:rPr>
        <w:t>Primark</w:t>
      </w:r>
      <w:r>
        <w:rPr>
          <w:spacing w:val="-5"/>
          <w:sz w:val="12"/>
        </w:rPr>
        <w:t> </w:t>
      </w:r>
      <w:r>
        <w:rPr>
          <w:sz w:val="12"/>
        </w:rPr>
        <w:t>Datastream.</w:t>
      </w:r>
    </w:p>
    <w:p>
      <w:pPr>
        <w:pStyle w:val="ListParagraph"/>
        <w:numPr>
          <w:ilvl w:val="0"/>
          <w:numId w:val="6"/>
        </w:numPr>
        <w:tabs>
          <w:tab w:pos="401" w:val="left" w:leader="none"/>
        </w:tabs>
        <w:spacing w:line="129" w:lineRule="exact" w:before="0" w:after="0"/>
        <w:ind w:left="400" w:right="0" w:hanging="241"/>
        <w:jc w:val="left"/>
        <w:rPr>
          <w:sz w:val="12"/>
        </w:rPr>
      </w:pPr>
      <w:r>
        <w:rPr>
          <w:sz w:val="12"/>
        </w:rPr>
        <w:t>Based on ONS data for</w:t>
      </w:r>
      <w:r>
        <w:rPr>
          <w:spacing w:val="-7"/>
          <w:sz w:val="12"/>
        </w:rPr>
        <w:t> </w:t>
      </w:r>
      <w:r>
        <w:rPr>
          <w:sz w:val="12"/>
        </w:rPr>
        <w:t>PNFCs.</w:t>
      </w:r>
    </w:p>
    <w:p>
      <w:pPr>
        <w:spacing w:line="242" w:lineRule="auto" w:before="208"/>
        <w:ind w:left="185" w:right="201" w:firstLine="0"/>
        <w:jc w:val="left"/>
        <w:rPr>
          <w:sz w:val="16"/>
        </w:rPr>
      </w:pPr>
      <w:r>
        <w:rPr/>
        <w:br w:type="column"/>
      </w:r>
      <w:r>
        <w:rPr>
          <w:sz w:val="24"/>
        </w:rPr>
        <w:t>Moreover, the aggregate data for PNFCs may conceal a wide dispersion in the degree of indebtedness of individual firms. Chart 1.8 shows that on the replacement cost measure, the upper decile of quoted companies is much higher than it was in the late 1980s. But that is not the case using the market value based measure of gearing.</w:t>
      </w:r>
      <w:r>
        <w:rPr>
          <w:position w:val="5"/>
          <w:sz w:val="16"/>
        </w:rPr>
        <w:t>(1)</w:t>
      </w:r>
    </w:p>
    <w:p>
      <w:pPr>
        <w:pStyle w:val="BodyText"/>
        <w:spacing w:before="7"/>
        <w:rPr>
          <w:sz w:val="28"/>
        </w:rPr>
      </w:pPr>
    </w:p>
    <w:p>
      <w:pPr>
        <w:pStyle w:val="Heading2"/>
        <w:rPr>
          <w:i/>
        </w:rPr>
      </w:pPr>
      <w:r>
        <w:rPr>
          <w:i/>
          <w:color w:val="009391"/>
        </w:rPr>
        <w:t>Other financial corporations</w:t>
      </w:r>
    </w:p>
    <w:p>
      <w:pPr>
        <w:spacing w:line="242" w:lineRule="auto" w:before="164"/>
        <w:ind w:left="185" w:right="201" w:firstLine="0"/>
        <w:jc w:val="left"/>
        <w:rPr>
          <w:sz w:val="24"/>
        </w:rPr>
      </w:pPr>
      <w:r>
        <w:rPr>
          <w:sz w:val="24"/>
        </w:rPr>
        <w:t>OFCs have continued to increase their sterling deposits at UK banks and building societies, reversing the</w:t>
      </w:r>
    </w:p>
    <w:p>
      <w:pPr>
        <w:spacing w:line="242" w:lineRule="auto" w:before="3"/>
        <w:ind w:left="185" w:right="201" w:firstLine="0"/>
        <w:jc w:val="left"/>
        <w:rPr>
          <w:sz w:val="24"/>
        </w:rPr>
      </w:pPr>
      <w:r>
        <w:rPr>
          <w:sz w:val="24"/>
        </w:rPr>
        <w:t>run-down that occurred during 1999: OFCs’ M4 rose by 9.0% in the year to 2000 Q2. Much of the increase has been accounted for by securities dealers, whose deposits tend to be a by-product of their financial intermediation business and have no obvious implications for nominal spending. Growth in M4 borrowing by OFCs remained high, at 13.7%, in 2000 Q2.</w:t>
      </w:r>
    </w:p>
    <w:p>
      <w:pPr>
        <w:pStyle w:val="BodyText"/>
        <w:spacing w:before="9"/>
        <w:rPr>
          <w:sz w:val="21"/>
        </w:rPr>
      </w:pPr>
    </w:p>
    <w:p>
      <w:pPr>
        <w:pStyle w:val="Heading1"/>
        <w:numPr>
          <w:ilvl w:val="1"/>
          <w:numId w:val="3"/>
        </w:numPr>
        <w:tabs>
          <w:tab w:pos="1925" w:val="left" w:leader="none"/>
          <w:tab w:pos="1926" w:val="left" w:leader="none"/>
          <w:tab w:pos="5685" w:val="left" w:leader="none"/>
        </w:tabs>
        <w:spacing w:line="240" w:lineRule="auto" w:before="1" w:after="0"/>
        <w:ind w:left="1925" w:right="0" w:hanging="1741"/>
        <w:jc w:val="left"/>
      </w:pPr>
      <w:r>
        <w:rPr>
          <w:color w:val="009391"/>
          <w:u w:val="thick" w:color="0092C7"/>
        </w:rPr>
        <w:t>Interest rates and asset</w:t>
      </w:r>
      <w:r>
        <w:rPr>
          <w:color w:val="009391"/>
          <w:spacing w:val="-30"/>
          <w:u w:val="thick" w:color="0092C7"/>
        </w:rPr>
        <w:t> </w:t>
      </w:r>
      <w:r>
        <w:rPr>
          <w:color w:val="009391"/>
          <w:u w:val="thick" w:color="0092C7"/>
        </w:rPr>
        <w:t>prices</w:t>
        <w:tab/>
      </w:r>
    </w:p>
    <w:p>
      <w:pPr>
        <w:pStyle w:val="BodyText"/>
        <w:spacing w:before="4"/>
        <w:rPr>
          <w:b/>
          <w:sz w:val="27"/>
        </w:rPr>
      </w:pPr>
    </w:p>
    <w:p>
      <w:pPr>
        <w:pStyle w:val="Heading2"/>
        <w:spacing w:before="1"/>
        <w:rPr>
          <w:i/>
        </w:rPr>
      </w:pPr>
      <w:r>
        <w:rPr>
          <w:i/>
          <w:color w:val="009391"/>
        </w:rPr>
        <w:t>Short-term interest rates</w:t>
      </w:r>
    </w:p>
    <w:p>
      <w:pPr>
        <w:spacing w:line="242" w:lineRule="auto" w:before="164"/>
        <w:ind w:left="185" w:right="201" w:hanging="1"/>
        <w:jc w:val="left"/>
        <w:rPr>
          <w:sz w:val="24"/>
        </w:rPr>
      </w:pPr>
      <w:r>
        <w:rPr>
          <w:sz w:val="24"/>
        </w:rPr>
        <w:t>The Bank of England’s repo rate remains at 6%, unchanged from its level at the time of the May </w:t>
      </w:r>
      <w:r>
        <w:rPr>
          <w:i/>
          <w:sz w:val="24"/>
        </w:rPr>
        <w:t>Report</w:t>
      </w:r>
      <w:r>
        <w:rPr>
          <w:sz w:val="24"/>
        </w:rPr>
        <w:t>. The official rate has not been changed since</w:t>
      </w:r>
    </w:p>
    <w:p>
      <w:pPr>
        <w:spacing w:line="242" w:lineRule="auto" w:before="3"/>
        <w:ind w:left="185" w:right="0" w:firstLine="0"/>
        <w:jc w:val="left"/>
        <w:rPr>
          <w:sz w:val="24"/>
        </w:rPr>
      </w:pPr>
      <w:r>
        <w:rPr>
          <w:sz w:val="24"/>
        </w:rPr>
        <w:t>February 2000. By contrast, official rates overseas have been raised since the May </w:t>
      </w:r>
      <w:r>
        <w:rPr>
          <w:i/>
          <w:sz w:val="24"/>
        </w:rPr>
        <w:t>Report</w:t>
      </w:r>
      <w:r>
        <w:rPr>
          <w:sz w:val="24"/>
        </w:rPr>
        <w:t>. The European Central Bank and the US Federal Open Market Committee have each increased their official rate by 50 basis points, to 4.25% and 6.5% respectively. The official rate is now higher in the United States than in the United Kingdom, which has not been the case for any length of time since 1984.</w:t>
      </w:r>
    </w:p>
    <w:p>
      <w:pPr>
        <w:pStyle w:val="BodyText"/>
        <w:rPr>
          <w:sz w:val="20"/>
        </w:rPr>
      </w:pPr>
    </w:p>
    <w:p>
      <w:pPr>
        <w:pStyle w:val="BodyText"/>
        <w:spacing w:before="5"/>
        <w:rPr>
          <w:sz w:val="10"/>
        </w:rPr>
      </w:pPr>
      <w:r>
        <w:rPr/>
        <w:pict>
          <v:shape style="position:absolute;margin-left:278.359985pt;margin-top:8.096730pt;width:277.650pt;height:.1pt;mso-position-horizontal-relative:page;mso-position-vertical-relative:paragraph;z-index:-15643648;mso-wrap-distance-left:0;mso-wrap-distance-right:0" coordorigin="5567,162" coordsize="5553,0" path="m5567,162l11120,162e" filled="false" stroked="true" strokeweight=".125pt" strokecolor="#000000">
            <v:path arrowok="t"/>
            <v:stroke dashstyle="solid"/>
            <w10:wrap type="topAndBottom"/>
          </v:shape>
        </w:pict>
      </w:r>
    </w:p>
    <w:p>
      <w:pPr>
        <w:spacing w:line="208" w:lineRule="auto" w:before="16"/>
        <w:ind w:left="400" w:right="665" w:hanging="240"/>
        <w:jc w:val="left"/>
        <w:rPr>
          <w:sz w:val="16"/>
        </w:rPr>
      </w:pPr>
      <w:r>
        <w:rPr>
          <w:sz w:val="16"/>
        </w:rPr>
        <w:t>(1) For a more detailed discussion of the financial situation of the corporate sector see ‘</w:t>
      </w:r>
      <w:r>
        <w:rPr>
          <w:color w:val="FF0000"/>
          <w:sz w:val="16"/>
        </w:rPr>
        <w:t>Stylised facts on UK corporate financial health: evidence from micro-data’, Benito, A and Vlieghe, G, in the </w:t>
      </w:r>
      <w:r>
        <w:rPr>
          <w:i/>
          <w:color w:val="FF0000"/>
          <w:sz w:val="16"/>
        </w:rPr>
        <w:t>Financial Stability Review</w:t>
      </w:r>
      <w:r>
        <w:rPr>
          <w:color w:val="FF0000"/>
          <w:sz w:val="16"/>
        </w:rPr>
        <w:t>, June 2000</w:t>
      </w:r>
      <w:r>
        <w:rPr>
          <w:sz w:val="16"/>
        </w:rPr>
        <w:t>.</w:t>
      </w:r>
    </w:p>
    <w:p>
      <w:pPr>
        <w:spacing w:after="0" w:line="208" w:lineRule="auto"/>
        <w:jc w:val="left"/>
        <w:rPr>
          <w:sz w:val="16"/>
        </w:rPr>
        <w:sectPr>
          <w:type w:val="continuous"/>
          <w:pgSz w:w="11900" w:h="16840"/>
          <w:pgMar w:top="1260" w:bottom="280" w:left="640" w:right="640"/>
          <w:cols w:num="2" w:equalWidth="0">
            <w:col w:w="3625" w:space="1170"/>
            <w:col w:w="5825"/>
          </w:cols>
        </w:sectPr>
      </w:pPr>
    </w:p>
    <w:p>
      <w:pPr>
        <w:pStyle w:val="BodyText"/>
        <w:rPr>
          <w:sz w:val="20"/>
        </w:rPr>
      </w:pPr>
    </w:p>
    <w:p>
      <w:pPr>
        <w:spacing w:after="0"/>
        <w:rPr>
          <w:sz w:val="20"/>
        </w:rPr>
        <w:sectPr>
          <w:pgSz w:w="11900" w:h="16840"/>
          <w:pgMar w:header="586" w:footer="612" w:top="800" w:bottom="800" w:left="640" w:right="640"/>
        </w:sectPr>
      </w:pPr>
    </w:p>
    <w:p>
      <w:pPr>
        <w:pStyle w:val="BodyText"/>
        <w:spacing w:before="5"/>
        <w:rPr>
          <w:sz w:val="26"/>
        </w:rPr>
      </w:pPr>
    </w:p>
    <w:p>
      <w:pPr>
        <w:pStyle w:val="Heading6"/>
        <w:spacing w:before="0"/>
        <w:ind w:left="205"/>
      </w:pPr>
      <w:bookmarkStart w:name="Long-term interest rates" w:id="15"/>
      <w:bookmarkEnd w:id="15"/>
      <w:r>
        <w:rPr>
          <w:b w:val="0"/>
        </w:rPr>
      </w:r>
      <w:bookmarkStart w:name="Household borrowing rates" w:id="16"/>
      <w:bookmarkEnd w:id="16"/>
      <w:r>
        <w:rPr>
          <w:b w:val="0"/>
        </w:rPr>
      </w:r>
      <w:bookmarkStart w:name="_bookmark5" w:id="17"/>
      <w:bookmarkEnd w:id="17"/>
      <w:r>
        <w:rPr>
          <w:b w:val="0"/>
        </w:rPr>
      </w:r>
      <w:r>
        <w:rPr>
          <w:color w:val="0092C7"/>
        </w:rPr>
        <w:t>Chart 1.9</w:t>
      </w:r>
    </w:p>
    <w:p>
      <w:pPr>
        <w:pStyle w:val="Heading6"/>
        <w:ind w:left="205"/>
      </w:pPr>
      <w:r>
        <w:rPr>
          <w:color w:val="0092C7"/>
        </w:rPr>
        <w:t>Two-week forward rates</w:t>
      </w:r>
    </w:p>
    <w:p>
      <w:pPr>
        <w:pStyle w:val="BodyText"/>
        <w:spacing w:before="7" w:after="40"/>
        <w:rPr>
          <w:b/>
          <w:sz w:val="17"/>
        </w:rPr>
      </w:pPr>
    </w:p>
    <w:p>
      <w:pPr>
        <w:pStyle w:val="BodyText"/>
        <w:spacing w:line="20" w:lineRule="exact"/>
        <w:ind w:left="193"/>
        <w:rPr>
          <w:sz w:val="2"/>
        </w:rPr>
      </w:pPr>
      <w:r>
        <w:rPr>
          <w:sz w:val="2"/>
        </w:rPr>
        <w:drawing>
          <wp:inline distT="0" distB="0" distL="0" distR="0">
            <wp:extent cx="55304" cy="6381"/>
            <wp:effectExtent l="0" t="0" r="0" b="0"/>
            <wp:docPr id="1" name="image12.png"/>
            <wp:cNvGraphicFramePr>
              <a:graphicFrameLocks noChangeAspect="1"/>
            </wp:cNvGraphicFramePr>
            <a:graphic>
              <a:graphicData uri="http://schemas.openxmlformats.org/drawingml/2006/picture">
                <pic:pic>
                  <pic:nvPicPr>
                    <pic:cNvPr id="2" name="image12.png"/>
                    <pic:cNvPicPr/>
                  </pic:nvPicPr>
                  <pic:blipFill>
                    <a:blip r:embed="rId35" cstate="print"/>
                    <a:stretch>
                      <a:fillRect/>
                    </a:stretch>
                  </pic:blipFill>
                  <pic:spPr>
                    <a:xfrm>
                      <a:off x="0" y="0"/>
                      <a:ext cx="55304" cy="6381"/>
                    </a:xfrm>
                    <a:prstGeom prst="rect">
                      <a:avLst/>
                    </a:prstGeom>
                  </pic:spPr>
                </pic:pic>
              </a:graphicData>
            </a:graphic>
          </wp:inline>
        </w:drawing>
      </w:r>
      <w:r>
        <w:rPr>
          <w:sz w:val="2"/>
        </w:rPr>
      </w:r>
    </w:p>
    <w:p>
      <w:pPr>
        <w:pStyle w:val="BodyText"/>
        <w:spacing w:before="1"/>
        <w:rPr>
          <w:b/>
          <w:sz w:val="26"/>
        </w:rPr>
      </w:pPr>
      <w:r>
        <w:rPr/>
        <w:drawing>
          <wp:anchor distT="0" distB="0" distL="0" distR="0" allowOverlap="1" layoutInCell="1" locked="0" behindDoc="0" simplePos="0" relativeHeight="184">
            <wp:simplePos x="0" y="0"/>
            <wp:positionH relativeFrom="page">
              <wp:posOffset>529310</wp:posOffset>
            </wp:positionH>
            <wp:positionV relativeFrom="paragraph">
              <wp:posOffset>215696</wp:posOffset>
            </wp:positionV>
            <wp:extent cx="55304" cy="6381"/>
            <wp:effectExtent l="0" t="0" r="0" b="0"/>
            <wp:wrapTopAndBottom/>
            <wp:docPr id="3" name="image12.png"/>
            <wp:cNvGraphicFramePr>
              <a:graphicFrameLocks noChangeAspect="1"/>
            </wp:cNvGraphicFramePr>
            <a:graphic>
              <a:graphicData uri="http://schemas.openxmlformats.org/drawingml/2006/picture">
                <pic:pic>
                  <pic:nvPicPr>
                    <pic:cNvPr id="4" name="image12.png"/>
                    <pic:cNvPicPr/>
                  </pic:nvPicPr>
                  <pic:blipFill>
                    <a:blip r:embed="rId35"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85">
            <wp:simplePos x="0" y="0"/>
            <wp:positionH relativeFrom="page">
              <wp:posOffset>529310</wp:posOffset>
            </wp:positionH>
            <wp:positionV relativeFrom="paragraph">
              <wp:posOffset>444106</wp:posOffset>
            </wp:positionV>
            <wp:extent cx="55304" cy="6381"/>
            <wp:effectExtent l="0" t="0" r="0" b="0"/>
            <wp:wrapTopAndBottom/>
            <wp:docPr id="5" name="image12.png"/>
            <wp:cNvGraphicFramePr>
              <a:graphicFrameLocks noChangeAspect="1"/>
            </wp:cNvGraphicFramePr>
            <a:graphic>
              <a:graphicData uri="http://schemas.openxmlformats.org/drawingml/2006/picture">
                <pic:pic>
                  <pic:nvPicPr>
                    <pic:cNvPr id="6" name="image12.png"/>
                    <pic:cNvPicPr/>
                  </pic:nvPicPr>
                  <pic:blipFill>
                    <a:blip r:embed="rId35"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86">
            <wp:simplePos x="0" y="0"/>
            <wp:positionH relativeFrom="page">
              <wp:posOffset>529310</wp:posOffset>
            </wp:positionH>
            <wp:positionV relativeFrom="paragraph">
              <wp:posOffset>672503</wp:posOffset>
            </wp:positionV>
            <wp:extent cx="55304" cy="6381"/>
            <wp:effectExtent l="0" t="0" r="0" b="0"/>
            <wp:wrapTopAndBottom/>
            <wp:docPr id="7" name="image12.png"/>
            <wp:cNvGraphicFramePr>
              <a:graphicFrameLocks noChangeAspect="1"/>
            </wp:cNvGraphicFramePr>
            <a:graphic>
              <a:graphicData uri="http://schemas.openxmlformats.org/drawingml/2006/picture">
                <pic:pic>
                  <pic:nvPicPr>
                    <pic:cNvPr id="8" name="image12.png"/>
                    <pic:cNvPicPr/>
                  </pic:nvPicPr>
                  <pic:blipFill>
                    <a:blip r:embed="rId35"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87">
            <wp:simplePos x="0" y="0"/>
            <wp:positionH relativeFrom="page">
              <wp:posOffset>529310</wp:posOffset>
            </wp:positionH>
            <wp:positionV relativeFrom="paragraph">
              <wp:posOffset>900912</wp:posOffset>
            </wp:positionV>
            <wp:extent cx="54478" cy="6286"/>
            <wp:effectExtent l="0" t="0" r="0" b="0"/>
            <wp:wrapTopAndBottom/>
            <wp:docPr id="9" name="image13.png"/>
            <wp:cNvGraphicFramePr>
              <a:graphicFrameLocks noChangeAspect="1"/>
            </wp:cNvGraphicFramePr>
            <a:graphic>
              <a:graphicData uri="http://schemas.openxmlformats.org/drawingml/2006/picture">
                <pic:pic>
                  <pic:nvPicPr>
                    <pic:cNvPr id="10" name="image13.png"/>
                    <pic:cNvPicPr/>
                  </pic:nvPicPr>
                  <pic:blipFill>
                    <a:blip r:embed="rId36"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88">
            <wp:simplePos x="0" y="0"/>
            <wp:positionH relativeFrom="page">
              <wp:posOffset>529310</wp:posOffset>
            </wp:positionH>
            <wp:positionV relativeFrom="paragraph">
              <wp:posOffset>1129309</wp:posOffset>
            </wp:positionV>
            <wp:extent cx="54478" cy="6286"/>
            <wp:effectExtent l="0" t="0" r="0" b="0"/>
            <wp:wrapTopAndBottom/>
            <wp:docPr id="11" name="image13.png"/>
            <wp:cNvGraphicFramePr>
              <a:graphicFrameLocks noChangeAspect="1"/>
            </wp:cNvGraphicFramePr>
            <a:graphic>
              <a:graphicData uri="http://schemas.openxmlformats.org/drawingml/2006/picture">
                <pic:pic>
                  <pic:nvPicPr>
                    <pic:cNvPr id="12" name="image13.png"/>
                    <pic:cNvPicPr/>
                  </pic:nvPicPr>
                  <pic:blipFill>
                    <a:blip r:embed="rId36"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89">
            <wp:simplePos x="0" y="0"/>
            <wp:positionH relativeFrom="page">
              <wp:posOffset>529310</wp:posOffset>
            </wp:positionH>
            <wp:positionV relativeFrom="paragraph">
              <wp:posOffset>1357706</wp:posOffset>
            </wp:positionV>
            <wp:extent cx="54478" cy="6286"/>
            <wp:effectExtent l="0" t="0" r="0" b="0"/>
            <wp:wrapTopAndBottom/>
            <wp:docPr id="13" name="image13.png"/>
            <wp:cNvGraphicFramePr>
              <a:graphicFrameLocks noChangeAspect="1"/>
            </wp:cNvGraphicFramePr>
            <a:graphic>
              <a:graphicData uri="http://schemas.openxmlformats.org/drawingml/2006/picture">
                <pic:pic>
                  <pic:nvPicPr>
                    <pic:cNvPr id="14" name="image13.png"/>
                    <pic:cNvPicPr/>
                  </pic:nvPicPr>
                  <pic:blipFill>
                    <a:blip r:embed="rId36"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90">
            <wp:simplePos x="0" y="0"/>
            <wp:positionH relativeFrom="page">
              <wp:posOffset>529310</wp:posOffset>
            </wp:positionH>
            <wp:positionV relativeFrom="paragraph">
              <wp:posOffset>1586115</wp:posOffset>
            </wp:positionV>
            <wp:extent cx="54478" cy="6286"/>
            <wp:effectExtent l="0" t="0" r="0" b="0"/>
            <wp:wrapTopAndBottom/>
            <wp:docPr id="15" name="image13.png"/>
            <wp:cNvGraphicFramePr>
              <a:graphicFrameLocks noChangeAspect="1"/>
            </wp:cNvGraphicFramePr>
            <a:graphic>
              <a:graphicData uri="http://schemas.openxmlformats.org/drawingml/2006/picture">
                <pic:pic>
                  <pic:nvPicPr>
                    <pic:cNvPr id="16" name="image13.png"/>
                    <pic:cNvPicPr/>
                  </pic:nvPicPr>
                  <pic:blipFill>
                    <a:blip r:embed="rId36" cstate="print"/>
                    <a:stretch>
                      <a:fillRect/>
                    </a:stretch>
                  </pic:blipFill>
                  <pic:spPr>
                    <a:xfrm>
                      <a:off x="0" y="0"/>
                      <a:ext cx="54478" cy="6286"/>
                    </a:xfrm>
                    <a:prstGeom prst="rect">
                      <a:avLst/>
                    </a:prstGeom>
                  </pic:spPr>
                </pic:pic>
              </a:graphicData>
            </a:graphic>
          </wp:anchor>
        </w:drawing>
      </w:r>
    </w:p>
    <w:p>
      <w:pPr>
        <w:pStyle w:val="BodyText"/>
        <w:spacing w:before="5"/>
        <w:rPr>
          <w:b/>
          <w:sz w:val="24"/>
        </w:rPr>
      </w:pPr>
    </w:p>
    <w:p>
      <w:pPr>
        <w:pStyle w:val="BodyText"/>
        <w:spacing w:before="5"/>
        <w:rPr>
          <w:b/>
          <w:sz w:val="24"/>
        </w:rPr>
      </w:pPr>
    </w:p>
    <w:p>
      <w:pPr>
        <w:pStyle w:val="BodyText"/>
        <w:spacing w:before="5"/>
        <w:rPr>
          <w:b/>
          <w:sz w:val="24"/>
        </w:rPr>
      </w:pPr>
    </w:p>
    <w:p>
      <w:pPr>
        <w:pStyle w:val="BodyText"/>
        <w:spacing w:before="5"/>
        <w:rPr>
          <w:b/>
          <w:sz w:val="24"/>
        </w:rPr>
      </w:pPr>
    </w:p>
    <w:p>
      <w:pPr>
        <w:pStyle w:val="BodyText"/>
        <w:spacing w:before="5"/>
        <w:rPr>
          <w:b/>
          <w:sz w:val="24"/>
        </w:rPr>
      </w:pPr>
    </w:p>
    <w:p>
      <w:pPr>
        <w:pStyle w:val="BodyText"/>
        <w:spacing w:before="5"/>
        <w:rPr>
          <w:b/>
          <w:sz w:val="24"/>
        </w:rPr>
      </w:pPr>
    </w:p>
    <w:p>
      <w:pPr>
        <w:pStyle w:val="BodyText"/>
        <w:rPr>
          <w:b/>
          <w:sz w:val="20"/>
        </w:rPr>
      </w:pPr>
      <w:r>
        <w:rPr/>
        <w:br w:type="column"/>
      </w:r>
      <w:r>
        <w:rPr>
          <w:b/>
          <w:sz w:val="20"/>
        </w:rPr>
      </w:r>
    </w:p>
    <w:p>
      <w:pPr>
        <w:pStyle w:val="BodyText"/>
        <w:rPr>
          <w:b/>
          <w:sz w:val="20"/>
        </w:rPr>
      </w:pPr>
    </w:p>
    <w:p>
      <w:pPr>
        <w:pStyle w:val="BodyText"/>
        <w:rPr>
          <w:b/>
          <w:sz w:val="20"/>
        </w:rPr>
      </w:pPr>
    </w:p>
    <w:p>
      <w:pPr>
        <w:spacing w:before="175"/>
        <w:ind w:left="193" w:right="0" w:firstLine="0"/>
        <w:jc w:val="left"/>
        <w:rPr>
          <w:sz w:val="12"/>
        </w:rPr>
      </w:pPr>
      <w:r>
        <w:rPr>
          <w:sz w:val="12"/>
        </w:rPr>
        <w:t>Per ce</w:t>
      </w:r>
      <w:r>
        <w:rPr>
          <w:sz w:val="12"/>
          <w:u w:val="single"/>
        </w:rPr>
        <w:t>n</w:t>
      </w:r>
      <w:r>
        <w:rPr>
          <w:sz w:val="12"/>
        </w:rPr>
        <w:t>t</w:t>
      </w:r>
      <w:r>
        <w:rPr>
          <w:spacing w:val="3"/>
          <w:sz w:val="12"/>
        </w:rPr>
        <w:t> </w:t>
      </w:r>
      <w:r>
        <w:rPr>
          <w:position w:val="-6"/>
          <w:sz w:val="12"/>
        </w:rPr>
        <w:t>7.8</w:t>
      </w:r>
    </w:p>
    <w:p>
      <w:pPr>
        <w:pStyle w:val="BodyText"/>
        <w:spacing w:before="2"/>
        <w:rPr>
          <w:sz w:val="19"/>
        </w:rPr>
      </w:pPr>
    </w:p>
    <w:p>
      <w:pPr>
        <w:spacing w:before="0"/>
        <w:ind w:left="0" w:right="38" w:firstLine="0"/>
        <w:jc w:val="right"/>
        <w:rPr>
          <w:sz w:val="12"/>
        </w:rPr>
      </w:pPr>
      <w:r>
        <w:rPr/>
        <w:pict>
          <v:group style="position:absolute;margin-left:50.529999pt;margin-top:.376348pt;width:153.15pt;height:126pt;mso-position-horizontal-relative:page;mso-position-vertical-relative:paragraph;z-index:15827456" coordorigin="1011,8" coordsize="3063,2520">
            <v:shape style="position:absolute;left:1010;top:7;width:3063;height:2520" type="#_x0000_t75" stroked="false">
              <v:imagedata r:id="rId37" o:title=""/>
            </v:shape>
            <v:shape style="position:absolute;left:1520;top:217;width:1183;height:134" type="#_x0000_t202" filled="false" stroked="false">
              <v:textbox inset="0,0,0,0">
                <w:txbxContent>
                  <w:p>
                    <w:pPr>
                      <w:spacing w:line="133" w:lineRule="exact" w:before="0"/>
                      <w:ind w:left="0" w:right="0" w:firstLine="0"/>
                      <w:jc w:val="left"/>
                      <w:rPr>
                        <w:sz w:val="12"/>
                      </w:rPr>
                    </w:pPr>
                    <w:r>
                      <w:rPr>
                        <w:sz w:val="12"/>
                      </w:rPr>
                      <w:t>Two-week GC repo rate</w:t>
                    </w:r>
                  </w:p>
                </w:txbxContent>
              </v:textbox>
              <w10:wrap type="none"/>
            </v:shape>
            <v:shape style="position:absolute;left:2635;top:1015;width:457;height:495" type="#_x0000_t202" filled="false" stroked="false">
              <v:textbox inset="0,0,0,0">
                <w:txbxContent>
                  <w:p>
                    <w:pPr>
                      <w:spacing w:line="133" w:lineRule="exact" w:before="0"/>
                      <w:ind w:left="7" w:right="0" w:firstLine="0"/>
                      <w:jc w:val="left"/>
                      <w:rPr>
                        <w:sz w:val="12"/>
                      </w:rPr>
                    </w:pPr>
                    <w:r>
                      <w:rPr>
                        <w:sz w:val="12"/>
                      </w:rPr>
                      <w:t>3 May</w:t>
                    </w:r>
                  </w:p>
                  <w:p>
                    <w:pPr>
                      <w:spacing w:line="240" w:lineRule="auto" w:before="0"/>
                      <w:rPr>
                        <w:sz w:val="12"/>
                      </w:rPr>
                    </w:pPr>
                  </w:p>
                  <w:p>
                    <w:pPr>
                      <w:spacing w:before="85"/>
                      <w:ind w:left="0" w:right="0" w:firstLine="0"/>
                      <w:jc w:val="left"/>
                      <w:rPr>
                        <w:sz w:val="12"/>
                      </w:rPr>
                    </w:pPr>
                    <w:r>
                      <w:rPr>
                        <w:sz w:val="12"/>
                      </w:rPr>
                      <w:t>2 August</w:t>
                    </w:r>
                  </w:p>
                </w:txbxContent>
              </v:textbox>
              <w10:wrap type="none"/>
            </v:shape>
            <w10:wrap type="none"/>
          </v:group>
        </w:pict>
      </w:r>
      <w:r>
        <w:rPr>
          <w:sz w:val="12"/>
        </w:rPr>
        <w:t>7.4</w:t>
      </w:r>
    </w:p>
    <w:p>
      <w:pPr>
        <w:pStyle w:val="BodyText"/>
        <w:rPr>
          <w:sz w:val="12"/>
        </w:rPr>
      </w:pPr>
    </w:p>
    <w:p>
      <w:pPr>
        <w:spacing w:before="84"/>
        <w:ind w:left="0" w:right="38" w:firstLine="0"/>
        <w:jc w:val="right"/>
        <w:rPr>
          <w:sz w:val="12"/>
        </w:rPr>
      </w:pPr>
      <w:r>
        <w:rPr>
          <w:sz w:val="12"/>
        </w:rPr>
        <w:t>7.0</w:t>
      </w:r>
    </w:p>
    <w:p>
      <w:pPr>
        <w:pStyle w:val="BodyText"/>
        <w:rPr>
          <w:sz w:val="12"/>
        </w:rPr>
      </w:pPr>
    </w:p>
    <w:p>
      <w:pPr>
        <w:spacing w:before="83"/>
        <w:ind w:left="0" w:right="38" w:firstLine="0"/>
        <w:jc w:val="right"/>
        <w:rPr>
          <w:sz w:val="12"/>
        </w:rPr>
      </w:pPr>
      <w:r>
        <w:rPr>
          <w:sz w:val="12"/>
        </w:rPr>
        <w:t>6.6</w:t>
      </w:r>
    </w:p>
    <w:p>
      <w:pPr>
        <w:pStyle w:val="BodyText"/>
        <w:rPr>
          <w:sz w:val="12"/>
        </w:rPr>
      </w:pPr>
    </w:p>
    <w:p>
      <w:pPr>
        <w:spacing w:before="84"/>
        <w:ind w:left="0" w:right="38" w:firstLine="0"/>
        <w:jc w:val="right"/>
        <w:rPr>
          <w:sz w:val="12"/>
        </w:rPr>
      </w:pPr>
      <w:r>
        <w:rPr>
          <w:sz w:val="12"/>
        </w:rPr>
        <w:t>6.2</w:t>
      </w:r>
    </w:p>
    <w:p>
      <w:pPr>
        <w:pStyle w:val="BodyText"/>
        <w:rPr>
          <w:sz w:val="12"/>
        </w:rPr>
      </w:pPr>
    </w:p>
    <w:p>
      <w:pPr>
        <w:spacing w:before="84"/>
        <w:ind w:left="0" w:right="38" w:firstLine="0"/>
        <w:jc w:val="right"/>
        <w:rPr>
          <w:sz w:val="12"/>
        </w:rPr>
      </w:pPr>
      <w:r>
        <w:rPr>
          <w:sz w:val="12"/>
        </w:rPr>
        <w:t>5.8</w:t>
      </w:r>
    </w:p>
    <w:p>
      <w:pPr>
        <w:pStyle w:val="BodyText"/>
        <w:rPr>
          <w:sz w:val="12"/>
        </w:rPr>
      </w:pPr>
    </w:p>
    <w:p>
      <w:pPr>
        <w:spacing w:before="83"/>
        <w:ind w:left="0" w:right="38" w:firstLine="0"/>
        <w:jc w:val="right"/>
        <w:rPr>
          <w:sz w:val="12"/>
        </w:rPr>
      </w:pPr>
      <w:r>
        <w:rPr>
          <w:sz w:val="12"/>
        </w:rPr>
        <w:t>5.4</w:t>
      </w:r>
    </w:p>
    <w:p>
      <w:pPr>
        <w:pStyle w:val="BodyText"/>
        <w:rPr>
          <w:sz w:val="12"/>
        </w:rPr>
      </w:pPr>
    </w:p>
    <w:p>
      <w:pPr>
        <w:spacing w:before="84"/>
        <w:ind w:left="0" w:right="38" w:firstLine="0"/>
        <w:jc w:val="right"/>
        <w:rPr>
          <w:sz w:val="12"/>
        </w:rPr>
      </w:pPr>
      <w:r>
        <w:rPr>
          <w:sz w:val="12"/>
        </w:rPr>
        <w:t>5.0</w:t>
      </w:r>
    </w:p>
    <w:p>
      <w:pPr>
        <w:pStyle w:val="BodyText"/>
        <w:rPr>
          <w:sz w:val="12"/>
        </w:rPr>
      </w:pPr>
    </w:p>
    <w:p>
      <w:pPr>
        <w:spacing w:line="133" w:lineRule="exact" w:before="84"/>
        <w:ind w:left="617" w:right="0" w:firstLine="0"/>
        <w:jc w:val="left"/>
        <w:rPr>
          <w:sz w:val="12"/>
        </w:rPr>
      </w:pPr>
      <w:r>
        <w:rPr/>
        <w:drawing>
          <wp:anchor distT="0" distB="0" distL="0" distR="0" allowOverlap="1" layoutInCell="1" locked="0" behindDoc="0" simplePos="0" relativeHeight="15827968">
            <wp:simplePos x="0" y="0"/>
            <wp:positionH relativeFrom="page">
              <wp:posOffset>529247</wp:posOffset>
            </wp:positionH>
            <wp:positionV relativeFrom="paragraph">
              <wp:posOffset>105543</wp:posOffset>
            </wp:positionV>
            <wp:extent cx="2072474" cy="91744"/>
            <wp:effectExtent l="0" t="0" r="0" b="0"/>
            <wp:wrapNone/>
            <wp:docPr id="17" name="image15.png"/>
            <wp:cNvGraphicFramePr>
              <a:graphicFrameLocks noChangeAspect="1"/>
            </wp:cNvGraphicFramePr>
            <a:graphic>
              <a:graphicData uri="http://schemas.openxmlformats.org/drawingml/2006/picture">
                <pic:pic>
                  <pic:nvPicPr>
                    <pic:cNvPr id="18" name="image15.png"/>
                    <pic:cNvPicPr/>
                  </pic:nvPicPr>
                  <pic:blipFill>
                    <a:blip r:embed="rId38" cstate="print"/>
                    <a:stretch>
                      <a:fillRect/>
                    </a:stretch>
                  </pic:blipFill>
                  <pic:spPr>
                    <a:xfrm>
                      <a:off x="0" y="0"/>
                      <a:ext cx="2072474" cy="91744"/>
                    </a:xfrm>
                    <a:prstGeom prst="rect">
                      <a:avLst/>
                    </a:prstGeom>
                  </pic:spPr>
                </pic:pic>
              </a:graphicData>
            </a:graphic>
          </wp:anchor>
        </w:drawing>
      </w:r>
      <w:r>
        <w:rPr>
          <w:sz w:val="12"/>
        </w:rPr>
        <w:t>4.6</w:t>
      </w:r>
    </w:p>
    <w:p>
      <w:pPr>
        <w:spacing w:line="125" w:lineRule="exact" w:before="0"/>
        <w:ind w:left="617" w:right="0" w:firstLine="0"/>
        <w:jc w:val="left"/>
        <w:rPr>
          <w:sz w:val="12"/>
        </w:rPr>
      </w:pPr>
      <w:r>
        <w:rPr>
          <w:sz w:val="12"/>
        </w:rPr>
        <w:t>0.0</w:t>
      </w:r>
    </w:p>
    <w:p>
      <w:pPr>
        <w:spacing w:line="242" w:lineRule="auto" w:before="212"/>
        <w:ind w:left="193" w:right="300" w:firstLine="0"/>
        <w:jc w:val="left"/>
        <w:rPr>
          <w:sz w:val="24"/>
        </w:rPr>
      </w:pPr>
      <w:r>
        <w:rPr/>
        <w:br w:type="column"/>
      </w:r>
      <w:r>
        <w:rPr>
          <w:sz w:val="24"/>
        </w:rPr>
        <w:t>While the UK official rate has remained unchanged, market expectations about future official rates over the coming year have declined since the May </w:t>
      </w:r>
      <w:r>
        <w:rPr>
          <w:i/>
          <w:sz w:val="24"/>
        </w:rPr>
        <w:t>Report</w:t>
      </w:r>
      <w:r>
        <w:rPr>
          <w:sz w:val="24"/>
        </w:rPr>
        <w:t>. The Bank implements monetary policy directly by affecting short-term rates of interest. Chart 1.9 shows the</w:t>
      </w:r>
    </w:p>
    <w:p>
      <w:pPr>
        <w:spacing w:line="242" w:lineRule="auto" w:before="7"/>
        <w:ind w:left="193" w:right="237" w:firstLine="0"/>
        <w:jc w:val="left"/>
        <w:rPr>
          <w:sz w:val="24"/>
        </w:rPr>
      </w:pPr>
      <w:r>
        <w:rPr>
          <w:sz w:val="24"/>
        </w:rPr>
        <w:t>two-week interest rates expected to </w:t>
      </w:r>
      <w:r>
        <w:rPr>
          <w:spacing w:val="-3"/>
          <w:sz w:val="24"/>
        </w:rPr>
        <w:t>prevail over </w:t>
      </w:r>
      <w:r>
        <w:rPr>
          <w:sz w:val="24"/>
        </w:rPr>
        <w:t>the next two</w:t>
      </w:r>
      <w:r>
        <w:rPr>
          <w:spacing w:val="-6"/>
          <w:sz w:val="24"/>
        </w:rPr>
        <w:t> </w:t>
      </w:r>
      <w:r>
        <w:rPr>
          <w:sz w:val="24"/>
        </w:rPr>
        <w:t>years,</w:t>
      </w:r>
      <w:r>
        <w:rPr>
          <w:spacing w:val="-5"/>
          <w:sz w:val="24"/>
        </w:rPr>
        <w:t> </w:t>
      </w:r>
      <w:r>
        <w:rPr>
          <w:sz w:val="24"/>
        </w:rPr>
        <w:t>as</w:t>
      </w:r>
      <w:r>
        <w:rPr>
          <w:spacing w:val="-5"/>
          <w:sz w:val="24"/>
        </w:rPr>
        <w:t> </w:t>
      </w:r>
      <w:r>
        <w:rPr>
          <w:sz w:val="24"/>
        </w:rPr>
        <w:t>implied</w:t>
      </w:r>
      <w:r>
        <w:rPr>
          <w:spacing w:val="-6"/>
          <w:sz w:val="24"/>
        </w:rPr>
        <w:t> </w:t>
      </w:r>
      <w:r>
        <w:rPr>
          <w:sz w:val="24"/>
        </w:rPr>
        <w:t>by</w:t>
      </w:r>
      <w:r>
        <w:rPr>
          <w:spacing w:val="-6"/>
          <w:sz w:val="24"/>
        </w:rPr>
        <w:t> </w:t>
      </w:r>
      <w:r>
        <w:rPr>
          <w:sz w:val="24"/>
        </w:rPr>
        <w:t>the</w:t>
      </w:r>
      <w:r>
        <w:rPr>
          <w:spacing w:val="-5"/>
          <w:sz w:val="24"/>
        </w:rPr>
        <w:t> </w:t>
      </w:r>
      <w:r>
        <w:rPr>
          <w:sz w:val="24"/>
        </w:rPr>
        <w:t>prices</w:t>
      </w:r>
      <w:r>
        <w:rPr>
          <w:spacing w:val="-6"/>
          <w:sz w:val="24"/>
        </w:rPr>
        <w:t> </w:t>
      </w:r>
      <w:r>
        <w:rPr>
          <w:sz w:val="24"/>
        </w:rPr>
        <w:t>of</w:t>
      </w:r>
      <w:r>
        <w:rPr>
          <w:spacing w:val="-5"/>
          <w:sz w:val="24"/>
        </w:rPr>
        <w:t> </w:t>
      </w:r>
      <w:r>
        <w:rPr>
          <w:sz w:val="24"/>
        </w:rPr>
        <w:t>government</w:t>
      </w:r>
      <w:r>
        <w:rPr>
          <w:spacing w:val="-6"/>
          <w:sz w:val="24"/>
        </w:rPr>
        <w:t> </w:t>
      </w:r>
      <w:r>
        <w:rPr>
          <w:sz w:val="24"/>
        </w:rPr>
        <w:t>bonds and gilt repo rates on 3 May and 2 August. This suggests that the market expects two-week rates to peak around the spring of next </w:t>
      </w:r>
      <w:r>
        <w:rPr>
          <w:spacing w:val="-4"/>
          <w:sz w:val="24"/>
        </w:rPr>
        <w:t>year. </w:t>
      </w:r>
      <w:r>
        <w:rPr>
          <w:sz w:val="24"/>
        </w:rPr>
        <w:t>The historical relationship between these market rates and the </w:t>
      </w:r>
      <w:r>
        <w:rPr>
          <w:spacing w:val="-3"/>
          <w:sz w:val="24"/>
        </w:rPr>
        <w:t>official </w:t>
      </w:r>
      <w:r>
        <w:rPr>
          <w:sz w:val="24"/>
        </w:rPr>
        <w:t>repo</w:t>
      </w:r>
      <w:r>
        <w:rPr>
          <w:spacing w:val="-6"/>
          <w:sz w:val="24"/>
        </w:rPr>
        <w:t> </w:t>
      </w:r>
      <w:r>
        <w:rPr>
          <w:sz w:val="24"/>
        </w:rPr>
        <w:t>rate</w:t>
      </w:r>
      <w:r>
        <w:rPr>
          <w:spacing w:val="-5"/>
          <w:sz w:val="24"/>
        </w:rPr>
        <w:t> </w:t>
      </w:r>
      <w:r>
        <w:rPr>
          <w:sz w:val="24"/>
        </w:rPr>
        <w:t>implies</w:t>
      </w:r>
      <w:r>
        <w:rPr>
          <w:spacing w:val="-5"/>
          <w:sz w:val="24"/>
        </w:rPr>
        <w:t> </w:t>
      </w:r>
      <w:r>
        <w:rPr>
          <w:sz w:val="24"/>
        </w:rPr>
        <w:t>a</w:t>
      </w:r>
      <w:r>
        <w:rPr>
          <w:spacing w:val="-5"/>
          <w:sz w:val="24"/>
        </w:rPr>
        <w:t> </w:t>
      </w:r>
      <w:r>
        <w:rPr>
          <w:sz w:val="24"/>
        </w:rPr>
        <w:t>peak</w:t>
      </w:r>
      <w:r>
        <w:rPr>
          <w:spacing w:val="-5"/>
          <w:sz w:val="24"/>
        </w:rPr>
        <w:t> </w:t>
      </w:r>
      <w:r>
        <w:rPr>
          <w:sz w:val="24"/>
        </w:rPr>
        <w:t>in</w:t>
      </w:r>
      <w:r>
        <w:rPr>
          <w:spacing w:val="-5"/>
          <w:sz w:val="24"/>
        </w:rPr>
        <w:t> </w:t>
      </w:r>
      <w:r>
        <w:rPr>
          <w:sz w:val="24"/>
        </w:rPr>
        <w:t>official</w:t>
      </w:r>
      <w:r>
        <w:rPr>
          <w:spacing w:val="-5"/>
          <w:sz w:val="24"/>
        </w:rPr>
        <w:t> </w:t>
      </w:r>
      <w:r>
        <w:rPr>
          <w:sz w:val="24"/>
        </w:rPr>
        <w:t>rates</w:t>
      </w:r>
      <w:r>
        <w:rPr>
          <w:spacing w:val="-5"/>
          <w:sz w:val="24"/>
        </w:rPr>
        <w:t> </w:t>
      </w:r>
      <w:r>
        <w:rPr>
          <w:sz w:val="24"/>
        </w:rPr>
        <w:t>of</w:t>
      </w:r>
      <w:r>
        <w:rPr>
          <w:spacing w:val="-5"/>
          <w:sz w:val="24"/>
        </w:rPr>
        <w:t> </w:t>
      </w:r>
      <w:r>
        <w:rPr>
          <w:sz w:val="24"/>
        </w:rPr>
        <w:t>around</w:t>
      </w:r>
      <w:r>
        <w:rPr>
          <w:spacing w:val="-5"/>
          <w:sz w:val="24"/>
        </w:rPr>
        <w:t> </w:t>
      </w:r>
      <w:r>
        <w:rPr>
          <w:sz w:val="24"/>
        </w:rPr>
        <w:t>6</w:t>
      </w:r>
      <w:r>
        <w:rPr>
          <w:position w:val="8"/>
          <w:sz w:val="12"/>
        </w:rPr>
        <w:t>1</w:t>
      </w:r>
      <w:r>
        <w:rPr>
          <w:sz w:val="24"/>
        </w:rPr>
        <w:t>/</w:t>
      </w:r>
      <w:r>
        <w:rPr>
          <w:sz w:val="12"/>
        </w:rPr>
        <w:t>4</w:t>
      </w:r>
      <w:r>
        <w:rPr>
          <w:sz w:val="24"/>
        </w:rPr>
        <w:t>%. Market uncertainty about the </w:t>
      </w:r>
      <w:r>
        <w:rPr>
          <w:spacing w:val="-3"/>
          <w:sz w:val="24"/>
        </w:rPr>
        <w:t>level </w:t>
      </w:r>
      <w:r>
        <w:rPr>
          <w:sz w:val="24"/>
        </w:rPr>
        <w:t>of future short-term interest rates has generally declined since the</w:t>
      </w:r>
      <w:r>
        <w:rPr>
          <w:spacing w:val="-43"/>
          <w:sz w:val="24"/>
        </w:rPr>
        <w:t> </w:t>
      </w:r>
      <w:r>
        <w:rPr>
          <w:sz w:val="24"/>
        </w:rPr>
        <w:t>beginning</w:t>
      </w:r>
    </w:p>
    <w:p>
      <w:pPr>
        <w:spacing w:after="0" w:line="242" w:lineRule="auto"/>
        <w:jc w:val="left"/>
        <w:rPr>
          <w:sz w:val="24"/>
        </w:rPr>
        <w:sectPr>
          <w:type w:val="continuous"/>
          <w:pgSz w:w="11900" w:h="16840"/>
          <w:pgMar w:top="1260" w:bottom="280" w:left="640" w:right="640"/>
          <w:cols w:num="3" w:equalWidth="0">
            <w:col w:w="2323" w:space="526"/>
            <w:col w:w="808" w:space="1115"/>
            <w:col w:w="5848"/>
          </w:cols>
        </w:sectPr>
      </w:pPr>
    </w:p>
    <w:p>
      <w:pPr>
        <w:spacing w:line="21" w:lineRule="exact" w:before="0"/>
        <w:ind w:left="0" w:right="0" w:firstLine="0"/>
        <w:jc w:val="right"/>
        <w:rPr>
          <w:sz w:val="12"/>
        </w:rPr>
      </w:pPr>
      <w:r>
        <w:rPr>
          <w:sz w:val="12"/>
        </w:rPr>
        <w:t>1998</w:t>
      </w:r>
    </w:p>
    <w:p>
      <w:pPr>
        <w:tabs>
          <w:tab w:pos="866" w:val="left" w:leader="none"/>
          <w:tab w:pos="1498" w:val="left" w:leader="none"/>
        </w:tabs>
        <w:spacing w:line="21" w:lineRule="exact" w:before="0"/>
        <w:ind w:left="364" w:right="0" w:firstLine="0"/>
        <w:jc w:val="left"/>
        <w:rPr>
          <w:sz w:val="12"/>
        </w:rPr>
      </w:pPr>
      <w:r>
        <w:rPr/>
        <w:br w:type="column"/>
      </w:r>
      <w:r>
        <w:rPr>
          <w:sz w:val="12"/>
        </w:rPr>
        <w:t>99</w:t>
        <w:tab/>
        <w:t>2000</w:t>
        <w:tab/>
      </w:r>
      <w:r>
        <w:rPr>
          <w:spacing w:val="-10"/>
          <w:sz w:val="12"/>
        </w:rPr>
        <w:t>01</w:t>
      </w:r>
    </w:p>
    <w:p>
      <w:pPr>
        <w:tabs>
          <w:tab w:pos="754" w:val="left" w:leader="none"/>
        </w:tabs>
        <w:spacing w:line="21" w:lineRule="exact" w:before="0"/>
        <w:ind w:left="412" w:right="0" w:firstLine="0"/>
        <w:jc w:val="left"/>
        <w:rPr>
          <w:sz w:val="12"/>
        </w:rPr>
      </w:pPr>
      <w:r>
        <w:rPr/>
        <w:br w:type="column"/>
      </w:r>
      <w:r>
        <w:rPr>
          <w:sz w:val="12"/>
        </w:rPr>
        <w:t>02</w:t>
        <w:tab/>
        <w:t>03</w:t>
      </w:r>
    </w:p>
    <w:p>
      <w:pPr>
        <w:spacing w:after="0" w:line="21" w:lineRule="exact"/>
        <w:jc w:val="left"/>
        <w:rPr>
          <w:sz w:val="12"/>
        </w:rPr>
        <w:sectPr>
          <w:type w:val="continuous"/>
          <w:pgSz w:w="11900" w:h="16840"/>
          <w:pgMar w:top="1260" w:bottom="280" w:left="640" w:right="640"/>
          <w:cols w:num="3" w:equalWidth="0">
            <w:col w:w="778" w:space="40"/>
            <w:col w:w="1619" w:space="39"/>
            <w:col w:w="8144"/>
          </w:cols>
        </w:sectPr>
      </w:pPr>
    </w:p>
    <w:p>
      <w:pPr>
        <w:spacing w:before="89"/>
        <w:ind w:left="185" w:right="0" w:firstLine="0"/>
        <w:jc w:val="left"/>
        <w:rPr>
          <w:sz w:val="12"/>
        </w:rPr>
      </w:pPr>
      <w:r>
        <w:rPr>
          <w:sz w:val="12"/>
        </w:rPr>
        <w:t>Source: Bank of England.</w:t>
      </w:r>
    </w:p>
    <w:p>
      <w:pPr>
        <w:pStyle w:val="BodyText"/>
        <w:rPr>
          <w:sz w:val="12"/>
        </w:rPr>
      </w:pPr>
    </w:p>
    <w:p>
      <w:pPr>
        <w:pStyle w:val="BodyText"/>
        <w:spacing w:before="4"/>
        <w:rPr>
          <w:sz w:val="13"/>
        </w:rPr>
      </w:pPr>
    </w:p>
    <w:p>
      <w:pPr>
        <w:pStyle w:val="Heading6"/>
        <w:spacing w:before="0"/>
        <w:ind w:left="225"/>
      </w:pPr>
      <w:r>
        <w:rPr>
          <w:color w:val="0092C7"/>
        </w:rPr>
        <w:t>Chart 1.10</w:t>
      </w:r>
    </w:p>
    <w:p>
      <w:pPr>
        <w:pStyle w:val="Heading6"/>
        <w:spacing w:line="249" w:lineRule="auto"/>
        <w:ind w:left="225" w:right="12"/>
      </w:pPr>
      <w:r>
        <w:rPr>
          <w:color w:val="0092C7"/>
        </w:rPr>
        <w:t>Distribution of three-month interbank rates in six months’ time implied by options prices</w:t>
      </w:r>
    </w:p>
    <w:p>
      <w:pPr>
        <w:spacing w:before="84"/>
        <w:ind w:left="3025" w:right="0" w:firstLine="0"/>
        <w:jc w:val="left"/>
        <w:rPr>
          <w:sz w:val="12"/>
        </w:rPr>
      </w:pPr>
      <w:r>
        <w:rPr/>
        <w:drawing>
          <wp:anchor distT="0" distB="0" distL="0" distR="0" allowOverlap="1" layoutInCell="1" locked="0" behindDoc="0" simplePos="0" relativeHeight="15828992">
            <wp:simplePos x="0" y="0"/>
            <wp:positionH relativeFrom="page">
              <wp:posOffset>547369</wp:posOffset>
            </wp:positionH>
            <wp:positionV relativeFrom="paragraph">
              <wp:posOffset>150642</wp:posOffset>
            </wp:positionV>
            <wp:extent cx="55029" cy="6350"/>
            <wp:effectExtent l="0" t="0" r="0" b="0"/>
            <wp:wrapNone/>
            <wp:docPr id="19" name="image16.png"/>
            <wp:cNvGraphicFramePr>
              <a:graphicFrameLocks noChangeAspect="1"/>
            </wp:cNvGraphicFramePr>
            <a:graphic>
              <a:graphicData uri="http://schemas.openxmlformats.org/drawingml/2006/picture">
                <pic:pic>
                  <pic:nvPicPr>
                    <pic:cNvPr id="20" name="image16.png"/>
                    <pic:cNvPicPr/>
                  </pic:nvPicPr>
                  <pic:blipFill>
                    <a:blip r:embed="rId39" cstate="print"/>
                    <a:stretch>
                      <a:fillRect/>
                    </a:stretch>
                  </pic:blipFill>
                  <pic:spPr>
                    <a:xfrm>
                      <a:off x="0" y="0"/>
                      <a:ext cx="55029" cy="6350"/>
                    </a:xfrm>
                    <a:prstGeom prst="rect">
                      <a:avLst/>
                    </a:prstGeom>
                  </pic:spPr>
                </pic:pic>
              </a:graphicData>
            </a:graphic>
          </wp:anchor>
        </w:drawing>
      </w:r>
      <w:r>
        <w:rPr>
          <w:sz w:val="12"/>
        </w:rPr>
        <w:t>Per ce</w:t>
      </w:r>
      <w:r>
        <w:rPr>
          <w:sz w:val="12"/>
          <w:u w:val="single"/>
        </w:rPr>
        <w:t>n</w:t>
      </w:r>
      <w:r>
        <w:rPr>
          <w:sz w:val="12"/>
        </w:rPr>
        <w:t>t</w:t>
      </w:r>
      <w:r>
        <w:rPr>
          <w:spacing w:val="-12"/>
          <w:sz w:val="12"/>
        </w:rPr>
        <w:t> </w:t>
      </w:r>
      <w:r>
        <w:rPr>
          <w:position w:val="-6"/>
          <w:sz w:val="12"/>
        </w:rPr>
        <w:t>1.2</w:t>
      </w:r>
    </w:p>
    <w:p>
      <w:pPr>
        <w:spacing w:before="84"/>
        <w:ind w:left="0" w:right="632" w:firstLine="0"/>
        <w:jc w:val="right"/>
        <w:rPr>
          <w:sz w:val="12"/>
        </w:rPr>
      </w:pPr>
      <w:r>
        <w:rPr/>
        <w:pict>
          <v:group style="position:absolute;margin-left:43.099998pt;margin-top:7.998752pt;width:159.65pt;height:133.75pt;mso-position-horizontal-relative:page;mso-position-vertical-relative:paragraph;z-index:-23469568" coordorigin="862,160" coordsize="3193,2675">
            <v:shape style="position:absolute;left:862;top:159;width:3193;height:2674" type="#_x0000_t75" stroked="false">
              <v:imagedata r:id="rId40" o:title=""/>
            </v:shape>
            <v:shape style="position:absolute;left:862;top:2824;width:87;height:10" type="#_x0000_t75" stroked="false">
              <v:imagedata r:id="rId39" o:title=""/>
            </v:shape>
            <w10:wrap type="none"/>
          </v:group>
        </w:pict>
      </w:r>
      <w:r>
        <w:rPr>
          <w:sz w:val="12"/>
        </w:rPr>
        <w:t>1.1</w:t>
      </w:r>
    </w:p>
    <w:p>
      <w:pPr>
        <w:spacing w:line="242" w:lineRule="auto" w:before="0"/>
        <w:ind w:left="185" w:right="0" w:firstLine="0"/>
        <w:jc w:val="left"/>
        <w:rPr>
          <w:sz w:val="24"/>
        </w:rPr>
      </w:pPr>
      <w:r>
        <w:rPr/>
        <w:br w:type="column"/>
      </w:r>
      <w:r>
        <w:rPr>
          <w:sz w:val="24"/>
        </w:rPr>
        <w:t>of the year, as has the implied upside risk to the level of interest rates (see Chart 1.10).</w:t>
      </w:r>
    </w:p>
    <w:p>
      <w:pPr>
        <w:pStyle w:val="BodyText"/>
        <w:spacing w:before="10"/>
        <w:rPr>
          <w:sz w:val="21"/>
        </w:rPr>
      </w:pPr>
    </w:p>
    <w:p>
      <w:pPr>
        <w:pStyle w:val="Heading2"/>
        <w:spacing w:before="1"/>
        <w:rPr>
          <w:i/>
        </w:rPr>
      </w:pPr>
      <w:r>
        <w:rPr>
          <w:i/>
          <w:color w:val="009391"/>
        </w:rPr>
        <w:t>Long-term interest rates</w:t>
      </w:r>
    </w:p>
    <w:p>
      <w:pPr>
        <w:spacing w:line="242" w:lineRule="auto" w:before="104"/>
        <w:ind w:left="185" w:right="276" w:firstLine="0"/>
        <w:jc w:val="left"/>
        <w:rPr>
          <w:sz w:val="24"/>
        </w:rPr>
      </w:pPr>
      <w:r>
        <w:rPr>
          <w:sz w:val="24"/>
        </w:rPr>
        <w:t>The cost of borrowing for households and businesses also depends on longer-term interest rates, which are</w:t>
      </w:r>
    </w:p>
    <w:p>
      <w:pPr>
        <w:spacing w:after="0" w:line="242" w:lineRule="auto"/>
        <w:jc w:val="left"/>
        <w:rPr>
          <w:sz w:val="24"/>
        </w:rPr>
        <w:sectPr>
          <w:type w:val="continuous"/>
          <w:pgSz w:w="11900" w:h="16840"/>
          <w:pgMar w:top="1260" w:bottom="280" w:left="640" w:right="640"/>
          <w:cols w:num="2" w:equalWidth="0">
            <w:col w:w="4219" w:space="561"/>
            <w:col w:w="5840"/>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4"/>
        </w:rPr>
      </w:pPr>
    </w:p>
    <w:p>
      <w:pPr>
        <w:tabs>
          <w:tab w:pos="742" w:val="left" w:leader="none"/>
          <w:tab w:pos="1225" w:val="left" w:leader="none"/>
        </w:tabs>
        <w:spacing w:line="328" w:lineRule="auto" w:before="0"/>
        <w:ind w:left="1132" w:right="0" w:hanging="813"/>
        <w:jc w:val="left"/>
        <w:rPr>
          <w:sz w:val="12"/>
        </w:rPr>
      </w:pPr>
      <w:r>
        <w:rPr>
          <w:sz w:val="12"/>
        </w:rPr>
        <w:t>Jan.</w:t>
        <w:tab/>
        <w:t>Apr.</w:t>
        <w:tab/>
        <w:tab/>
      </w:r>
      <w:r>
        <w:rPr>
          <w:spacing w:val="-5"/>
          <w:sz w:val="12"/>
        </w:rPr>
        <w:t>July </w:t>
      </w:r>
      <w:r>
        <w:rPr>
          <w:sz w:val="12"/>
        </w:rPr>
        <w:t>1999</w:t>
      </w:r>
    </w:p>
    <w:p>
      <w:pPr>
        <w:spacing w:before="1"/>
        <w:ind w:left="26" w:right="0" w:firstLine="0"/>
        <w:jc w:val="left"/>
        <w:rPr>
          <w:sz w:val="12"/>
        </w:rPr>
      </w:pPr>
      <w:r>
        <w:rPr/>
        <w:br w:type="column"/>
      </w:r>
      <w:r>
        <w:rPr>
          <w:sz w:val="12"/>
        </w:rPr>
        <w:t>Standard deviation (a)</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0"/>
        </w:rPr>
      </w:pPr>
    </w:p>
    <w:p>
      <w:pPr>
        <w:spacing w:before="0"/>
        <w:ind w:left="97" w:right="0" w:firstLine="0"/>
        <w:jc w:val="left"/>
        <w:rPr>
          <w:sz w:val="12"/>
        </w:rPr>
      </w:pPr>
      <w:r>
        <w:rPr>
          <w:sz w:val="12"/>
        </w:rPr>
        <w:t>Skewness (b)</w:t>
      </w:r>
    </w:p>
    <w:p>
      <w:pPr>
        <w:pStyle w:val="BodyText"/>
        <w:rPr>
          <w:sz w:val="12"/>
        </w:rPr>
      </w:pPr>
    </w:p>
    <w:p>
      <w:pPr>
        <w:pStyle w:val="BodyText"/>
        <w:rPr>
          <w:sz w:val="12"/>
        </w:rPr>
      </w:pPr>
    </w:p>
    <w:p>
      <w:pPr>
        <w:pStyle w:val="BodyText"/>
        <w:spacing w:before="10"/>
        <w:rPr>
          <w:sz w:val="15"/>
        </w:rPr>
      </w:pPr>
    </w:p>
    <w:p>
      <w:pPr>
        <w:tabs>
          <w:tab w:pos="691" w:val="left" w:leader="none"/>
          <w:tab w:pos="1165" w:val="left" w:leader="none"/>
          <w:tab w:pos="1609" w:val="left" w:leader="none"/>
        </w:tabs>
        <w:spacing w:before="1"/>
        <w:ind w:left="211" w:right="0" w:firstLine="0"/>
        <w:jc w:val="left"/>
        <w:rPr>
          <w:sz w:val="12"/>
        </w:rPr>
      </w:pPr>
      <w:r>
        <w:rPr>
          <w:sz w:val="12"/>
        </w:rPr>
        <w:t>Oct.</w:t>
        <w:tab/>
        <w:t>Jan.</w:t>
        <w:tab/>
        <w:t>Apr.</w:t>
        <w:tab/>
      </w:r>
      <w:r>
        <w:rPr>
          <w:spacing w:val="-5"/>
          <w:sz w:val="12"/>
        </w:rPr>
        <w:t>July</w:t>
      </w:r>
    </w:p>
    <w:p>
      <w:pPr>
        <w:spacing w:before="50"/>
        <w:ind w:left="1247" w:right="0" w:firstLine="0"/>
        <w:jc w:val="left"/>
        <w:rPr>
          <w:sz w:val="12"/>
        </w:rPr>
      </w:pPr>
      <w:r>
        <w:rPr>
          <w:sz w:val="12"/>
        </w:rPr>
        <w:t>2000</w:t>
      </w:r>
    </w:p>
    <w:p>
      <w:pPr>
        <w:spacing w:before="84"/>
        <w:ind w:left="118" w:right="0" w:firstLine="0"/>
        <w:jc w:val="left"/>
        <w:rPr>
          <w:sz w:val="12"/>
        </w:rPr>
      </w:pPr>
      <w:r>
        <w:rPr/>
        <w:br w:type="column"/>
      </w:r>
      <w:r>
        <w:rPr>
          <w:sz w:val="12"/>
        </w:rPr>
        <w:t>1.0</w:t>
      </w:r>
    </w:p>
    <w:p>
      <w:pPr>
        <w:spacing w:before="83"/>
        <w:ind w:left="118" w:right="0" w:firstLine="0"/>
        <w:jc w:val="left"/>
        <w:rPr>
          <w:sz w:val="12"/>
        </w:rPr>
      </w:pPr>
      <w:r>
        <w:rPr>
          <w:sz w:val="12"/>
        </w:rPr>
        <w:t>0.9</w:t>
      </w:r>
    </w:p>
    <w:p>
      <w:pPr>
        <w:spacing w:before="84"/>
        <w:ind w:left="118" w:right="0" w:firstLine="0"/>
        <w:jc w:val="left"/>
        <w:rPr>
          <w:sz w:val="12"/>
        </w:rPr>
      </w:pPr>
      <w:r>
        <w:rPr>
          <w:sz w:val="12"/>
        </w:rPr>
        <w:t>0.8</w:t>
      </w:r>
    </w:p>
    <w:p>
      <w:pPr>
        <w:spacing w:before="83"/>
        <w:ind w:left="118" w:right="0" w:firstLine="0"/>
        <w:jc w:val="left"/>
        <w:rPr>
          <w:sz w:val="12"/>
        </w:rPr>
      </w:pPr>
      <w:r>
        <w:rPr>
          <w:sz w:val="12"/>
        </w:rPr>
        <w:t>0.7</w:t>
      </w:r>
    </w:p>
    <w:p>
      <w:pPr>
        <w:spacing w:before="84"/>
        <w:ind w:left="118" w:right="0" w:firstLine="0"/>
        <w:jc w:val="left"/>
        <w:rPr>
          <w:sz w:val="12"/>
        </w:rPr>
      </w:pPr>
      <w:r>
        <w:rPr>
          <w:sz w:val="12"/>
        </w:rPr>
        <w:t>0.6</w:t>
      </w:r>
    </w:p>
    <w:p>
      <w:pPr>
        <w:spacing w:before="83"/>
        <w:ind w:left="118" w:right="0" w:firstLine="0"/>
        <w:jc w:val="left"/>
        <w:rPr>
          <w:sz w:val="12"/>
        </w:rPr>
      </w:pPr>
      <w:r>
        <w:rPr>
          <w:sz w:val="12"/>
        </w:rPr>
        <w:t>0.5</w:t>
      </w:r>
    </w:p>
    <w:p>
      <w:pPr>
        <w:spacing w:before="84"/>
        <w:ind w:left="118" w:right="0" w:firstLine="0"/>
        <w:jc w:val="left"/>
        <w:rPr>
          <w:sz w:val="12"/>
        </w:rPr>
      </w:pPr>
      <w:r>
        <w:rPr>
          <w:sz w:val="12"/>
        </w:rPr>
        <w:t>0.4</w:t>
      </w:r>
    </w:p>
    <w:p>
      <w:pPr>
        <w:spacing w:before="84"/>
        <w:ind w:left="118" w:right="0" w:firstLine="0"/>
        <w:jc w:val="left"/>
        <w:rPr>
          <w:sz w:val="12"/>
        </w:rPr>
      </w:pPr>
      <w:r>
        <w:rPr>
          <w:sz w:val="12"/>
        </w:rPr>
        <w:t>0.3</w:t>
      </w:r>
    </w:p>
    <w:p>
      <w:pPr>
        <w:spacing w:before="83"/>
        <w:ind w:left="118" w:right="0" w:firstLine="0"/>
        <w:jc w:val="left"/>
        <w:rPr>
          <w:sz w:val="12"/>
        </w:rPr>
      </w:pPr>
      <w:r>
        <w:rPr>
          <w:sz w:val="12"/>
        </w:rPr>
        <w:t>0.2</w:t>
      </w:r>
    </w:p>
    <w:p>
      <w:pPr>
        <w:spacing w:line="111" w:lineRule="exact" w:before="84"/>
        <w:ind w:left="118" w:right="0" w:firstLine="0"/>
        <w:jc w:val="left"/>
        <w:rPr>
          <w:sz w:val="12"/>
        </w:rPr>
      </w:pPr>
      <w:r>
        <w:rPr>
          <w:sz w:val="12"/>
        </w:rPr>
        <w:t>0.1</w:t>
      </w:r>
    </w:p>
    <w:p>
      <w:pPr>
        <w:spacing w:line="134" w:lineRule="exact" w:before="0"/>
        <w:ind w:left="60" w:right="0" w:firstLine="0"/>
        <w:jc w:val="left"/>
        <w:rPr>
          <w:sz w:val="16"/>
        </w:rPr>
      </w:pPr>
      <w:r>
        <w:rPr>
          <w:sz w:val="16"/>
        </w:rPr>
        <w:t>+</w:t>
      </w:r>
    </w:p>
    <w:p>
      <w:pPr>
        <w:spacing w:line="141" w:lineRule="auto" w:before="17"/>
        <w:ind w:left="60" w:right="0" w:firstLine="0"/>
        <w:jc w:val="left"/>
        <w:rPr>
          <w:sz w:val="12"/>
        </w:rPr>
      </w:pPr>
      <w:r>
        <w:rPr>
          <w:spacing w:val="-6"/>
          <w:position w:val="-4"/>
          <w:sz w:val="16"/>
        </w:rPr>
        <w:t>_</w:t>
      </w:r>
      <w:r>
        <w:rPr>
          <w:spacing w:val="-6"/>
          <w:sz w:val="12"/>
        </w:rPr>
        <w:t>0.0</w:t>
      </w:r>
    </w:p>
    <w:p>
      <w:pPr>
        <w:spacing w:before="59"/>
        <w:ind w:left="118" w:right="0" w:firstLine="0"/>
        <w:jc w:val="left"/>
        <w:rPr>
          <w:sz w:val="12"/>
        </w:rPr>
      </w:pPr>
      <w:r>
        <w:rPr>
          <w:sz w:val="12"/>
        </w:rPr>
        <w:t>0.1</w:t>
      </w:r>
    </w:p>
    <w:p>
      <w:pPr>
        <w:spacing w:line="242" w:lineRule="auto" w:before="0"/>
        <w:ind w:left="319" w:right="895" w:firstLine="0"/>
        <w:jc w:val="left"/>
        <w:rPr>
          <w:sz w:val="24"/>
        </w:rPr>
      </w:pPr>
      <w:r>
        <w:rPr/>
        <w:br w:type="column"/>
      </w:r>
      <w:r>
        <w:rPr>
          <w:sz w:val="24"/>
        </w:rPr>
        <w:t>influenced by an average of current and expected short-term interest rates. The ten-year nominal</w:t>
      </w:r>
    </w:p>
    <w:p>
      <w:pPr>
        <w:spacing w:line="242" w:lineRule="auto" w:before="1"/>
        <w:ind w:left="319" w:right="36" w:firstLine="0"/>
        <w:jc w:val="left"/>
        <w:rPr>
          <w:sz w:val="24"/>
        </w:rPr>
      </w:pPr>
      <w:r>
        <w:rPr>
          <w:sz w:val="24"/>
        </w:rPr>
        <w:t>government bond yield in the United Kingdom was 5.2% on 2 August, similar to its level at the time of the May </w:t>
      </w:r>
      <w:r>
        <w:rPr>
          <w:i/>
          <w:sz w:val="24"/>
        </w:rPr>
        <w:t>Report</w:t>
      </w:r>
      <w:r>
        <w:rPr>
          <w:sz w:val="24"/>
        </w:rPr>
        <w:t>, and slightly lower than just prior to the increases in official interest rates that began a year ago (see</w:t>
      </w:r>
    </w:p>
    <w:p>
      <w:pPr>
        <w:spacing w:line="242" w:lineRule="auto" w:before="5"/>
        <w:ind w:left="319" w:right="415" w:firstLine="0"/>
        <w:jc w:val="both"/>
        <w:rPr>
          <w:sz w:val="24"/>
        </w:rPr>
      </w:pPr>
      <w:r>
        <w:rPr>
          <w:sz w:val="24"/>
        </w:rPr>
        <w:t>Chart 1.11). </w:t>
      </w:r>
      <w:r>
        <w:rPr>
          <w:spacing w:val="-3"/>
          <w:sz w:val="24"/>
        </w:rPr>
        <w:t>Ten-year </w:t>
      </w:r>
      <w:r>
        <w:rPr>
          <w:sz w:val="24"/>
        </w:rPr>
        <w:t>bond yields in the United States and the euro area </w:t>
      </w:r>
      <w:r>
        <w:rPr>
          <w:spacing w:val="-3"/>
          <w:sz w:val="24"/>
        </w:rPr>
        <w:t>have </w:t>
      </w:r>
      <w:r>
        <w:rPr>
          <w:sz w:val="24"/>
        </w:rPr>
        <w:t>fallen since the May </w:t>
      </w:r>
      <w:r>
        <w:rPr>
          <w:i/>
          <w:sz w:val="24"/>
        </w:rPr>
        <w:t>Report</w:t>
      </w:r>
      <w:r>
        <w:rPr>
          <w:sz w:val="24"/>
        </w:rPr>
        <w:t>, by around 50 and 25 basis points </w:t>
      </w:r>
      <w:r>
        <w:rPr>
          <w:spacing w:val="-3"/>
          <w:sz w:val="24"/>
        </w:rPr>
        <w:t>respectively.</w:t>
      </w:r>
    </w:p>
    <w:p>
      <w:pPr>
        <w:pStyle w:val="BodyText"/>
        <w:spacing w:before="11"/>
        <w:rPr>
          <w:sz w:val="22"/>
        </w:rPr>
      </w:pPr>
    </w:p>
    <w:p>
      <w:pPr>
        <w:pStyle w:val="Heading2"/>
        <w:ind w:left="319"/>
        <w:jc w:val="both"/>
        <w:rPr>
          <w:i/>
        </w:rPr>
      </w:pPr>
      <w:r>
        <w:rPr>
          <w:i/>
          <w:color w:val="009391"/>
        </w:rPr>
        <w:t>Household borrowing rates</w:t>
      </w:r>
    </w:p>
    <w:p>
      <w:pPr>
        <w:spacing w:after="0"/>
        <w:jc w:val="both"/>
        <w:sectPr>
          <w:type w:val="continuous"/>
          <w:pgSz w:w="11900" w:h="16840"/>
          <w:pgMar w:top="1260" w:bottom="280" w:left="640" w:right="640"/>
          <w:cols w:num="4" w:equalWidth="0">
            <w:col w:w="1426" w:space="40"/>
            <w:col w:w="1810" w:space="39"/>
            <w:col w:w="309" w:space="1022"/>
            <w:col w:w="5974"/>
          </w:cols>
        </w:sectPr>
      </w:pPr>
    </w:p>
    <w:p>
      <w:pPr>
        <w:spacing w:before="35"/>
        <w:ind w:left="205" w:right="0" w:firstLine="0"/>
        <w:jc w:val="left"/>
        <w:rPr>
          <w:sz w:val="12"/>
        </w:rPr>
      </w:pPr>
      <w:r>
        <w:rPr>
          <w:sz w:val="12"/>
        </w:rPr>
        <w:t>Sources: LIFFE and Bank of England.</w:t>
      </w:r>
    </w:p>
    <w:p>
      <w:pPr>
        <w:pStyle w:val="BodyText"/>
        <w:spacing w:before="1"/>
        <w:rPr>
          <w:sz w:val="10"/>
        </w:rPr>
      </w:pPr>
    </w:p>
    <w:p>
      <w:pPr>
        <w:pStyle w:val="ListParagraph"/>
        <w:numPr>
          <w:ilvl w:val="0"/>
          <w:numId w:val="7"/>
        </w:numPr>
        <w:tabs>
          <w:tab w:pos="446" w:val="left" w:leader="none"/>
        </w:tabs>
        <w:spacing w:line="208" w:lineRule="auto" w:before="1" w:after="0"/>
        <w:ind w:left="445" w:right="38" w:hanging="240"/>
        <w:jc w:val="left"/>
        <w:rPr>
          <w:sz w:val="12"/>
        </w:rPr>
      </w:pPr>
      <w:r>
        <w:rPr>
          <w:sz w:val="12"/>
        </w:rPr>
        <w:t>A</w:t>
      </w:r>
      <w:r>
        <w:rPr>
          <w:spacing w:val="-6"/>
          <w:sz w:val="12"/>
        </w:rPr>
        <w:t> </w:t>
      </w:r>
      <w:r>
        <w:rPr>
          <w:sz w:val="12"/>
        </w:rPr>
        <w:t>measure</w:t>
      </w:r>
      <w:r>
        <w:rPr>
          <w:spacing w:val="-5"/>
          <w:sz w:val="12"/>
        </w:rPr>
        <w:t> </w:t>
      </w:r>
      <w:r>
        <w:rPr>
          <w:sz w:val="12"/>
        </w:rPr>
        <w:t>of</w:t>
      </w:r>
      <w:r>
        <w:rPr>
          <w:spacing w:val="-5"/>
          <w:sz w:val="12"/>
        </w:rPr>
        <w:t> </w:t>
      </w:r>
      <w:r>
        <w:rPr>
          <w:sz w:val="12"/>
        </w:rPr>
        <w:t>the</w:t>
      </w:r>
      <w:r>
        <w:rPr>
          <w:spacing w:val="-5"/>
          <w:sz w:val="12"/>
        </w:rPr>
        <w:t> </w:t>
      </w:r>
      <w:r>
        <w:rPr>
          <w:sz w:val="12"/>
        </w:rPr>
        <w:t>dispersion</w:t>
      </w:r>
      <w:r>
        <w:rPr>
          <w:spacing w:val="-6"/>
          <w:sz w:val="12"/>
        </w:rPr>
        <w:t> </w:t>
      </w:r>
      <w:r>
        <w:rPr>
          <w:sz w:val="12"/>
        </w:rPr>
        <w:t>of</w:t>
      </w:r>
      <w:r>
        <w:rPr>
          <w:spacing w:val="-5"/>
          <w:sz w:val="12"/>
        </w:rPr>
        <w:t> </w:t>
      </w:r>
      <w:r>
        <w:rPr>
          <w:sz w:val="12"/>
        </w:rPr>
        <w:t>views</w:t>
      </w:r>
      <w:r>
        <w:rPr>
          <w:spacing w:val="-5"/>
          <w:sz w:val="12"/>
        </w:rPr>
        <w:t> </w:t>
      </w:r>
      <w:r>
        <w:rPr>
          <w:sz w:val="12"/>
        </w:rPr>
        <w:t>about</w:t>
      </w:r>
      <w:r>
        <w:rPr>
          <w:spacing w:val="-5"/>
          <w:sz w:val="12"/>
        </w:rPr>
        <w:t> </w:t>
      </w:r>
      <w:r>
        <w:rPr>
          <w:sz w:val="12"/>
        </w:rPr>
        <w:t>three-month</w:t>
      </w:r>
      <w:r>
        <w:rPr>
          <w:spacing w:val="-6"/>
          <w:sz w:val="12"/>
        </w:rPr>
        <w:t> </w:t>
      </w:r>
      <w:r>
        <w:rPr>
          <w:sz w:val="12"/>
        </w:rPr>
        <w:t>interest</w:t>
      </w:r>
      <w:r>
        <w:rPr>
          <w:spacing w:val="-5"/>
          <w:sz w:val="12"/>
        </w:rPr>
        <w:t> </w:t>
      </w:r>
      <w:r>
        <w:rPr>
          <w:sz w:val="12"/>
        </w:rPr>
        <w:t>rates at</w:t>
      </w:r>
      <w:r>
        <w:rPr>
          <w:spacing w:val="-3"/>
          <w:sz w:val="12"/>
        </w:rPr>
        <w:t> </w:t>
      </w:r>
      <w:r>
        <w:rPr>
          <w:sz w:val="12"/>
        </w:rPr>
        <w:t>a</w:t>
      </w:r>
      <w:r>
        <w:rPr>
          <w:spacing w:val="-3"/>
          <w:sz w:val="12"/>
        </w:rPr>
        <w:t> </w:t>
      </w:r>
      <w:r>
        <w:rPr>
          <w:sz w:val="12"/>
        </w:rPr>
        <w:t>constant</w:t>
      </w:r>
      <w:r>
        <w:rPr>
          <w:spacing w:val="-3"/>
          <w:sz w:val="12"/>
        </w:rPr>
        <w:t> </w:t>
      </w:r>
      <w:r>
        <w:rPr>
          <w:sz w:val="12"/>
        </w:rPr>
        <w:t>six-month</w:t>
      </w:r>
      <w:r>
        <w:rPr>
          <w:spacing w:val="-3"/>
          <w:sz w:val="12"/>
        </w:rPr>
        <w:t> </w:t>
      </w:r>
      <w:r>
        <w:rPr>
          <w:sz w:val="12"/>
        </w:rPr>
        <w:t>horizon</w:t>
      </w:r>
      <w:r>
        <w:rPr>
          <w:spacing w:val="-3"/>
          <w:sz w:val="12"/>
        </w:rPr>
        <w:t> </w:t>
      </w:r>
      <w:r>
        <w:rPr>
          <w:sz w:val="12"/>
        </w:rPr>
        <w:t>derived</w:t>
      </w:r>
      <w:r>
        <w:rPr>
          <w:spacing w:val="-3"/>
          <w:sz w:val="12"/>
        </w:rPr>
        <w:t> </w:t>
      </w:r>
      <w:r>
        <w:rPr>
          <w:sz w:val="12"/>
        </w:rPr>
        <w:t>from</w:t>
      </w:r>
      <w:r>
        <w:rPr>
          <w:spacing w:val="-3"/>
          <w:sz w:val="12"/>
        </w:rPr>
        <w:t> </w:t>
      </w:r>
      <w:r>
        <w:rPr>
          <w:sz w:val="12"/>
        </w:rPr>
        <w:t>options</w:t>
      </w:r>
      <w:r>
        <w:rPr>
          <w:spacing w:val="-3"/>
          <w:sz w:val="12"/>
        </w:rPr>
        <w:t> </w:t>
      </w:r>
      <w:r>
        <w:rPr>
          <w:sz w:val="12"/>
        </w:rPr>
        <w:t>prices.</w:t>
      </w:r>
    </w:p>
    <w:p>
      <w:pPr>
        <w:pStyle w:val="ListParagraph"/>
        <w:numPr>
          <w:ilvl w:val="0"/>
          <w:numId w:val="7"/>
        </w:numPr>
        <w:tabs>
          <w:tab w:pos="446" w:val="left" w:leader="none"/>
        </w:tabs>
        <w:spacing w:line="208" w:lineRule="auto" w:before="0" w:after="0"/>
        <w:ind w:left="445" w:right="100" w:hanging="240"/>
        <w:jc w:val="left"/>
        <w:rPr>
          <w:sz w:val="12"/>
        </w:rPr>
      </w:pPr>
      <w:r>
        <w:rPr>
          <w:sz w:val="12"/>
        </w:rPr>
        <w:t>A measure of the balance of risks between large upward and downward movements in interest rates. A positive number indicates that the balance of risks is on the upside of the most likely level of interest</w:t>
      </w:r>
      <w:r>
        <w:rPr>
          <w:spacing w:val="-2"/>
          <w:sz w:val="12"/>
        </w:rPr>
        <w:t> </w:t>
      </w:r>
      <w:r>
        <w:rPr>
          <w:sz w:val="12"/>
        </w:rPr>
        <w:t>rates.</w:t>
      </w:r>
    </w:p>
    <w:p>
      <w:pPr>
        <w:pStyle w:val="BodyText"/>
        <w:spacing w:before="7"/>
        <w:rPr>
          <w:sz w:val="17"/>
        </w:rPr>
      </w:pPr>
    </w:p>
    <w:p>
      <w:pPr>
        <w:pStyle w:val="Heading6"/>
        <w:spacing w:before="1"/>
        <w:ind w:left="205"/>
      </w:pPr>
      <w:r>
        <w:rPr>
          <w:color w:val="0092C7"/>
        </w:rPr>
        <w:t>Chart 1.11</w:t>
      </w:r>
    </w:p>
    <w:p>
      <w:pPr>
        <w:pStyle w:val="Heading6"/>
        <w:ind w:left="205"/>
      </w:pPr>
      <w:r>
        <w:rPr>
          <w:color w:val="0092C7"/>
        </w:rPr>
        <w:t>Ten-year nominal spot interest rates</w:t>
      </w:r>
    </w:p>
    <w:p>
      <w:pPr>
        <w:spacing w:before="77"/>
        <w:ind w:left="2975" w:right="0" w:firstLine="0"/>
        <w:jc w:val="left"/>
        <w:rPr>
          <w:sz w:val="12"/>
        </w:rPr>
      </w:pPr>
      <w:r>
        <w:rPr/>
        <w:drawing>
          <wp:anchor distT="0" distB="0" distL="0" distR="0" allowOverlap="1" layoutInCell="1" locked="0" behindDoc="0" simplePos="0" relativeHeight="15831552">
            <wp:simplePos x="0" y="0"/>
            <wp:positionH relativeFrom="page">
              <wp:posOffset>530593</wp:posOffset>
            </wp:positionH>
            <wp:positionV relativeFrom="paragraph">
              <wp:posOffset>150198</wp:posOffset>
            </wp:positionV>
            <wp:extent cx="55029" cy="6350"/>
            <wp:effectExtent l="0" t="0" r="0" b="0"/>
            <wp:wrapNone/>
            <wp:docPr id="21" name="image13.png"/>
            <wp:cNvGraphicFramePr>
              <a:graphicFrameLocks noChangeAspect="1"/>
            </wp:cNvGraphicFramePr>
            <a:graphic>
              <a:graphicData uri="http://schemas.openxmlformats.org/drawingml/2006/picture">
                <pic:pic>
                  <pic:nvPicPr>
                    <pic:cNvPr id="22" name="image13.png"/>
                    <pic:cNvPicPr/>
                  </pic:nvPicPr>
                  <pic:blipFill>
                    <a:blip r:embed="rId36" cstate="print"/>
                    <a:stretch>
                      <a:fillRect/>
                    </a:stretch>
                  </pic:blipFill>
                  <pic:spPr>
                    <a:xfrm>
                      <a:off x="0" y="0"/>
                      <a:ext cx="55029" cy="6350"/>
                    </a:xfrm>
                    <a:prstGeom prst="rect">
                      <a:avLst/>
                    </a:prstGeom>
                  </pic:spPr>
                </pic:pic>
              </a:graphicData>
            </a:graphic>
          </wp:anchor>
        </w:drawing>
      </w:r>
      <w:r>
        <w:rPr>
          <w:sz w:val="12"/>
        </w:rPr>
        <w:t>Per cen</w:t>
      </w:r>
      <w:r>
        <w:rPr>
          <w:sz w:val="12"/>
          <w:u w:val="single"/>
        </w:rPr>
        <w:t>t</w:t>
      </w:r>
      <w:r>
        <w:rPr>
          <w:spacing w:val="27"/>
          <w:sz w:val="12"/>
        </w:rPr>
        <w:t> </w:t>
      </w:r>
      <w:r>
        <w:rPr>
          <w:position w:val="-6"/>
          <w:sz w:val="12"/>
        </w:rPr>
        <w:t>8.0</w:t>
      </w:r>
    </w:p>
    <w:p>
      <w:pPr>
        <w:spacing w:before="179"/>
        <w:ind w:left="3423" w:right="0" w:firstLine="0"/>
        <w:jc w:val="left"/>
        <w:rPr>
          <w:sz w:val="12"/>
        </w:rPr>
      </w:pPr>
      <w:r>
        <w:rPr/>
        <w:pict>
          <v:group style="position:absolute;margin-left:41.778999pt;margin-top:7.306516pt;width:160.550pt;height:126.5pt;mso-position-horizontal-relative:page;mso-position-vertical-relative:paragraph;z-index:15831040" coordorigin="836,146" coordsize="3211,2530">
            <v:shape style="position:absolute;left:835;top:146;width:3211;height:2530" type="#_x0000_t75" stroked="false">
              <v:imagedata r:id="rId41" o:title=""/>
            </v:shape>
            <v:shape style="position:absolute;left:1254;top:211;width:830;height:134" type="#_x0000_t202" filled="false" stroked="false">
              <v:textbox inset="0,0,0,0">
                <w:txbxContent>
                  <w:p>
                    <w:pPr>
                      <w:spacing w:line="133" w:lineRule="exact" w:before="0"/>
                      <w:ind w:left="0" w:right="0" w:firstLine="0"/>
                      <w:jc w:val="left"/>
                      <w:rPr>
                        <w:sz w:val="12"/>
                      </w:rPr>
                    </w:pPr>
                    <w:r>
                      <w:rPr>
                        <w:sz w:val="12"/>
                      </w:rPr>
                      <w:t>United Kingdom</w:t>
                    </w:r>
                  </w:p>
                </w:txbxContent>
              </v:textbox>
              <w10:wrap type="none"/>
            </v:shape>
            <v:shape style="position:absolute;left:2719;top:697;width:664;height:134" type="#_x0000_t202" filled="false" stroked="false">
              <v:textbox inset="0,0,0,0">
                <w:txbxContent>
                  <w:p>
                    <w:pPr>
                      <w:spacing w:line="133" w:lineRule="exact" w:before="0"/>
                      <w:ind w:left="0" w:right="0" w:firstLine="0"/>
                      <w:jc w:val="left"/>
                      <w:rPr>
                        <w:sz w:val="12"/>
                      </w:rPr>
                    </w:pPr>
                    <w:r>
                      <w:rPr>
                        <w:sz w:val="12"/>
                      </w:rPr>
                      <w:t>United States</w:t>
                    </w:r>
                  </w:p>
                </w:txbxContent>
              </v:textbox>
              <w10:wrap type="none"/>
            </v:shape>
            <v:shape style="position:absolute;left:1276;top:1946;width:647;height:134" type="#_x0000_t202" filled="false" stroked="false">
              <v:textbox inset="0,0,0,0">
                <w:txbxContent>
                  <w:p>
                    <w:pPr>
                      <w:spacing w:line="133" w:lineRule="exact" w:before="0"/>
                      <w:ind w:left="0" w:right="0" w:firstLine="0"/>
                      <w:jc w:val="left"/>
                      <w:rPr>
                        <w:sz w:val="12"/>
                      </w:rPr>
                    </w:pPr>
                    <w:r>
                      <w:rPr>
                        <w:sz w:val="12"/>
                      </w:rPr>
                      <w:t>Euro area (a)</w:t>
                    </w:r>
                  </w:p>
                </w:txbxContent>
              </v:textbox>
              <w10:wrap type="none"/>
            </v:shape>
            <w10:wrap type="none"/>
          </v:group>
        </w:pict>
      </w:r>
      <w:r>
        <w:rPr>
          <w:sz w:val="12"/>
        </w:rPr>
        <w:t>7.5</w:t>
      </w:r>
    </w:p>
    <w:p>
      <w:pPr>
        <w:pStyle w:val="BodyText"/>
        <w:spacing w:before="10"/>
        <w:rPr>
          <w:sz w:val="15"/>
        </w:rPr>
      </w:pPr>
    </w:p>
    <w:p>
      <w:pPr>
        <w:spacing w:before="0"/>
        <w:ind w:left="3423" w:right="0" w:firstLine="0"/>
        <w:jc w:val="left"/>
        <w:rPr>
          <w:sz w:val="12"/>
        </w:rPr>
      </w:pPr>
      <w:r>
        <w:rPr>
          <w:sz w:val="12"/>
        </w:rPr>
        <w:t>7.0</w:t>
      </w:r>
    </w:p>
    <w:p>
      <w:pPr>
        <w:pStyle w:val="BodyText"/>
        <w:spacing w:before="10"/>
        <w:rPr>
          <w:sz w:val="15"/>
        </w:rPr>
      </w:pPr>
    </w:p>
    <w:p>
      <w:pPr>
        <w:spacing w:before="0"/>
        <w:ind w:left="3423" w:right="0" w:firstLine="0"/>
        <w:jc w:val="left"/>
        <w:rPr>
          <w:sz w:val="12"/>
        </w:rPr>
      </w:pPr>
      <w:r>
        <w:rPr>
          <w:sz w:val="12"/>
        </w:rPr>
        <w:t>6.5</w:t>
      </w:r>
    </w:p>
    <w:p>
      <w:pPr>
        <w:pStyle w:val="BodyText"/>
        <w:spacing w:before="10"/>
        <w:rPr>
          <w:sz w:val="15"/>
        </w:rPr>
      </w:pPr>
    </w:p>
    <w:p>
      <w:pPr>
        <w:spacing w:before="0"/>
        <w:ind w:left="3423" w:right="0" w:firstLine="0"/>
        <w:jc w:val="left"/>
        <w:rPr>
          <w:sz w:val="12"/>
        </w:rPr>
      </w:pPr>
      <w:r>
        <w:rPr>
          <w:sz w:val="12"/>
        </w:rPr>
        <w:t>6.0</w:t>
      </w:r>
    </w:p>
    <w:p>
      <w:pPr>
        <w:pStyle w:val="BodyText"/>
        <w:spacing w:before="9"/>
        <w:rPr>
          <w:sz w:val="15"/>
        </w:rPr>
      </w:pPr>
    </w:p>
    <w:p>
      <w:pPr>
        <w:spacing w:before="1"/>
        <w:ind w:left="3423" w:right="0" w:firstLine="0"/>
        <w:jc w:val="left"/>
        <w:rPr>
          <w:sz w:val="12"/>
        </w:rPr>
      </w:pPr>
      <w:r>
        <w:rPr>
          <w:sz w:val="12"/>
        </w:rPr>
        <w:t>5.5</w:t>
      </w:r>
    </w:p>
    <w:p>
      <w:pPr>
        <w:pStyle w:val="BodyText"/>
        <w:spacing w:before="9"/>
        <w:rPr>
          <w:sz w:val="15"/>
        </w:rPr>
      </w:pPr>
    </w:p>
    <w:p>
      <w:pPr>
        <w:spacing w:before="0"/>
        <w:ind w:left="3423" w:right="0" w:firstLine="0"/>
        <w:jc w:val="left"/>
        <w:rPr>
          <w:sz w:val="12"/>
        </w:rPr>
      </w:pPr>
      <w:r>
        <w:rPr>
          <w:sz w:val="12"/>
        </w:rPr>
        <w:t>5.0</w:t>
      </w:r>
    </w:p>
    <w:p>
      <w:pPr>
        <w:pStyle w:val="BodyText"/>
        <w:spacing w:before="10"/>
        <w:rPr>
          <w:sz w:val="15"/>
        </w:rPr>
      </w:pPr>
    </w:p>
    <w:p>
      <w:pPr>
        <w:spacing w:before="0"/>
        <w:ind w:left="3423" w:right="0" w:firstLine="0"/>
        <w:jc w:val="left"/>
        <w:rPr>
          <w:sz w:val="12"/>
        </w:rPr>
      </w:pPr>
      <w:r>
        <w:rPr>
          <w:sz w:val="12"/>
        </w:rPr>
        <w:t>4.5</w:t>
      </w:r>
    </w:p>
    <w:p>
      <w:pPr>
        <w:pStyle w:val="BodyText"/>
        <w:spacing w:before="10"/>
        <w:rPr>
          <w:sz w:val="15"/>
        </w:rPr>
      </w:pPr>
    </w:p>
    <w:p>
      <w:pPr>
        <w:spacing w:before="0"/>
        <w:ind w:left="3423" w:right="0" w:firstLine="0"/>
        <w:jc w:val="left"/>
        <w:rPr>
          <w:sz w:val="12"/>
        </w:rPr>
      </w:pPr>
      <w:r>
        <w:rPr>
          <w:sz w:val="12"/>
        </w:rPr>
        <w:t>4.0</w:t>
      </w:r>
    </w:p>
    <w:p>
      <w:pPr>
        <w:pStyle w:val="BodyText"/>
        <w:spacing w:before="10"/>
        <w:rPr>
          <w:sz w:val="15"/>
        </w:rPr>
      </w:pPr>
    </w:p>
    <w:p>
      <w:pPr>
        <w:spacing w:before="0"/>
        <w:ind w:left="3428" w:right="0" w:firstLine="0"/>
        <w:jc w:val="left"/>
        <w:rPr>
          <w:sz w:val="12"/>
        </w:rPr>
      </w:pPr>
      <w:r>
        <w:rPr/>
        <w:drawing>
          <wp:anchor distT="0" distB="0" distL="0" distR="0" allowOverlap="1" layoutInCell="1" locked="0" behindDoc="0" simplePos="0" relativeHeight="15832064">
            <wp:simplePos x="0" y="0"/>
            <wp:positionH relativeFrom="page">
              <wp:posOffset>530593</wp:posOffset>
            </wp:positionH>
            <wp:positionV relativeFrom="paragraph">
              <wp:posOffset>54007</wp:posOffset>
            </wp:positionV>
            <wp:extent cx="2052231" cy="93129"/>
            <wp:effectExtent l="0" t="0" r="0" b="0"/>
            <wp:wrapNone/>
            <wp:docPr id="23" name="image19.png"/>
            <wp:cNvGraphicFramePr>
              <a:graphicFrameLocks noChangeAspect="1"/>
            </wp:cNvGraphicFramePr>
            <a:graphic>
              <a:graphicData uri="http://schemas.openxmlformats.org/drawingml/2006/picture">
                <pic:pic>
                  <pic:nvPicPr>
                    <pic:cNvPr id="24" name="image19.png"/>
                    <pic:cNvPicPr/>
                  </pic:nvPicPr>
                  <pic:blipFill>
                    <a:blip r:embed="rId42" cstate="print"/>
                    <a:stretch>
                      <a:fillRect/>
                    </a:stretch>
                  </pic:blipFill>
                  <pic:spPr>
                    <a:xfrm>
                      <a:off x="0" y="0"/>
                      <a:ext cx="2052231" cy="93129"/>
                    </a:xfrm>
                    <a:prstGeom prst="rect">
                      <a:avLst/>
                    </a:prstGeom>
                  </pic:spPr>
                </pic:pic>
              </a:graphicData>
            </a:graphic>
          </wp:anchor>
        </w:drawing>
      </w:r>
      <w:r>
        <w:rPr>
          <w:sz w:val="12"/>
        </w:rPr>
        <w:t>3.5</w:t>
      </w:r>
    </w:p>
    <w:p>
      <w:pPr>
        <w:spacing w:line="125" w:lineRule="exact" w:before="0"/>
        <w:ind w:left="3428" w:right="0" w:firstLine="0"/>
        <w:jc w:val="left"/>
        <w:rPr>
          <w:sz w:val="12"/>
        </w:rPr>
      </w:pPr>
      <w:r>
        <w:rPr>
          <w:sz w:val="12"/>
        </w:rPr>
        <w:t>0.0</w:t>
      </w:r>
    </w:p>
    <w:p>
      <w:pPr>
        <w:tabs>
          <w:tab w:pos="1508" w:val="left" w:leader="none"/>
          <w:tab w:pos="2330" w:val="left" w:leader="none"/>
          <w:tab w:pos="2894" w:val="left" w:leader="none"/>
        </w:tabs>
        <w:spacing w:line="125" w:lineRule="exact" w:before="0"/>
        <w:ind w:left="628" w:right="0" w:firstLine="0"/>
        <w:jc w:val="left"/>
        <w:rPr>
          <w:sz w:val="12"/>
        </w:rPr>
      </w:pPr>
      <w:r>
        <w:rPr>
          <w:sz w:val="12"/>
        </w:rPr>
        <w:t>1997</w:t>
        <w:tab/>
        <w:t>98</w:t>
        <w:tab/>
        <w:t>99</w:t>
        <w:tab/>
        <w:t>2000</w:t>
      </w:r>
    </w:p>
    <w:p>
      <w:pPr>
        <w:spacing w:before="93"/>
        <w:ind w:left="185" w:right="0" w:firstLine="0"/>
        <w:jc w:val="left"/>
        <w:rPr>
          <w:sz w:val="12"/>
        </w:rPr>
      </w:pPr>
      <w:r>
        <w:rPr>
          <w:sz w:val="12"/>
        </w:rPr>
        <w:t>Source: Bank of England.</w:t>
      </w:r>
    </w:p>
    <w:p>
      <w:pPr>
        <w:spacing w:before="102"/>
        <w:ind w:left="185" w:right="0" w:firstLine="0"/>
        <w:jc w:val="left"/>
        <w:rPr>
          <w:sz w:val="12"/>
        </w:rPr>
      </w:pPr>
      <w:r>
        <w:rPr>
          <w:sz w:val="12"/>
        </w:rPr>
        <w:t>(a) Calculated from the prices of French and German government bonds.</w:t>
      </w:r>
    </w:p>
    <w:p>
      <w:pPr>
        <w:spacing w:line="242" w:lineRule="auto" w:before="104"/>
        <w:ind w:left="185" w:right="276" w:firstLine="0"/>
        <w:jc w:val="left"/>
        <w:rPr>
          <w:sz w:val="24"/>
        </w:rPr>
      </w:pPr>
      <w:r>
        <w:rPr/>
        <w:br w:type="column"/>
      </w:r>
      <w:r>
        <w:rPr>
          <w:sz w:val="24"/>
        </w:rPr>
        <w:t>Many household borrowing rates have tended to be related more closely to short-term than to long-term interest rates. The official repo rate has been raised by 100 basis points since August 1999. But over the past year average unsecured lending rates are estimated to have fallen slightly (see Table 1.B). Most of the decline has occurred in the period since February, during which official rates have remained unchanged. The decline may reflect greater creditworthiness of households, or increased competition in the credit card market. The cost of variable-rate mortgages also tends to vary with short-term interest rates. Standard variable rates on mortgages have risen by almost 100 basis points since August 1999. But some mortgage products offer discounts to the standard variable rate for a limited period. These discounts have increased over the past year, possibly because of an increase in the degree of competition between mortgage lenders. For example, two-year discounted mortgage rates have risen by approximately half as much as the official repo rate.</w:t>
      </w:r>
    </w:p>
    <w:p>
      <w:pPr>
        <w:spacing w:after="0" w:line="242" w:lineRule="auto"/>
        <w:jc w:val="left"/>
        <w:rPr>
          <w:sz w:val="24"/>
        </w:rPr>
        <w:sectPr>
          <w:type w:val="continuous"/>
          <w:pgSz w:w="11900" w:h="16840"/>
          <w:pgMar w:top="1260" w:bottom="280" w:left="640" w:right="640"/>
          <w:cols w:num="2" w:equalWidth="0">
            <w:col w:w="3821" w:space="959"/>
            <w:col w:w="5840"/>
          </w:cols>
        </w:sectPr>
      </w:pPr>
    </w:p>
    <w:p>
      <w:pPr>
        <w:pStyle w:val="BodyText"/>
        <w:rPr>
          <w:sz w:val="20"/>
        </w:rPr>
      </w:pPr>
    </w:p>
    <w:p>
      <w:pPr>
        <w:spacing w:after="0"/>
        <w:rPr>
          <w:sz w:val="20"/>
        </w:rPr>
        <w:sectPr>
          <w:headerReference w:type="default" r:id="rId43"/>
          <w:headerReference w:type="even" r:id="rId44"/>
          <w:footerReference w:type="default" r:id="rId45"/>
          <w:footerReference w:type="even" r:id="rId46"/>
          <w:pgSz w:w="11900" w:h="16840"/>
          <w:pgMar w:header="586" w:footer="926" w:top="780" w:bottom="1120" w:left="640" w:right="640"/>
        </w:sectPr>
      </w:pPr>
    </w:p>
    <w:p>
      <w:pPr>
        <w:pStyle w:val="BodyText"/>
        <w:spacing w:before="6"/>
        <w:rPr>
          <w:sz w:val="20"/>
        </w:rPr>
      </w:pPr>
    </w:p>
    <w:p>
      <w:pPr>
        <w:pStyle w:val="Heading6"/>
        <w:spacing w:before="0"/>
        <w:ind w:left="154"/>
      </w:pPr>
      <w:bookmarkStart w:name="Corporate borrowing rates" w:id="18"/>
      <w:bookmarkEnd w:id="18"/>
      <w:r>
        <w:rPr>
          <w:b w:val="0"/>
        </w:rPr>
      </w:r>
      <w:bookmarkStart w:name="_bookmark6" w:id="19"/>
      <w:bookmarkEnd w:id="19"/>
      <w:r>
        <w:rPr>
          <w:b w:val="0"/>
        </w:rPr>
      </w:r>
      <w:r>
        <w:rPr>
          <w:color w:val="0092C7"/>
        </w:rPr>
        <w:t>Table 1.B</w:t>
      </w:r>
    </w:p>
    <w:p>
      <w:pPr>
        <w:pStyle w:val="Heading6"/>
        <w:ind w:left="154"/>
      </w:pPr>
      <w:r>
        <w:rPr>
          <w:color w:val="0092C7"/>
        </w:rPr>
        <w:t>Changes in household borrowing rates</w:t>
      </w:r>
    </w:p>
    <w:p>
      <w:pPr>
        <w:tabs>
          <w:tab w:pos="3364" w:val="left" w:leader="none"/>
        </w:tabs>
        <w:spacing w:line="150" w:lineRule="exact" w:before="106"/>
        <w:ind w:left="2149" w:right="0" w:firstLine="0"/>
        <w:jc w:val="left"/>
        <w:rPr>
          <w:sz w:val="14"/>
        </w:rPr>
      </w:pPr>
      <w:r>
        <w:rPr>
          <w:sz w:val="14"/>
        </w:rPr>
        <w:t>Change</w:t>
      </w:r>
      <w:r>
        <w:rPr>
          <w:spacing w:val="-4"/>
          <w:sz w:val="14"/>
        </w:rPr>
        <w:t> </w:t>
      </w:r>
      <w:r>
        <w:rPr>
          <w:sz w:val="14"/>
        </w:rPr>
        <w:t>since</w:t>
        <w:tab/>
        <w:t>Change</w:t>
      </w:r>
      <w:r>
        <w:rPr>
          <w:spacing w:val="-11"/>
          <w:sz w:val="14"/>
        </w:rPr>
        <w:t> </w:t>
      </w:r>
      <w:r>
        <w:rPr>
          <w:sz w:val="14"/>
        </w:rPr>
        <w:t>since</w:t>
      </w:r>
    </w:p>
    <w:p>
      <w:pPr>
        <w:tabs>
          <w:tab w:pos="3364" w:val="left" w:leader="none"/>
        </w:tabs>
        <w:spacing w:line="140" w:lineRule="exact" w:before="0"/>
        <w:ind w:left="2149" w:right="0" w:firstLine="0"/>
        <w:jc w:val="left"/>
        <w:rPr>
          <w:sz w:val="14"/>
        </w:rPr>
      </w:pPr>
      <w:r>
        <w:rPr>
          <w:sz w:val="14"/>
        </w:rPr>
        <w:t>February 2000</w:t>
        <w:tab/>
        <w:t>August 1999</w:t>
      </w:r>
    </w:p>
    <w:p>
      <w:pPr>
        <w:tabs>
          <w:tab w:pos="3339" w:val="left" w:leader="none"/>
        </w:tabs>
        <w:spacing w:line="150" w:lineRule="exact" w:before="0"/>
        <w:ind w:left="2128" w:right="0" w:firstLine="0"/>
        <w:jc w:val="left"/>
        <w:rPr>
          <w:sz w:val="14"/>
        </w:rPr>
      </w:pPr>
      <w:r>
        <w:rPr>
          <w:spacing w:val="-14"/>
          <w:sz w:val="14"/>
          <w:u w:val="single"/>
        </w:rPr>
        <w:t> </w:t>
      </w:r>
      <w:r>
        <w:rPr>
          <w:sz w:val="14"/>
          <w:u w:val="single"/>
        </w:rPr>
        <w:t>(basis</w:t>
      </w:r>
      <w:r>
        <w:rPr>
          <w:spacing w:val="-5"/>
          <w:sz w:val="14"/>
          <w:u w:val="single"/>
        </w:rPr>
        <w:t> </w:t>
      </w:r>
      <w:r>
        <w:rPr>
          <w:sz w:val="14"/>
          <w:u w:val="single"/>
        </w:rPr>
        <w:t>points)</w:t>
      </w:r>
      <w:r>
        <w:rPr>
          <w:sz w:val="14"/>
        </w:rPr>
        <w:tab/>
      </w:r>
      <w:r>
        <w:rPr>
          <w:sz w:val="14"/>
          <w:u w:val="single"/>
        </w:rPr>
        <w:t> (basis</w:t>
      </w:r>
      <w:r>
        <w:rPr>
          <w:spacing w:val="-12"/>
          <w:sz w:val="14"/>
          <w:u w:val="single"/>
        </w:rPr>
        <w:t> </w:t>
      </w:r>
      <w:r>
        <w:rPr>
          <w:sz w:val="14"/>
          <w:u w:val="single"/>
        </w:rPr>
        <w:t>points)</w:t>
      </w:r>
      <w:r>
        <w:rPr>
          <w:spacing w:val="6"/>
          <w:sz w:val="14"/>
          <w:u w:val="single"/>
        </w:rPr>
        <w:t> </w:t>
      </w:r>
    </w:p>
    <w:p>
      <w:pPr>
        <w:pStyle w:val="BodyText"/>
        <w:spacing w:before="10"/>
        <w:rPr>
          <w:sz w:val="10"/>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97"/>
        <w:gridCol w:w="787"/>
        <w:gridCol w:w="770"/>
      </w:tblGrid>
      <w:tr>
        <w:trPr>
          <w:trHeight w:val="147" w:hRule="atLeast"/>
        </w:trPr>
        <w:tc>
          <w:tcPr>
            <w:tcW w:w="2297" w:type="dxa"/>
          </w:tcPr>
          <w:p>
            <w:pPr>
              <w:pStyle w:val="TableParagraph"/>
              <w:spacing w:line="128" w:lineRule="exact"/>
              <w:ind w:left="50"/>
              <w:rPr>
                <w:sz w:val="14"/>
              </w:rPr>
            </w:pPr>
            <w:r>
              <w:rPr>
                <w:sz w:val="14"/>
              </w:rPr>
              <w:t>Repo rate</w:t>
            </w:r>
          </w:p>
        </w:tc>
        <w:tc>
          <w:tcPr>
            <w:tcW w:w="787" w:type="dxa"/>
          </w:tcPr>
          <w:p>
            <w:pPr>
              <w:pStyle w:val="TableParagraph"/>
              <w:spacing w:line="128" w:lineRule="exact"/>
              <w:ind w:right="508"/>
              <w:jc w:val="right"/>
              <w:rPr>
                <w:sz w:val="14"/>
              </w:rPr>
            </w:pPr>
            <w:r>
              <w:rPr>
                <w:sz w:val="14"/>
              </w:rPr>
              <w:t>0</w:t>
            </w:r>
          </w:p>
        </w:tc>
        <w:tc>
          <w:tcPr>
            <w:tcW w:w="770" w:type="dxa"/>
          </w:tcPr>
          <w:p>
            <w:pPr>
              <w:pStyle w:val="TableParagraph"/>
              <w:spacing w:line="128" w:lineRule="exact"/>
              <w:ind w:right="50"/>
              <w:jc w:val="right"/>
              <w:rPr>
                <w:sz w:val="14"/>
              </w:rPr>
            </w:pPr>
            <w:r>
              <w:rPr>
                <w:sz w:val="14"/>
              </w:rPr>
              <w:t>100</w:t>
            </w:r>
          </w:p>
        </w:tc>
      </w:tr>
      <w:tr>
        <w:trPr>
          <w:trHeight w:val="140" w:hRule="atLeast"/>
        </w:trPr>
        <w:tc>
          <w:tcPr>
            <w:tcW w:w="2297" w:type="dxa"/>
          </w:tcPr>
          <w:p>
            <w:pPr>
              <w:pStyle w:val="TableParagraph"/>
              <w:ind w:left="50"/>
              <w:rPr>
                <w:sz w:val="12"/>
              </w:rPr>
            </w:pPr>
            <w:r>
              <w:rPr>
                <w:sz w:val="14"/>
              </w:rPr>
              <w:t>Average unsecured </w:t>
            </w:r>
            <w:r>
              <w:rPr>
                <w:sz w:val="12"/>
              </w:rPr>
              <w:t>(a)</w:t>
            </w:r>
          </w:p>
        </w:tc>
        <w:tc>
          <w:tcPr>
            <w:tcW w:w="787" w:type="dxa"/>
          </w:tcPr>
          <w:p>
            <w:pPr>
              <w:pStyle w:val="TableParagraph"/>
              <w:ind w:right="507"/>
              <w:jc w:val="right"/>
              <w:rPr>
                <w:sz w:val="14"/>
              </w:rPr>
            </w:pPr>
            <w:r>
              <w:rPr>
                <w:sz w:val="14"/>
              </w:rPr>
              <w:t>-20</w:t>
            </w:r>
          </w:p>
        </w:tc>
        <w:tc>
          <w:tcPr>
            <w:tcW w:w="770" w:type="dxa"/>
          </w:tcPr>
          <w:p>
            <w:pPr>
              <w:pStyle w:val="TableParagraph"/>
              <w:ind w:right="50"/>
              <w:jc w:val="right"/>
              <w:rPr>
                <w:sz w:val="14"/>
              </w:rPr>
            </w:pPr>
            <w:r>
              <w:rPr>
                <w:sz w:val="14"/>
              </w:rPr>
              <w:t>-4</w:t>
            </w:r>
          </w:p>
        </w:tc>
      </w:tr>
      <w:tr>
        <w:trPr>
          <w:trHeight w:val="140" w:hRule="atLeast"/>
        </w:trPr>
        <w:tc>
          <w:tcPr>
            <w:tcW w:w="2297" w:type="dxa"/>
          </w:tcPr>
          <w:p>
            <w:pPr>
              <w:pStyle w:val="TableParagraph"/>
              <w:ind w:left="50"/>
              <w:rPr>
                <w:sz w:val="12"/>
              </w:rPr>
            </w:pPr>
            <w:r>
              <w:rPr>
                <w:sz w:val="14"/>
              </w:rPr>
              <w:t>Standard variable mortgage rate </w:t>
            </w:r>
            <w:r>
              <w:rPr>
                <w:sz w:val="12"/>
              </w:rPr>
              <w:t>(b)</w:t>
            </w:r>
          </w:p>
        </w:tc>
        <w:tc>
          <w:tcPr>
            <w:tcW w:w="787" w:type="dxa"/>
          </w:tcPr>
          <w:p>
            <w:pPr>
              <w:pStyle w:val="TableParagraph"/>
              <w:ind w:right="507"/>
              <w:jc w:val="right"/>
              <w:rPr>
                <w:sz w:val="14"/>
              </w:rPr>
            </w:pPr>
            <w:r>
              <w:rPr>
                <w:sz w:val="14"/>
              </w:rPr>
              <w:t>26</w:t>
            </w:r>
          </w:p>
        </w:tc>
        <w:tc>
          <w:tcPr>
            <w:tcW w:w="770" w:type="dxa"/>
          </w:tcPr>
          <w:p>
            <w:pPr>
              <w:pStyle w:val="TableParagraph"/>
              <w:ind w:right="50"/>
              <w:jc w:val="right"/>
              <w:rPr>
                <w:sz w:val="14"/>
              </w:rPr>
            </w:pPr>
            <w:r>
              <w:rPr>
                <w:sz w:val="14"/>
              </w:rPr>
              <w:t>93</w:t>
            </w:r>
          </w:p>
        </w:tc>
      </w:tr>
      <w:tr>
        <w:trPr>
          <w:trHeight w:val="140" w:hRule="atLeast"/>
        </w:trPr>
        <w:tc>
          <w:tcPr>
            <w:tcW w:w="2297" w:type="dxa"/>
          </w:tcPr>
          <w:p>
            <w:pPr>
              <w:pStyle w:val="TableParagraph"/>
              <w:ind w:left="50"/>
              <w:rPr>
                <w:sz w:val="12"/>
              </w:rPr>
            </w:pPr>
            <w:r>
              <w:rPr>
                <w:sz w:val="14"/>
              </w:rPr>
              <w:t>Two-year discounted mortgage rate </w:t>
            </w:r>
            <w:r>
              <w:rPr>
                <w:sz w:val="12"/>
              </w:rPr>
              <w:t>(b)</w:t>
            </w:r>
          </w:p>
        </w:tc>
        <w:tc>
          <w:tcPr>
            <w:tcW w:w="787" w:type="dxa"/>
          </w:tcPr>
          <w:p>
            <w:pPr>
              <w:pStyle w:val="TableParagraph"/>
              <w:ind w:right="507"/>
              <w:jc w:val="right"/>
              <w:rPr>
                <w:sz w:val="14"/>
              </w:rPr>
            </w:pPr>
            <w:r>
              <w:rPr>
                <w:sz w:val="14"/>
              </w:rPr>
              <w:t>29</w:t>
            </w:r>
          </w:p>
        </w:tc>
        <w:tc>
          <w:tcPr>
            <w:tcW w:w="770" w:type="dxa"/>
          </w:tcPr>
          <w:p>
            <w:pPr>
              <w:pStyle w:val="TableParagraph"/>
              <w:ind w:right="50"/>
              <w:jc w:val="right"/>
              <w:rPr>
                <w:sz w:val="14"/>
              </w:rPr>
            </w:pPr>
            <w:r>
              <w:rPr>
                <w:sz w:val="14"/>
              </w:rPr>
              <w:t>55</w:t>
            </w:r>
          </w:p>
        </w:tc>
      </w:tr>
      <w:tr>
        <w:trPr>
          <w:trHeight w:val="140" w:hRule="atLeast"/>
        </w:trPr>
        <w:tc>
          <w:tcPr>
            <w:tcW w:w="2297" w:type="dxa"/>
          </w:tcPr>
          <w:p>
            <w:pPr>
              <w:pStyle w:val="TableParagraph"/>
              <w:ind w:left="50"/>
              <w:rPr>
                <w:sz w:val="12"/>
              </w:rPr>
            </w:pPr>
            <w:r>
              <w:rPr>
                <w:sz w:val="14"/>
              </w:rPr>
              <w:t>Two-year fixed mortgage rate </w:t>
            </w:r>
            <w:r>
              <w:rPr>
                <w:sz w:val="12"/>
              </w:rPr>
              <w:t>(b)</w:t>
            </w:r>
          </w:p>
        </w:tc>
        <w:tc>
          <w:tcPr>
            <w:tcW w:w="787" w:type="dxa"/>
          </w:tcPr>
          <w:p>
            <w:pPr>
              <w:pStyle w:val="TableParagraph"/>
              <w:ind w:right="507"/>
              <w:jc w:val="right"/>
              <w:rPr>
                <w:sz w:val="14"/>
              </w:rPr>
            </w:pPr>
            <w:r>
              <w:rPr>
                <w:sz w:val="14"/>
              </w:rPr>
              <w:t>-39</w:t>
            </w:r>
          </w:p>
        </w:tc>
        <w:tc>
          <w:tcPr>
            <w:tcW w:w="770" w:type="dxa"/>
          </w:tcPr>
          <w:p>
            <w:pPr>
              <w:pStyle w:val="TableParagraph"/>
              <w:ind w:right="50"/>
              <w:jc w:val="right"/>
              <w:rPr>
                <w:sz w:val="14"/>
              </w:rPr>
            </w:pPr>
            <w:r>
              <w:rPr>
                <w:sz w:val="14"/>
              </w:rPr>
              <w:t>30</w:t>
            </w:r>
          </w:p>
        </w:tc>
      </w:tr>
      <w:tr>
        <w:trPr>
          <w:trHeight w:val="403" w:hRule="atLeast"/>
        </w:trPr>
        <w:tc>
          <w:tcPr>
            <w:tcW w:w="2297" w:type="dxa"/>
          </w:tcPr>
          <w:p>
            <w:pPr>
              <w:pStyle w:val="TableParagraph"/>
              <w:spacing w:line="148" w:lineRule="exact"/>
              <w:ind w:left="50"/>
              <w:rPr>
                <w:sz w:val="12"/>
              </w:rPr>
            </w:pPr>
            <w:r>
              <w:rPr>
                <w:sz w:val="14"/>
              </w:rPr>
              <w:t>Average secured </w:t>
            </w:r>
            <w:r>
              <w:rPr>
                <w:sz w:val="12"/>
              </w:rPr>
              <w:t>(a)</w:t>
            </w:r>
          </w:p>
          <w:p>
            <w:pPr>
              <w:pStyle w:val="TableParagraph"/>
              <w:spacing w:line="118" w:lineRule="exact" w:before="117"/>
              <w:ind w:left="50"/>
              <w:rPr>
                <w:sz w:val="12"/>
              </w:rPr>
            </w:pPr>
            <w:r>
              <w:rPr>
                <w:sz w:val="12"/>
              </w:rPr>
              <w:t>Sources: Bank of England and Moneyfacts.</w:t>
            </w:r>
          </w:p>
        </w:tc>
        <w:tc>
          <w:tcPr>
            <w:tcW w:w="787" w:type="dxa"/>
          </w:tcPr>
          <w:p>
            <w:pPr>
              <w:pStyle w:val="TableParagraph"/>
              <w:spacing w:line="148" w:lineRule="exact"/>
              <w:ind w:right="507"/>
              <w:jc w:val="right"/>
              <w:rPr>
                <w:sz w:val="14"/>
              </w:rPr>
            </w:pPr>
            <w:r>
              <w:rPr>
                <w:sz w:val="14"/>
              </w:rPr>
              <w:t>8</w:t>
            </w:r>
          </w:p>
        </w:tc>
        <w:tc>
          <w:tcPr>
            <w:tcW w:w="770" w:type="dxa"/>
          </w:tcPr>
          <w:p>
            <w:pPr>
              <w:pStyle w:val="TableParagraph"/>
              <w:spacing w:line="148" w:lineRule="exact"/>
              <w:ind w:right="50"/>
              <w:jc w:val="right"/>
              <w:rPr>
                <w:sz w:val="14"/>
              </w:rPr>
            </w:pPr>
            <w:r>
              <w:rPr>
                <w:sz w:val="14"/>
              </w:rPr>
              <w:t>52</w:t>
            </w:r>
          </w:p>
        </w:tc>
      </w:tr>
    </w:tbl>
    <w:p>
      <w:pPr>
        <w:pStyle w:val="ListParagraph"/>
        <w:numPr>
          <w:ilvl w:val="0"/>
          <w:numId w:val="8"/>
        </w:numPr>
        <w:tabs>
          <w:tab w:pos="395" w:val="left" w:leader="none"/>
        </w:tabs>
        <w:spacing w:line="208" w:lineRule="auto" w:before="116" w:after="0"/>
        <w:ind w:left="394" w:right="267" w:hanging="240"/>
        <w:jc w:val="left"/>
        <w:rPr>
          <w:sz w:val="12"/>
        </w:rPr>
      </w:pPr>
      <w:r>
        <w:rPr>
          <w:sz w:val="12"/>
        </w:rPr>
        <w:t>Difference</w:t>
      </w:r>
      <w:r>
        <w:rPr>
          <w:spacing w:val="-6"/>
          <w:sz w:val="12"/>
        </w:rPr>
        <w:t> </w:t>
      </w:r>
      <w:r>
        <w:rPr>
          <w:sz w:val="12"/>
        </w:rPr>
        <w:t>between</w:t>
      </w:r>
      <w:r>
        <w:rPr>
          <w:spacing w:val="-6"/>
          <w:sz w:val="12"/>
        </w:rPr>
        <w:t> </w:t>
      </w:r>
      <w:r>
        <w:rPr>
          <w:sz w:val="12"/>
        </w:rPr>
        <w:t>monthly</w:t>
      </w:r>
      <w:r>
        <w:rPr>
          <w:spacing w:val="-6"/>
          <w:sz w:val="12"/>
        </w:rPr>
        <w:t> </w:t>
      </w:r>
      <w:r>
        <w:rPr>
          <w:sz w:val="12"/>
        </w:rPr>
        <w:t>estimates</w:t>
      </w:r>
      <w:r>
        <w:rPr>
          <w:spacing w:val="-6"/>
          <w:sz w:val="12"/>
        </w:rPr>
        <w:t> </w:t>
      </w:r>
      <w:r>
        <w:rPr>
          <w:sz w:val="12"/>
        </w:rPr>
        <w:t>for</w:t>
      </w:r>
      <w:r>
        <w:rPr>
          <w:spacing w:val="-6"/>
          <w:sz w:val="12"/>
        </w:rPr>
        <w:t> </w:t>
      </w:r>
      <w:r>
        <w:rPr>
          <w:sz w:val="12"/>
        </w:rPr>
        <w:t>June</w:t>
      </w:r>
      <w:r>
        <w:rPr>
          <w:spacing w:val="-5"/>
          <w:sz w:val="12"/>
        </w:rPr>
        <w:t> </w:t>
      </w:r>
      <w:r>
        <w:rPr>
          <w:sz w:val="12"/>
        </w:rPr>
        <w:t>2000,</w:t>
      </w:r>
      <w:r>
        <w:rPr>
          <w:spacing w:val="-5"/>
          <w:sz w:val="12"/>
        </w:rPr>
        <w:t> </w:t>
      </w:r>
      <w:r>
        <w:rPr>
          <w:sz w:val="12"/>
        </w:rPr>
        <w:t>and</w:t>
      </w:r>
      <w:r>
        <w:rPr>
          <w:spacing w:val="-6"/>
          <w:sz w:val="12"/>
        </w:rPr>
        <w:t> </w:t>
      </w:r>
      <w:r>
        <w:rPr>
          <w:sz w:val="12"/>
        </w:rPr>
        <w:t>February</w:t>
      </w:r>
      <w:r>
        <w:rPr>
          <w:spacing w:val="-6"/>
          <w:sz w:val="12"/>
        </w:rPr>
        <w:t> </w:t>
      </w:r>
      <w:r>
        <w:rPr>
          <w:sz w:val="12"/>
        </w:rPr>
        <w:t>2000, or August 1999. The rates are averages across new and</w:t>
      </w:r>
      <w:r>
        <w:rPr>
          <w:spacing w:val="-6"/>
          <w:sz w:val="12"/>
        </w:rPr>
        <w:t> </w:t>
      </w:r>
      <w:r>
        <w:rPr>
          <w:sz w:val="12"/>
        </w:rPr>
        <w:t>existing</w:t>
      </w:r>
    </w:p>
    <w:p>
      <w:pPr>
        <w:spacing w:line="114" w:lineRule="exact" w:before="0"/>
        <w:ind w:left="394" w:right="0" w:firstLine="0"/>
        <w:jc w:val="left"/>
        <w:rPr>
          <w:sz w:val="12"/>
        </w:rPr>
      </w:pPr>
      <w:r>
        <w:rPr>
          <w:sz w:val="12"/>
        </w:rPr>
        <w:t>loans by banks.</w:t>
      </w:r>
    </w:p>
    <w:p>
      <w:pPr>
        <w:pStyle w:val="ListParagraph"/>
        <w:numPr>
          <w:ilvl w:val="0"/>
          <w:numId w:val="8"/>
        </w:numPr>
        <w:tabs>
          <w:tab w:pos="395" w:val="left" w:leader="none"/>
        </w:tabs>
        <w:spacing w:line="208" w:lineRule="auto" w:before="6" w:after="0"/>
        <w:ind w:left="394" w:right="287" w:hanging="240"/>
        <w:jc w:val="left"/>
        <w:rPr>
          <w:sz w:val="12"/>
        </w:rPr>
      </w:pPr>
      <w:r>
        <w:rPr>
          <w:sz w:val="12"/>
        </w:rPr>
        <w:t>Difference</w:t>
      </w:r>
      <w:r>
        <w:rPr>
          <w:spacing w:val="-6"/>
          <w:sz w:val="12"/>
        </w:rPr>
        <w:t> </w:t>
      </w:r>
      <w:r>
        <w:rPr>
          <w:sz w:val="12"/>
        </w:rPr>
        <w:t>between</w:t>
      </w:r>
      <w:r>
        <w:rPr>
          <w:spacing w:val="-6"/>
          <w:sz w:val="12"/>
        </w:rPr>
        <w:t> </w:t>
      </w:r>
      <w:r>
        <w:rPr>
          <w:sz w:val="12"/>
        </w:rPr>
        <w:t>monthly</w:t>
      </w:r>
      <w:r>
        <w:rPr>
          <w:spacing w:val="-6"/>
          <w:sz w:val="12"/>
        </w:rPr>
        <w:t> </w:t>
      </w:r>
      <w:r>
        <w:rPr>
          <w:sz w:val="12"/>
        </w:rPr>
        <w:t>estimates</w:t>
      </w:r>
      <w:r>
        <w:rPr>
          <w:spacing w:val="-6"/>
          <w:sz w:val="12"/>
        </w:rPr>
        <w:t> </w:t>
      </w:r>
      <w:r>
        <w:rPr>
          <w:sz w:val="12"/>
        </w:rPr>
        <w:t>for</w:t>
      </w:r>
      <w:r>
        <w:rPr>
          <w:spacing w:val="-6"/>
          <w:sz w:val="12"/>
        </w:rPr>
        <w:t> </w:t>
      </w:r>
      <w:r>
        <w:rPr>
          <w:sz w:val="12"/>
        </w:rPr>
        <w:t>July</w:t>
      </w:r>
      <w:r>
        <w:rPr>
          <w:spacing w:val="-5"/>
          <w:sz w:val="12"/>
        </w:rPr>
        <w:t> </w:t>
      </w:r>
      <w:r>
        <w:rPr>
          <w:sz w:val="12"/>
        </w:rPr>
        <w:t>2000,</w:t>
      </w:r>
      <w:r>
        <w:rPr>
          <w:spacing w:val="-5"/>
          <w:sz w:val="12"/>
        </w:rPr>
        <w:t> </w:t>
      </w:r>
      <w:r>
        <w:rPr>
          <w:sz w:val="12"/>
        </w:rPr>
        <w:t>and</w:t>
      </w:r>
      <w:r>
        <w:rPr>
          <w:spacing w:val="-6"/>
          <w:sz w:val="12"/>
        </w:rPr>
        <w:t> </w:t>
      </w:r>
      <w:r>
        <w:rPr>
          <w:sz w:val="12"/>
        </w:rPr>
        <w:t>February</w:t>
      </w:r>
      <w:r>
        <w:rPr>
          <w:spacing w:val="-6"/>
          <w:sz w:val="12"/>
        </w:rPr>
        <w:t> </w:t>
      </w:r>
      <w:r>
        <w:rPr>
          <w:sz w:val="12"/>
        </w:rPr>
        <w:t>2000, or August 1999. Rates are for new loans by banks and</w:t>
      </w:r>
      <w:r>
        <w:rPr>
          <w:spacing w:val="-5"/>
          <w:sz w:val="12"/>
        </w:rPr>
        <w:t> </w:t>
      </w:r>
      <w:r>
        <w:rPr>
          <w:sz w:val="12"/>
        </w:rPr>
        <w:t>building</w:t>
      </w:r>
    </w:p>
    <w:p>
      <w:pPr>
        <w:spacing w:line="123" w:lineRule="exact" w:before="0"/>
        <w:ind w:left="394" w:right="0" w:firstLine="0"/>
        <w:jc w:val="left"/>
        <w:rPr>
          <w:sz w:val="12"/>
        </w:rPr>
      </w:pPr>
      <w:r>
        <w:rPr>
          <w:sz w:val="12"/>
        </w:rPr>
        <w:t>societies without redemption penalties.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0"/>
        </w:rPr>
      </w:pPr>
    </w:p>
    <w:p>
      <w:pPr>
        <w:pStyle w:val="Heading6"/>
        <w:spacing w:before="0"/>
        <w:ind w:left="200"/>
      </w:pPr>
      <w:r>
        <w:rPr>
          <w:color w:val="0092C7"/>
        </w:rPr>
        <w:t>Table 1.C</w:t>
      </w:r>
    </w:p>
    <w:p>
      <w:pPr>
        <w:pStyle w:val="Heading6"/>
        <w:ind w:left="200"/>
      </w:pPr>
      <w:r>
        <w:rPr>
          <w:color w:val="0092C7"/>
        </w:rPr>
        <w:t>Changes in corporate borrowing rates</w:t>
      </w:r>
    </w:p>
    <w:p>
      <w:pPr>
        <w:tabs>
          <w:tab w:pos="3214" w:val="left" w:leader="none"/>
        </w:tabs>
        <w:spacing w:line="150" w:lineRule="exact" w:before="106"/>
        <w:ind w:left="1918" w:right="0" w:firstLine="0"/>
        <w:jc w:val="left"/>
        <w:rPr>
          <w:sz w:val="14"/>
        </w:rPr>
      </w:pPr>
      <w:r>
        <w:rPr>
          <w:sz w:val="14"/>
        </w:rPr>
        <w:t>Change</w:t>
      </w:r>
      <w:r>
        <w:rPr>
          <w:spacing w:val="-4"/>
          <w:sz w:val="14"/>
        </w:rPr>
        <w:t> </w:t>
      </w:r>
      <w:r>
        <w:rPr>
          <w:sz w:val="14"/>
        </w:rPr>
        <w:t>since</w:t>
        <w:tab/>
        <w:t>Change</w:t>
      </w:r>
      <w:r>
        <w:rPr>
          <w:spacing w:val="-11"/>
          <w:sz w:val="14"/>
        </w:rPr>
        <w:t> </w:t>
      </w:r>
      <w:r>
        <w:rPr>
          <w:sz w:val="14"/>
        </w:rPr>
        <w:t>since</w:t>
      </w:r>
    </w:p>
    <w:p>
      <w:pPr>
        <w:tabs>
          <w:tab w:pos="3215" w:val="left" w:leader="none"/>
        </w:tabs>
        <w:spacing w:line="140" w:lineRule="exact" w:before="0"/>
        <w:ind w:left="1918" w:right="0" w:firstLine="0"/>
        <w:jc w:val="left"/>
        <w:rPr>
          <w:sz w:val="14"/>
        </w:rPr>
      </w:pPr>
      <w:r>
        <w:rPr>
          <w:sz w:val="14"/>
        </w:rPr>
        <w:t>February 2000</w:t>
        <w:tab/>
        <w:t>August 1999</w:t>
      </w:r>
    </w:p>
    <w:p>
      <w:pPr>
        <w:tabs>
          <w:tab w:pos="3192" w:val="left" w:leader="none"/>
        </w:tabs>
        <w:spacing w:line="150" w:lineRule="exact" w:before="0"/>
        <w:ind w:left="1918" w:right="0" w:firstLine="0"/>
        <w:jc w:val="left"/>
        <w:rPr>
          <w:sz w:val="14"/>
        </w:rPr>
      </w:pPr>
      <w:r>
        <w:rPr>
          <w:sz w:val="14"/>
          <w:u w:val="single"/>
        </w:rPr>
        <w:t>(basis</w:t>
      </w:r>
      <w:r>
        <w:rPr>
          <w:spacing w:val="-5"/>
          <w:sz w:val="14"/>
          <w:u w:val="single"/>
        </w:rPr>
        <w:t> </w:t>
      </w:r>
      <w:r>
        <w:rPr>
          <w:sz w:val="14"/>
          <w:u w:val="single"/>
        </w:rPr>
        <w:t>points)</w:t>
      </w:r>
      <w:r>
        <w:rPr>
          <w:sz w:val="14"/>
        </w:rPr>
        <w:tab/>
      </w:r>
      <w:r>
        <w:rPr>
          <w:sz w:val="14"/>
          <w:u w:val="single"/>
        </w:rPr>
        <w:t> (basis</w:t>
      </w:r>
      <w:r>
        <w:rPr>
          <w:spacing w:val="-12"/>
          <w:sz w:val="14"/>
          <w:u w:val="single"/>
        </w:rPr>
        <w:t> </w:t>
      </w:r>
      <w:r>
        <w:rPr>
          <w:sz w:val="14"/>
          <w:u w:val="single"/>
        </w:rPr>
        <w:t>points)</w:t>
      </w:r>
      <w:r>
        <w:rPr>
          <w:spacing w:val="14"/>
          <w:sz w:val="14"/>
          <w:u w:val="single"/>
        </w:rPr>
        <w:t> </w:t>
      </w:r>
    </w:p>
    <w:p>
      <w:pPr>
        <w:pStyle w:val="BodyText"/>
        <w:spacing w:before="10"/>
        <w:rPr>
          <w:sz w:val="10"/>
        </w:rPr>
      </w:pPr>
    </w:p>
    <w:tbl>
      <w:tblPr>
        <w:tblW w:w="0" w:type="auto"/>
        <w:jc w:val="left"/>
        <w:tblInd w:w="1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7"/>
        <w:gridCol w:w="1069"/>
        <w:gridCol w:w="813"/>
      </w:tblGrid>
      <w:tr>
        <w:trPr>
          <w:trHeight w:val="147" w:hRule="atLeast"/>
        </w:trPr>
        <w:tc>
          <w:tcPr>
            <w:tcW w:w="1837" w:type="dxa"/>
          </w:tcPr>
          <w:p>
            <w:pPr>
              <w:pStyle w:val="TableParagraph"/>
              <w:spacing w:line="128" w:lineRule="exact"/>
              <w:ind w:left="50"/>
              <w:rPr>
                <w:sz w:val="14"/>
              </w:rPr>
            </w:pPr>
            <w:r>
              <w:rPr>
                <w:sz w:val="14"/>
              </w:rPr>
              <w:t>Repo rate</w:t>
            </w:r>
          </w:p>
        </w:tc>
        <w:tc>
          <w:tcPr>
            <w:tcW w:w="1069" w:type="dxa"/>
          </w:tcPr>
          <w:p>
            <w:pPr>
              <w:pStyle w:val="TableParagraph"/>
              <w:spacing w:line="128" w:lineRule="exact"/>
              <w:ind w:right="550"/>
              <w:jc w:val="right"/>
              <w:rPr>
                <w:sz w:val="14"/>
              </w:rPr>
            </w:pPr>
            <w:r>
              <w:rPr>
                <w:sz w:val="14"/>
              </w:rPr>
              <w:t>0</w:t>
            </w:r>
          </w:p>
        </w:tc>
        <w:tc>
          <w:tcPr>
            <w:tcW w:w="813" w:type="dxa"/>
          </w:tcPr>
          <w:p>
            <w:pPr>
              <w:pStyle w:val="TableParagraph"/>
              <w:spacing w:line="128" w:lineRule="exact"/>
              <w:ind w:right="47"/>
              <w:jc w:val="right"/>
              <w:rPr>
                <w:sz w:val="14"/>
              </w:rPr>
            </w:pPr>
            <w:r>
              <w:rPr>
                <w:sz w:val="14"/>
              </w:rPr>
              <w:t>100</w:t>
            </w:r>
          </w:p>
        </w:tc>
      </w:tr>
      <w:tr>
        <w:trPr>
          <w:trHeight w:val="140" w:hRule="atLeast"/>
        </w:trPr>
        <w:tc>
          <w:tcPr>
            <w:tcW w:w="1837" w:type="dxa"/>
          </w:tcPr>
          <w:p>
            <w:pPr>
              <w:pStyle w:val="TableParagraph"/>
              <w:ind w:left="50"/>
              <w:rPr>
                <w:sz w:val="12"/>
              </w:rPr>
            </w:pPr>
            <w:r>
              <w:rPr>
                <w:sz w:val="14"/>
              </w:rPr>
              <w:t>Average bank loan rate </w:t>
            </w:r>
            <w:r>
              <w:rPr>
                <w:sz w:val="12"/>
              </w:rPr>
              <w:t>(a)</w:t>
            </w:r>
          </w:p>
        </w:tc>
        <w:tc>
          <w:tcPr>
            <w:tcW w:w="1069" w:type="dxa"/>
          </w:tcPr>
          <w:p>
            <w:pPr>
              <w:pStyle w:val="TableParagraph"/>
              <w:ind w:right="550"/>
              <w:jc w:val="right"/>
              <w:rPr>
                <w:sz w:val="14"/>
              </w:rPr>
            </w:pPr>
            <w:r>
              <w:rPr>
                <w:sz w:val="14"/>
              </w:rPr>
              <w:t>7</w:t>
            </w:r>
          </w:p>
        </w:tc>
        <w:tc>
          <w:tcPr>
            <w:tcW w:w="813" w:type="dxa"/>
          </w:tcPr>
          <w:p>
            <w:pPr>
              <w:pStyle w:val="TableParagraph"/>
              <w:ind w:right="47"/>
              <w:jc w:val="right"/>
              <w:rPr>
                <w:sz w:val="14"/>
              </w:rPr>
            </w:pPr>
            <w:r>
              <w:rPr>
                <w:sz w:val="14"/>
              </w:rPr>
              <w:t>78</w:t>
            </w:r>
          </w:p>
        </w:tc>
      </w:tr>
      <w:tr>
        <w:trPr>
          <w:trHeight w:val="140" w:hRule="atLeast"/>
        </w:trPr>
        <w:tc>
          <w:tcPr>
            <w:tcW w:w="1837" w:type="dxa"/>
          </w:tcPr>
          <w:p>
            <w:pPr>
              <w:pStyle w:val="TableParagraph"/>
              <w:ind w:left="50"/>
              <w:rPr>
                <w:sz w:val="12"/>
              </w:rPr>
            </w:pPr>
            <w:r>
              <w:rPr>
                <w:sz w:val="14"/>
              </w:rPr>
              <w:t>5-year bond yield </w:t>
            </w:r>
            <w:r>
              <w:rPr>
                <w:sz w:val="12"/>
              </w:rPr>
              <w:t>(b)</w:t>
            </w:r>
          </w:p>
        </w:tc>
        <w:tc>
          <w:tcPr>
            <w:tcW w:w="1069" w:type="dxa"/>
          </w:tcPr>
          <w:p>
            <w:pPr>
              <w:pStyle w:val="TableParagraph"/>
              <w:ind w:right="550"/>
              <w:jc w:val="right"/>
              <w:rPr>
                <w:sz w:val="14"/>
              </w:rPr>
            </w:pPr>
            <w:r>
              <w:rPr>
                <w:sz w:val="14"/>
              </w:rPr>
              <w:t>-49</w:t>
            </w:r>
          </w:p>
        </w:tc>
        <w:tc>
          <w:tcPr>
            <w:tcW w:w="813" w:type="dxa"/>
          </w:tcPr>
          <w:p>
            <w:pPr>
              <w:pStyle w:val="TableParagraph"/>
              <w:ind w:right="47"/>
              <w:jc w:val="right"/>
              <w:rPr>
                <w:sz w:val="14"/>
              </w:rPr>
            </w:pPr>
            <w:r>
              <w:rPr>
                <w:sz w:val="14"/>
              </w:rPr>
              <w:t>-3</w:t>
            </w:r>
          </w:p>
        </w:tc>
      </w:tr>
      <w:tr>
        <w:trPr>
          <w:trHeight w:val="147" w:hRule="atLeast"/>
        </w:trPr>
        <w:tc>
          <w:tcPr>
            <w:tcW w:w="1837" w:type="dxa"/>
          </w:tcPr>
          <w:p>
            <w:pPr>
              <w:pStyle w:val="TableParagraph"/>
              <w:spacing w:line="128" w:lineRule="exact"/>
              <w:ind w:left="50"/>
              <w:rPr>
                <w:sz w:val="12"/>
              </w:rPr>
            </w:pPr>
            <w:r>
              <w:rPr>
                <w:sz w:val="14"/>
              </w:rPr>
              <w:t>20-year bond yield </w:t>
            </w:r>
            <w:r>
              <w:rPr>
                <w:sz w:val="12"/>
              </w:rPr>
              <w:t>(b)</w:t>
            </w:r>
          </w:p>
        </w:tc>
        <w:tc>
          <w:tcPr>
            <w:tcW w:w="1069" w:type="dxa"/>
          </w:tcPr>
          <w:p>
            <w:pPr>
              <w:pStyle w:val="TableParagraph"/>
              <w:spacing w:line="128" w:lineRule="exact"/>
              <w:ind w:right="550"/>
              <w:jc w:val="right"/>
              <w:rPr>
                <w:sz w:val="14"/>
              </w:rPr>
            </w:pPr>
            <w:r>
              <w:rPr>
                <w:sz w:val="14"/>
              </w:rPr>
              <w:t>9</w:t>
            </w:r>
          </w:p>
        </w:tc>
        <w:tc>
          <w:tcPr>
            <w:tcW w:w="813" w:type="dxa"/>
          </w:tcPr>
          <w:p>
            <w:pPr>
              <w:pStyle w:val="TableParagraph"/>
              <w:spacing w:line="128" w:lineRule="exact"/>
              <w:ind w:right="47"/>
              <w:jc w:val="right"/>
              <w:rPr>
                <w:sz w:val="14"/>
              </w:rPr>
            </w:pPr>
            <w:r>
              <w:rPr>
                <w:sz w:val="14"/>
              </w:rPr>
              <w:t>54</w:t>
            </w:r>
          </w:p>
        </w:tc>
      </w:tr>
    </w:tbl>
    <w:p>
      <w:pPr>
        <w:spacing w:before="117"/>
        <w:ind w:left="200" w:right="0" w:firstLine="0"/>
        <w:jc w:val="left"/>
        <w:rPr>
          <w:sz w:val="12"/>
        </w:rPr>
      </w:pPr>
      <w:r>
        <w:rPr>
          <w:sz w:val="12"/>
        </w:rPr>
        <w:t>Sources: Bloomberg and Bank of England.</w:t>
      </w:r>
    </w:p>
    <w:p>
      <w:pPr>
        <w:pStyle w:val="BodyText"/>
        <w:spacing w:before="2"/>
        <w:rPr>
          <w:sz w:val="10"/>
        </w:rPr>
      </w:pPr>
    </w:p>
    <w:p>
      <w:pPr>
        <w:pStyle w:val="ListParagraph"/>
        <w:numPr>
          <w:ilvl w:val="0"/>
          <w:numId w:val="9"/>
        </w:numPr>
        <w:tabs>
          <w:tab w:pos="441" w:val="left" w:leader="none"/>
        </w:tabs>
        <w:spacing w:line="208" w:lineRule="auto" w:before="0" w:after="0"/>
        <w:ind w:left="440" w:right="222" w:hanging="240"/>
        <w:jc w:val="left"/>
        <w:rPr>
          <w:sz w:val="12"/>
        </w:rPr>
      </w:pPr>
      <w:r>
        <w:rPr>
          <w:sz w:val="12"/>
        </w:rPr>
        <w:t>Difference</w:t>
      </w:r>
      <w:r>
        <w:rPr>
          <w:spacing w:val="-6"/>
          <w:sz w:val="12"/>
        </w:rPr>
        <w:t> </w:t>
      </w:r>
      <w:r>
        <w:rPr>
          <w:sz w:val="12"/>
        </w:rPr>
        <w:t>between</w:t>
      </w:r>
      <w:r>
        <w:rPr>
          <w:spacing w:val="-6"/>
          <w:sz w:val="12"/>
        </w:rPr>
        <w:t> </w:t>
      </w:r>
      <w:r>
        <w:rPr>
          <w:sz w:val="12"/>
        </w:rPr>
        <w:t>monthly</w:t>
      </w:r>
      <w:r>
        <w:rPr>
          <w:spacing w:val="-6"/>
          <w:sz w:val="12"/>
        </w:rPr>
        <w:t> </w:t>
      </w:r>
      <w:r>
        <w:rPr>
          <w:sz w:val="12"/>
        </w:rPr>
        <w:t>estimates</w:t>
      </w:r>
      <w:r>
        <w:rPr>
          <w:spacing w:val="-6"/>
          <w:sz w:val="12"/>
        </w:rPr>
        <w:t> </w:t>
      </w:r>
      <w:r>
        <w:rPr>
          <w:sz w:val="12"/>
        </w:rPr>
        <w:t>for</w:t>
      </w:r>
      <w:r>
        <w:rPr>
          <w:spacing w:val="-6"/>
          <w:sz w:val="12"/>
        </w:rPr>
        <w:t> </w:t>
      </w:r>
      <w:r>
        <w:rPr>
          <w:sz w:val="12"/>
        </w:rPr>
        <w:t>June</w:t>
      </w:r>
      <w:r>
        <w:rPr>
          <w:spacing w:val="-6"/>
          <w:sz w:val="12"/>
        </w:rPr>
        <w:t> </w:t>
      </w:r>
      <w:r>
        <w:rPr>
          <w:sz w:val="12"/>
        </w:rPr>
        <w:t>2000,</w:t>
      </w:r>
      <w:r>
        <w:rPr>
          <w:spacing w:val="-5"/>
          <w:sz w:val="12"/>
        </w:rPr>
        <w:t> </w:t>
      </w:r>
      <w:r>
        <w:rPr>
          <w:sz w:val="12"/>
        </w:rPr>
        <w:t>and</w:t>
      </w:r>
      <w:r>
        <w:rPr>
          <w:spacing w:val="-5"/>
          <w:sz w:val="12"/>
        </w:rPr>
        <w:t> </w:t>
      </w:r>
      <w:r>
        <w:rPr>
          <w:sz w:val="12"/>
        </w:rPr>
        <w:t>February</w:t>
      </w:r>
      <w:r>
        <w:rPr>
          <w:spacing w:val="-6"/>
          <w:sz w:val="12"/>
        </w:rPr>
        <w:t> </w:t>
      </w:r>
      <w:r>
        <w:rPr>
          <w:sz w:val="12"/>
        </w:rPr>
        <w:t>2000, or August 1999. The rates are averages across overdrafts and other corporate loans by</w:t>
      </w:r>
      <w:r>
        <w:rPr>
          <w:spacing w:val="-4"/>
          <w:sz w:val="12"/>
        </w:rPr>
        <w:t> </w:t>
      </w:r>
      <w:r>
        <w:rPr>
          <w:sz w:val="12"/>
        </w:rPr>
        <w:t>banks.</w:t>
      </w:r>
    </w:p>
    <w:p>
      <w:pPr>
        <w:pStyle w:val="ListParagraph"/>
        <w:numPr>
          <w:ilvl w:val="0"/>
          <w:numId w:val="9"/>
        </w:numPr>
        <w:tabs>
          <w:tab w:pos="441" w:val="left" w:leader="none"/>
        </w:tabs>
        <w:spacing w:line="208" w:lineRule="auto" w:before="0" w:after="0"/>
        <w:ind w:left="440" w:right="325" w:hanging="240"/>
        <w:jc w:val="both"/>
        <w:rPr>
          <w:sz w:val="12"/>
        </w:rPr>
      </w:pPr>
      <w:r>
        <w:rPr>
          <w:sz w:val="12"/>
        </w:rPr>
        <w:t>Difference</w:t>
      </w:r>
      <w:r>
        <w:rPr>
          <w:spacing w:val="-7"/>
          <w:sz w:val="12"/>
        </w:rPr>
        <w:t> </w:t>
      </w:r>
      <w:r>
        <w:rPr>
          <w:sz w:val="12"/>
        </w:rPr>
        <w:t>between</w:t>
      </w:r>
      <w:r>
        <w:rPr>
          <w:spacing w:val="-6"/>
          <w:sz w:val="12"/>
        </w:rPr>
        <w:t> </w:t>
      </w:r>
      <w:r>
        <w:rPr>
          <w:sz w:val="12"/>
        </w:rPr>
        <w:t>sterling</w:t>
      </w:r>
      <w:r>
        <w:rPr>
          <w:spacing w:val="-11"/>
          <w:sz w:val="12"/>
        </w:rPr>
        <w:t> </w:t>
      </w:r>
      <w:r>
        <w:rPr>
          <w:sz w:val="12"/>
        </w:rPr>
        <w:t>A-rated</w:t>
      </w:r>
      <w:r>
        <w:rPr>
          <w:spacing w:val="-6"/>
          <w:sz w:val="12"/>
        </w:rPr>
        <w:t> </w:t>
      </w:r>
      <w:r>
        <w:rPr>
          <w:sz w:val="12"/>
        </w:rPr>
        <w:t>corporate</w:t>
      </w:r>
      <w:r>
        <w:rPr>
          <w:spacing w:val="-6"/>
          <w:sz w:val="12"/>
        </w:rPr>
        <w:t> </w:t>
      </w:r>
      <w:r>
        <w:rPr>
          <w:sz w:val="12"/>
        </w:rPr>
        <w:t>bond</w:t>
      </w:r>
      <w:r>
        <w:rPr>
          <w:spacing w:val="-6"/>
          <w:sz w:val="12"/>
        </w:rPr>
        <w:t> </w:t>
      </w:r>
      <w:r>
        <w:rPr>
          <w:sz w:val="12"/>
        </w:rPr>
        <w:t>yields</w:t>
      </w:r>
      <w:r>
        <w:rPr>
          <w:spacing w:val="-6"/>
          <w:sz w:val="12"/>
        </w:rPr>
        <w:t> </w:t>
      </w:r>
      <w:r>
        <w:rPr>
          <w:sz w:val="12"/>
        </w:rPr>
        <w:t>on</w:t>
      </w:r>
      <w:r>
        <w:rPr>
          <w:spacing w:val="-6"/>
          <w:sz w:val="12"/>
        </w:rPr>
        <w:t> </w:t>
      </w:r>
      <w:r>
        <w:rPr>
          <w:sz w:val="12"/>
        </w:rPr>
        <w:t>2</w:t>
      </w:r>
      <w:r>
        <w:rPr>
          <w:spacing w:val="-11"/>
          <w:sz w:val="12"/>
        </w:rPr>
        <w:t> </w:t>
      </w:r>
      <w:r>
        <w:rPr>
          <w:sz w:val="12"/>
        </w:rPr>
        <w:t>August, the day of the MPC decision in February 2000, and the day prior to the MPC decision in September</w:t>
      </w:r>
      <w:r>
        <w:rPr>
          <w:spacing w:val="-6"/>
          <w:sz w:val="12"/>
        </w:rPr>
        <w:t> </w:t>
      </w:r>
      <w:r>
        <w:rPr>
          <w:sz w:val="12"/>
        </w:rPr>
        <w:t>1999.</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81"/>
        <w:ind w:left="200"/>
      </w:pPr>
      <w:r>
        <w:rPr>
          <w:color w:val="0092C7"/>
        </w:rPr>
        <w:t>Chart 1.12</w:t>
      </w:r>
    </w:p>
    <w:p>
      <w:pPr>
        <w:pStyle w:val="Heading6"/>
        <w:ind w:left="200"/>
        <w:rPr>
          <w:b w:val="0"/>
          <w:sz w:val="12"/>
        </w:rPr>
      </w:pPr>
      <w:r>
        <w:rPr>
          <w:color w:val="0092C7"/>
        </w:rPr>
        <w:t>Sterling A-rated corporate bond spreads</w:t>
      </w:r>
      <w:r>
        <w:rPr>
          <w:b w:val="0"/>
          <w:position w:val="4"/>
          <w:sz w:val="12"/>
        </w:rPr>
        <w:t>(a)</w:t>
      </w:r>
    </w:p>
    <w:p>
      <w:pPr>
        <w:spacing w:line="118" w:lineRule="exact" w:before="73"/>
        <w:ind w:left="3034" w:right="0" w:firstLine="0"/>
        <w:jc w:val="left"/>
        <w:rPr>
          <w:sz w:val="12"/>
        </w:rPr>
      </w:pPr>
      <w:r>
        <w:rPr>
          <w:sz w:val="12"/>
        </w:rPr>
        <w:t>Per cent</w:t>
      </w:r>
    </w:p>
    <w:p>
      <w:pPr>
        <w:spacing w:line="118" w:lineRule="exact" w:before="0"/>
        <w:ind w:left="3465" w:right="0" w:firstLine="0"/>
        <w:jc w:val="left"/>
        <w:rPr>
          <w:sz w:val="12"/>
        </w:rPr>
      </w:pPr>
      <w:r>
        <w:rPr/>
        <w:pict>
          <v:group style="position:absolute;margin-left:50.5pt;margin-top:16.506268pt;width:144.9pt;height:123.15pt;mso-position-horizontal-relative:page;mso-position-vertical-relative:paragraph;z-index:15834112" coordorigin="1010,330" coordsize="2898,2463">
            <v:shape style="position:absolute;left:1010;top:330;width:2898;height:2463" type="#_x0000_t75" stroked="false">
              <v:imagedata r:id="rId47" o:title=""/>
            </v:shape>
            <v:shape style="position:absolute;left:3290;top:412;width:424;height:133" type="#_x0000_t202" filled="false" stroked="false">
              <v:textbox inset="0,0,0,0">
                <w:txbxContent>
                  <w:p>
                    <w:pPr>
                      <w:spacing w:line="133" w:lineRule="exact" w:before="0"/>
                      <w:ind w:left="0" w:right="0" w:firstLine="0"/>
                      <w:jc w:val="left"/>
                      <w:rPr>
                        <w:sz w:val="12"/>
                      </w:rPr>
                    </w:pPr>
                    <w:r>
                      <w:rPr>
                        <w:sz w:val="12"/>
                      </w:rPr>
                      <w:t>20 years</w:t>
                    </w:r>
                  </w:p>
                </w:txbxContent>
              </v:textbox>
              <w10:wrap type="none"/>
            </v:shape>
            <v:shape style="position:absolute;left:2638;top:703;width:424;height:133" type="#_x0000_t202" filled="false" stroked="false">
              <v:textbox inset="0,0,0,0">
                <w:txbxContent>
                  <w:p>
                    <w:pPr>
                      <w:spacing w:line="133" w:lineRule="exact" w:before="0"/>
                      <w:ind w:left="0" w:right="0" w:firstLine="0"/>
                      <w:jc w:val="left"/>
                      <w:rPr>
                        <w:sz w:val="12"/>
                      </w:rPr>
                    </w:pPr>
                    <w:r>
                      <w:rPr>
                        <w:sz w:val="12"/>
                      </w:rPr>
                      <w:t>10 years</w:t>
                    </w:r>
                  </w:p>
                </w:txbxContent>
              </v:textbox>
              <w10:wrap type="none"/>
            </v:shape>
            <v:shape style="position:absolute;left:3481;top:1809;width:411;height:539" type="#_x0000_t202" filled="false" stroked="false">
              <v:textbox inset="0,0,0,0">
                <w:txbxContent>
                  <w:p>
                    <w:pPr>
                      <w:spacing w:line="133" w:lineRule="exact" w:before="0"/>
                      <w:ind w:left="47" w:right="0" w:firstLine="0"/>
                      <w:jc w:val="left"/>
                      <w:rPr>
                        <w:sz w:val="12"/>
                      </w:rPr>
                    </w:pPr>
                    <w:r>
                      <w:rPr>
                        <w:sz w:val="12"/>
                      </w:rPr>
                      <w:t>5 years</w:t>
                    </w:r>
                  </w:p>
                  <w:p>
                    <w:pPr>
                      <w:spacing w:line="240" w:lineRule="auto" w:before="0"/>
                      <w:rPr>
                        <w:sz w:val="12"/>
                      </w:rPr>
                    </w:pPr>
                  </w:p>
                  <w:p>
                    <w:pPr>
                      <w:spacing w:line="240" w:lineRule="auto" w:before="3"/>
                      <w:rPr>
                        <w:sz w:val="11"/>
                      </w:rPr>
                    </w:pPr>
                  </w:p>
                  <w:p>
                    <w:pPr>
                      <w:spacing w:before="0"/>
                      <w:ind w:left="0" w:right="0" w:firstLine="0"/>
                      <w:jc w:val="left"/>
                      <w:rPr>
                        <w:sz w:val="12"/>
                      </w:rPr>
                    </w:pPr>
                    <w:r>
                      <w:rPr>
                        <w:sz w:val="12"/>
                      </w:rPr>
                      <w:t>2 years</w:t>
                    </w:r>
                  </w:p>
                </w:txbxContent>
              </v:textbox>
              <w10:wrap type="none"/>
            </v:shape>
            <w10:wrap type="none"/>
          </v:group>
        </w:pict>
      </w:r>
      <w:r>
        <w:rPr/>
        <w:drawing>
          <wp:anchor distT="0" distB="0" distL="0" distR="0" allowOverlap="1" layoutInCell="1" locked="0" behindDoc="0" simplePos="0" relativeHeight="15836672">
            <wp:simplePos x="0" y="0"/>
            <wp:positionH relativeFrom="page">
              <wp:posOffset>533349</wp:posOffset>
            </wp:positionH>
            <wp:positionV relativeFrom="paragraph">
              <wp:posOffset>39767</wp:posOffset>
            </wp:positionV>
            <wp:extent cx="55029" cy="6350"/>
            <wp:effectExtent l="0" t="0" r="0" b="0"/>
            <wp:wrapNone/>
            <wp:docPr id="25" name="image12.png"/>
            <wp:cNvGraphicFramePr>
              <a:graphicFrameLocks noChangeAspect="1"/>
            </wp:cNvGraphicFramePr>
            <a:graphic>
              <a:graphicData uri="http://schemas.openxmlformats.org/drawingml/2006/picture">
                <pic:pic>
                  <pic:nvPicPr>
                    <pic:cNvPr id="26" name="image12.png"/>
                    <pic:cNvPicPr/>
                  </pic:nvPicPr>
                  <pic:blipFill>
                    <a:blip r:embed="rId35"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5839232">
            <wp:simplePos x="0" y="0"/>
            <wp:positionH relativeFrom="page">
              <wp:posOffset>2525750</wp:posOffset>
            </wp:positionH>
            <wp:positionV relativeFrom="paragraph">
              <wp:posOffset>32934</wp:posOffset>
            </wp:positionV>
            <wp:extent cx="55041" cy="6350"/>
            <wp:effectExtent l="0" t="0" r="0" b="0"/>
            <wp:wrapNone/>
            <wp:docPr id="27" name="image12.png"/>
            <wp:cNvGraphicFramePr>
              <a:graphicFrameLocks noChangeAspect="1"/>
            </wp:cNvGraphicFramePr>
            <a:graphic>
              <a:graphicData uri="http://schemas.openxmlformats.org/drawingml/2006/picture">
                <pic:pic>
                  <pic:nvPicPr>
                    <pic:cNvPr id="28" name="image12.png"/>
                    <pic:cNvPicPr/>
                  </pic:nvPicPr>
                  <pic:blipFill>
                    <a:blip r:embed="rId35" cstate="print"/>
                    <a:stretch>
                      <a:fillRect/>
                    </a:stretch>
                  </pic:blipFill>
                  <pic:spPr>
                    <a:xfrm>
                      <a:off x="0" y="0"/>
                      <a:ext cx="55041" cy="6350"/>
                    </a:xfrm>
                    <a:prstGeom prst="rect">
                      <a:avLst/>
                    </a:prstGeom>
                  </pic:spPr>
                </pic:pic>
              </a:graphicData>
            </a:graphic>
          </wp:anchor>
        </w:drawing>
      </w:r>
      <w:r>
        <w:rPr>
          <w:sz w:val="12"/>
        </w:rPr>
        <w:t>2.5</w:t>
      </w:r>
    </w:p>
    <w:p>
      <w:pPr>
        <w:pStyle w:val="BodyText"/>
        <w:rPr>
          <w:sz w:val="12"/>
        </w:rPr>
      </w:pPr>
    </w:p>
    <w:p>
      <w:pPr>
        <w:pStyle w:val="BodyText"/>
        <w:rPr>
          <w:sz w:val="12"/>
        </w:rPr>
      </w:pPr>
    </w:p>
    <w:p>
      <w:pPr>
        <w:pStyle w:val="BodyText"/>
        <w:spacing w:before="3"/>
        <w:rPr>
          <w:sz w:val="14"/>
        </w:rPr>
      </w:pPr>
    </w:p>
    <w:p>
      <w:pPr>
        <w:spacing w:before="0"/>
        <w:ind w:left="0" w:right="578" w:firstLine="0"/>
        <w:jc w:val="right"/>
        <w:rPr>
          <w:sz w:val="12"/>
        </w:rPr>
      </w:pPr>
      <w:r>
        <w:rPr/>
        <w:drawing>
          <wp:anchor distT="0" distB="0" distL="0" distR="0" allowOverlap="1" layoutInCell="1" locked="0" behindDoc="0" simplePos="0" relativeHeight="15834624">
            <wp:simplePos x="0" y="0"/>
            <wp:positionH relativeFrom="page">
              <wp:posOffset>533349</wp:posOffset>
            </wp:positionH>
            <wp:positionV relativeFrom="paragraph">
              <wp:posOffset>52531</wp:posOffset>
            </wp:positionV>
            <wp:extent cx="55029" cy="6350"/>
            <wp:effectExtent l="0" t="0" r="0" b="0"/>
            <wp:wrapNone/>
            <wp:docPr id="29" name="image13.png"/>
            <wp:cNvGraphicFramePr>
              <a:graphicFrameLocks noChangeAspect="1"/>
            </wp:cNvGraphicFramePr>
            <a:graphic>
              <a:graphicData uri="http://schemas.openxmlformats.org/drawingml/2006/picture">
                <pic:pic>
                  <pic:nvPicPr>
                    <pic:cNvPr id="30" name="image13.png"/>
                    <pic:cNvPicPr/>
                  </pic:nvPicPr>
                  <pic:blipFill>
                    <a:blip r:embed="rId36"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5837184">
            <wp:simplePos x="0" y="0"/>
            <wp:positionH relativeFrom="page">
              <wp:posOffset>2525750</wp:posOffset>
            </wp:positionH>
            <wp:positionV relativeFrom="paragraph">
              <wp:posOffset>45699</wp:posOffset>
            </wp:positionV>
            <wp:extent cx="55041" cy="6350"/>
            <wp:effectExtent l="0" t="0" r="0" b="0"/>
            <wp:wrapNone/>
            <wp:docPr id="31" name="image12.png"/>
            <wp:cNvGraphicFramePr>
              <a:graphicFrameLocks noChangeAspect="1"/>
            </wp:cNvGraphicFramePr>
            <a:graphic>
              <a:graphicData uri="http://schemas.openxmlformats.org/drawingml/2006/picture">
                <pic:pic>
                  <pic:nvPicPr>
                    <pic:cNvPr id="32" name="image12.png"/>
                    <pic:cNvPicPr/>
                  </pic:nvPicPr>
                  <pic:blipFill>
                    <a:blip r:embed="rId35" cstate="print"/>
                    <a:stretch>
                      <a:fillRect/>
                    </a:stretch>
                  </pic:blipFill>
                  <pic:spPr>
                    <a:xfrm>
                      <a:off x="0" y="0"/>
                      <a:ext cx="55041" cy="6350"/>
                    </a:xfrm>
                    <a:prstGeom prst="rect">
                      <a:avLst/>
                    </a:prstGeom>
                  </pic:spPr>
                </pic:pic>
              </a:graphicData>
            </a:graphic>
          </wp:anchor>
        </w:drawing>
      </w:r>
      <w:r>
        <w:rPr>
          <w:sz w:val="12"/>
        </w:rPr>
        <w:t>2.0</w:t>
      </w:r>
    </w:p>
    <w:p>
      <w:pPr>
        <w:pStyle w:val="BodyText"/>
        <w:rPr>
          <w:sz w:val="12"/>
        </w:rPr>
      </w:pPr>
    </w:p>
    <w:p>
      <w:pPr>
        <w:pStyle w:val="BodyText"/>
        <w:rPr>
          <w:sz w:val="12"/>
        </w:rPr>
      </w:pPr>
    </w:p>
    <w:p>
      <w:pPr>
        <w:pStyle w:val="BodyText"/>
        <w:spacing w:before="3"/>
        <w:rPr>
          <w:sz w:val="14"/>
        </w:rPr>
      </w:pPr>
    </w:p>
    <w:p>
      <w:pPr>
        <w:spacing w:before="0"/>
        <w:ind w:left="0" w:right="578" w:firstLine="0"/>
        <w:jc w:val="right"/>
        <w:rPr>
          <w:sz w:val="12"/>
        </w:rPr>
      </w:pPr>
      <w:r>
        <w:rPr/>
        <w:drawing>
          <wp:anchor distT="0" distB="0" distL="0" distR="0" allowOverlap="1" layoutInCell="1" locked="0" behindDoc="0" simplePos="0" relativeHeight="15835136">
            <wp:simplePos x="0" y="0"/>
            <wp:positionH relativeFrom="page">
              <wp:posOffset>533349</wp:posOffset>
            </wp:positionH>
            <wp:positionV relativeFrom="paragraph">
              <wp:posOffset>52846</wp:posOffset>
            </wp:positionV>
            <wp:extent cx="55029" cy="6350"/>
            <wp:effectExtent l="0" t="0" r="0" b="0"/>
            <wp:wrapNone/>
            <wp:docPr id="33" name="image13.png"/>
            <wp:cNvGraphicFramePr>
              <a:graphicFrameLocks noChangeAspect="1"/>
            </wp:cNvGraphicFramePr>
            <a:graphic>
              <a:graphicData uri="http://schemas.openxmlformats.org/drawingml/2006/picture">
                <pic:pic>
                  <pic:nvPicPr>
                    <pic:cNvPr id="34" name="image13.png"/>
                    <pic:cNvPicPr/>
                  </pic:nvPicPr>
                  <pic:blipFill>
                    <a:blip r:embed="rId36"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5837696">
            <wp:simplePos x="0" y="0"/>
            <wp:positionH relativeFrom="page">
              <wp:posOffset>2525750</wp:posOffset>
            </wp:positionH>
            <wp:positionV relativeFrom="paragraph">
              <wp:posOffset>46014</wp:posOffset>
            </wp:positionV>
            <wp:extent cx="55041" cy="6350"/>
            <wp:effectExtent l="0" t="0" r="0" b="0"/>
            <wp:wrapNone/>
            <wp:docPr id="35" name="image12.png"/>
            <wp:cNvGraphicFramePr>
              <a:graphicFrameLocks noChangeAspect="1"/>
            </wp:cNvGraphicFramePr>
            <a:graphic>
              <a:graphicData uri="http://schemas.openxmlformats.org/drawingml/2006/picture">
                <pic:pic>
                  <pic:nvPicPr>
                    <pic:cNvPr id="36" name="image12.png"/>
                    <pic:cNvPicPr/>
                  </pic:nvPicPr>
                  <pic:blipFill>
                    <a:blip r:embed="rId35" cstate="print"/>
                    <a:stretch>
                      <a:fillRect/>
                    </a:stretch>
                  </pic:blipFill>
                  <pic:spPr>
                    <a:xfrm>
                      <a:off x="0" y="0"/>
                      <a:ext cx="55041" cy="6350"/>
                    </a:xfrm>
                    <a:prstGeom prst="rect">
                      <a:avLst/>
                    </a:prstGeom>
                  </pic:spPr>
                </pic:pic>
              </a:graphicData>
            </a:graphic>
          </wp:anchor>
        </w:drawing>
      </w:r>
      <w:r>
        <w:rPr>
          <w:sz w:val="12"/>
        </w:rPr>
        <w:t>1.5</w:t>
      </w:r>
    </w:p>
    <w:p>
      <w:pPr>
        <w:pStyle w:val="BodyText"/>
        <w:rPr>
          <w:sz w:val="12"/>
        </w:rPr>
      </w:pPr>
    </w:p>
    <w:p>
      <w:pPr>
        <w:pStyle w:val="BodyText"/>
        <w:rPr>
          <w:sz w:val="12"/>
        </w:rPr>
      </w:pPr>
    </w:p>
    <w:p>
      <w:pPr>
        <w:pStyle w:val="BodyText"/>
        <w:spacing w:before="3"/>
        <w:rPr>
          <w:sz w:val="14"/>
        </w:rPr>
      </w:pPr>
    </w:p>
    <w:p>
      <w:pPr>
        <w:spacing w:before="1"/>
        <w:ind w:left="0" w:right="578" w:firstLine="0"/>
        <w:jc w:val="right"/>
        <w:rPr>
          <w:sz w:val="12"/>
        </w:rPr>
      </w:pPr>
      <w:r>
        <w:rPr/>
        <w:drawing>
          <wp:anchor distT="0" distB="0" distL="0" distR="0" allowOverlap="1" layoutInCell="1" locked="0" behindDoc="0" simplePos="0" relativeHeight="15836160">
            <wp:simplePos x="0" y="0"/>
            <wp:positionH relativeFrom="page">
              <wp:posOffset>533349</wp:posOffset>
            </wp:positionH>
            <wp:positionV relativeFrom="paragraph">
              <wp:posOffset>53796</wp:posOffset>
            </wp:positionV>
            <wp:extent cx="55029" cy="6350"/>
            <wp:effectExtent l="0" t="0" r="0" b="0"/>
            <wp:wrapNone/>
            <wp:docPr id="37" name="image13.png"/>
            <wp:cNvGraphicFramePr>
              <a:graphicFrameLocks noChangeAspect="1"/>
            </wp:cNvGraphicFramePr>
            <a:graphic>
              <a:graphicData uri="http://schemas.openxmlformats.org/drawingml/2006/picture">
                <pic:pic>
                  <pic:nvPicPr>
                    <pic:cNvPr id="38" name="image13.png"/>
                    <pic:cNvPicPr/>
                  </pic:nvPicPr>
                  <pic:blipFill>
                    <a:blip r:embed="rId36"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5838720">
            <wp:simplePos x="0" y="0"/>
            <wp:positionH relativeFrom="page">
              <wp:posOffset>2525750</wp:posOffset>
            </wp:positionH>
            <wp:positionV relativeFrom="paragraph">
              <wp:posOffset>46964</wp:posOffset>
            </wp:positionV>
            <wp:extent cx="55041" cy="6350"/>
            <wp:effectExtent l="0" t="0" r="0" b="0"/>
            <wp:wrapNone/>
            <wp:docPr id="39" name="image12.png"/>
            <wp:cNvGraphicFramePr>
              <a:graphicFrameLocks noChangeAspect="1"/>
            </wp:cNvGraphicFramePr>
            <a:graphic>
              <a:graphicData uri="http://schemas.openxmlformats.org/drawingml/2006/picture">
                <pic:pic>
                  <pic:nvPicPr>
                    <pic:cNvPr id="40" name="image12.png"/>
                    <pic:cNvPicPr/>
                  </pic:nvPicPr>
                  <pic:blipFill>
                    <a:blip r:embed="rId35" cstate="print"/>
                    <a:stretch>
                      <a:fillRect/>
                    </a:stretch>
                  </pic:blipFill>
                  <pic:spPr>
                    <a:xfrm>
                      <a:off x="0" y="0"/>
                      <a:ext cx="55041" cy="6350"/>
                    </a:xfrm>
                    <a:prstGeom prst="rect">
                      <a:avLst/>
                    </a:prstGeom>
                  </pic:spPr>
                </pic:pic>
              </a:graphicData>
            </a:graphic>
          </wp:anchor>
        </w:drawing>
      </w:r>
      <w:r>
        <w:rPr>
          <w:sz w:val="12"/>
        </w:rPr>
        <w:t>1.0</w:t>
      </w:r>
    </w:p>
    <w:p>
      <w:pPr>
        <w:pStyle w:val="BodyText"/>
        <w:rPr>
          <w:sz w:val="12"/>
        </w:rPr>
      </w:pPr>
    </w:p>
    <w:p>
      <w:pPr>
        <w:pStyle w:val="BodyText"/>
        <w:rPr>
          <w:sz w:val="12"/>
        </w:rPr>
      </w:pPr>
    </w:p>
    <w:p>
      <w:pPr>
        <w:pStyle w:val="BodyText"/>
        <w:spacing w:before="2"/>
        <w:rPr>
          <w:sz w:val="14"/>
        </w:rPr>
      </w:pPr>
    </w:p>
    <w:p>
      <w:pPr>
        <w:spacing w:before="1"/>
        <w:ind w:left="0" w:right="578" w:firstLine="0"/>
        <w:jc w:val="right"/>
        <w:rPr>
          <w:sz w:val="12"/>
        </w:rPr>
      </w:pPr>
      <w:r>
        <w:rPr/>
        <w:drawing>
          <wp:anchor distT="0" distB="0" distL="0" distR="0" allowOverlap="1" layoutInCell="1" locked="0" behindDoc="0" simplePos="0" relativeHeight="15835648">
            <wp:simplePos x="0" y="0"/>
            <wp:positionH relativeFrom="page">
              <wp:posOffset>533349</wp:posOffset>
            </wp:positionH>
            <wp:positionV relativeFrom="paragraph">
              <wp:posOffset>54111</wp:posOffset>
            </wp:positionV>
            <wp:extent cx="55029" cy="6350"/>
            <wp:effectExtent l="0" t="0" r="0" b="0"/>
            <wp:wrapNone/>
            <wp:docPr id="41" name="image12.png"/>
            <wp:cNvGraphicFramePr>
              <a:graphicFrameLocks noChangeAspect="1"/>
            </wp:cNvGraphicFramePr>
            <a:graphic>
              <a:graphicData uri="http://schemas.openxmlformats.org/drawingml/2006/picture">
                <pic:pic>
                  <pic:nvPicPr>
                    <pic:cNvPr id="42" name="image12.png"/>
                    <pic:cNvPicPr/>
                  </pic:nvPicPr>
                  <pic:blipFill>
                    <a:blip r:embed="rId35"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5838208">
            <wp:simplePos x="0" y="0"/>
            <wp:positionH relativeFrom="page">
              <wp:posOffset>2525750</wp:posOffset>
            </wp:positionH>
            <wp:positionV relativeFrom="paragraph">
              <wp:posOffset>47279</wp:posOffset>
            </wp:positionV>
            <wp:extent cx="55041" cy="6350"/>
            <wp:effectExtent l="0" t="0" r="0" b="0"/>
            <wp:wrapNone/>
            <wp:docPr id="43" name="image12.png"/>
            <wp:cNvGraphicFramePr>
              <a:graphicFrameLocks noChangeAspect="1"/>
            </wp:cNvGraphicFramePr>
            <a:graphic>
              <a:graphicData uri="http://schemas.openxmlformats.org/drawingml/2006/picture">
                <pic:pic>
                  <pic:nvPicPr>
                    <pic:cNvPr id="44" name="image12.png"/>
                    <pic:cNvPicPr/>
                  </pic:nvPicPr>
                  <pic:blipFill>
                    <a:blip r:embed="rId35" cstate="print"/>
                    <a:stretch>
                      <a:fillRect/>
                    </a:stretch>
                  </pic:blipFill>
                  <pic:spPr>
                    <a:xfrm>
                      <a:off x="0" y="0"/>
                      <a:ext cx="55041" cy="6350"/>
                    </a:xfrm>
                    <a:prstGeom prst="rect">
                      <a:avLst/>
                    </a:prstGeom>
                  </pic:spPr>
                </pic:pic>
              </a:graphicData>
            </a:graphic>
          </wp:anchor>
        </w:drawing>
      </w:r>
      <w:r>
        <w:rPr>
          <w:sz w:val="12"/>
        </w:rPr>
        <w:t>0.5</w:t>
      </w:r>
    </w:p>
    <w:p>
      <w:pPr>
        <w:spacing w:line="242" w:lineRule="auto" w:before="227"/>
        <w:ind w:left="154" w:right="131" w:firstLine="0"/>
        <w:jc w:val="left"/>
        <w:rPr>
          <w:sz w:val="24"/>
        </w:rPr>
      </w:pPr>
      <w:r>
        <w:rPr/>
        <w:br w:type="column"/>
      </w:r>
      <w:r>
        <w:rPr>
          <w:sz w:val="24"/>
        </w:rPr>
        <w:t>Longer-term rates also affect the cost of household borrowing through their impact on fixed-rate mortgages. Mortgage lenders who offer fixed-rate mortgages are potentially exposed to interest rate risk as they typically pay a floating rate of interest on their deposits. To hedge their exposure to interest rate changes they may purchase swaps that allow them to convert fixed-rate receipts into floating-rate receipts. So fixed mortgage rates tend to be related to swap rates, which themselves depend on expected future short-term interest rates. Since</w:t>
      </w:r>
    </w:p>
    <w:p>
      <w:pPr>
        <w:spacing w:line="242" w:lineRule="auto" w:before="13"/>
        <w:ind w:left="154" w:right="247" w:firstLine="0"/>
        <w:jc w:val="left"/>
        <w:rPr>
          <w:sz w:val="24"/>
        </w:rPr>
      </w:pPr>
      <w:r>
        <w:rPr>
          <w:sz w:val="24"/>
        </w:rPr>
        <w:t>August 1999 swap rates have risen by less than official interest rates and, in addition, the spread of two-year fixed mortgage rates over swap rates has become negative. Two-year fixed mortgage rates have therefore increased by around a third of the 100 basis point rise in the official repo rate (see Table 1.B).</w:t>
      </w:r>
    </w:p>
    <w:p>
      <w:pPr>
        <w:pStyle w:val="BodyText"/>
        <w:rPr>
          <w:sz w:val="25"/>
        </w:rPr>
      </w:pPr>
    </w:p>
    <w:p>
      <w:pPr>
        <w:spacing w:line="242" w:lineRule="auto" w:before="0"/>
        <w:ind w:left="154" w:right="131" w:firstLine="0"/>
        <w:jc w:val="left"/>
        <w:rPr>
          <w:sz w:val="24"/>
        </w:rPr>
      </w:pPr>
      <w:r>
        <w:rPr>
          <w:sz w:val="24"/>
        </w:rPr>
        <w:t>These effects on rates for new fixed and variable-rate mortgages mean that the average rate across new and existing housing loans is estimated to have risen by around 50 basis points over the past twelve months.</w:t>
      </w:r>
    </w:p>
    <w:p>
      <w:pPr>
        <w:pStyle w:val="BodyText"/>
        <w:spacing w:before="3"/>
        <w:rPr>
          <w:sz w:val="28"/>
        </w:rPr>
      </w:pPr>
    </w:p>
    <w:p>
      <w:pPr>
        <w:pStyle w:val="Heading2"/>
        <w:ind w:left="154"/>
        <w:rPr>
          <w:i/>
        </w:rPr>
      </w:pPr>
      <w:r>
        <w:rPr>
          <w:i/>
          <w:color w:val="009391"/>
        </w:rPr>
        <w:t>Corporate borrowing rates</w:t>
      </w:r>
    </w:p>
    <w:p>
      <w:pPr>
        <w:spacing w:line="242" w:lineRule="auto" w:before="164"/>
        <w:ind w:left="154" w:right="208" w:firstLine="0"/>
        <w:jc w:val="left"/>
        <w:rPr>
          <w:sz w:val="24"/>
        </w:rPr>
      </w:pPr>
      <w:r>
        <w:rPr>
          <w:sz w:val="24"/>
        </w:rPr>
        <w:t>Historically, UK companies have tended to rely more on bank finance than on bond finance: in 2000 Q1 bank debt accounted for around 65% of PNFCs’ total stock of bank and bond finance. Bank estimates suggest that corporate lending rates have increased broadly in line with the official repo rate since August 1999 (see</w:t>
      </w:r>
    </w:p>
    <w:p>
      <w:pPr>
        <w:spacing w:before="8"/>
        <w:ind w:left="154" w:right="0" w:firstLine="0"/>
        <w:jc w:val="left"/>
        <w:rPr>
          <w:sz w:val="24"/>
        </w:rPr>
      </w:pPr>
      <w:r>
        <w:rPr>
          <w:sz w:val="24"/>
        </w:rPr>
        <w:t>Table 1.C).</w:t>
      </w:r>
    </w:p>
    <w:p>
      <w:pPr>
        <w:pStyle w:val="BodyText"/>
        <w:spacing w:before="7"/>
        <w:rPr>
          <w:sz w:val="24"/>
        </w:rPr>
      </w:pPr>
    </w:p>
    <w:p>
      <w:pPr>
        <w:spacing w:line="242" w:lineRule="auto" w:before="1"/>
        <w:ind w:left="154" w:right="136" w:firstLine="0"/>
        <w:jc w:val="left"/>
        <w:rPr>
          <w:sz w:val="24"/>
        </w:rPr>
      </w:pPr>
      <w:r>
        <w:rPr>
          <w:sz w:val="24"/>
        </w:rPr>
        <w:t>The cost of bond finance will depend on perceptions about the creditworthiness of the borrower, as well as the default-free rate represented by government bond yields.</w:t>
      </w:r>
    </w:p>
    <w:p>
      <w:pPr>
        <w:spacing w:before="3"/>
        <w:ind w:left="154" w:right="0" w:firstLine="0"/>
        <w:jc w:val="left"/>
        <w:rPr>
          <w:sz w:val="24"/>
        </w:rPr>
      </w:pPr>
      <w:r>
        <w:rPr>
          <w:sz w:val="24"/>
        </w:rPr>
        <w:t>The spread between corporate bond yields and</w:t>
      </w:r>
    </w:p>
    <w:p>
      <w:pPr>
        <w:spacing w:line="242" w:lineRule="auto" w:before="4"/>
        <w:ind w:left="154" w:right="131" w:firstLine="0"/>
        <w:jc w:val="left"/>
        <w:rPr>
          <w:sz w:val="24"/>
        </w:rPr>
      </w:pPr>
      <w:r>
        <w:rPr>
          <w:sz w:val="24"/>
        </w:rPr>
        <w:t>default-free rates may be affected by the degree to which corporates rely on debt finance rather than internally generated funds. As discussed earlier, corporates are at present unusually reliant on debt finance. At some maturities the spread over UK government bond yields has widened considerably since the beginning of 1999 (see Chart 1.12). But interpretation of this widening is</w:t>
      </w:r>
    </w:p>
    <w:p>
      <w:pPr>
        <w:spacing w:after="0" w:line="242" w:lineRule="auto"/>
        <w:jc w:val="left"/>
        <w:rPr>
          <w:sz w:val="24"/>
        </w:rPr>
        <w:sectPr>
          <w:type w:val="continuous"/>
          <w:pgSz w:w="11900" w:h="16840"/>
          <w:pgMar w:top="1260" w:bottom="280" w:left="640" w:right="640"/>
          <w:cols w:num="2" w:equalWidth="0">
            <w:col w:w="4197" w:space="609"/>
            <w:col w:w="5814"/>
          </w:cols>
        </w:sectPr>
      </w:pPr>
    </w:p>
    <w:p>
      <w:pPr>
        <w:pStyle w:val="BodyText"/>
        <w:spacing w:before="1"/>
        <w:rPr>
          <w:sz w:val="5"/>
        </w:rPr>
      </w:pPr>
    </w:p>
    <w:p>
      <w:pPr>
        <w:spacing w:line="77" w:lineRule="exact"/>
        <w:ind w:left="199" w:right="-29" w:firstLine="0"/>
        <w:rPr>
          <w:sz w:val="7"/>
        </w:rPr>
      </w:pPr>
      <w:r>
        <w:rPr>
          <w:position w:val="-1"/>
          <w:sz w:val="2"/>
        </w:rPr>
        <w:drawing>
          <wp:inline distT="0" distB="0" distL="0" distR="0">
            <wp:extent cx="55304" cy="6381"/>
            <wp:effectExtent l="0" t="0" r="0" b="0"/>
            <wp:docPr id="45" name="image12.png"/>
            <wp:cNvGraphicFramePr>
              <a:graphicFrameLocks noChangeAspect="1"/>
            </wp:cNvGraphicFramePr>
            <a:graphic>
              <a:graphicData uri="http://schemas.openxmlformats.org/drawingml/2006/picture">
                <pic:pic>
                  <pic:nvPicPr>
                    <pic:cNvPr id="46" name="image12.png"/>
                    <pic:cNvPicPr/>
                  </pic:nvPicPr>
                  <pic:blipFill>
                    <a:blip r:embed="rId35" cstate="print"/>
                    <a:stretch>
                      <a:fillRect/>
                    </a:stretch>
                  </pic:blipFill>
                  <pic:spPr>
                    <a:xfrm>
                      <a:off x="0" y="0"/>
                      <a:ext cx="55304" cy="6381"/>
                    </a:xfrm>
                    <a:prstGeom prst="rect">
                      <a:avLst/>
                    </a:prstGeom>
                  </pic:spPr>
                </pic:pic>
              </a:graphicData>
            </a:graphic>
          </wp:inline>
        </w:drawing>
      </w:r>
      <w:r>
        <w:rPr>
          <w:position w:val="-1"/>
          <w:sz w:val="2"/>
        </w:rPr>
      </w:r>
      <w:r>
        <w:rPr>
          <w:spacing w:val="58"/>
          <w:position w:val="-1"/>
          <w:sz w:val="7"/>
        </w:rPr>
        <w:t> </w:t>
      </w:r>
      <w:r>
        <w:rPr>
          <w:spacing w:val="58"/>
          <w:position w:val="0"/>
          <w:sz w:val="7"/>
        </w:rPr>
        <w:drawing>
          <wp:inline distT="0" distB="0" distL="0" distR="0">
            <wp:extent cx="1928756" cy="45434"/>
            <wp:effectExtent l="0" t="0" r="0" b="0"/>
            <wp:docPr id="47" name="image21.png"/>
            <wp:cNvGraphicFramePr>
              <a:graphicFrameLocks noChangeAspect="1"/>
            </wp:cNvGraphicFramePr>
            <a:graphic>
              <a:graphicData uri="http://schemas.openxmlformats.org/drawingml/2006/picture">
                <pic:pic>
                  <pic:nvPicPr>
                    <pic:cNvPr id="48" name="image21.png"/>
                    <pic:cNvPicPr/>
                  </pic:nvPicPr>
                  <pic:blipFill>
                    <a:blip r:embed="rId48" cstate="print"/>
                    <a:stretch>
                      <a:fillRect/>
                    </a:stretch>
                  </pic:blipFill>
                  <pic:spPr>
                    <a:xfrm>
                      <a:off x="0" y="0"/>
                      <a:ext cx="1928756" cy="45434"/>
                    </a:xfrm>
                    <a:prstGeom prst="rect">
                      <a:avLst/>
                    </a:prstGeom>
                  </pic:spPr>
                </pic:pic>
              </a:graphicData>
            </a:graphic>
          </wp:inline>
        </w:drawing>
      </w:r>
      <w:r>
        <w:rPr>
          <w:spacing w:val="58"/>
          <w:position w:val="0"/>
          <w:sz w:val="7"/>
        </w:rPr>
      </w:r>
    </w:p>
    <w:p>
      <w:pPr>
        <w:tabs>
          <w:tab w:pos="1539" w:val="left" w:leader="none"/>
          <w:tab w:pos="2323" w:val="left" w:leader="none"/>
          <w:tab w:pos="2930" w:val="left" w:leader="none"/>
        </w:tabs>
        <w:spacing w:before="14"/>
        <w:ind w:left="657" w:right="0" w:firstLine="0"/>
        <w:jc w:val="left"/>
        <w:rPr>
          <w:sz w:val="12"/>
        </w:rPr>
      </w:pPr>
      <w:r>
        <w:rPr>
          <w:sz w:val="12"/>
        </w:rPr>
        <w:t>1997</w:t>
        <w:tab/>
        <w:t>98</w:t>
        <w:tab/>
        <w:t>99</w:t>
        <w:tab/>
        <w:t>2000</w:t>
      </w:r>
    </w:p>
    <w:p>
      <w:pPr>
        <w:spacing w:before="100"/>
        <w:ind w:left="180" w:right="0" w:firstLine="0"/>
        <w:jc w:val="left"/>
        <w:rPr>
          <w:sz w:val="12"/>
        </w:rPr>
      </w:pPr>
      <w:r>
        <w:rPr>
          <w:sz w:val="12"/>
        </w:rPr>
        <w:t>Sources: Bloomberg and Bank of England.</w:t>
      </w:r>
    </w:p>
    <w:p>
      <w:pPr>
        <w:spacing w:before="102"/>
        <w:ind w:left="180" w:right="0" w:firstLine="0"/>
        <w:jc w:val="left"/>
        <w:rPr>
          <w:sz w:val="12"/>
        </w:rPr>
      </w:pPr>
      <w:r>
        <w:rPr>
          <w:sz w:val="12"/>
        </w:rPr>
        <w:t>(a) Spread over government par yields.</w:t>
      </w:r>
    </w:p>
    <w:p>
      <w:pPr>
        <w:spacing w:before="41"/>
        <w:ind w:left="1" w:right="0" w:firstLine="0"/>
        <w:jc w:val="left"/>
        <w:rPr>
          <w:sz w:val="12"/>
        </w:rPr>
      </w:pPr>
      <w:r>
        <w:rPr/>
        <w:br w:type="column"/>
      </w:r>
      <w:r>
        <w:rPr>
          <w:sz w:val="12"/>
        </w:rPr>
        <w:t>0.0</w:t>
      </w:r>
    </w:p>
    <w:p>
      <w:pPr>
        <w:spacing w:line="242" w:lineRule="auto" w:before="9"/>
        <w:ind w:left="180" w:right="347" w:firstLine="0"/>
        <w:jc w:val="left"/>
        <w:rPr>
          <w:sz w:val="24"/>
        </w:rPr>
      </w:pPr>
      <w:r>
        <w:rPr/>
        <w:br w:type="column"/>
      </w:r>
      <w:r>
        <w:rPr>
          <w:sz w:val="24"/>
        </w:rPr>
        <w:t>complicated by the fact that government bond yields at longer maturities may have fallen because of increased demand for long-dated assets by pension funds and life assurance companies, associated with regulatory requirements.</w:t>
      </w:r>
      <w:r>
        <w:rPr>
          <w:position w:val="5"/>
          <w:sz w:val="16"/>
        </w:rPr>
        <w:t>(1) </w:t>
      </w:r>
      <w:r>
        <w:rPr>
          <w:sz w:val="24"/>
        </w:rPr>
        <w:t>At shorter maturities, which should be</w:t>
      </w:r>
    </w:p>
    <w:p>
      <w:pPr>
        <w:spacing w:after="0" w:line="242" w:lineRule="auto"/>
        <w:jc w:val="left"/>
        <w:rPr>
          <w:sz w:val="24"/>
        </w:rPr>
        <w:sectPr>
          <w:type w:val="continuous"/>
          <w:pgSz w:w="11900" w:h="16840"/>
          <w:pgMar w:top="1260" w:bottom="280" w:left="640" w:right="640"/>
          <w:cols w:num="3" w:equalWidth="0">
            <w:col w:w="3425" w:space="40"/>
            <w:col w:w="192" w:space="1123"/>
            <w:col w:w="5840"/>
          </w:cols>
        </w:sectPr>
      </w:pPr>
    </w:p>
    <w:p>
      <w:pPr>
        <w:pStyle w:val="BodyText"/>
        <w:spacing w:before="3"/>
        <w:rPr>
          <w:sz w:val="24"/>
        </w:rPr>
      </w:pPr>
    </w:p>
    <w:p>
      <w:pPr>
        <w:pStyle w:val="ListParagraph"/>
        <w:numPr>
          <w:ilvl w:val="2"/>
          <w:numId w:val="3"/>
        </w:numPr>
        <w:tabs>
          <w:tab w:pos="5195" w:val="left" w:leader="none"/>
        </w:tabs>
        <w:spacing w:line="208" w:lineRule="auto" w:before="113" w:after="0"/>
        <w:ind w:left="5194" w:right="738" w:hanging="240"/>
        <w:jc w:val="left"/>
        <w:rPr>
          <w:sz w:val="16"/>
        </w:rPr>
      </w:pPr>
      <w:r>
        <w:rPr>
          <w:sz w:val="16"/>
        </w:rPr>
        <w:t>For a more detailed discussion of factors specific to the gilt market see</w:t>
      </w:r>
      <w:r>
        <w:rPr>
          <w:color w:val="FF0000"/>
          <w:sz w:val="16"/>
        </w:rPr>
        <w:t> Brooke,</w:t>
      </w:r>
      <w:r>
        <w:rPr>
          <w:color w:val="FF0000"/>
          <w:spacing w:val="-4"/>
          <w:sz w:val="16"/>
        </w:rPr>
        <w:t> </w:t>
      </w:r>
      <w:r>
        <w:rPr>
          <w:color w:val="FF0000"/>
          <w:sz w:val="16"/>
        </w:rPr>
        <w:t>M,</w:t>
      </w:r>
      <w:r>
        <w:rPr>
          <w:color w:val="FF0000"/>
          <w:spacing w:val="-4"/>
          <w:sz w:val="16"/>
        </w:rPr>
        <w:t> </w:t>
      </w:r>
      <w:r>
        <w:rPr>
          <w:color w:val="FF0000"/>
          <w:sz w:val="16"/>
        </w:rPr>
        <w:t>Clare,</w:t>
      </w:r>
      <w:r>
        <w:rPr>
          <w:color w:val="FF0000"/>
          <w:spacing w:val="-11"/>
          <w:sz w:val="16"/>
        </w:rPr>
        <w:t> </w:t>
      </w:r>
      <w:r>
        <w:rPr>
          <w:color w:val="FF0000"/>
          <w:sz w:val="16"/>
        </w:rPr>
        <w:t>A</w:t>
      </w:r>
      <w:r>
        <w:rPr>
          <w:color w:val="FF0000"/>
          <w:spacing w:val="-4"/>
          <w:sz w:val="16"/>
        </w:rPr>
        <w:t> </w:t>
      </w:r>
      <w:r>
        <w:rPr>
          <w:color w:val="FF0000"/>
          <w:sz w:val="16"/>
        </w:rPr>
        <w:t>and</w:t>
      </w:r>
      <w:r>
        <w:rPr>
          <w:color w:val="FF0000"/>
          <w:spacing w:val="-4"/>
          <w:sz w:val="16"/>
        </w:rPr>
        <w:t> </w:t>
      </w:r>
      <w:r>
        <w:rPr>
          <w:color w:val="FF0000"/>
          <w:sz w:val="16"/>
        </w:rPr>
        <w:t>Lekkos,</w:t>
      </w:r>
      <w:r>
        <w:rPr>
          <w:color w:val="FF0000"/>
          <w:spacing w:val="-4"/>
          <w:sz w:val="16"/>
        </w:rPr>
        <w:t> </w:t>
      </w:r>
      <w:r>
        <w:rPr>
          <w:color w:val="FF0000"/>
          <w:sz w:val="16"/>
        </w:rPr>
        <w:t>I,</w:t>
      </w:r>
      <w:r>
        <w:rPr>
          <w:color w:val="FF0000"/>
          <w:spacing w:val="-4"/>
          <w:sz w:val="16"/>
        </w:rPr>
        <w:t> </w:t>
      </w:r>
      <w:r>
        <w:rPr>
          <w:color w:val="FF0000"/>
          <w:spacing w:val="-7"/>
          <w:sz w:val="16"/>
        </w:rPr>
        <w:t>‘A</w:t>
      </w:r>
      <w:r>
        <w:rPr>
          <w:color w:val="FF0000"/>
          <w:spacing w:val="-4"/>
          <w:sz w:val="16"/>
        </w:rPr>
        <w:t> </w:t>
      </w:r>
      <w:r>
        <w:rPr>
          <w:color w:val="FF0000"/>
          <w:sz w:val="16"/>
        </w:rPr>
        <w:t>comparison</w:t>
      </w:r>
      <w:r>
        <w:rPr>
          <w:color w:val="FF0000"/>
          <w:spacing w:val="-4"/>
          <w:sz w:val="16"/>
        </w:rPr>
        <w:t> </w:t>
      </w:r>
      <w:r>
        <w:rPr>
          <w:color w:val="FF0000"/>
          <w:sz w:val="16"/>
        </w:rPr>
        <w:t>of</w:t>
      </w:r>
      <w:r>
        <w:rPr>
          <w:color w:val="FF0000"/>
          <w:spacing w:val="-4"/>
          <w:sz w:val="16"/>
        </w:rPr>
        <w:t> </w:t>
      </w:r>
      <w:r>
        <w:rPr>
          <w:color w:val="FF0000"/>
          <w:sz w:val="16"/>
        </w:rPr>
        <w:t>long</w:t>
      </w:r>
      <w:r>
        <w:rPr>
          <w:color w:val="FF0000"/>
          <w:spacing w:val="-4"/>
          <w:sz w:val="16"/>
        </w:rPr>
        <w:t> </w:t>
      </w:r>
      <w:r>
        <w:rPr>
          <w:color w:val="FF0000"/>
          <w:sz w:val="16"/>
        </w:rPr>
        <w:t>bond</w:t>
      </w:r>
      <w:r>
        <w:rPr>
          <w:color w:val="FF0000"/>
          <w:spacing w:val="-4"/>
          <w:sz w:val="16"/>
        </w:rPr>
        <w:t> </w:t>
      </w:r>
      <w:r>
        <w:rPr>
          <w:color w:val="FF0000"/>
          <w:sz w:val="16"/>
        </w:rPr>
        <w:t>yields</w:t>
      </w:r>
      <w:r>
        <w:rPr>
          <w:color w:val="FF0000"/>
          <w:spacing w:val="-4"/>
          <w:sz w:val="16"/>
        </w:rPr>
        <w:t> </w:t>
      </w:r>
      <w:r>
        <w:rPr>
          <w:color w:val="FF0000"/>
          <w:sz w:val="16"/>
        </w:rPr>
        <w:t>in the United Kingdom, the United States, and Germany’, </w:t>
      </w:r>
      <w:r>
        <w:rPr>
          <w:i/>
          <w:color w:val="FF0000"/>
          <w:sz w:val="16"/>
        </w:rPr>
        <w:t>Bank of England </w:t>
      </w:r>
      <w:r>
        <w:rPr>
          <w:i/>
          <w:color w:val="FF0000"/>
          <w:sz w:val="16"/>
        </w:rPr>
        <w:t>Quarterly Bulletin</w:t>
      </w:r>
      <w:r>
        <w:rPr>
          <w:color w:val="FF0000"/>
          <w:sz w:val="16"/>
        </w:rPr>
        <w:t>, May 2000, pages</w:t>
      </w:r>
      <w:r>
        <w:rPr>
          <w:color w:val="FF0000"/>
          <w:spacing w:val="-3"/>
          <w:sz w:val="16"/>
        </w:rPr>
        <w:t> </w:t>
      </w:r>
      <w:r>
        <w:rPr>
          <w:color w:val="FF0000"/>
          <w:sz w:val="16"/>
        </w:rPr>
        <w:t>150–58</w:t>
      </w:r>
      <w:r>
        <w:rPr>
          <w:sz w:val="16"/>
        </w:rPr>
        <w:t>.</w:t>
      </w:r>
    </w:p>
    <w:p>
      <w:pPr>
        <w:spacing w:after="0" w:line="208" w:lineRule="auto"/>
        <w:jc w:val="left"/>
        <w:rPr>
          <w:sz w:val="16"/>
        </w:rPr>
        <w:sectPr>
          <w:type w:val="continuous"/>
          <w:pgSz w:w="11900" w:h="16840"/>
          <w:pgMar w:top="1260" w:bottom="280" w:left="640" w:right="640"/>
        </w:sectPr>
      </w:pPr>
    </w:p>
    <w:p>
      <w:pPr>
        <w:pStyle w:val="BodyText"/>
        <w:rPr>
          <w:sz w:val="20"/>
        </w:rPr>
      </w:pPr>
    </w:p>
    <w:p>
      <w:pPr>
        <w:spacing w:line="242" w:lineRule="auto" w:before="222"/>
        <w:ind w:left="4985" w:right="189" w:firstLine="0"/>
        <w:jc w:val="left"/>
        <w:rPr>
          <w:sz w:val="24"/>
        </w:rPr>
      </w:pPr>
      <w:bookmarkStart w:name="Real interest rates" w:id="20"/>
      <w:bookmarkEnd w:id="20"/>
      <w:r>
        <w:rPr/>
      </w:r>
      <w:bookmarkStart w:name="Equity prices" w:id="21"/>
      <w:bookmarkEnd w:id="21"/>
      <w:r>
        <w:rPr/>
      </w:r>
      <w:bookmarkStart w:name="_bookmark7" w:id="22"/>
      <w:bookmarkEnd w:id="22"/>
      <w:r>
        <w:rPr/>
      </w:r>
      <w:r>
        <w:rPr>
          <w:sz w:val="24"/>
        </w:rPr>
        <w:t>less affected, there has been little change in the spread, suggesting that increased corporate indebtedness has not had a substantial effect. Because five-year default-free rates have fallen slightly since August 1999, the cost to corporates of borrowing in the bond market at that maturity has changed little since then (see Table 1.C).</w:t>
      </w:r>
    </w:p>
    <w:p>
      <w:pPr>
        <w:spacing w:line="242" w:lineRule="auto" w:before="8"/>
        <w:ind w:left="4985" w:right="1322" w:firstLine="0"/>
        <w:jc w:val="left"/>
        <w:rPr>
          <w:sz w:val="24"/>
        </w:rPr>
      </w:pPr>
      <w:r>
        <w:rPr>
          <w:sz w:val="24"/>
        </w:rPr>
        <w:t>But there has been more of an increase at the 20-year maturity.</w:t>
      </w:r>
    </w:p>
    <w:p>
      <w:pPr>
        <w:pStyle w:val="BodyText"/>
        <w:rPr>
          <w:sz w:val="28"/>
        </w:rPr>
      </w:pPr>
    </w:p>
    <w:p>
      <w:pPr>
        <w:pStyle w:val="Heading2"/>
        <w:ind w:left="4985"/>
        <w:rPr>
          <w:i/>
        </w:rPr>
      </w:pPr>
      <w:r>
        <w:rPr>
          <w:i/>
          <w:color w:val="009391"/>
        </w:rPr>
        <w:t>Real interest rates</w:t>
      </w:r>
    </w:p>
    <w:p>
      <w:pPr>
        <w:spacing w:line="242" w:lineRule="auto" w:before="164"/>
        <w:ind w:left="4985" w:right="155" w:firstLine="0"/>
        <w:jc w:val="left"/>
        <w:rPr>
          <w:sz w:val="24"/>
        </w:rPr>
      </w:pPr>
      <w:r>
        <w:rPr>
          <w:sz w:val="24"/>
        </w:rPr>
        <w:t>Monetary policy seeks to influence spending by firms and households by affecting real interest rates. The impact on spending of the nominal rate changes discussed above therefore partly depends on developments in inflation expectations. The Consensus Economics survey indicates that the expected average rate of RPIX inflation over the next two years has remained virtually unchanged over the past year, and is very close to the 2</w:t>
      </w:r>
      <w:r>
        <w:rPr>
          <w:position w:val="8"/>
          <w:sz w:val="12"/>
        </w:rPr>
        <w:t>1</w:t>
      </w:r>
      <w:r>
        <w:rPr>
          <w:sz w:val="24"/>
        </w:rPr>
        <w:t>/</w:t>
      </w:r>
      <w:r>
        <w:rPr>
          <w:sz w:val="12"/>
        </w:rPr>
        <w:t>2</w:t>
      </w:r>
      <w:r>
        <w:rPr>
          <w:sz w:val="24"/>
        </w:rPr>
        <w:t>% target. Longer-run survey-based inflation expectations have also remained close to the inflation target. So there has been some increase in the real rates of interest faced by the corporate and household sectors, although not by as much as suggested by the change in the official repo rate. The increase in real rates may be acting to slow domestic demand growth.</w:t>
      </w:r>
    </w:p>
    <w:p>
      <w:pPr>
        <w:pStyle w:val="BodyText"/>
        <w:spacing w:before="9"/>
        <w:rPr>
          <w:sz w:val="21"/>
        </w:rPr>
      </w:pPr>
    </w:p>
    <w:p>
      <w:pPr>
        <w:spacing w:after="0"/>
        <w:rPr>
          <w:sz w:val="21"/>
        </w:rPr>
        <w:sectPr>
          <w:pgSz w:w="11900" w:h="16840"/>
          <w:pgMar w:header="601" w:footer="612" w:top="800" w:bottom="800" w:left="640" w:right="640"/>
        </w:sectPr>
      </w:pPr>
    </w:p>
    <w:p>
      <w:pPr>
        <w:pStyle w:val="BodyText"/>
        <w:rPr>
          <w:sz w:val="22"/>
        </w:rPr>
      </w:pPr>
    </w:p>
    <w:p>
      <w:pPr>
        <w:pStyle w:val="BodyText"/>
        <w:rPr>
          <w:sz w:val="22"/>
        </w:rPr>
      </w:pPr>
    </w:p>
    <w:p>
      <w:pPr>
        <w:pStyle w:val="BodyText"/>
        <w:spacing w:before="10"/>
        <w:rPr>
          <w:sz w:val="29"/>
        </w:rPr>
      </w:pPr>
    </w:p>
    <w:p>
      <w:pPr>
        <w:pStyle w:val="Heading6"/>
        <w:spacing w:before="0"/>
        <w:ind w:left="225"/>
      </w:pPr>
      <w:r>
        <w:rPr>
          <w:color w:val="0092C7"/>
        </w:rPr>
        <w:t>Chart 1.13</w:t>
      </w:r>
    </w:p>
    <w:p>
      <w:pPr>
        <w:pStyle w:val="Heading6"/>
        <w:ind w:left="225"/>
      </w:pPr>
      <w:r>
        <w:rPr/>
        <w:pict>
          <v:group style="position:absolute;margin-left:51.904999pt;margin-top:71.340950pt;width:152.1pt;height:65.75pt;mso-position-horizontal-relative:page;mso-position-vertical-relative:paragraph;z-index:-23454208" coordorigin="1038,1427" coordsize="3042,1315">
            <v:shape style="position:absolute;left:1048;top:2129;width:98;height:195" coordorigin="1048,2129" coordsize="98,195" path="m1048,2294l1058,2324m1058,2324l1068,2294m1068,2294l1081,2234m1081,2234l1091,2219m1091,2219l1123,2204m1123,2204l1133,2144m1133,2144l1146,2129e" filled="false" stroked="true" strokeweight="1pt" strokecolor="#de0035">
              <v:path arrowok="t"/>
              <v:stroke dashstyle="solid"/>
            </v:shape>
            <v:line style="position:absolute" from="1151,2029" to="1151,2139" stroked="true" strokeweight="1.5pt" strokecolor="#de0035">
              <v:stroke dashstyle="solid"/>
            </v:line>
            <v:shape style="position:absolute;left:1155;top:1991;width:130;height:93" coordorigin="1156,1992" coordsize="130,93" path="m1156,2039l1166,2069m1166,2069l1188,2039m1188,2039l1198,1992m1198,1992l1211,2009m1211,2009l1221,2012m1221,2009l1231,2069m1231,2069l1263,2084m1263,2084l1276,2009m1276,2009l1286,1992e" filled="false" stroked="true" strokeweight="1pt" strokecolor="#de0035">
              <v:path arrowok="t"/>
              <v:stroke dashstyle="solid"/>
            </v:shape>
            <v:line style="position:absolute" from="1291,1877" to="1291,2002" stroked="true" strokeweight="1.5pt" strokecolor="#de0035">
              <v:stroke dashstyle="solid"/>
            </v:line>
            <v:shape style="position:absolute;left:1295;top:1871;width:78;height:75" coordorigin="1296,1872" coordsize="78,75" path="m1296,1887l1308,1889m1308,1887l1341,1872m1341,1872l1351,1947m1351,1947l1361,1917m1361,1917l1373,1902e" filled="false" stroked="true" strokeweight="1pt" strokecolor="#de0035">
              <v:path arrowok="t"/>
              <v:stroke dashstyle="solid"/>
            </v:shape>
            <v:line style="position:absolute" from="1378,1802" to="1378,1912" stroked="true" strokeweight="1.5pt" strokecolor="#de0035">
              <v:stroke dashstyle="solid"/>
            </v:line>
            <v:shape style="position:absolute;left:1383;top:1631;width:335;height:285" coordorigin="1383,1632" coordsize="335,285" path="m1383,1812l1416,1857m1416,1857l1426,1887m1426,1887l1438,1917m1438,1917l1448,1872m1448,1872l1458,1812m1458,1812l1481,1842m1481,1842l1491,1844m1491,1842l1503,1902m1503,1902l1513,1872m1513,1872l1523,1827m1523,1827l1556,1812m1556,1812l1568,1827m1568,1827l1578,1812m1578,1812l1588,1767m1588,1767l1601,1737m1601,1737l1653,1707m1653,1707l1666,1632m1666,1632l1718,1842e" filled="false" stroked="true" strokeweight="1pt" strokecolor="#de0035">
              <v:path arrowok="t"/>
              <v:stroke dashstyle="solid"/>
            </v:shape>
            <v:line style="position:absolute" from="1724,1832" to="1724,1972" stroked="true" strokeweight="1.625pt" strokecolor="#de0035">
              <v:stroke dashstyle="solid"/>
            </v:line>
            <v:shape style="position:absolute;left:1730;top:1856;width:75;height:168" coordorigin="1731,1857" coordsize="75,168" path="m1731,1962l1741,2024m1741,2024l1751,1962m1751,1962l1773,1857m1773,1857l1783,1917m1783,1917l1796,1919m1796,1917l1806,1919e" filled="false" stroked="true" strokeweight="1pt" strokecolor="#de0035">
              <v:path arrowok="t"/>
              <v:stroke dashstyle="solid"/>
            </v:shape>
            <v:line style="position:absolute" from="1811,1802" to="1811,1927" stroked="true" strokeweight="1.5pt" strokecolor="#de0035">
              <v:stroke dashstyle="solid"/>
            </v:line>
            <v:line style="position:absolute" from="1816,1812" to="1848,1797" stroked="true" strokeweight="1pt" strokecolor="#de0035">
              <v:stroke dashstyle="solid"/>
            </v:line>
            <v:line style="position:absolute" from="1854,1787" to="1854,1942" stroked="true" strokeweight="1.625pt" strokecolor="#de0035">
              <v:stroke dashstyle="solid"/>
            </v:line>
            <v:shape style="position:absolute;left:1860;top:1931;width:65;height:153" coordorigin="1861,1932" coordsize="65,153" path="m1861,1932l1871,1992m1871,1992l1881,2069m1881,2069l1893,2084m1893,2084l1926,2054e" filled="false" stroked="true" strokeweight="1pt" strokecolor="#de0035">
              <v:path arrowok="t"/>
              <v:stroke dashstyle="solid"/>
            </v:shape>
            <v:shape style="position:absolute;left:1915;top:2044;width:40;height:125" coordorigin="1916,2044" coordsize="40,125" path="m1956,2059l1946,2059,1946,2044,1916,2044,1916,2169,1926,2169,1946,2169,1956,2169,1956,2059xe" filled="true" fillcolor="#de0035" stroked="false">
              <v:path arrowok="t"/>
              <v:fill type="solid"/>
            </v:shape>
            <v:shape style="position:absolute;left:1945;top:2024;width:88;height:150" coordorigin="1946,2024" coordsize="88,150" path="m1946,2069l1958,2024m1958,2024l1968,2084m1968,2084l2001,2174m2001,2174l2011,2159m2011,2159l2023,2162m2023,2159l2033,2144e" filled="false" stroked="true" strokeweight="1pt" strokecolor="#de0035">
              <v:path arrowok="t"/>
              <v:stroke dashstyle="solid"/>
            </v:shape>
            <v:rect style="position:absolute;left:2023;top:2134;width:30;height:125" filled="true" fillcolor="#de0035" stroked="false">
              <v:fill type="solid"/>
            </v:rect>
            <v:line style="position:absolute" from="2043,2249" to="2066,2309" stroked="true" strokeweight="1pt" strokecolor="#de0035">
              <v:stroke dashstyle="solid"/>
            </v:line>
            <v:line style="position:absolute" from="2071,2179" to="2071,2319" stroked="true" strokeweight="1.5pt" strokecolor="#de0035">
              <v:stroke dashstyle="solid"/>
            </v:line>
            <v:shape style="position:absolute;left:2075;top:2159;width:78;height:240" coordorigin="2076,2159" coordsize="78,240" path="m2076,2189l2088,2159m2088,2159l2098,2189m2098,2189l2108,2249m2108,2249l2141,2339m2141,2339l2153,2399e" filled="false" stroked="true" strokeweight="1pt" strokecolor="#de0035">
              <v:path arrowok="t"/>
              <v:stroke dashstyle="solid"/>
            </v:shape>
            <v:line style="position:absolute" from="2158,2269" to="2158,2409" stroked="true" strokeweight="1.5pt" strokecolor="#de0035">
              <v:stroke dashstyle="solid"/>
            </v:line>
            <v:shape style="position:absolute;left:2163;top:2219;width:65;height:135" coordorigin="2163,2219" coordsize="65,135" path="m2163,2279l2173,2219m2173,2219l2186,2234m2186,2234l2218,2309m2218,2309l2228,2354e" filled="false" stroked="true" strokeweight="1pt" strokecolor="#de0035">
              <v:path arrowok="t"/>
              <v:stroke dashstyle="solid"/>
            </v:shape>
            <v:line style="position:absolute" from="2233,2224" to="2233,2364" stroked="true" strokeweight="1.5pt" strokecolor="#de0035">
              <v:stroke dashstyle="solid"/>
            </v:line>
            <v:line style="position:absolute" from="2238,2234" to="2251,2279" stroked="true" strokeweight="1pt" strokecolor="#de0035">
              <v:stroke dashstyle="solid"/>
            </v:line>
            <v:line style="position:absolute" from="2256,2179" to="2256,2289" stroked="true" strokeweight="1.5pt" strokecolor="#de0035">
              <v:stroke dashstyle="solid"/>
            </v:line>
            <v:line style="position:absolute" from="2261,2189" to="2293,2264" stroked="true" strokeweight="1pt" strokecolor="#de0035">
              <v:stroke dashstyle="solid"/>
            </v:line>
            <v:line style="position:absolute" from="2298,2149" to="2298,2274" stroked="true" strokeweight="1.5pt" strokecolor="#de0035">
              <v:stroke dashstyle="solid"/>
            </v:line>
            <v:line style="position:absolute" from="2309,2014" to="2309,2169" stroked="true" strokeweight="1.625pt" strokecolor="#de0035">
              <v:stroke dashstyle="solid"/>
            </v:line>
            <v:shape style="position:absolute;left:2315;top:1811;width:43;height:213" coordorigin="2316,1812" coordsize="43,213" path="m2316,2024l2326,1947m2326,1947l2336,1887m2336,1887l2358,1812e" filled="false" stroked="true" strokeweight="1pt" strokecolor="#de0035">
              <v:path arrowok="t"/>
              <v:stroke dashstyle="solid"/>
            </v:shape>
            <v:line style="position:absolute" from="2363,1802" to="2363,1912" stroked="true" strokeweight="1.5pt" strokecolor="#de0035">
              <v:stroke dashstyle="solid"/>
            </v:line>
            <v:line style="position:absolute" from="2368,1902" to="2381,1962" stroked="true" strokeweight="1pt" strokecolor="#de0035">
              <v:stroke dashstyle="solid"/>
            </v:line>
            <v:line style="position:absolute" from="2386,1832" to="2386,1972" stroked="true" strokeweight="1.5pt" strokecolor="#de0035">
              <v:stroke dashstyle="solid"/>
            </v:line>
            <v:shape style="position:absolute;left:2390;top:1811;width:153;height:135" coordorigin="2391,1812" coordsize="153,135" path="m2391,1842l2401,1812m2401,1812l2433,1917m2433,1917l2446,1902m2446,1902l2456,1947m2456,1947l2466,1887m2466,1887l2478,1872m2478,1872l2511,1812m2511,1812l2531,1842m2531,1842l2543,1857e" filled="false" stroked="true" strokeweight="1pt" strokecolor="#de0035">
              <v:path arrowok="t"/>
              <v:stroke dashstyle="solid"/>
            </v:shape>
            <v:line style="position:absolute" from="2548,1712" to="2548,1867" stroked="true" strokeweight="1.5pt" strokecolor="#de0035">
              <v:stroke dashstyle="solid"/>
            </v:line>
            <v:shape style="position:absolute;left:2553;top:1721;width:55;height:105" coordorigin="2553,1722" coordsize="55,105" path="m2553,1722l2586,1767m2586,1767l2596,1782m2596,1782l2608,1827e" filled="false" stroked="true" strokeweight="1pt" strokecolor="#de0035">
              <v:path arrowok="t"/>
              <v:stroke dashstyle="solid"/>
            </v:shape>
            <v:line style="position:absolute" from="2613,1817" to="2613,1987" stroked="true" strokeweight="1.5pt" strokecolor="#de0035">
              <v:stroke dashstyle="solid"/>
            </v:line>
            <v:shape style="position:absolute;left:2618;top:1901;width:55;height:183" coordorigin="2618,1902" coordsize="55,183" path="m2618,1977l2628,1902m2628,1902l2651,1977m2651,1977l2661,2039m2661,2039l2673,2084e" filled="false" stroked="true" strokeweight="1pt" strokecolor="#de0035">
              <v:path arrowok="t"/>
              <v:stroke dashstyle="solid"/>
            </v:shape>
            <v:shape style="position:absolute;left:2678;top:1876;width:10;height:218" coordorigin="2678,1877" coordsize="10,218" path="m2678,1982l2678,2094m2688,1877l2688,2002e" filled="false" stroked="true" strokeweight="1.5pt" strokecolor="#de0035">
              <v:path arrowok="t"/>
              <v:stroke dashstyle="solid"/>
            </v:shape>
            <v:line style="position:absolute" from="2693,1887" to="2726,1917" stroked="true" strokeweight="1pt" strokecolor="#de0035">
              <v:stroke dashstyle="solid"/>
            </v:line>
            <v:line style="position:absolute" from="2732,1907" to="2732,2064" stroked="true" strokeweight="1.625pt" strokecolor="#de0035">
              <v:stroke dashstyle="solid"/>
            </v:line>
            <v:shape style="position:absolute;left:2738;top:2054;width:20;height:33" coordorigin="2738,2054" coordsize="20,33" path="m2738,2054l2748,2084m2748,2084l2758,2087e" filled="false" stroked="true" strokeweight="1pt" strokecolor="#de0035">
              <v:path arrowok="t"/>
              <v:stroke dashstyle="solid"/>
            </v:shape>
            <v:line style="position:absolute" from="2764,2074" to="2764,2244" stroked="true" strokeweight="1.625pt" strokecolor="#de0035">
              <v:stroke dashstyle="solid"/>
            </v:line>
            <v:shape style="position:absolute;left:2770;top:2234;width:43;height:195" coordorigin="2771,2234" coordsize="43,195" path="m2771,2234l2803,2429m2803,2429l2813,2354e" filled="false" stroked="true" strokeweight="1pt" strokecolor="#de0035">
              <v:path arrowok="t"/>
              <v:stroke dashstyle="solid"/>
            </v:shape>
            <v:line style="position:absolute" from="2818,2254" to="2818,2364" stroked="true" strokeweight="1.5pt" strokecolor="#de0035">
              <v:stroke dashstyle="solid"/>
            </v:line>
            <v:shape style="position:absolute;left:2823;top:2174;width:88;height:90" coordorigin="2823,2174" coordsize="88,90" path="m2823,2264l2836,2204m2836,2204l2888,2174m2888,2174l2901,2189m2901,2189l2911,2249e" filled="false" stroked="true" strokeweight="1pt" strokecolor="#de0035">
              <v:path arrowok="t"/>
              <v:stroke dashstyle="solid"/>
            </v:shape>
            <v:line style="position:absolute" from="2912,2119" to="2912,2259" stroked="true" strokeweight="1.125pt" strokecolor="#de0035">
              <v:stroke dashstyle="solid"/>
            </v:line>
            <v:line style="position:absolute" from="2911,2129" to="2953,2069" stroked="true" strokeweight="1pt" strokecolor="#de0035">
              <v:stroke dashstyle="solid"/>
            </v:line>
            <v:line style="position:absolute" from="2959,2059" to="2959,2244" stroked="true" strokeweight="1.625pt" strokecolor="#de0035">
              <v:stroke dashstyle="solid"/>
            </v:line>
            <v:shape style="position:absolute;left:2965;top:2189;width:75;height:120" coordorigin="2966,2189" coordsize="75,120" path="m2966,2234l2976,2219m2976,2219l2986,2189m2986,2189l3018,2204m3018,2204l3031,2279m3031,2279l3041,2309e" filled="false" stroked="true" strokeweight="1pt" strokecolor="#de0035">
              <v:path arrowok="t"/>
              <v:stroke dashstyle="solid"/>
            </v:shape>
            <v:line style="position:absolute" from="3046,2179" to="3046,2319" stroked="true" strokeweight="1.5pt" strokecolor="#de0035">
              <v:stroke dashstyle="solid"/>
            </v:line>
            <v:shape style="position:absolute;left:3050;top:2114;width:55;height:75" coordorigin="3051,2114" coordsize="55,75" path="m3051,2189l3063,2144m3063,2144l3096,2174m3096,2174l3106,2114e" filled="false" stroked="true" strokeweight="1pt" strokecolor="#de0035">
              <v:path arrowok="t"/>
              <v:stroke dashstyle="solid"/>
            </v:shape>
            <v:line style="position:absolute" from="3111,2104" to="3111,2229" stroked="true" strokeweight="1.5pt" strokecolor="#de0035">
              <v:stroke dashstyle="solid"/>
            </v:line>
            <v:line style="position:absolute" from="3116,2219" to="3128,2189" stroked="true" strokeweight="1pt" strokecolor="#de0035">
              <v:stroke dashstyle="solid"/>
            </v:line>
            <v:line style="position:absolute" from="3133,2179" to="3133,2364" stroked="true" strokeweight="1.5pt" strokecolor="#de0035">
              <v:stroke dashstyle="solid"/>
            </v:line>
            <v:shape style="position:absolute;left:3138;top:2309;width:55;height:60" coordorigin="3138,2309" coordsize="55,60" path="m3138,2354l3171,2369m3171,2369l3181,2324m3181,2324l3193,2309e" filled="false" stroked="true" strokeweight="1pt" strokecolor="#de0035">
              <v:path arrowok="t"/>
              <v:stroke dashstyle="solid"/>
            </v:shape>
            <v:line style="position:absolute" from="3198,2194" to="3198,2319" stroked="true" strokeweight="1.5pt" strokecolor="#de0035">
              <v:stroke dashstyle="solid"/>
            </v:line>
            <v:shape style="position:absolute;left:3203;top:2099;width:55;height:120" coordorigin="3203,2099" coordsize="55,120" path="m3203,2204l3206,2219m3203,2219l3246,2099m3246,2099l3258,2102e" filled="false" stroked="true" strokeweight="1pt" strokecolor="#de0035">
              <v:path arrowok="t"/>
              <v:stroke dashstyle="solid"/>
            </v:shape>
            <v:shape style="position:absolute;left:3263;top:1846;width:10;height:263" coordorigin="3263,1847" coordsize="10,263" path="m3263,1982l3263,2109m3273,1847l3273,2002e" filled="false" stroked="true" strokeweight="1.5pt" strokecolor="#de0035">
              <v:path arrowok="t"/>
              <v:stroke dashstyle="solid"/>
            </v:shape>
            <v:shape style="position:absolute;left:3278;top:1856;width:208;height:135" coordorigin="3278,1857" coordsize="208,135" path="m3278,1857l3311,1902m3311,1902l3323,1904m3323,1902l3333,1932m3333,1932l3343,1947m3343,1947l3356,1977m3356,1977l3388,1992m3388,1992l3398,1977m3398,1977l3408,1902m3408,1902l3421,1947m3421,1947l3431,1902m3431,1902l3463,1932m3463,1932l3473,1902m3473,1902l3486,1947e" filled="false" stroked="true" strokeweight="1pt" strokecolor="#de0035">
              <v:path arrowok="t"/>
              <v:stroke dashstyle="solid"/>
            </v:shape>
            <v:line style="position:absolute" from="3487,1937" to="3487,2002" stroked="true" strokeweight="1.125pt" strokecolor="#de0035">
              <v:stroke dashstyle="solid"/>
            </v:line>
            <v:shape style="position:absolute;left:3485;top:1871;width:433;height:273" coordorigin="3486,1872" coordsize="433,273" path="m3486,1992l3496,2009m3496,2009l3528,1992m3528,1992l3538,2024m3538,2024l3551,2069m3551,2069l3561,2144m3561,2144l3571,2069m3571,2069l3603,1947m3603,1947l3616,1977m3616,1977l3626,2009m3626,2009l3636,1977m3636,1977l3648,1917m3648,1917l3681,1932m3681,1932l3691,1934m3691,1932l3701,1887m3701,1887l3713,1932m3713,1932l3723,1917m3723,1917l3756,1872m3756,1872l3766,1932m3766,1932l3778,1917m3778,1917l3781,1919m3778,1917l3788,1992m3788,1992l3821,1977m3821,1977l3831,1979m3831,1977l3843,1979m3843,1977l3853,2009m3853,2009l3863,2024m3863,2024l3896,2009m3896,2009l3908,1992m3908,1992l3918,1977e" filled="false" stroked="true" strokeweight="1pt" strokecolor="#de0035">
              <v:path arrowok="t"/>
              <v:stroke dashstyle="solid"/>
            </v:shape>
            <v:line style="position:absolute" from="1053,2074" to="1053,2304" stroked="true" strokeweight="1.5pt" strokecolor="#006caa">
              <v:stroke dashstyle="dash"/>
            </v:line>
            <v:line style="position:absolute" from="1058,2084" to="1068,2069" stroked="true" strokeweight="1pt" strokecolor="#006caa">
              <v:stroke dashstyle="dash"/>
            </v:line>
            <v:line style="position:absolute" from="1074,1952" to="1074,2079" stroked="true" strokeweight="1.625pt" strokecolor="#006caa">
              <v:stroke dashstyle="dash"/>
            </v:line>
            <v:line style="position:absolute" from="1086,1727" to="1086,1972" stroked="true" strokeweight="1.5pt" strokecolor="#006caa">
              <v:stroke dashstyle="dash"/>
            </v:line>
            <v:line style="position:absolute" from="1091,1737" to="1123,1767" stroked="true" strokeweight="1pt" strokecolor="#006caa">
              <v:stroke dashstyle="dash"/>
            </v:line>
            <v:line style="position:absolute" from="1128,1757" to="1128,1882" stroked="true" strokeweight="1.5pt" strokecolor="#006caa">
              <v:stroke dashstyle="dash"/>
            </v:line>
            <v:line style="position:absolute" from="1139,1862" to="1139,2002" stroked="true" strokeweight="1.625pt" strokecolor="#006caa">
              <v:stroke dashstyle="dash"/>
            </v:line>
            <v:shape style="position:absolute;left:1145;top:1976;width:43;height:63" coordorigin="1146,1977" coordsize="43,63" path="m1146,1992l1156,2039m1156,2039l1166,1977m1166,1977l1188,2009e" filled="false" stroked="true" strokeweight="1pt" strokecolor="#006caa">
              <v:path arrowok="t"/>
              <v:stroke dashstyle="dash"/>
            </v:shape>
            <v:line style="position:absolute" from="1193,1877" to="1193,2019" stroked="true" strokeweight="1.5pt" strokecolor="#006caa">
              <v:stroke dashstyle="dash"/>
            </v:line>
            <v:shape style="position:absolute;left:1198;top:1886;width:33;height:48" coordorigin="1198,1887" coordsize="33,48" path="m1198,1887l1211,1932m1211,1932l1221,1934m1221,1932l1231,1934e" filled="false" stroked="true" strokeweight="1pt" strokecolor="#006caa">
              <v:path arrowok="t"/>
              <v:stroke dashstyle="dash"/>
            </v:shape>
            <v:line style="position:absolute" from="1221,1933" to="1273,1933" stroked="true" strokeweight="1.125pt" strokecolor="#006caa">
              <v:stroke dashstyle="dash"/>
            </v:line>
            <v:line style="position:absolute" from="1263,1932" to="1276,1887" stroked="true" strokeweight="1pt" strokecolor="#006caa">
              <v:stroke dashstyle="dash"/>
            </v:line>
            <v:line style="position:absolute" from="1281,1772" to="1281,1897" stroked="true" strokeweight="1.5pt" strokecolor="#006caa">
              <v:stroke dashstyle="dash"/>
            </v:line>
            <v:shape style="position:absolute;left:1285;top:1706;width:163;height:120" coordorigin="1286,1707" coordsize="163,120" path="m1286,1782l1296,1827m1296,1827l1308,1812m1308,1812l1341,1752m1341,1752l1351,1754m1351,1752l1361,1707m1361,1707l1373,1737m1373,1737l1383,1812m1383,1812l1416,1797m1416,1797l1426,1737m1426,1737l1438,1739m1438,1737l1448,1707e" filled="false" stroked="true" strokeweight="1pt" strokecolor="#006caa">
              <v:path arrowok="t"/>
              <v:stroke dashstyle="dash"/>
            </v:shape>
            <v:line style="position:absolute" from="1453,1607" to="1453,1717" stroked="true" strokeweight="1.5pt" strokecolor="#006caa">
              <v:stroke dashstyle="dash"/>
            </v:line>
            <v:shape style="position:absolute;left:1458;top:1556;width:33;height:60" coordorigin="1458,1557" coordsize="33,60" path="m1458,1617l1481,1572m1481,1572l1491,1557e" filled="false" stroked="true" strokeweight="1pt" strokecolor="#006caa">
              <v:path arrowok="t"/>
              <v:stroke dashstyle="dash"/>
            </v:shape>
            <v:line style="position:absolute" from="1497,1427" to="1497,1567" stroked="true" strokeweight="1.625pt" strokecolor="#006caa">
              <v:stroke dashstyle="dash"/>
            </v:line>
            <v:line style="position:absolute" from="1503,1437" to="1513,1439" stroked="true" strokeweight="1pt" strokecolor="#006caa">
              <v:stroke dashstyle="dash"/>
            </v:line>
            <v:line style="position:absolute" from="1518,1427" to="1518,1627" stroked="true" strokeweight="1.5pt" strokecolor="#006caa">
              <v:stroke dashstyle="dash"/>
            </v:line>
            <v:shape style="position:absolute;left:1523;top:1616;width:45;height:78" coordorigin="1523,1617" coordsize="45,78" path="m1523,1617l1556,1692m1556,1692l1568,1694e" filled="false" stroked="true" strokeweight="1pt" strokecolor="#006caa">
              <v:path arrowok="t"/>
              <v:stroke dashstyle="dash"/>
            </v:shape>
            <v:line style="position:absolute" from="1573,1682" to="1573,1852" stroked="true" strokeweight="1.5pt" strokecolor="#006caa">
              <v:stroke dashstyle="dash"/>
            </v:line>
            <v:shape style="position:absolute;left:1578;top:1811;width:205;height:273" coordorigin="1578,1812" coordsize="205,273" path="m1578,1842l1588,1857m1588,1857l1601,1859m1601,1857l1653,1812m1653,1812l1666,1814m1666,1812l1718,1992m1718,1992l1731,2024m1731,2024l1741,2084m1741,2084l1751,2039m1751,2039l1773,2009m1773,2009l1783,2012e" filled="false" stroked="true" strokeweight="1pt" strokecolor="#006caa">
              <v:path arrowok="t"/>
              <v:stroke dashstyle="dash"/>
            </v:shape>
            <v:line style="position:absolute" from="1789,1999" to="1789,2184" stroked="true" strokeweight="1.625pt" strokecolor="#006caa">
              <v:stroke dashstyle="dash"/>
            </v:line>
            <v:shape style="position:absolute;left:1795;top:2174;width:53;height:165" coordorigin="1796,2174" coordsize="53,165" path="m1796,2174l1806,2234m1806,2234l1816,2264m1816,2264l1848,2339e" filled="false" stroked="true" strokeweight="1pt" strokecolor="#006caa">
              <v:path arrowok="t"/>
              <v:stroke dashstyle="dash"/>
            </v:shape>
            <v:line style="position:absolute" from="1854,2329" to="1854,2484" stroked="true" strokeweight="1.625pt" strokecolor="#006caa">
              <v:stroke dashstyle="dash"/>
            </v:line>
            <v:line style="position:absolute" from="1866,2464" to="1866,2577" stroked="true" strokeweight="1.5pt" strokecolor="#006caa">
              <v:stroke dashstyle="dash"/>
            </v:line>
            <v:shape style="position:absolute;left:1870;top:2219;width:153;height:423" coordorigin="1871,2219" coordsize="153,423" path="m1871,2567l1881,2642m1881,2642l1893,2612m1893,2612l1926,2627m1926,2627l1936,2582m1936,2582l1946,2264m1946,2264l1958,2279m1958,2279l1968,2309m1968,2309l2001,2264m2001,2264l2011,2219m2011,2219l2023,2249e" filled="false" stroked="true" strokeweight="1pt" strokecolor="#006caa">
              <v:path arrowok="t"/>
              <v:stroke dashstyle="dash"/>
            </v:shape>
            <v:rect style="position:absolute;left:2013;top:2134;width:30;height:125" filled="true" fillcolor="#006caa" stroked="false">
              <v:fill type="solid"/>
            </v:rect>
            <v:shape style="position:absolute;left:2033;top:2099;width:185;height:240" coordorigin="2033,2099" coordsize="185,240" path="m2033,2144l2043,2159m2043,2159l2066,2204m2066,2204l2076,2189m2076,2189l2088,2114m2088,2114l2098,2129m2098,2129l2108,2099m2108,2099l2141,2339m2141,2339l2153,2324m2153,2324l2173,2264m2173,2264l2186,2204m2186,2204l2218,2159e" filled="false" stroked="true" strokeweight="1pt" strokecolor="#006caa">
              <v:path arrowok="t"/>
              <v:stroke dashstyle="dash"/>
            </v:shape>
            <v:line style="position:absolute" from="2223,2044" to="2223,2169" stroked="true" strokeweight="1.5pt" strokecolor="#006caa">
              <v:stroke dashstyle="dash"/>
            </v:line>
            <v:shape style="position:absolute;left:2228;top:2054;width:23;height:60" coordorigin="2228,2054" coordsize="23,60" path="m2228,2054l2238,2114m2238,2114l2251,2084e" filled="false" stroked="true" strokeweight="1pt" strokecolor="#006caa">
              <v:path arrowok="t"/>
              <v:stroke dashstyle="dash"/>
            </v:shape>
            <v:line style="position:absolute" from="2256,2074" to="2256,2214" stroked="true" strokeweight="1.5pt" strokecolor="#006caa">
              <v:stroke dashstyle="dash"/>
            </v:line>
            <v:shape style="position:absolute;left:2260;top:2189;width:43;height:75" coordorigin="2261,2189" coordsize="43,75" path="m2261,2204l2293,2189m2293,2189l2303,2264e" filled="false" stroked="true" strokeweight="1pt" strokecolor="#006caa">
              <v:path arrowok="t"/>
              <v:stroke dashstyle="dash"/>
            </v:shape>
            <v:line style="position:absolute" from="2309,2119" to="2309,2274" stroked="true" strokeweight="1.625pt" strokecolor="#006caa">
              <v:stroke dashstyle="dash"/>
            </v:line>
            <v:line style="position:absolute" from="2316,2129" to="2326,2054" stroked="true" strokeweight="1pt" strokecolor="#006caa">
              <v:stroke dashstyle="dash"/>
            </v:line>
            <v:line style="position:absolute" from="2331,1847" to="2331,2064" stroked="true" strokeweight="1.5pt" strokecolor="#006caa">
              <v:stroke dashstyle="dash"/>
            </v:line>
            <v:line style="position:absolute" from="2336,1857" to="2358,1827" stroked="true" strokeweight="1pt" strokecolor="#006caa">
              <v:stroke dashstyle="dash"/>
            </v:line>
            <v:line style="position:absolute" from="2363,1712" to="2363,1837" stroked="true" strokeweight="1.5pt" strokecolor="#006caa">
              <v:stroke dashstyle="dash"/>
            </v:line>
            <v:shape style="position:absolute;left:2368;top:1691;width:78;height:105" coordorigin="2368,1692" coordsize="78,105" path="m2368,1722l2381,1692m2381,1692l2391,1737m2391,1737l2401,1797m2401,1797l2433,1782m2433,1782l2446,1797e" filled="false" stroked="true" strokeweight="1pt" strokecolor="#006caa">
              <v:path arrowok="t"/>
              <v:stroke dashstyle="dash"/>
            </v:shape>
            <v:line style="position:absolute" from="2451,1697" to="2451,1807" stroked="true" strokeweight="1.5pt" strokecolor="#006caa">
              <v:stroke dashstyle="dash"/>
            </v:line>
            <v:line style="position:absolute" from="2456,1707" to="2466,1662" stroked="true" strokeweight="1pt" strokecolor="#006caa">
              <v:stroke dashstyle="dash"/>
            </v:line>
            <v:line style="position:absolute" from="2472,1547" to="2472,1672" stroked="true" strokeweight="1.625pt" strokecolor="#006caa">
              <v:stroke dashstyle="dash"/>
            </v:line>
            <v:line style="position:absolute" from="2478,1557" to="2511,1617" stroked="true" strokeweight="1pt" strokecolor="#006caa">
              <v:stroke dashstyle="dash"/>
            </v:line>
            <v:shape style="position:absolute;left:2515;top:1606;width:10;height:395" coordorigin="2516,1607" coordsize="10,395" path="m2516,1607l2516,1747m2526,1727l2526,2002e" filled="false" stroked="true" strokeweight="1.5pt" strokecolor="#006caa">
              <v:path arrowok="t"/>
              <v:stroke dashstyle="dash"/>
            </v:shape>
            <v:shape style="position:absolute;left:2530;top:1781;width:55;height:273" coordorigin="2531,1782" coordsize="55,273" path="m2531,1992l2543,2054m2543,2054l2553,1977m2553,1977l2586,1782e" filled="false" stroked="true" strokeweight="1pt" strokecolor="#006caa">
              <v:path arrowok="t"/>
              <v:stroke dashstyle="dash"/>
            </v:shape>
            <v:line style="position:absolute" from="2591,1772" to="2591,2034" stroked="true" strokeweight="1.5pt" strokecolor="#006caa">
              <v:stroke dashstyle="dash"/>
            </v:line>
            <v:line style="position:absolute" from="2596,2024" to="2608,2099" stroked="true" strokeweight="1pt" strokecolor="#006caa">
              <v:stroke dashstyle="dash"/>
            </v:line>
            <v:line style="position:absolute" from="2613,2089" to="2613,2349" stroked="true" strokeweight="1.5pt" strokecolor="#006caa">
              <v:stroke dashstyle="dash"/>
            </v:line>
            <v:shape style="position:absolute;left:2618;top:2174;width:120;height:165" coordorigin="2618,2174" coordsize="120,165" path="m2618,2339l2628,2264m2628,2264l2651,2174m2651,2174l2661,2204m2661,2204l2673,2189m2673,2189l2683,2204m2683,2204l2693,2207m2693,2204l2726,2189m2726,2189l2738,2204e" filled="false" stroked="true" strokeweight="1pt" strokecolor="#006caa">
              <v:path arrowok="t"/>
              <v:stroke dashstyle="dash"/>
            </v:shape>
            <v:shape style="position:absolute;left:2743;top:2194;width:10;height:305" coordorigin="2743,2194" coordsize="10,305" path="m2743,2194l2743,2349m2753,2329l2753,2499e" filled="false" stroked="true" strokeweight="1.5pt" strokecolor="#006caa">
              <v:path arrowok="t"/>
              <v:stroke dashstyle="dash"/>
            </v:shape>
            <v:shape style="position:absolute;left:2758;top:2489;width:153;height:228" coordorigin="2758,2489" coordsize="153,228" path="m2758,2489l2771,2492m2771,2489l2803,2534m2803,2534l2813,2597m2813,2597l2823,2657m2823,2657l2836,2702m2836,2702l2888,2717m2888,2717l2901,2672m2901,2672l2911,2612e" filled="false" stroked="true" strokeweight="1pt" strokecolor="#006caa">
              <v:path arrowok="t"/>
              <v:stroke dashstyle="dash"/>
            </v:shape>
            <v:line style="position:absolute" from="2912,2539" to="2912,2622" stroked="true" strokeweight="1.125pt" strokecolor="#006caa">
              <v:stroke dashstyle="dash"/>
            </v:line>
            <v:shape style="position:absolute;left:2910;top:2399;width:348;height:273" coordorigin="2911,2399" coordsize="348,273" path="m2911,2549l2953,2504m2953,2504l2966,2459m2966,2459l2976,2534m2976,2534l2986,2582m2986,2582l3018,2567m3018,2567l3031,2534m3031,2534l3041,2537m3041,2534l3051,2489m3051,2489l3063,2444m3063,2444l3096,2399m3096,2399l3106,2459m3106,2459l3116,2534m3116,2534l3128,2549m3128,2549l3138,2534m3138,2534l3171,2612m3171,2612l3181,2642m3181,2642l3193,2672m3193,2672l3203,2642m3203,2642l3206,2657m3203,2657l3246,2612m3246,2612l3258,2642e" filled="false" stroked="true" strokeweight="1pt" strokecolor="#006caa">
              <v:path arrowok="t"/>
              <v:stroke dashstyle="dash"/>
            </v:shape>
            <v:shape style="position:absolute;left:3263;top:2389;width:10;height:263" coordorigin="3263,2389" coordsize="10,263" path="m3263,2494l3263,2652m3273,2389l3273,2514e" filled="false" stroked="true" strokeweight="1.5pt" strokecolor="#006caa">
              <v:path arrowok="t"/>
              <v:stroke dashstyle="dash"/>
            </v:shape>
            <v:shape style="position:absolute;left:3278;top:2399;width:208;height:168" coordorigin="3278,2399" coordsize="208,168" path="m3278,2399l3311,2414m3311,2414l3323,2474m3323,2474l3333,2477m3333,2474l3343,2477m3343,2474l3356,2489m3356,2489l3388,2504m3388,2504l3398,2534m3398,2534l3408,2549m3408,2549l3421,2567m3421,2567l3431,2504m3431,2504l3463,2519m3463,2519l3473,2534m3473,2534l3486,2519e" filled="false" stroked="true" strokeweight="1pt" strokecolor="#006caa">
              <v:path arrowok="t"/>
              <v:stroke dashstyle="dash"/>
            </v:shape>
            <v:line style="position:absolute" from="3487,2509" to="3487,2577" stroked="true" strokeweight="1.125pt" strokecolor="#006caa">
              <v:stroke dashstyle="dash"/>
            </v:line>
            <v:line style="position:absolute" from="3486,2567" to="3496,2597" stroked="true" strokeweight="1pt" strokecolor="#006caa">
              <v:stroke dashstyle="dash"/>
            </v:line>
            <v:line style="position:absolute" from="3486,2598" to="3538,2598" stroked="true" strokeweight="1.125pt" strokecolor="#006caa">
              <v:stroke dashstyle="dash"/>
            </v:line>
            <v:shape style="position:absolute;left:3528;top:2399;width:120;height:198" coordorigin="3528,2399" coordsize="120,198" path="m3528,2597l3538,2534m3538,2534l3551,2504m3551,2504l3561,2429m3561,2429l3571,2432m3571,2429l3603,2399m3603,2399l3616,2444m3616,2444l3626,2474m3626,2474l3636,2549m3636,2549l3648,2519e" filled="false" stroked="true" strokeweight="1pt" strokecolor="#006caa">
              <v:path arrowok="t"/>
              <v:stroke dashstyle="dash"/>
            </v:shape>
            <v:line style="position:absolute" from="3638,2521" to="3691,2521" stroked="true" strokeweight="1.125pt" strokecolor="#006caa">
              <v:stroke dashstyle="dash"/>
            </v:line>
            <v:shape style="position:absolute;left:3680;top:2459;width:98;height:108" coordorigin="3681,2459" coordsize="98,108" path="m3681,2519l3691,2474m3691,2474l3701,2459m3701,2459l3713,2549m3713,2549l3723,2552m3723,2549l3756,2534m3756,2534l3766,2549m3766,2549l3778,2567e" filled="false" stroked="true" strokeweight="1pt" strokecolor="#006caa">
              <v:path arrowok="t"/>
              <v:stroke dashstyle="dash"/>
            </v:shape>
            <v:line style="position:absolute" from="3779,2524" to="3779,2577" stroked="true" strokeweight="1.125pt" strokecolor="#006caa">
              <v:stroke dashstyle="dash"/>
            </v:line>
            <v:shape style="position:absolute;left:3778;top:2534;width:53;height:48" coordorigin="3778,2534" coordsize="53,48" path="m3778,2534l3788,2537m3788,2534l3821,2549m3821,2549l3831,2582e" filled="false" stroked="true" strokeweight="1pt" strokecolor="#006caa">
              <v:path arrowok="t"/>
              <v:stroke dashstyle="dash"/>
            </v:shape>
            <v:line style="position:absolute" from="3837,2572" to="3837,2712" stroked="true" strokeweight="1.625pt" strokecolor="#006caa">
              <v:stroke dashstyle="dash"/>
            </v:line>
            <v:shape style="position:absolute;left:3843;top:2686;width:75;height:45" coordorigin="3843,2687" coordsize="75,45" path="m3843,2702l3853,2732m3853,2732l3863,2717m3863,2717l3896,2732m3896,2732l3908,2717m3908,2717l3918,2687e" filled="false" stroked="true" strokeweight="1pt" strokecolor="#006caa">
              <v:path arrowok="t"/>
              <v:stroke dashstyle="dash"/>
            </v:shape>
            <v:shape style="position:absolute;left:3992;top:1715;width:87;height:823" coordorigin="3993,1715" coordsize="87,823" path="m3993,1715l4079,1715m3993,2127l4079,2127m3993,2538l4079,2538e" filled="false" stroked="true" strokeweight=".5pt" strokecolor="#000000">
              <v:path arrowok="t"/>
              <v:stroke dashstyle="solid"/>
            </v:shape>
            <w10:wrap type="none"/>
          </v:group>
        </w:pict>
      </w:r>
      <w:r>
        <w:rPr>
          <w:color w:val="0092C7"/>
        </w:rPr>
        <w:t>Decomposition of FTSE</w:t>
      </w:r>
      <w:r>
        <w:rPr>
          <w:color w:val="0092C7"/>
          <w:spacing w:val="-40"/>
        </w:rPr>
        <w:t> </w:t>
      </w:r>
      <w:r>
        <w:rPr>
          <w:color w:val="0092C7"/>
        </w:rPr>
        <w:t>All-Share</w:t>
      </w:r>
    </w:p>
    <w:p>
      <w:pPr>
        <w:pStyle w:val="BodyText"/>
        <w:spacing w:before="10"/>
        <w:rPr>
          <w:b/>
          <w:sz w:val="17"/>
        </w:rPr>
      </w:pPr>
      <w:r>
        <w:rPr/>
        <w:pict>
          <v:shape style="position:absolute;margin-left:42.498001pt;margin-top:12.478965pt;width:4.350pt;height:.1pt;mso-position-horizontal-relative:page;mso-position-vertical-relative:paragraph;z-index:-15617536;mso-wrap-distance-left:0;mso-wrap-distance-right:0" coordorigin="850,250" coordsize="87,0" path="m850,250l937,250e" filled="false" stroked="true" strokeweight=".5pt" strokecolor="#000000">
            <v:path arrowok="t"/>
            <v:stroke dashstyle="solid"/>
            <w10:wrap type="topAndBottom"/>
          </v:shape>
        </w:pict>
      </w:r>
      <w:r>
        <w:rPr/>
        <w:pict>
          <v:shape style="position:absolute;margin-left:42.498001pt;margin-top:33.032967pt;width:4.350pt;height:.1pt;mso-position-horizontal-relative:page;mso-position-vertical-relative:paragraph;z-index:-15617024;mso-wrap-distance-left:0;mso-wrap-distance-right:0" coordorigin="850,661" coordsize="87,0" path="m850,661l937,661e" filled="false" stroked="true" strokeweight=".5pt" strokecolor="#000000">
            <v:path arrowok="t"/>
            <v:stroke dashstyle="solid"/>
            <w10:wrap type="topAndBottom"/>
          </v:shape>
        </w:pict>
      </w:r>
      <w:r>
        <w:rPr/>
        <w:pict>
          <v:shape style="position:absolute;margin-left:42.498001pt;margin-top:53.585964pt;width:4.350pt;height:.1pt;mso-position-horizontal-relative:page;mso-position-vertical-relative:paragraph;z-index:-15616512;mso-wrap-distance-left:0;mso-wrap-distance-right:0" coordorigin="850,1072" coordsize="87,0" path="m850,1072l937,1072e" filled="false" stroked="true" strokeweight=".5pt" strokecolor="#000000">
            <v:path arrowok="t"/>
            <v:stroke dashstyle="solid"/>
            <w10:wrap type="topAndBottom"/>
          </v:shape>
        </w:pict>
      </w:r>
      <w:r>
        <w:rPr/>
        <w:pict>
          <v:shape style="position:absolute;margin-left:42.498001pt;margin-top:74.139961pt;width:4.350pt;height:.1pt;mso-position-horizontal-relative:page;mso-position-vertical-relative:paragraph;z-index:-15616000;mso-wrap-distance-left:0;mso-wrap-distance-right:0" coordorigin="850,1483" coordsize="87,0" path="m850,1483l937,1483e" filled="false" stroked="true" strokeweight=".5pt" strokecolor="#000000">
            <v:path arrowok="t"/>
            <v:stroke dashstyle="solid"/>
            <w10:wrap type="topAndBottom"/>
          </v:shape>
        </w:pict>
      </w:r>
    </w:p>
    <w:p>
      <w:pPr>
        <w:pStyle w:val="BodyText"/>
        <w:spacing w:before="11"/>
        <w:rPr>
          <w:b/>
          <w:sz w:val="28"/>
        </w:rPr>
      </w:pPr>
    </w:p>
    <w:p>
      <w:pPr>
        <w:pStyle w:val="BodyText"/>
        <w:spacing w:before="11"/>
        <w:rPr>
          <w:b/>
          <w:sz w:val="28"/>
        </w:rPr>
      </w:pPr>
    </w:p>
    <w:p>
      <w:pPr>
        <w:pStyle w:val="BodyText"/>
        <w:spacing w:before="11"/>
        <w:rPr>
          <w:b/>
          <w:sz w:val="28"/>
        </w:rPr>
      </w:pPr>
    </w:p>
    <w:p>
      <w:pPr>
        <w:spacing w:before="0"/>
        <w:ind w:left="0" w:right="0" w:firstLine="0"/>
        <w:jc w:val="right"/>
        <w:rPr>
          <w:sz w:val="12"/>
        </w:rPr>
      </w:pPr>
      <w:r>
        <w:rPr>
          <w:sz w:val="12"/>
        </w:rPr>
        <w:t>FTSE All-Share</w:t>
      </w:r>
    </w:p>
    <w:p>
      <w:pPr>
        <w:pStyle w:val="BodyText"/>
        <w:spacing w:before="6"/>
        <w:rPr>
          <w:sz w:val="19"/>
        </w:rPr>
      </w:pPr>
      <w:r>
        <w:rPr/>
        <w:pict>
          <v:shape style="position:absolute;margin-left:42.498001pt;margin-top:13.437735pt;width:4.350pt;height:.1pt;mso-position-horizontal-relative:page;mso-position-vertical-relative:paragraph;z-index:-15615488;mso-wrap-distance-left:0;mso-wrap-distance-right:0" coordorigin="850,269" coordsize="87,0" path="m850,269l937,269e" filled="false" stroked="true" strokeweight=".5pt" strokecolor="#000000">
            <v:path arrowok="t"/>
            <v:stroke dashstyle="solid"/>
            <w10:wrap type="topAndBottom"/>
          </v:shape>
        </w:pict>
      </w:r>
      <w:r>
        <w:rPr/>
        <w:pict>
          <v:shape style="position:absolute;margin-left:42.498001pt;margin-top:33.991734pt;width:4.350pt;height:.1pt;mso-position-horizontal-relative:page;mso-position-vertical-relative:paragraph;z-index:-15614976;mso-wrap-distance-left:0;mso-wrap-distance-right:0" coordorigin="850,680" coordsize="87,0" path="m850,680l937,680e" filled="false" stroked="true" strokeweight=".5pt" strokecolor="#000000">
            <v:path arrowok="t"/>
            <v:stroke dashstyle="solid"/>
            <w10:wrap type="topAndBottom"/>
          </v:shape>
        </w:pict>
      </w:r>
    </w:p>
    <w:p>
      <w:pPr>
        <w:pStyle w:val="BodyText"/>
        <w:spacing w:before="11"/>
        <w:rPr>
          <w:sz w:val="28"/>
        </w:rPr>
      </w:pPr>
    </w:p>
    <w:p>
      <w:pPr>
        <w:spacing w:line="208" w:lineRule="auto" w:before="70"/>
        <w:ind w:left="875" w:right="884" w:hanging="60"/>
        <w:jc w:val="left"/>
        <w:rPr>
          <w:sz w:val="12"/>
        </w:rPr>
      </w:pPr>
      <w:r>
        <w:rPr>
          <w:sz w:val="12"/>
        </w:rPr>
        <w:t>FTSE All-Share implied by dividend discount model (a)</w:t>
      </w:r>
    </w:p>
    <w:p>
      <w:pPr>
        <w:pStyle w:val="BodyText"/>
        <w:spacing w:before="4"/>
        <w:rPr>
          <w:sz w:val="5"/>
        </w:rPr>
      </w:pPr>
    </w:p>
    <w:p>
      <w:pPr>
        <w:pStyle w:val="BodyText"/>
        <w:spacing w:line="20" w:lineRule="exact"/>
        <w:ind w:left="204"/>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spacing w:before="7"/>
        <w:rPr>
          <w:sz w:val="10"/>
        </w:rPr>
      </w:pPr>
      <w:r>
        <w:rPr/>
        <w:pict>
          <v:shape style="position:absolute;margin-left:42.498001pt;margin-top:8.328240pt;width:4.350pt;height:.1pt;mso-position-horizontal-relative:page;mso-position-vertical-relative:paragraph;z-index:-15613952;mso-wrap-distance-left:0;mso-wrap-distance-right:0" coordorigin="850,167" coordsize="87,0" path="m850,167l937,167e" filled="false" stroked="true" strokeweight=".5pt" strokecolor="#000000">
            <v:path arrowok="t"/>
            <v:stroke dashstyle="solid"/>
            <w10:wrap type="topAndBottom"/>
          </v:shape>
        </w:pict>
      </w:r>
    </w:p>
    <w:p>
      <w:pPr>
        <w:pStyle w:val="BodyText"/>
        <w:rPr>
          <w:sz w:val="22"/>
        </w:rPr>
      </w:pPr>
      <w:r>
        <w:rPr/>
        <w:br w:type="column"/>
      </w:r>
      <w:r>
        <w:rPr>
          <w:sz w:val="22"/>
        </w:rPr>
      </w:r>
    </w:p>
    <w:p>
      <w:pPr>
        <w:pStyle w:val="BodyText"/>
        <w:rPr>
          <w:sz w:val="22"/>
        </w:rPr>
      </w:pPr>
    </w:p>
    <w:p>
      <w:pPr>
        <w:pStyle w:val="BodyText"/>
        <w:rPr>
          <w:sz w:val="22"/>
        </w:rPr>
      </w:pPr>
    </w:p>
    <w:p>
      <w:pPr>
        <w:pStyle w:val="BodyText"/>
        <w:rPr>
          <w:sz w:val="22"/>
        </w:rPr>
      </w:pPr>
    </w:p>
    <w:p>
      <w:pPr>
        <w:pStyle w:val="BodyText"/>
        <w:rPr>
          <w:sz w:val="22"/>
        </w:rPr>
      </w:pPr>
    </w:p>
    <w:p>
      <w:pPr>
        <w:spacing w:before="129"/>
        <w:ind w:left="-3" w:right="0" w:firstLine="0"/>
        <w:jc w:val="left"/>
        <w:rPr>
          <w:sz w:val="12"/>
        </w:rPr>
      </w:pPr>
      <w:r>
        <w:rPr>
          <w:sz w:val="12"/>
        </w:rPr>
        <w:t>Index</w:t>
      </w:r>
      <w:r>
        <w:rPr>
          <w:spacing w:val="4"/>
          <w:sz w:val="12"/>
        </w:rPr>
        <w:t> </w:t>
      </w:r>
      <w:r>
        <w:rPr>
          <w:position w:val="-7"/>
          <w:sz w:val="12"/>
        </w:rPr>
        <w:t>3,800</w:t>
      </w:r>
    </w:p>
    <w:p>
      <w:pPr>
        <w:pStyle w:val="BodyText"/>
        <w:spacing w:before="11"/>
        <w:rPr>
          <w:sz w:val="23"/>
        </w:rPr>
      </w:pPr>
    </w:p>
    <w:p>
      <w:pPr>
        <w:spacing w:before="0"/>
        <w:ind w:left="305" w:right="0" w:firstLine="0"/>
        <w:jc w:val="left"/>
        <w:rPr>
          <w:sz w:val="12"/>
        </w:rPr>
      </w:pPr>
      <w:r>
        <w:rPr/>
        <w:pict>
          <v:line style="position:absolute;mso-position-horizontal-relative:page;mso-position-vertical-relative:paragraph;z-index:15844864" from="199.639008pt,4.258169pt" to="203.972008pt,4.258169pt" stroked="true" strokeweight=".5pt" strokecolor="#000000">
            <v:stroke dashstyle="solid"/>
            <w10:wrap type="none"/>
          </v:line>
        </w:pict>
      </w:r>
      <w:r>
        <w:rPr/>
        <w:pict>
          <v:line style="position:absolute;mso-position-horizontal-relative:page;mso-position-vertical-relative:paragraph;z-index:-23451648" from="199.639008pt,-16.295832pt" to="203.972008pt,-16.295832pt" stroked="true" strokeweight=".5pt" strokecolor="#000000">
            <v:stroke dashstyle="solid"/>
            <w10:wrap type="none"/>
          </v:line>
        </w:pict>
      </w:r>
      <w:r>
        <w:rPr>
          <w:sz w:val="12"/>
        </w:rPr>
        <w:t>3,600</w:t>
      </w:r>
    </w:p>
    <w:p>
      <w:pPr>
        <w:pStyle w:val="BodyText"/>
        <w:rPr>
          <w:sz w:val="12"/>
        </w:rPr>
      </w:pPr>
    </w:p>
    <w:p>
      <w:pPr>
        <w:pStyle w:val="BodyText"/>
        <w:spacing w:before="9"/>
        <w:rPr>
          <w:sz w:val="11"/>
        </w:rPr>
      </w:pPr>
    </w:p>
    <w:p>
      <w:pPr>
        <w:spacing w:before="0"/>
        <w:ind w:left="305" w:right="0" w:firstLine="0"/>
        <w:jc w:val="left"/>
        <w:rPr>
          <w:sz w:val="12"/>
        </w:rPr>
      </w:pPr>
      <w:r>
        <w:rPr/>
        <w:pict>
          <v:line style="position:absolute;mso-position-horizontal-relative:page;mso-position-vertical-relative:paragraph;z-index:15845376" from="199.639008pt,4.25755pt" to="203.972008pt,4.25755pt" stroked="true" strokeweight=".5pt" strokecolor="#000000">
            <v:stroke dashstyle="solid"/>
            <w10:wrap type="none"/>
          </v:line>
        </w:pict>
      </w:r>
      <w:r>
        <w:rPr>
          <w:sz w:val="12"/>
        </w:rPr>
        <w:t>3,400</w:t>
      </w:r>
    </w:p>
    <w:p>
      <w:pPr>
        <w:pStyle w:val="BodyText"/>
        <w:rPr>
          <w:sz w:val="12"/>
        </w:rPr>
      </w:pPr>
    </w:p>
    <w:p>
      <w:pPr>
        <w:pStyle w:val="BodyText"/>
        <w:spacing w:before="8"/>
        <w:rPr>
          <w:sz w:val="11"/>
        </w:rPr>
      </w:pPr>
    </w:p>
    <w:p>
      <w:pPr>
        <w:spacing w:before="0"/>
        <w:ind w:left="305" w:right="0" w:firstLine="0"/>
        <w:jc w:val="left"/>
        <w:rPr>
          <w:sz w:val="12"/>
        </w:rPr>
      </w:pPr>
      <w:r>
        <w:rPr>
          <w:sz w:val="12"/>
        </w:rPr>
        <w:t>3,200</w:t>
      </w:r>
    </w:p>
    <w:p>
      <w:pPr>
        <w:pStyle w:val="BodyText"/>
        <w:rPr>
          <w:sz w:val="12"/>
        </w:rPr>
      </w:pPr>
    </w:p>
    <w:p>
      <w:pPr>
        <w:pStyle w:val="BodyText"/>
        <w:spacing w:before="9"/>
        <w:rPr>
          <w:sz w:val="11"/>
        </w:rPr>
      </w:pPr>
    </w:p>
    <w:p>
      <w:pPr>
        <w:spacing w:before="0"/>
        <w:ind w:left="305" w:right="0" w:firstLine="0"/>
        <w:jc w:val="left"/>
        <w:rPr>
          <w:sz w:val="12"/>
        </w:rPr>
      </w:pPr>
      <w:r>
        <w:rPr>
          <w:sz w:val="12"/>
        </w:rPr>
        <w:t>3,000</w:t>
      </w:r>
    </w:p>
    <w:p>
      <w:pPr>
        <w:pStyle w:val="BodyText"/>
        <w:rPr>
          <w:sz w:val="12"/>
        </w:rPr>
      </w:pPr>
    </w:p>
    <w:p>
      <w:pPr>
        <w:pStyle w:val="BodyText"/>
        <w:spacing w:before="8"/>
        <w:rPr>
          <w:sz w:val="11"/>
        </w:rPr>
      </w:pPr>
    </w:p>
    <w:p>
      <w:pPr>
        <w:spacing w:before="1"/>
        <w:ind w:left="305" w:right="0" w:firstLine="0"/>
        <w:jc w:val="left"/>
        <w:rPr>
          <w:sz w:val="12"/>
        </w:rPr>
      </w:pPr>
      <w:r>
        <w:rPr>
          <w:sz w:val="12"/>
        </w:rPr>
        <w:t>2,800</w:t>
      </w:r>
    </w:p>
    <w:p>
      <w:pPr>
        <w:pStyle w:val="BodyText"/>
        <w:rPr>
          <w:sz w:val="12"/>
        </w:rPr>
      </w:pPr>
    </w:p>
    <w:p>
      <w:pPr>
        <w:pStyle w:val="BodyText"/>
        <w:spacing w:before="8"/>
        <w:rPr>
          <w:sz w:val="11"/>
        </w:rPr>
      </w:pPr>
    </w:p>
    <w:p>
      <w:pPr>
        <w:spacing w:before="0"/>
        <w:ind w:left="305" w:right="0" w:firstLine="0"/>
        <w:jc w:val="left"/>
        <w:rPr>
          <w:sz w:val="12"/>
        </w:rPr>
      </w:pPr>
      <w:r>
        <w:rPr/>
        <w:pict>
          <v:line style="position:absolute;mso-position-horizontal-relative:page;mso-position-vertical-relative:paragraph;z-index:15845888" from="199.639008pt,4.257164pt" to="203.972008pt,4.257164pt" stroked="true" strokeweight=".5pt" strokecolor="#000000">
            <v:stroke dashstyle="solid"/>
            <w10:wrap type="none"/>
          </v:line>
        </w:pict>
      </w:r>
      <w:r>
        <w:rPr>
          <w:sz w:val="12"/>
        </w:rPr>
        <w:t>2,600</w:t>
      </w:r>
    </w:p>
    <w:p>
      <w:pPr>
        <w:pStyle w:val="BodyText"/>
        <w:rPr>
          <w:sz w:val="12"/>
        </w:rPr>
      </w:pPr>
    </w:p>
    <w:p>
      <w:pPr>
        <w:pStyle w:val="BodyText"/>
        <w:spacing w:before="9"/>
        <w:rPr>
          <w:sz w:val="11"/>
        </w:rPr>
      </w:pPr>
    </w:p>
    <w:p>
      <w:pPr>
        <w:spacing w:line="106" w:lineRule="exact" w:before="0"/>
        <w:ind w:left="305" w:right="0" w:firstLine="0"/>
        <w:jc w:val="left"/>
        <w:rPr>
          <w:sz w:val="12"/>
        </w:rPr>
      </w:pPr>
      <w:r>
        <w:rPr/>
        <w:pict>
          <v:group style="position:absolute;margin-left:52.217999pt;margin-top:-2.50144pt;width:151.8pt;height:7.1pt;mso-position-horizontal-relative:page;mso-position-vertical-relative:paragraph;z-index:15844352" coordorigin="1044,-50" coordsize="3036,142">
            <v:shape style="position:absolute;left:1049;top:-51;width:3031;height:137" coordorigin="1049,-50" coordsize="3031,137" path="m1052,87l3932,87m1049,20l1049,87m1373,20l1373,87m1696,-50l1696,87m2019,20l2019,87m2342,20l2342,87m2666,20l2666,87m3312,20l3312,87m2989,20l2989,87m3635,20l3635,87m3993,85l4079,85e" filled="false" stroked="true" strokeweight=".5pt" strokecolor="#000000">
              <v:path arrowok="t"/>
              <v:stroke dashstyle="solid"/>
            </v:shape>
            <v:line style="position:absolute" from="3921,20" to="3921,87" stroked="true" strokeweight=".5pt" strokecolor="#000000">
              <v:stroke dashstyle="solid"/>
            </v:line>
            <w10:wrap type="none"/>
          </v:group>
        </w:pict>
      </w:r>
      <w:r>
        <w:rPr>
          <w:sz w:val="12"/>
        </w:rPr>
        <w:t>2,400</w:t>
      </w:r>
    </w:p>
    <w:p>
      <w:pPr>
        <w:pStyle w:val="Heading2"/>
        <w:spacing w:before="90"/>
        <w:ind w:left="225"/>
        <w:rPr>
          <w:i/>
        </w:rPr>
      </w:pPr>
      <w:r>
        <w:rPr>
          <w:i w:val="0"/>
        </w:rPr>
        <w:br w:type="column"/>
      </w:r>
      <w:r>
        <w:rPr>
          <w:i/>
          <w:color w:val="009391"/>
        </w:rPr>
        <w:t>Equity prices</w:t>
      </w:r>
    </w:p>
    <w:p>
      <w:pPr>
        <w:spacing w:before="164"/>
        <w:ind w:left="225" w:right="0" w:firstLine="0"/>
        <w:jc w:val="left"/>
        <w:rPr>
          <w:sz w:val="24"/>
        </w:rPr>
      </w:pPr>
      <w:r>
        <w:rPr>
          <w:sz w:val="24"/>
        </w:rPr>
        <w:t>The FTSE All-Share index averaged 3082 in the</w:t>
      </w:r>
    </w:p>
    <w:p>
      <w:pPr>
        <w:spacing w:line="242" w:lineRule="auto" w:before="4"/>
        <w:ind w:left="225" w:right="109" w:firstLine="0"/>
        <w:jc w:val="left"/>
        <w:rPr>
          <w:sz w:val="24"/>
        </w:rPr>
      </w:pPr>
      <w:r>
        <w:rPr>
          <w:sz w:val="24"/>
        </w:rPr>
        <w:t>15 working days to 2 August, about 2% above the central projection for August implied in the May </w:t>
      </w:r>
      <w:r>
        <w:rPr>
          <w:i/>
          <w:sz w:val="24"/>
        </w:rPr>
        <w:t>Report</w:t>
      </w:r>
      <w:r>
        <w:rPr>
          <w:sz w:val="24"/>
        </w:rPr>
        <w:t>. The value of equity can be thought of as the discounted stream of dividend payments derived from that equity.</w:t>
      </w:r>
    </w:p>
    <w:p>
      <w:pPr>
        <w:spacing w:line="242" w:lineRule="auto" w:before="5"/>
        <w:ind w:left="225" w:right="204" w:firstLine="0"/>
        <w:jc w:val="left"/>
        <w:rPr>
          <w:sz w:val="24"/>
        </w:rPr>
      </w:pPr>
      <w:r>
        <w:rPr>
          <w:sz w:val="24"/>
        </w:rPr>
        <w:t>So share prices should reflect the prevailing level of dividends, and changes in either expectations about future real corporate earnings, or in the discount factor. The discount factor is made up of a risk-free real rate and a risk premium. Chart 1.13 assesses the extent to which movements in share prices may be explained by movements in expected risk-free real rates, as embodied in the index-linked gilt market. Risk-free real rates have not changed significantly in recent months. That</w:t>
      </w:r>
    </w:p>
    <w:p>
      <w:pPr>
        <w:spacing w:after="0" w:line="242" w:lineRule="auto"/>
        <w:jc w:val="left"/>
        <w:rPr>
          <w:sz w:val="24"/>
        </w:rPr>
        <w:sectPr>
          <w:type w:val="continuous"/>
          <w:pgSz w:w="11900" w:h="16840"/>
          <w:pgMar w:top="1260" w:bottom="280" w:left="640" w:right="640"/>
          <w:cols w:num="3" w:equalWidth="0">
            <w:col w:w="3129" w:space="40"/>
            <w:col w:w="616" w:space="975"/>
            <w:col w:w="5860"/>
          </w:cols>
        </w:sectPr>
      </w:pPr>
    </w:p>
    <w:p>
      <w:pPr>
        <w:spacing w:line="118" w:lineRule="exact" w:before="0"/>
        <w:ind w:left="447" w:right="0" w:firstLine="0"/>
        <w:jc w:val="left"/>
        <w:rPr>
          <w:sz w:val="12"/>
        </w:rPr>
      </w:pPr>
      <w:r>
        <w:rPr>
          <w:sz w:val="12"/>
        </w:rPr>
        <w:t>Nov. Dec. Jan. Feb. Mar. Apr. May June July Aug.</w:t>
      </w:r>
    </w:p>
    <w:p>
      <w:pPr>
        <w:tabs>
          <w:tab w:pos="2230" w:val="left" w:leader="none"/>
        </w:tabs>
        <w:spacing w:before="57"/>
        <w:ind w:left="586" w:right="0" w:firstLine="0"/>
        <w:jc w:val="left"/>
        <w:rPr>
          <w:sz w:val="12"/>
        </w:rPr>
      </w:pPr>
      <w:r>
        <w:rPr>
          <w:sz w:val="12"/>
        </w:rPr>
        <w:t>1999</w:t>
        <w:tab/>
        <w:t>2000</w:t>
      </w:r>
    </w:p>
    <w:p>
      <w:pPr>
        <w:spacing w:line="208" w:lineRule="auto" w:before="93"/>
        <w:ind w:left="445" w:right="38" w:hanging="240"/>
        <w:jc w:val="left"/>
        <w:rPr>
          <w:sz w:val="12"/>
        </w:rPr>
      </w:pPr>
      <w:r>
        <w:rPr>
          <w:sz w:val="12"/>
        </w:rPr>
        <w:t>(a)  The FTSE All-Share has been projected forward from its level on 1 November 1999 using the dividend discount model. The inputs used are the prevailing level of dividends and real yields and the equity</w:t>
      </w:r>
      <w:r>
        <w:rPr>
          <w:spacing w:val="-8"/>
          <w:sz w:val="12"/>
        </w:rPr>
        <w:t> </w:t>
      </w:r>
      <w:r>
        <w:rPr>
          <w:sz w:val="12"/>
        </w:rPr>
        <w:t>risk</w:t>
      </w:r>
      <w:r>
        <w:rPr>
          <w:spacing w:val="-7"/>
          <w:sz w:val="12"/>
        </w:rPr>
        <w:t> </w:t>
      </w:r>
      <w:r>
        <w:rPr>
          <w:sz w:val="12"/>
        </w:rPr>
        <w:t>premium/dividend</w:t>
      </w:r>
      <w:r>
        <w:rPr>
          <w:spacing w:val="-7"/>
          <w:sz w:val="12"/>
        </w:rPr>
        <w:t> </w:t>
      </w:r>
      <w:r>
        <w:rPr>
          <w:sz w:val="12"/>
        </w:rPr>
        <w:t>growth</w:t>
      </w:r>
      <w:r>
        <w:rPr>
          <w:spacing w:val="-7"/>
          <w:sz w:val="12"/>
        </w:rPr>
        <w:t> </w:t>
      </w:r>
      <w:r>
        <w:rPr>
          <w:sz w:val="12"/>
        </w:rPr>
        <w:t>rate</w:t>
      </w:r>
      <w:r>
        <w:rPr>
          <w:spacing w:val="-7"/>
          <w:sz w:val="12"/>
        </w:rPr>
        <w:t> </w:t>
      </w:r>
      <w:r>
        <w:rPr>
          <w:sz w:val="12"/>
        </w:rPr>
        <w:t>combination</w:t>
      </w:r>
      <w:r>
        <w:rPr>
          <w:spacing w:val="-7"/>
          <w:sz w:val="12"/>
        </w:rPr>
        <w:t> </w:t>
      </w:r>
      <w:r>
        <w:rPr>
          <w:sz w:val="12"/>
        </w:rPr>
        <w:t>implicit</w:t>
      </w:r>
      <w:r>
        <w:rPr>
          <w:spacing w:val="-7"/>
          <w:sz w:val="12"/>
        </w:rPr>
        <w:t> </w:t>
      </w:r>
      <w:r>
        <w:rPr>
          <w:sz w:val="12"/>
        </w:rPr>
        <w:t>in valuations on 1 November</w:t>
      </w:r>
      <w:r>
        <w:rPr>
          <w:spacing w:val="-6"/>
          <w:sz w:val="12"/>
        </w:rPr>
        <w:t> </w:t>
      </w:r>
      <w:r>
        <w:rPr>
          <w:sz w:val="12"/>
        </w:rPr>
        <w:t>1999.</w:t>
      </w:r>
    </w:p>
    <w:p>
      <w:pPr>
        <w:spacing w:line="246" w:lineRule="exact" w:before="0"/>
        <w:ind w:left="205" w:right="0" w:firstLine="0"/>
        <w:jc w:val="left"/>
        <w:rPr>
          <w:sz w:val="24"/>
        </w:rPr>
      </w:pPr>
      <w:r>
        <w:rPr/>
        <w:br w:type="column"/>
      </w:r>
      <w:r>
        <w:rPr>
          <w:sz w:val="24"/>
        </w:rPr>
        <w:t>suggests that the increase in share prices reflects either</w:t>
      </w:r>
    </w:p>
    <w:p>
      <w:pPr>
        <w:spacing w:line="242" w:lineRule="auto" w:before="4"/>
        <w:ind w:left="205" w:right="116" w:firstLine="0"/>
        <w:jc w:val="left"/>
        <w:rPr>
          <w:sz w:val="24"/>
        </w:rPr>
      </w:pPr>
      <w:r>
        <w:rPr>
          <w:sz w:val="24"/>
        </w:rPr>
        <w:t>slightly higher expected future real dividend growth, and/or a lower risk premium required for holding equity. The combinations of expected future real dividend growth and equity risk premia implicit in current UK and world stock market values are extreme relative to past experience. Consistent with that, option prices continue to suggest that the balance of risks to equity prices is on</w:t>
      </w:r>
    </w:p>
    <w:p>
      <w:pPr>
        <w:spacing w:after="0" w:line="242" w:lineRule="auto"/>
        <w:jc w:val="left"/>
        <w:rPr>
          <w:sz w:val="24"/>
        </w:rPr>
        <w:sectPr>
          <w:type w:val="continuous"/>
          <w:pgSz w:w="11900" w:h="16840"/>
          <w:pgMar w:top="1260" w:bottom="280" w:left="640" w:right="640"/>
          <w:cols w:num="2" w:equalWidth="0">
            <w:col w:w="3642" w:space="1138"/>
            <w:col w:w="5840"/>
          </w:cols>
        </w:sectPr>
      </w:pPr>
    </w:p>
    <w:p>
      <w:pPr>
        <w:pStyle w:val="BodyText"/>
        <w:rPr>
          <w:sz w:val="20"/>
        </w:rPr>
      </w:pPr>
    </w:p>
    <w:p>
      <w:pPr>
        <w:spacing w:after="0"/>
        <w:rPr>
          <w:sz w:val="20"/>
        </w:rPr>
        <w:sectPr>
          <w:headerReference w:type="even" r:id="rId49"/>
          <w:headerReference w:type="default" r:id="rId50"/>
          <w:footerReference w:type="even" r:id="rId51"/>
          <w:footerReference w:type="default" r:id="rId52"/>
          <w:pgSz w:w="11900" w:h="16840"/>
          <w:pgMar w:header="586" w:footer="592" w:top="780" w:bottom="780" w:left="640" w:right="640"/>
          <w:pgNumType w:start="10"/>
        </w:sectPr>
      </w:pPr>
    </w:p>
    <w:p>
      <w:pPr>
        <w:pStyle w:val="BodyText"/>
        <w:spacing w:before="3"/>
        <w:rPr>
          <w:sz w:val="25"/>
        </w:rPr>
      </w:pPr>
    </w:p>
    <w:p>
      <w:pPr>
        <w:pStyle w:val="Heading6"/>
        <w:spacing w:before="0"/>
        <w:ind w:left="200"/>
      </w:pPr>
      <w:bookmarkStart w:name="Property prices" w:id="23"/>
      <w:bookmarkEnd w:id="23"/>
      <w:r>
        <w:rPr>
          <w:b w:val="0"/>
        </w:rPr>
      </w:r>
      <w:bookmarkStart w:name="Exchange rates" w:id="24"/>
      <w:bookmarkEnd w:id="24"/>
      <w:r>
        <w:rPr>
          <w:b w:val="0"/>
        </w:rPr>
      </w:r>
      <w:bookmarkStart w:name="_bookmark8" w:id="25"/>
      <w:bookmarkEnd w:id="25"/>
      <w:r>
        <w:rPr>
          <w:b w:val="0"/>
        </w:rPr>
      </w:r>
      <w:r>
        <w:rPr>
          <w:color w:val="0092C7"/>
        </w:rPr>
        <w:t>Chart 1.14</w:t>
      </w:r>
    </w:p>
    <w:p>
      <w:pPr>
        <w:pStyle w:val="Heading6"/>
        <w:ind w:left="200"/>
        <w:rPr>
          <w:b w:val="0"/>
          <w:sz w:val="12"/>
        </w:rPr>
      </w:pPr>
      <w:r>
        <w:rPr>
          <w:color w:val="0092C7"/>
        </w:rPr>
        <w:t>Downside risk for FTSE 100 and S&amp;P 500</w:t>
      </w:r>
      <w:r>
        <w:rPr>
          <w:b w:val="0"/>
          <w:position w:val="4"/>
          <w:sz w:val="12"/>
        </w:rPr>
        <w:t>(a)</w:t>
      </w:r>
    </w:p>
    <w:p>
      <w:pPr>
        <w:spacing w:line="125" w:lineRule="exact" w:before="59"/>
        <w:ind w:left="2916" w:right="0" w:firstLine="0"/>
        <w:jc w:val="left"/>
        <w:rPr>
          <w:sz w:val="12"/>
        </w:rPr>
      </w:pPr>
      <w:r>
        <w:rPr>
          <w:sz w:val="12"/>
        </w:rPr>
        <w:t>Probability</w:t>
      </w:r>
    </w:p>
    <w:p>
      <w:pPr>
        <w:spacing w:line="125" w:lineRule="exact" w:before="0"/>
        <w:ind w:left="3493" w:right="0" w:firstLine="0"/>
        <w:jc w:val="left"/>
        <w:rPr>
          <w:sz w:val="12"/>
        </w:rPr>
      </w:pPr>
      <w:r>
        <w:rPr/>
        <w:drawing>
          <wp:anchor distT="0" distB="0" distL="0" distR="0" allowOverlap="1" layoutInCell="1" locked="0" behindDoc="0" simplePos="0" relativeHeight="15850496">
            <wp:simplePos x="0" y="0"/>
            <wp:positionH relativeFrom="page">
              <wp:posOffset>530047</wp:posOffset>
            </wp:positionH>
            <wp:positionV relativeFrom="paragraph">
              <wp:posOffset>39464</wp:posOffset>
            </wp:positionV>
            <wp:extent cx="55029" cy="6350"/>
            <wp:effectExtent l="0" t="0" r="0" b="0"/>
            <wp:wrapNone/>
            <wp:docPr id="49" name="image13.png"/>
            <wp:cNvGraphicFramePr>
              <a:graphicFrameLocks noChangeAspect="1"/>
            </wp:cNvGraphicFramePr>
            <a:graphic>
              <a:graphicData uri="http://schemas.openxmlformats.org/drawingml/2006/picture">
                <pic:pic>
                  <pic:nvPicPr>
                    <pic:cNvPr id="50" name="image13.png"/>
                    <pic:cNvPicPr/>
                  </pic:nvPicPr>
                  <pic:blipFill>
                    <a:blip r:embed="rId36"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5853568">
            <wp:simplePos x="0" y="0"/>
            <wp:positionH relativeFrom="page">
              <wp:posOffset>2542184</wp:posOffset>
            </wp:positionH>
            <wp:positionV relativeFrom="paragraph">
              <wp:posOffset>40595</wp:posOffset>
            </wp:positionV>
            <wp:extent cx="55016" cy="6350"/>
            <wp:effectExtent l="0" t="0" r="0" b="0"/>
            <wp:wrapNone/>
            <wp:docPr id="51" name="image16.png"/>
            <wp:cNvGraphicFramePr>
              <a:graphicFrameLocks noChangeAspect="1"/>
            </wp:cNvGraphicFramePr>
            <a:graphic>
              <a:graphicData uri="http://schemas.openxmlformats.org/drawingml/2006/picture">
                <pic:pic>
                  <pic:nvPicPr>
                    <pic:cNvPr id="52" name="image16.png"/>
                    <pic:cNvPicPr/>
                  </pic:nvPicPr>
                  <pic:blipFill>
                    <a:blip r:embed="rId39" cstate="print"/>
                    <a:stretch>
                      <a:fillRect/>
                    </a:stretch>
                  </pic:blipFill>
                  <pic:spPr>
                    <a:xfrm>
                      <a:off x="0" y="0"/>
                      <a:ext cx="55016" cy="6350"/>
                    </a:xfrm>
                    <a:prstGeom prst="rect">
                      <a:avLst/>
                    </a:prstGeom>
                  </pic:spPr>
                </pic:pic>
              </a:graphicData>
            </a:graphic>
          </wp:anchor>
        </w:drawing>
      </w:r>
      <w:r>
        <w:rPr>
          <w:sz w:val="12"/>
        </w:rPr>
        <w:t>0.25</w:t>
      </w:r>
    </w:p>
    <w:p>
      <w:pPr>
        <w:pStyle w:val="BodyText"/>
        <w:spacing w:before="7"/>
        <w:rPr>
          <w:sz w:val="20"/>
        </w:rPr>
      </w:pPr>
      <w:r>
        <w:rPr/>
        <w:br w:type="column"/>
      </w:r>
      <w:r>
        <w:rPr>
          <w:sz w:val="20"/>
        </w:rPr>
      </w:r>
    </w:p>
    <w:p>
      <w:pPr>
        <w:spacing w:line="242" w:lineRule="auto" w:before="0"/>
        <w:ind w:left="194" w:right="209" w:firstLine="0"/>
        <w:jc w:val="left"/>
        <w:rPr>
          <w:sz w:val="24"/>
        </w:rPr>
      </w:pPr>
      <w:r>
        <w:rPr>
          <w:sz w:val="24"/>
        </w:rPr>
        <w:t>the downside. But the market may now attach a lower probability than earlier in the year to a significant decline in prices (see Chart 1.14).</w:t>
      </w:r>
    </w:p>
    <w:p>
      <w:pPr>
        <w:spacing w:after="0" w:line="242" w:lineRule="auto"/>
        <w:jc w:val="left"/>
        <w:rPr>
          <w:sz w:val="24"/>
        </w:rPr>
        <w:sectPr>
          <w:type w:val="continuous"/>
          <w:pgSz w:w="11900" w:h="16840"/>
          <w:pgMar w:top="1260" w:bottom="280" w:left="640" w:right="640"/>
          <w:cols w:num="2" w:equalWidth="0">
            <w:col w:w="3961" w:space="824"/>
            <w:col w:w="5835"/>
          </w:cols>
        </w:sectPr>
      </w:pPr>
    </w:p>
    <w:p>
      <w:pPr>
        <w:pStyle w:val="BodyText"/>
        <w:spacing w:before="4"/>
        <w:rPr>
          <w:sz w:val="20"/>
        </w:rPr>
      </w:pPr>
    </w:p>
    <w:p>
      <w:pPr>
        <w:spacing w:after="0"/>
        <w:rPr>
          <w:sz w:val="20"/>
        </w:rPr>
        <w:sectPr>
          <w:type w:val="continuous"/>
          <w:pgSz w:w="11900" w:h="16840"/>
          <w:pgMar w:top="1260" w:bottom="280" w:left="640" w:right="640"/>
        </w:sectPr>
      </w:pPr>
    </w:p>
    <w:p>
      <w:pPr>
        <w:pStyle w:val="BodyText"/>
        <w:spacing w:before="10" w:after="1"/>
        <w:rPr>
          <w:sz w:val="23"/>
        </w:rPr>
      </w:pPr>
    </w:p>
    <w:p>
      <w:pPr>
        <w:pStyle w:val="BodyText"/>
        <w:spacing w:line="20" w:lineRule="exact"/>
        <w:ind w:left="194"/>
        <w:rPr>
          <w:sz w:val="2"/>
        </w:rPr>
      </w:pPr>
      <w:r>
        <w:rPr>
          <w:sz w:val="2"/>
        </w:rPr>
        <w:drawing>
          <wp:inline distT="0" distB="0" distL="0" distR="0">
            <wp:extent cx="54478" cy="6286"/>
            <wp:effectExtent l="0" t="0" r="0" b="0"/>
            <wp:docPr id="53" name="image13.png"/>
            <wp:cNvGraphicFramePr>
              <a:graphicFrameLocks noChangeAspect="1"/>
            </wp:cNvGraphicFramePr>
            <a:graphic>
              <a:graphicData uri="http://schemas.openxmlformats.org/drawingml/2006/picture">
                <pic:pic>
                  <pic:nvPicPr>
                    <pic:cNvPr id="54" name="image13.png"/>
                    <pic:cNvPicPr/>
                  </pic:nvPicPr>
                  <pic:blipFill>
                    <a:blip r:embed="rId36" cstate="print"/>
                    <a:stretch>
                      <a:fillRect/>
                    </a:stretch>
                  </pic:blipFill>
                  <pic:spPr>
                    <a:xfrm>
                      <a:off x="0" y="0"/>
                      <a:ext cx="54478" cy="6286"/>
                    </a:xfrm>
                    <a:prstGeom prst="rect">
                      <a:avLst/>
                    </a:prstGeom>
                  </pic:spPr>
                </pic:pic>
              </a:graphicData>
            </a:graphic>
          </wp:inline>
        </w:drawing>
      </w:r>
      <w:r>
        <w:rPr>
          <w:sz w:val="2"/>
        </w:rPr>
      </w:r>
    </w:p>
    <w:p>
      <w:pPr>
        <w:pStyle w:val="BodyText"/>
        <w:rPr>
          <w:sz w:val="20"/>
        </w:rPr>
      </w:pPr>
    </w:p>
    <w:p>
      <w:pPr>
        <w:pStyle w:val="BodyText"/>
        <w:spacing w:before="11"/>
        <w:rPr>
          <w:sz w:val="24"/>
        </w:rPr>
      </w:pPr>
      <w:r>
        <w:rPr/>
        <w:drawing>
          <wp:anchor distT="0" distB="0" distL="0" distR="0" allowOverlap="1" layoutInCell="1" locked="0" behindDoc="0" simplePos="0" relativeHeight="231">
            <wp:simplePos x="0" y="0"/>
            <wp:positionH relativeFrom="page">
              <wp:posOffset>530047</wp:posOffset>
            </wp:positionH>
            <wp:positionV relativeFrom="paragraph">
              <wp:posOffset>207035</wp:posOffset>
            </wp:positionV>
            <wp:extent cx="55304" cy="6381"/>
            <wp:effectExtent l="0" t="0" r="0" b="0"/>
            <wp:wrapTopAndBottom/>
            <wp:docPr id="55" name="image12.png"/>
            <wp:cNvGraphicFramePr>
              <a:graphicFrameLocks noChangeAspect="1"/>
            </wp:cNvGraphicFramePr>
            <a:graphic>
              <a:graphicData uri="http://schemas.openxmlformats.org/drawingml/2006/picture">
                <pic:pic>
                  <pic:nvPicPr>
                    <pic:cNvPr id="56" name="image12.png"/>
                    <pic:cNvPicPr/>
                  </pic:nvPicPr>
                  <pic:blipFill>
                    <a:blip r:embed="rId35" cstate="print"/>
                    <a:stretch>
                      <a:fillRect/>
                    </a:stretch>
                  </pic:blipFill>
                  <pic:spPr>
                    <a:xfrm>
                      <a:off x="0" y="0"/>
                      <a:ext cx="55304" cy="6381"/>
                    </a:xfrm>
                    <a:prstGeom prst="rect">
                      <a:avLst/>
                    </a:prstGeom>
                  </pic:spPr>
                </pic:pic>
              </a:graphicData>
            </a:graphic>
          </wp:anchor>
        </w:drawing>
      </w:r>
    </w:p>
    <w:p>
      <w:pPr>
        <w:pStyle w:val="BodyText"/>
        <w:rPr>
          <w:sz w:val="20"/>
        </w:rPr>
      </w:pPr>
    </w:p>
    <w:p>
      <w:pPr>
        <w:pStyle w:val="BodyText"/>
        <w:spacing w:before="3"/>
        <w:rPr>
          <w:sz w:val="23"/>
        </w:rPr>
      </w:pPr>
      <w:r>
        <w:rPr/>
        <w:drawing>
          <wp:anchor distT="0" distB="0" distL="0" distR="0" allowOverlap="1" layoutInCell="1" locked="0" behindDoc="0" simplePos="0" relativeHeight="232">
            <wp:simplePos x="0" y="0"/>
            <wp:positionH relativeFrom="page">
              <wp:posOffset>530047</wp:posOffset>
            </wp:positionH>
            <wp:positionV relativeFrom="paragraph">
              <wp:posOffset>194925</wp:posOffset>
            </wp:positionV>
            <wp:extent cx="55304" cy="6381"/>
            <wp:effectExtent l="0" t="0" r="0" b="0"/>
            <wp:wrapTopAndBottom/>
            <wp:docPr id="57" name="image12.png"/>
            <wp:cNvGraphicFramePr>
              <a:graphicFrameLocks noChangeAspect="1"/>
            </wp:cNvGraphicFramePr>
            <a:graphic>
              <a:graphicData uri="http://schemas.openxmlformats.org/drawingml/2006/picture">
                <pic:pic>
                  <pic:nvPicPr>
                    <pic:cNvPr id="58" name="image12.png"/>
                    <pic:cNvPicPr/>
                  </pic:nvPicPr>
                  <pic:blipFill>
                    <a:blip r:embed="rId35" cstate="print"/>
                    <a:stretch>
                      <a:fillRect/>
                    </a:stretch>
                  </pic:blipFill>
                  <pic:spPr>
                    <a:xfrm>
                      <a:off x="0" y="0"/>
                      <a:ext cx="55304" cy="6381"/>
                    </a:xfrm>
                    <a:prstGeom prst="rect">
                      <a:avLst/>
                    </a:prstGeom>
                  </pic:spPr>
                </pic:pic>
              </a:graphicData>
            </a:graphic>
          </wp:anchor>
        </w:drawing>
      </w:r>
    </w:p>
    <w:p>
      <w:pPr>
        <w:pStyle w:val="BodyText"/>
        <w:rPr>
          <w:sz w:val="20"/>
        </w:rPr>
      </w:pPr>
    </w:p>
    <w:p>
      <w:pPr>
        <w:pStyle w:val="BodyText"/>
        <w:spacing w:before="3"/>
        <w:rPr>
          <w:sz w:val="23"/>
        </w:rPr>
      </w:pPr>
      <w:r>
        <w:rPr/>
        <w:drawing>
          <wp:anchor distT="0" distB="0" distL="0" distR="0" allowOverlap="1" layoutInCell="1" locked="0" behindDoc="0" simplePos="0" relativeHeight="233">
            <wp:simplePos x="0" y="0"/>
            <wp:positionH relativeFrom="page">
              <wp:posOffset>530047</wp:posOffset>
            </wp:positionH>
            <wp:positionV relativeFrom="paragraph">
              <wp:posOffset>194912</wp:posOffset>
            </wp:positionV>
            <wp:extent cx="55304" cy="6381"/>
            <wp:effectExtent l="0" t="0" r="0" b="0"/>
            <wp:wrapTopAndBottom/>
            <wp:docPr id="59" name="image12.png"/>
            <wp:cNvGraphicFramePr>
              <a:graphicFrameLocks noChangeAspect="1"/>
            </wp:cNvGraphicFramePr>
            <a:graphic>
              <a:graphicData uri="http://schemas.openxmlformats.org/drawingml/2006/picture">
                <pic:pic>
                  <pic:nvPicPr>
                    <pic:cNvPr id="60" name="image12.png"/>
                    <pic:cNvPicPr/>
                  </pic:nvPicPr>
                  <pic:blipFill>
                    <a:blip r:embed="rId35" cstate="print"/>
                    <a:stretch>
                      <a:fillRect/>
                    </a:stretch>
                  </pic:blipFill>
                  <pic:spPr>
                    <a:xfrm>
                      <a:off x="0" y="0"/>
                      <a:ext cx="55304" cy="6381"/>
                    </a:xfrm>
                    <a:prstGeom prst="rect">
                      <a:avLst/>
                    </a:prstGeom>
                  </pic:spPr>
                </pic:pic>
              </a:graphicData>
            </a:graphic>
          </wp:anchor>
        </w:drawing>
      </w:r>
    </w:p>
    <w:p>
      <w:pPr>
        <w:pStyle w:val="BodyText"/>
        <w:rPr>
          <w:sz w:val="20"/>
        </w:rPr>
      </w:pPr>
    </w:p>
    <w:p>
      <w:pPr>
        <w:pStyle w:val="BodyText"/>
        <w:spacing w:before="3"/>
        <w:rPr>
          <w:sz w:val="23"/>
        </w:rPr>
      </w:pPr>
      <w:r>
        <w:rPr/>
        <w:drawing>
          <wp:anchor distT="0" distB="0" distL="0" distR="0" allowOverlap="1" layoutInCell="1" locked="0" behindDoc="0" simplePos="0" relativeHeight="234">
            <wp:simplePos x="0" y="0"/>
            <wp:positionH relativeFrom="page">
              <wp:posOffset>530047</wp:posOffset>
            </wp:positionH>
            <wp:positionV relativeFrom="paragraph">
              <wp:posOffset>194938</wp:posOffset>
            </wp:positionV>
            <wp:extent cx="54478" cy="6286"/>
            <wp:effectExtent l="0" t="0" r="0" b="0"/>
            <wp:wrapTopAndBottom/>
            <wp:docPr id="61" name="image13.png"/>
            <wp:cNvGraphicFramePr>
              <a:graphicFrameLocks noChangeAspect="1"/>
            </wp:cNvGraphicFramePr>
            <a:graphic>
              <a:graphicData uri="http://schemas.openxmlformats.org/drawingml/2006/picture">
                <pic:pic>
                  <pic:nvPicPr>
                    <pic:cNvPr id="62" name="image13.png"/>
                    <pic:cNvPicPr/>
                  </pic:nvPicPr>
                  <pic:blipFill>
                    <a:blip r:embed="rId36" cstate="print"/>
                    <a:stretch>
                      <a:fillRect/>
                    </a:stretch>
                  </pic:blipFill>
                  <pic:spPr>
                    <a:xfrm>
                      <a:off x="0" y="0"/>
                      <a:ext cx="54478" cy="6286"/>
                    </a:xfrm>
                    <a:prstGeom prst="rect">
                      <a:avLst/>
                    </a:prstGeom>
                  </pic:spPr>
                </pic:pic>
              </a:graphicData>
            </a:graphic>
          </wp:anchor>
        </w:drawing>
      </w:r>
    </w:p>
    <w:p>
      <w:pPr>
        <w:tabs>
          <w:tab w:pos="1563" w:val="left" w:leader="none"/>
        </w:tabs>
        <w:spacing w:before="96"/>
        <w:ind w:left="669" w:right="0" w:firstLine="0"/>
        <w:jc w:val="left"/>
        <w:rPr>
          <w:sz w:val="12"/>
        </w:rPr>
      </w:pPr>
      <w:r>
        <w:rPr>
          <w:sz w:val="12"/>
        </w:rPr>
        <w:t>1997</w:t>
        <w:tab/>
        <w:t>98</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771" w:val="left" w:leader="none"/>
        </w:tabs>
        <w:spacing w:before="93"/>
        <w:ind w:left="194" w:right="0" w:firstLine="0"/>
        <w:jc w:val="left"/>
        <w:rPr>
          <w:sz w:val="12"/>
        </w:rPr>
      </w:pPr>
      <w:r>
        <w:rPr>
          <w:sz w:val="12"/>
        </w:rPr>
        <w:t>99</w:t>
        <w:tab/>
      </w:r>
      <w:r>
        <w:rPr>
          <w:spacing w:val="-5"/>
          <w:sz w:val="12"/>
        </w:rPr>
        <w:t>2000</w:t>
      </w:r>
    </w:p>
    <w:p>
      <w:pPr>
        <w:pStyle w:val="BodyText"/>
        <w:spacing w:before="4"/>
        <w:rPr>
          <w:sz w:val="17"/>
        </w:rPr>
      </w:pPr>
      <w:r>
        <w:rPr/>
        <w:br w:type="column"/>
      </w:r>
      <w:r>
        <w:rPr>
          <w:sz w:val="17"/>
        </w:rPr>
      </w:r>
    </w:p>
    <w:p>
      <w:pPr>
        <w:spacing w:before="0"/>
        <w:ind w:left="268" w:right="0" w:firstLine="0"/>
        <w:jc w:val="left"/>
        <w:rPr>
          <w:sz w:val="12"/>
        </w:rPr>
      </w:pPr>
      <w:r>
        <w:rPr>
          <w:sz w:val="12"/>
        </w:rPr>
        <w:t>0.20</w:t>
      </w:r>
    </w:p>
    <w:p>
      <w:pPr>
        <w:pStyle w:val="BodyText"/>
        <w:rPr>
          <w:sz w:val="12"/>
        </w:rPr>
      </w:pPr>
    </w:p>
    <w:p>
      <w:pPr>
        <w:pStyle w:val="BodyText"/>
        <w:rPr>
          <w:sz w:val="12"/>
        </w:rPr>
      </w:pPr>
    </w:p>
    <w:p>
      <w:pPr>
        <w:pStyle w:val="BodyText"/>
        <w:spacing w:before="1"/>
        <w:rPr>
          <w:sz w:val="14"/>
        </w:rPr>
      </w:pPr>
    </w:p>
    <w:p>
      <w:pPr>
        <w:spacing w:before="0"/>
        <w:ind w:left="268" w:right="0" w:firstLine="0"/>
        <w:jc w:val="left"/>
        <w:rPr>
          <w:sz w:val="12"/>
        </w:rPr>
      </w:pPr>
      <w:r>
        <w:rPr/>
        <w:pict>
          <v:group style="position:absolute;margin-left:51.125pt;margin-top:-41.026752pt;width:145.25pt;height:137.4pt;mso-position-horizontal-relative:page;mso-position-vertical-relative:paragraph;z-index:15849984" coordorigin="1023,-821" coordsize="2905,2748">
            <v:shape style="position:absolute;left:1022;top:-695;width:2905;height:2622" type="#_x0000_t75" stroked="false">
              <v:imagedata r:id="rId53" o:title=""/>
            </v:shape>
            <v:shape style="position:absolute;left:2434;top:-821;width:1207;height:374" type="#_x0000_t202" filled="false" stroked="false">
              <v:textbox inset="0,0,0,0">
                <w:txbxContent>
                  <w:p>
                    <w:pPr>
                      <w:spacing w:line="208" w:lineRule="auto" w:before="9"/>
                      <w:ind w:left="90" w:right="0" w:hanging="90"/>
                      <w:jc w:val="left"/>
                      <w:rPr>
                        <w:sz w:val="12"/>
                      </w:rPr>
                    </w:pPr>
                    <w:r>
                      <w:rPr>
                        <w:sz w:val="12"/>
                      </w:rPr>
                      <w:t>Probability of a 20% fall in FTSE 100 in next three months</w:t>
                    </w:r>
                  </w:p>
                </w:txbxContent>
              </v:textbox>
              <w10:wrap type="none"/>
            </v:shape>
            <v:shape style="position:absolute;left:2456;top:1435;width:1207;height:374" type="#_x0000_t202" filled="false" stroked="false">
              <v:textbox inset="0,0,0,0">
                <w:txbxContent>
                  <w:p>
                    <w:pPr>
                      <w:spacing w:line="208" w:lineRule="auto" w:before="9"/>
                      <w:ind w:left="60" w:right="0" w:hanging="60"/>
                      <w:jc w:val="left"/>
                      <w:rPr>
                        <w:sz w:val="12"/>
                      </w:rPr>
                    </w:pPr>
                    <w:r>
                      <w:rPr>
                        <w:sz w:val="12"/>
                      </w:rPr>
                      <w:t>Probability of a 20% fall in S&amp;P 500 in next three months</w:t>
                    </w:r>
                  </w:p>
                </w:txbxContent>
              </v:textbox>
              <w10:wrap type="none"/>
            </v:shape>
            <w10:wrap type="none"/>
          </v:group>
        </w:pict>
      </w:r>
      <w:r>
        <w:rPr/>
        <w:drawing>
          <wp:anchor distT="0" distB="0" distL="0" distR="0" allowOverlap="1" layoutInCell="1" locked="0" behindDoc="0" simplePos="0" relativeHeight="15851008">
            <wp:simplePos x="0" y="0"/>
            <wp:positionH relativeFrom="page">
              <wp:posOffset>2542184</wp:posOffset>
            </wp:positionH>
            <wp:positionV relativeFrom="paragraph">
              <wp:posOffset>-316677</wp:posOffset>
            </wp:positionV>
            <wp:extent cx="55016" cy="6350"/>
            <wp:effectExtent l="0" t="0" r="0" b="0"/>
            <wp:wrapNone/>
            <wp:docPr id="63" name="image23.png"/>
            <wp:cNvGraphicFramePr>
              <a:graphicFrameLocks noChangeAspect="1"/>
            </wp:cNvGraphicFramePr>
            <a:graphic>
              <a:graphicData uri="http://schemas.openxmlformats.org/drawingml/2006/picture">
                <pic:pic>
                  <pic:nvPicPr>
                    <pic:cNvPr id="64" name="image23.png"/>
                    <pic:cNvPicPr/>
                  </pic:nvPicPr>
                  <pic:blipFill>
                    <a:blip r:embed="rId54" cstate="print"/>
                    <a:stretch>
                      <a:fillRect/>
                    </a:stretch>
                  </pic:blipFill>
                  <pic:spPr>
                    <a:xfrm>
                      <a:off x="0" y="0"/>
                      <a:ext cx="55016" cy="6350"/>
                    </a:xfrm>
                    <a:prstGeom prst="rect">
                      <a:avLst/>
                    </a:prstGeom>
                  </pic:spPr>
                </pic:pic>
              </a:graphicData>
            </a:graphic>
          </wp:anchor>
        </w:drawing>
      </w:r>
      <w:r>
        <w:rPr/>
        <w:drawing>
          <wp:anchor distT="0" distB="0" distL="0" distR="0" allowOverlap="1" layoutInCell="1" locked="0" behindDoc="0" simplePos="0" relativeHeight="15851520">
            <wp:simplePos x="0" y="0"/>
            <wp:positionH relativeFrom="page">
              <wp:posOffset>2542184</wp:posOffset>
            </wp:positionH>
            <wp:positionV relativeFrom="paragraph">
              <wp:posOffset>49082</wp:posOffset>
            </wp:positionV>
            <wp:extent cx="55016" cy="6350"/>
            <wp:effectExtent l="0" t="0" r="0" b="0"/>
            <wp:wrapNone/>
            <wp:docPr id="65" name="image23.png"/>
            <wp:cNvGraphicFramePr>
              <a:graphicFrameLocks noChangeAspect="1"/>
            </wp:cNvGraphicFramePr>
            <a:graphic>
              <a:graphicData uri="http://schemas.openxmlformats.org/drawingml/2006/picture">
                <pic:pic>
                  <pic:nvPicPr>
                    <pic:cNvPr id="66" name="image23.png"/>
                    <pic:cNvPicPr/>
                  </pic:nvPicPr>
                  <pic:blipFill>
                    <a:blip r:embed="rId54" cstate="print"/>
                    <a:stretch>
                      <a:fillRect/>
                    </a:stretch>
                  </pic:blipFill>
                  <pic:spPr>
                    <a:xfrm>
                      <a:off x="0" y="0"/>
                      <a:ext cx="55016" cy="6350"/>
                    </a:xfrm>
                    <a:prstGeom prst="rect">
                      <a:avLst/>
                    </a:prstGeom>
                  </pic:spPr>
                </pic:pic>
              </a:graphicData>
            </a:graphic>
          </wp:anchor>
        </w:drawing>
      </w:r>
      <w:r>
        <w:rPr>
          <w:sz w:val="12"/>
        </w:rPr>
        <w:t>0.15</w:t>
      </w:r>
    </w:p>
    <w:p>
      <w:pPr>
        <w:pStyle w:val="BodyText"/>
        <w:rPr>
          <w:sz w:val="12"/>
        </w:rPr>
      </w:pPr>
    </w:p>
    <w:p>
      <w:pPr>
        <w:pStyle w:val="BodyText"/>
        <w:rPr>
          <w:sz w:val="12"/>
        </w:rPr>
      </w:pPr>
    </w:p>
    <w:p>
      <w:pPr>
        <w:pStyle w:val="BodyText"/>
        <w:spacing w:before="1"/>
        <w:rPr>
          <w:sz w:val="14"/>
        </w:rPr>
      </w:pPr>
    </w:p>
    <w:p>
      <w:pPr>
        <w:spacing w:before="0"/>
        <w:ind w:left="268" w:right="0" w:firstLine="0"/>
        <w:jc w:val="left"/>
        <w:rPr>
          <w:sz w:val="12"/>
        </w:rPr>
      </w:pPr>
      <w:r>
        <w:rPr/>
        <w:drawing>
          <wp:anchor distT="0" distB="0" distL="0" distR="0" allowOverlap="1" layoutInCell="1" locked="0" behindDoc="0" simplePos="0" relativeHeight="15852544">
            <wp:simplePos x="0" y="0"/>
            <wp:positionH relativeFrom="page">
              <wp:posOffset>2542184</wp:posOffset>
            </wp:positionH>
            <wp:positionV relativeFrom="paragraph">
              <wp:posOffset>49062</wp:posOffset>
            </wp:positionV>
            <wp:extent cx="55016" cy="6350"/>
            <wp:effectExtent l="0" t="0" r="0" b="0"/>
            <wp:wrapNone/>
            <wp:docPr id="67" name="image16.png"/>
            <wp:cNvGraphicFramePr>
              <a:graphicFrameLocks noChangeAspect="1"/>
            </wp:cNvGraphicFramePr>
            <a:graphic>
              <a:graphicData uri="http://schemas.openxmlformats.org/drawingml/2006/picture">
                <pic:pic>
                  <pic:nvPicPr>
                    <pic:cNvPr id="68" name="image16.png"/>
                    <pic:cNvPicPr/>
                  </pic:nvPicPr>
                  <pic:blipFill>
                    <a:blip r:embed="rId39" cstate="print"/>
                    <a:stretch>
                      <a:fillRect/>
                    </a:stretch>
                  </pic:blipFill>
                  <pic:spPr>
                    <a:xfrm>
                      <a:off x="0" y="0"/>
                      <a:ext cx="55016" cy="6350"/>
                    </a:xfrm>
                    <a:prstGeom prst="rect">
                      <a:avLst/>
                    </a:prstGeom>
                  </pic:spPr>
                </pic:pic>
              </a:graphicData>
            </a:graphic>
          </wp:anchor>
        </w:drawing>
      </w:r>
      <w:r>
        <w:rPr>
          <w:sz w:val="12"/>
        </w:rPr>
        <w:t>0.10</w:t>
      </w:r>
    </w:p>
    <w:p>
      <w:pPr>
        <w:pStyle w:val="BodyText"/>
        <w:rPr>
          <w:sz w:val="12"/>
        </w:rPr>
      </w:pPr>
    </w:p>
    <w:p>
      <w:pPr>
        <w:pStyle w:val="BodyText"/>
        <w:rPr>
          <w:sz w:val="12"/>
        </w:rPr>
      </w:pPr>
    </w:p>
    <w:p>
      <w:pPr>
        <w:pStyle w:val="BodyText"/>
        <w:spacing w:before="1"/>
        <w:rPr>
          <w:sz w:val="14"/>
        </w:rPr>
      </w:pPr>
    </w:p>
    <w:p>
      <w:pPr>
        <w:spacing w:before="0"/>
        <w:ind w:left="268" w:right="0" w:firstLine="0"/>
        <w:jc w:val="left"/>
        <w:rPr>
          <w:sz w:val="12"/>
        </w:rPr>
      </w:pPr>
      <w:r>
        <w:rPr/>
        <w:drawing>
          <wp:anchor distT="0" distB="0" distL="0" distR="0" allowOverlap="1" layoutInCell="1" locked="0" behindDoc="0" simplePos="0" relativeHeight="15852032">
            <wp:simplePos x="0" y="0"/>
            <wp:positionH relativeFrom="page">
              <wp:posOffset>2542184</wp:posOffset>
            </wp:positionH>
            <wp:positionV relativeFrom="paragraph">
              <wp:posOffset>49066</wp:posOffset>
            </wp:positionV>
            <wp:extent cx="55016" cy="6350"/>
            <wp:effectExtent l="0" t="0" r="0" b="0"/>
            <wp:wrapNone/>
            <wp:docPr id="69" name="image16.png"/>
            <wp:cNvGraphicFramePr>
              <a:graphicFrameLocks noChangeAspect="1"/>
            </wp:cNvGraphicFramePr>
            <a:graphic>
              <a:graphicData uri="http://schemas.openxmlformats.org/drawingml/2006/picture">
                <pic:pic>
                  <pic:nvPicPr>
                    <pic:cNvPr id="70" name="image16.png"/>
                    <pic:cNvPicPr/>
                  </pic:nvPicPr>
                  <pic:blipFill>
                    <a:blip r:embed="rId39" cstate="print"/>
                    <a:stretch>
                      <a:fillRect/>
                    </a:stretch>
                  </pic:blipFill>
                  <pic:spPr>
                    <a:xfrm>
                      <a:off x="0" y="0"/>
                      <a:ext cx="55016" cy="6350"/>
                    </a:xfrm>
                    <a:prstGeom prst="rect">
                      <a:avLst/>
                    </a:prstGeom>
                  </pic:spPr>
                </pic:pic>
              </a:graphicData>
            </a:graphic>
          </wp:anchor>
        </w:drawing>
      </w:r>
      <w:r>
        <w:rPr>
          <w:sz w:val="12"/>
        </w:rPr>
        <w:t>0.05</w:t>
      </w:r>
    </w:p>
    <w:p>
      <w:pPr>
        <w:pStyle w:val="BodyText"/>
        <w:rPr>
          <w:sz w:val="12"/>
        </w:rPr>
      </w:pPr>
    </w:p>
    <w:p>
      <w:pPr>
        <w:pStyle w:val="BodyText"/>
        <w:rPr>
          <w:sz w:val="12"/>
        </w:rPr>
      </w:pPr>
    </w:p>
    <w:p>
      <w:pPr>
        <w:pStyle w:val="BodyText"/>
        <w:spacing w:before="1"/>
        <w:rPr>
          <w:sz w:val="14"/>
        </w:rPr>
      </w:pPr>
    </w:p>
    <w:p>
      <w:pPr>
        <w:spacing w:before="0"/>
        <w:ind w:left="268" w:right="0" w:firstLine="0"/>
        <w:jc w:val="left"/>
        <w:rPr>
          <w:sz w:val="12"/>
        </w:rPr>
      </w:pPr>
      <w:r>
        <w:rPr/>
        <w:drawing>
          <wp:anchor distT="0" distB="0" distL="0" distR="0" allowOverlap="1" layoutInCell="1" locked="0" behindDoc="0" simplePos="0" relativeHeight="15853056">
            <wp:simplePos x="0" y="0"/>
            <wp:positionH relativeFrom="page">
              <wp:posOffset>2542184</wp:posOffset>
            </wp:positionH>
            <wp:positionV relativeFrom="paragraph">
              <wp:posOffset>49079</wp:posOffset>
            </wp:positionV>
            <wp:extent cx="55016" cy="6350"/>
            <wp:effectExtent l="0" t="0" r="0" b="0"/>
            <wp:wrapNone/>
            <wp:docPr id="71" name="image16.png"/>
            <wp:cNvGraphicFramePr>
              <a:graphicFrameLocks noChangeAspect="1"/>
            </wp:cNvGraphicFramePr>
            <a:graphic>
              <a:graphicData uri="http://schemas.openxmlformats.org/drawingml/2006/picture">
                <pic:pic>
                  <pic:nvPicPr>
                    <pic:cNvPr id="72" name="image16.png"/>
                    <pic:cNvPicPr/>
                  </pic:nvPicPr>
                  <pic:blipFill>
                    <a:blip r:embed="rId39" cstate="print"/>
                    <a:stretch>
                      <a:fillRect/>
                    </a:stretch>
                  </pic:blipFill>
                  <pic:spPr>
                    <a:xfrm>
                      <a:off x="0" y="0"/>
                      <a:ext cx="55016" cy="6350"/>
                    </a:xfrm>
                    <a:prstGeom prst="rect">
                      <a:avLst/>
                    </a:prstGeom>
                  </pic:spPr>
                </pic:pic>
              </a:graphicData>
            </a:graphic>
          </wp:anchor>
        </w:drawing>
      </w:r>
      <w:r>
        <w:rPr>
          <w:sz w:val="12"/>
        </w:rPr>
        <w:t>0.00</w:t>
      </w:r>
    </w:p>
    <w:p>
      <w:pPr>
        <w:pStyle w:val="Heading2"/>
        <w:spacing w:before="90"/>
        <w:ind w:left="194"/>
        <w:rPr>
          <w:i/>
        </w:rPr>
      </w:pPr>
      <w:r>
        <w:rPr>
          <w:i w:val="0"/>
        </w:rPr>
        <w:br w:type="column"/>
      </w:r>
      <w:r>
        <w:rPr>
          <w:i/>
          <w:color w:val="009391"/>
        </w:rPr>
        <w:t>Property prices</w:t>
      </w:r>
    </w:p>
    <w:p>
      <w:pPr>
        <w:spacing w:line="280" w:lineRule="atLeast" w:before="160"/>
        <w:ind w:left="194" w:right="176" w:firstLine="0"/>
        <w:jc w:val="left"/>
        <w:rPr>
          <w:sz w:val="24"/>
        </w:rPr>
      </w:pPr>
      <w:r>
        <w:rPr>
          <w:sz w:val="24"/>
        </w:rPr>
        <w:t>House price inflation has started to decline, and more quickly than anticipated in the May </w:t>
      </w:r>
      <w:r>
        <w:rPr>
          <w:i/>
          <w:sz w:val="24"/>
        </w:rPr>
        <w:t>Report</w:t>
      </w:r>
      <w:r>
        <w:rPr>
          <w:sz w:val="24"/>
        </w:rPr>
        <w:t>. The Halifax index of house prices fell by 0.3% in the three months to July compared with the previous three months, and the annual inflation rate fell to 8.0%. The Nationwide index rose by 13.9% in the year to July, but its rate of increase has also moderated (see Chart 1.15). Forward-looking surveys indicate some further moderation in average UK house price inflation: in the RICS survey for June, the</w:t>
      </w:r>
    </w:p>
    <w:p>
      <w:pPr>
        <w:spacing w:after="0" w:line="280" w:lineRule="atLeast"/>
        <w:jc w:val="left"/>
        <w:rPr>
          <w:sz w:val="24"/>
        </w:rPr>
        <w:sectPr>
          <w:type w:val="continuous"/>
          <w:pgSz w:w="11900" w:h="16840"/>
          <w:pgMar w:top="1260" w:bottom="280" w:left="640" w:right="640"/>
          <w:cols w:num="4" w:equalWidth="0">
            <w:col w:w="1724" w:space="450"/>
            <w:col w:w="1012" w:space="39"/>
            <w:col w:w="519" w:space="1041"/>
            <w:col w:w="5835"/>
          </w:cols>
        </w:sectPr>
      </w:pPr>
    </w:p>
    <w:p>
      <w:pPr>
        <w:spacing w:line="52" w:lineRule="exact" w:before="0"/>
        <w:ind w:left="180" w:right="0" w:firstLine="0"/>
        <w:jc w:val="left"/>
        <w:rPr>
          <w:sz w:val="12"/>
        </w:rPr>
      </w:pPr>
      <w:r>
        <w:rPr>
          <w:sz w:val="12"/>
        </w:rPr>
        <w:t>(a) These probabilities are equal to the areas under the lower tails of</w:t>
      </w:r>
    </w:p>
    <w:p>
      <w:pPr>
        <w:spacing w:line="208" w:lineRule="auto" w:before="5"/>
        <w:ind w:left="419" w:right="38" w:firstLine="0"/>
        <w:jc w:val="left"/>
        <w:rPr>
          <w:sz w:val="12"/>
        </w:rPr>
      </w:pPr>
      <w:r>
        <w:rPr>
          <w:sz w:val="12"/>
        </w:rPr>
        <w:t>probability distributions (PDFs) derived from options on equity indices. The method for deriving PDFs produces risk-neutral probabilities. To the extent that agents are risk averse this measure may overstate the market’s assessment of the likelihood of a decline in equity prices. But the extent of this difference over a three-month period is unlikely to be large.</w:t>
      </w:r>
    </w:p>
    <w:p>
      <w:pPr>
        <w:pStyle w:val="BodyText"/>
        <w:rPr>
          <w:sz w:val="12"/>
        </w:rPr>
      </w:pPr>
    </w:p>
    <w:p>
      <w:pPr>
        <w:pStyle w:val="BodyText"/>
        <w:rPr>
          <w:sz w:val="12"/>
        </w:rPr>
      </w:pPr>
    </w:p>
    <w:p>
      <w:pPr>
        <w:pStyle w:val="BodyText"/>
        <w:rPr>
          <w:sz w:val="12"/>
        </w:rPr>
      </w:pPr>
    </w:p>
    <w:p>
      <w:pPr>
        <w:pStyle w:val="Heading6"/>
        <w:spacing w:before="92"/>
        <w:ind w:left="220"/>
      </w:pPr>
      <w:r>
        <w:rPr>
          <w:color w:val="0092C7"/>
        </w:rPr>
        <w:t>Chart 1.15</w:t>
      </w:r>
    </w:p>
    <w:p>
      <w:pPr>
        <w:pStyle w:val="Heading6"/>
        <w:ind w:left="220"/>
      </w:pPr>
      <w:r>
        <w:rPr>
          <w:color w:val="0092C7"/>
        </w:rPr>
        <w:t>House price inflation</w:t>
      </w:r>
    </w:p>
    <w:p>
      <w:pPr>
        <w:spacing w:line="117" w:lineRule="exact" w:before="76"/>
        <w:ind w:left="1671" w:right="0" w:firstLine="0"/>
        <w:jc w:val="left"/>
        <w:rPr>
          <w:sz w:val="12"/>
        </w:rPr>
      </w:pPr>
      <w:r>
        <w:rPr>
          <w:sz w:val="12"/>
        </w:rPr>
        <w:t>Percentage changes on a year earlier</w:t>
      </w:r>
    </w:p>
    <w:p>
      <w:pPr>
        <w:spacing w:line="117" w:lineRule="exact" w:before="0"/>
        <w:ind w:left="3455" w:right="0" w:firstLine="0"/>
        <w:jc w:val="left"/>
        <w:rPr>
          <w:sz w:val="12"/>
        </w:rPr>
      </w:pPr>
      <w:r>
        <w:rPr/>
        <w:pict>
          <v:group style="position:absolute;margin-left:42.582001pt;margin-top:2.754061pt;width:160.450pt;height:132.85pt;mso-position-horizontal-relative:page;mso-position-vertical-relative:paragraph;z-index:15855104" coordorigin="852,55" coordsize="3209,2657">
            <v:shape style="position:absolute;left:851;top:55;width:3209;height:2657" type="#_x0000_t75" stroked="false">
              <v:imagedata r:id="rId55" o:title=""/>
            </v:shape>
            <v:shape style="position:absolute;left:1405;top:151;width:380;height:133" type="#_x0000_t202" filled="false" stroked="false">
              <v:textbox inset="0,0,0,0">
                <w:txbxContent>
                  <w:p>
                    <w:pPr>
                      <w:spacing w:line="133" w:lineRule="exact" w:before="0"/>
                      <w:ind w:left="0" w:right="0" w:firstLine="0"/>
                      <w:jc w:val="left"/>
                      <w:rPr>
                        <w:sz w:val="12"/>
                      </w:rPr>
                    </w:pPr>
                    <w:r>
                      <w:rPr>
                        <w:sz w:val="12"/>
                      </w:rPr>
                      <w:t>Halifax</w:t>
                    </w:r>
                  </w:p>
                </w:txbxContent>
              </v:textbox>
              <w10:wrap type="none"/>
            </v:shape>
            <v:shape style="position:absolute;left:1554;top:2466;width:580;height:133" type="#_x0000_t202" filled="false" stroked="false">
              <v:textbox inset="0,0,0,0">
                <w:txbxContent>
                  <w:p>
                    <w:pPr>
                      <w:spacing w:line="133" w:lineRule="exact" w:before="0"/>
                      <w:ind w:left="0" w:right="0" w:firstLine="0"/>
                      <w:jc w:val="left"/>
                      <w:rPr>
                        <w:sz w:val="12"/>
                      </w:rPr>
                    </w:pPr>
                    <w:r>
                      <w:rPr>
                        <w:sz w:val="12"/>
                      </w:rPr>
                      <w:t>Nationwide</w:t>
                    </w:r>
                  </w:p>
                </w:txbxContent>
              </v:textbox>
              <w10:wrap type="none"/>
            </v:shape>
            <w10:wrap type="none"/>
          </v:group>
        </w:pict>
      </w:r>
      <w:r>
        <w:rPr>
          <w:sz w:val="12"/>
        </w:rPr>
        <w:t>35</w:t>
      </w:r>
    </w:p>
    <w:p>
      <w:pPr>
        <w:pStyle w:val="BodyText"/>
        <w:spacing w:before="1"/>
        <w:rPr>
          <w:sz w:val="13"/>
        </w:rPr>
      </w:pPr>
    </w:p>
    <w:p>
      <w:pPr>
        <w:spacing w:before="0"/>
        <w:ind w:left="0" w:right="89" w:firstLine="0"/>
        <w:jc w:val="right"/>
        <w:rPr>
          <w:sz w:val="12"/>
        </w:rPr>
      </w:pPr>
      <w:r>
        <w:rPr>
          <w:sz w:val="12"/>
        </w:rPr>
        <w:t>30</w:t>
      </w:r>
    </w:p>
    <w:p>
      <w:pPr>
        <w:pStyle w:val="BodyText"/>
        <w:spacing w:before="1"/>
        <w:rPr>
          <w:sz w:val="13"/>
        </w:rPr>
      </w:pPr>
    </w:p>
    <w:p>
      <w:pPr>
        <w:spacing w:before="0"/>
        <w:ind w:left="0" w:right="89" w:firstLine="0"/>
        <w:jc w:val="right"/>
        <w:rPr>
          <w:sz w:val="12"/>
        </w:rPr>
      </w:pPr>
      <w:r>
        <w:rPr>
          <w:sz w:val="12"/>
        </w:rPr>
        <w:t>25</w:t>
      </w:r>
    </w:p>
    <w:p>
      <w:pPr>
        <w:pStyle w:val="BodyText"/>
        <w:spacing w:before="1"/>
        <w:rPr>
          <w:sz w:val="13"/>
        </w:rPr>
      </w:pPr>
    </w:p>
    <w:p>
      <w:pPr>
        <w:spacing w:before="0"/>
        <w:ind w:left="0" w:right="89" w:firstLine="0"/>
        <w:jc w:val="right"/>
        <w:rPr>
          <w:sz w:val="12"/>
        </w:rPr>
      </w:pPr>
      <w:r>
        <w:rPr>
          <w:sz w:val="12"/>
        </w:rPr>
        <w:t>20</w:t>
      </w:r>
    </w:p>
    <w:p>
      <w:pPr>
        <w:pStyle w:val="BodyText"/>
        <w:spacing w:before="1"/>
        <w:rPr>
          <w:sz w:val="13"/>
        </w:rPr>
      </w:pPr>
    </w:p>
    <w:p>
      <w:pPr>
        <w:spacing w:before="0"/>
        <w:ind w:left="0" w:right="89" w:firstLine="0"/>
        <w:jc w:val="right"/>
        <w:rPr>
          <w:sz w:val="12"/>
        </w:rPr>
      </w:pPr>
      <w:r>
        <w:rPr>
          <w:sz w:val="12"/>
        </w:rPr>
        <w:t>15</w:t>
      </w:r>
    </w:p>
    <w:p>
      <w:pPr>
        <w:pStyle w:val="BodyText"/>
        <w:spacing w:before="1"/>
        <w:rPr>
          <w:sz w:val="13"/>
        </w:rPr>
      </w:pPr>
    </w:p>
    <w:p>
      <w:pPr>
        <w:spacing w:before="0"/>
        <w:ind w:left="0" w:right="89" w:firstLine="0"/>
        <w:jc w:val="right"/>
        <w:rPr>
          <w:sz w:val="12"/>
        </w:rPr>
      </w:pPr>
      <w:r>
        <w:rPr>
          <w:sz w:val="12"/>
        </w:rPr>
        <w:t>10</w:t>
      </w:r>
    </w:p>
    <w:p>
      <w:pPr>
        <w:pStyle w:val="BodyText"/>
        <w:spacing w:before="1"/>
        <w:rPr>
          <w:sz w:val="13"/>
        </w:rPr>
      </w:pPr>
    </w:p>
    <w:p>
      <w:pPr>
        <w:spacing w:line="129" w:lineRule="exact" w:before="0"/>
        <w:ind w:left="3515" w:right="0" w:firstLine="0"/>
        <w:jc w:val="left"/>
        <w:rPr>
          <w:sz w:val="12"/>
        </w:rPr>
      </w:pPr>
      <w:r>
        <w:rPr>
          <w:sz w:val="12"/>
        </w:rPr>
        <w:t>5</w:t>
      </w:r>
    </w:p>
    <w:p>
      <w:pPr>
        <w:spacing w:line="242" w:lineRule="auto" w:before="4"/>
        <w:ind w:left="180" w:right="201" w:firstLine="0"/>
        <w:jc w:val="left"/>
        <w:rPr>
          <w:sz w:val="24"/>
        </w:rPr>
      </w:pPr>
      <w:r>
        <w:rPr/>
        <w:br w:type="column"/>
      </w:r>
      <w:r>
        <w:rPr>
          <w:sz w:val="24"/>
        </w:rPr>
        <w:t>percentage balance of estate agents expecting house prices to rise over the next three months was -12. There has not yet been a material downturn in the number of mortgage approvals, but more forward-looking indicators of activity have weakened. Activity in the housing market is discussed in more detail in the box on </w:t>
      </w:r>
      <w:hyperlink w:history="true" w:anchor="_bookmark13">
        <w:r>
          <w:rPr>
            <w:color w:val="FF0000"/>
            <w:sz w:val="24"/>
          </w:rPr>
          <w:t>pages 18–19 in Section 2</w:t>
        </w:r>
        <w:r>
          <w:rPr>
            <w:sz w:val="24"/>
          </w:rPr>
          <w:t>.</w:t>
        </w:r>
      </w:hyperlink>
    </w:p>
    <w:p>
      <w:pPr>
        <w:pStyle w:val="BodyText"/>
        <w:spacing w:before="7"/>
        <w:rPr>
          <w:sz w:val="28"/>
        </w:rPr>
      </w:pPr>
    </w:p>
    <w:p>
      <w:pPr>
        <w:pStyle w:val="Heading2"/>
        <w:ind w:left="180"/>
        <w:rPr>
          <w:i/>
        </w:rPr>
      </w:pPr>
      <w:r>
        <w:rPr>
          <w:i/>
          <w:color w:val="009391"/>
        </w:rPr>
        <w:t>Exchange rates</w:t>
      </w:r>
    </w:p>
    <w:p>
      <w:pPr>
        <w:spacing w:line="242" w:lineRule="auto" w:before="164"/>
        <w:ind w:left="180" w:right="358" w:firstLine="0"/>
        <w:jc w:val="left"/>
        <w:rPr>
          <w:sz w:val="24"/>
        </w:rPr>
      </w:pPr>
      <w:r>
        <w:rPr>
          <w:sz w:val="24"/>
        </w:rPr>
        <w:t>The sterling </w:t>
      </w:r>
      <w:r>
        <w:rPr>
          <w:spacing w:val="-3"/>
          <w:sz w:val="24"/>
        </w:rPr>
        <w:t>effective </w:t>
      </w:r>
      <w:r>
        <w:rPr>
          <w:sz w:val="24"/>
        </w:rPr>
        <w:t>exchange rate index has depreciated significantly since the May </w:t>
      </w:r>
      <w:r>
        <w:rPr>
          <w:i/>
          <w:sz w:val="24"/>
        </w:rPr>
        <w:t>Report</w:t>
      </w:r>
      <w:r>
        <w:rPr>
          <w:sz w:val="24"/>
        </w:rPr>
        <w:t>.  The 15</w:t>
      </w:r>
      <w:r>
        <w:rPr>
          <w:spacing w:val="-5"/>
          <w:sz w:val="24"/>
        </w:rPr>
        <w:t> </w:t>
      </w:r>
      <w:r>
        <w:rPr>
          <w:sz w:val="24"/>
        </w:rPr>
        <w:t>working</w:t>
      </w:r>
      <w:r>
        <w:rPr>
          <w:spacing w:val="-5"/>
          <w:sz w:val="24"/>
        </w:rPr>
        <w:t> </w:t>
      </w:r>
      <w:r>
        <w:rPr>
          <w:sz w:val="24"/>
        </w:rPr>
        <w:t>day</w:t>
      </w:r>
      <w:r>
        <w:rPr>
          <w:spacing w:val="-5"/>
          <w:sz w:val="24"/>
        </w:rPr>
        <w:t> </w:t>
      </w:r>
      <w:r>
        <w:rPr>
          <w:sz w:val="24"/>
        </w:rPr>
        <w:t>average</w:t>
      </w:r>
      <w:r>
        <w:rPr>
          <w:spacing w:val="-5"/>
          <w:sz w:val="24"/>
        </w:rPr>
        <w:t> </w:t>
      </w:r>
      <w:r>
        <w:rPr>
          <w:sz w:val="24"/>
        </w:rPr>
        <w:t>of</w:t>
      </w:r>
      <w:r>
        <w:rPr>
          <w:spacing w:val="-5"/>
          <w:sz w:val="24"/>
        </w:rPr>
        <w:t> </w:t>
      </w:r>
      <w:r>
        <w:rPr>
          <w:sz w:val="24"/>
        </w:rPr>
        <w:t>the</w:t>
      </w:r>
      <w:r>
        <w:rPr>
          <w:spacing w:val="-5"/>
          <w:sz w:val="24"/>
        </w:rPr>
        <w:t> </w:t>
      </w:r>
      <w:r>
        <w:rPr>
          <w:sz w:val="24"/>
        </w:rPr>
        <w:t>ERI</w:t>
      </w:r>
      <w:r>
        <w:rPr>
          <w:spacing w:val="-5"/>
          <w:sz w:val="24"/>
        </w:rPr>
        <w:t> </w:t>
      </w:r>
      <w:r>
        <w:rPr>
          <w:sz w:val="24"/>
        </w:rPr>
        <w:t>up</w:t>
      </w:r>
      <w:r>
        <w:rPr>
          <w:spacing w:val="-5"/>
          <w:sz w:val="24"/>
        </w:rPr>
        <w:t> </w:t>
      </w:r>
      <w:r>
        <w:rPr>
          <w:sz w:val="24"/>
        </w:rPr>
        <w:t>to</w:t>
      </w:r>
      <w:r>
        <w:rPr>
          <w:spacing w:val="-5"/>
          <w:sz w:val="24"/>
        </w:rPr>
        <w:t> </w:t>
      </w:r>
      <w:r>
        <w:rPr>
          <w:sz w:val="24"/>
        </w:rPr>
        <w:t>and</w:t>
      </w:r>
      <w:r>
        <w:rPr>
          <w:spacing w:val="-5"/>
          <w:sz w:val="24"/>
        </w:rPr>
        <w:t> </w:t>
      </w:r>
      <w:r>
        <w:rPr>
          <w:sz w:val="24"/>
        </w:rPr>
        <w:t>including 2 August, used as the starting-point for the</w:t>
      </w:r>
      <w:r>
        <w:rPr>
          <w:spacing w:val="-38"/>
          <w:sz w:val="24"/>
        </w:rPr>
        <w:t> </w:t>
      </w:r>
      <w:r>
        <w:rPr>
          <w:sz w:val="24"/>
        </w:rPr>
        <w:t>current</w:t>
      </w:r>
    </w:p>
    <w:p>
      <w:pPr>
        <w:spacing w:after="0" w:line="242" w:lineRule="auto"/>
        <w:jc w:val="left"/>
        <w:rPr>
          <w:sz w:val="24"/>
        </w:rPr>
        <w:sectPr>
          <w:type w:val="continuous"/>
          <w:pgSz w:w="11900" w:h="16840"/>
          <w:pgMar w:top="1260" w:bottom="280" w:left="640" w:right="640"/>
          <w:cols w:num="2" w:equalWidth="0">
            <w:col w:w="3668" w:space="1132"/>
            <w:col w:w="5820"/>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759" w:val="left" w:leader="none"/>
          <w:tab w:pos="1109" w:val="left" w:leader="none"/>
          <w:tab w:pos="1464" w:val="left" w:leader="none"/>
          <w:tab w:pos="1822" w:val="left" w:leader="none"/>
          <w:tab w:pos="2172" w:val="left" w:leader="none"/>
        </w:tabs>
        <w:spacing w:before="106"/>
        <w:ind w:left="314" w:right="0" w:firstLine="0"/>
        <w:jc w:val="left"/>
        <w:rPr>
          <w:sz w:val="12"/>
        </w:rPr>
      </w:pPr>
      <w:r>
        <w:rPr>
          <w:sz w:val="12"/>
        </w:rPr>
        <w:t>1984</w:t>
        <w:tab/>
        <w:t>86</w:t>
        <w:tab/>
        <w:t>88</w:t>
        <w:tab/>
        <w:t>90</w:t>
        <w:tab/>
        <w:t>92</w:t>
        <w:tab/>
      </w:r>
      <w:r>
        <w:rPr>
          <w:spacing w:val="-10"/>
          <w:sz w:val="12"/>
        </w:rPr>
        <w:t>94</w:t>
      </w:r>
    </w:p>
    <w:p>
      <w:pPr>
        <w:spacing w:line="115" w:lineRule="exact" w:before="0"/>
        <w:ind w:left="1073" w:right="0" w:firstLine="0"/>
        <w:jc w:val="left"/>
        <w:rPr>
          <w:sz w:val="16"/>
        </w:rPr>
      </w:pPr>
      <w:r>
        <w:rPr/>
        <w:br w:type="column"/>
      </w:r>
      <w:r>
        <w:rPr>
          <w:sz w:val="16"/>
        </w:rPr>
        <w:t>+</w:t>
      </w:r>
    </w:p>
    <w:p>
      <w:pPr>
        <w:spacing w:line="165" w:lineRule="auto" w:before="9"/>
        <w:ind w:left="1088" w:right="0" w:firstLine="0"/>
        <w:jc w:val="left"/>
        <w:rPr>
          <w:sz w:val="12"/>
        </w:rPr>
      </w:pPr>
      <w:r>
        <w:rPr>
          <w:position w:val="-8"/>
          <w:sz w:val="16"/>
        </w:rPr>
        <w:t>_</w:t>
      </w:r>
      <w:r>
        <w:rPr>
          <w:spacing w:val="-25"/>
          <w:position w:val="-8"/>
          <w:sz w:val="16"/>
        </w:rPr>
        <w:t> </w:t>
      </w:r>
      <w:r>
        <w:rPr>
          <w:sz w:val="12"/>
        </w:rPr>
        <w:t>0</w:t>
      </w:r>
    </w:p>
    <w:p>
      <w:pPr>
        <w:spacing w:before="91"/>
        <w:ind w:left="1183" w:right="0" w:firstLine="0"/>
        <w:jc w:val="left"/>
        <w:rPr>
          <w:sz w:val="12"/>
        </w:rPr>
      </w:pPr>
      <w:r>
        <w:rPr>
          <w:sz w:val="12"/>
        </w:rPr>
        <w:t>5</w:t>
      </w:r>
    </w:p>
    <w:p>
      <w:pPr>
        <w:pStyle w:val="BodyText"/>
        <w:spacing w:before="1"/>
        <w:rPr>
          <w:sz w:val="13"/>
        </w:rPr>
      </w:pPr>
    </w:p>
    <w:p>
      <w:pPr>
        <w:spacing w:before="0"/>
        <w:ind w:left="1123" w:right="0" w:firstLine="0"/>
        <w:jc w:val="left"/>
        <w:rPr>
          <w:sz w:val="12"/>
        </w:rPr>
      </w:pPr>
      <w:r>
        <w:rPr>
          <w:sz w:val="12"/>
        </w:rPr>
        <w:t>10</w:t>
      </w:r>
    </w:p>
    <w:p>
      <w:pPr>
        <w:pStyle w:val="BodyText"/>
        <w:spacing w:before="1"/>
        <w:rPr>
          <w:sz w:val="13"/>
        </w:rPr>
      </w:pPr>
    </w:p>
    <w:p>
      <w:pPr>
        <w:spacing w:line="119" w:lineRule="exact" w:before="0"/>
        <w:ind w:left="1123" w:right="0" w:firstLine="0"/>
        <w:jc w:val="left"/>
        <w:rPr>
          <w:sz w:val="12"/>
        </w:rPr>
      </w:pPr>
      <w:r>
        <w:rPr/>
        <w:drawing>
          <wp:anchor distT="0" distB="0" distL="0" distR="0" allowOverlap="1" layoutInCell="1" locked="0" behindDoc="0" simplePos="0" relativeHeight="15855616">
            <wp:simplePos x="0" y="0"/>
            <wp:positionH relativeFrom="page">
              <wp:posOffset>540791</wp:posOffset>
            </wp:positionH>
            <wp:positionV relativeFrom="paragraph">
              <wp:posOffset>11183</wp:posOffset>
            </wp:positionV>
            <wp:extent cx="1937042" cy="45783"/>
            <wp:effectExtent l="0" t="0" r="0" b="0"/>
            <wp:wrapNone/>
            <wp:docPr id="73" name="image25.png"/>
            <wp:cNvGraphicFramePr>
              <a:graphicFrameLocks noChangeAspect="1"/>
            </wp:cNvGraphicFramePr>
            <a:graphic>
              <a:graphicData uri="http://schemas.openxmlformats.org/drawingml/2006/picture">
                <pic:pic>
                  <pic:nvPicPr>
                    <pic:cNvPr id="74" name="image25.png"/>
                    <pic:cNvPicPr/>
                  </pic:nvPicPr>
                  <pic:blipFill>
                    <a:blip r:embed="rId56" cstate="print"/>
                    <a:stretch>
                      <a:fillRect/>
                    </a:stretch>
                  </pic:blipFill>
                  <pic:spPr>
                    <a:xfrm>
                      <a:off x="0" y="0"/>
                      <a:ext cx="1937042" cy="45783"/>
                    </a:xfrm>
                    <a:prstGeom prst="rect">
                      <a:avLst/>
                    </a:prstGeom>
                  </pic:spPr>
                </pic:pic>
              </a:graphicData>
            </a:graphic>
          </wp:anchor>
        </w:drawing>
      </w:r>
      <w:r>
        <w:rPr/>
        <w:drawing>
          <wp:anchor distT="0" distB="0" distL="0" distR="0" allowOverlap="1" layoutInCell="1" locked="0" behindDoc="0" simplePos="0" relativeHeight="15856128">
            <wp:simplePos x="0" y="0"/>
            <wp:positionH relativeFrom="page">
              <wp:posOffset>2523223</wp:posOffset>
            </wp:positionH>
            <wp:positionV relativeFrom="paragraph">
              <wp:posOffset>50616</wp:posOffset>
            </wp:positionV>
            <wp:extent cx="55041" cy="6350"/>
            <wp:effectExtent l="0" t="0" r="0" b="0"/>
            <wp:wrapNone/>
            <wp:docPr id="75" name="image16.png"/>
            <wp:cNvGraphicFramePr>
              <a:graphicFrameLocks noChangeAspect="1"/>
            </wp:cNvGraphicFramePr>
            <a:graphic>
              <a:graphicData uri="http://schemas.openxmlformats.org/drawingml/2006/picture">
                <pic:pic>
                  <pic:nvPicPr>
                    <pic:cNvPr id="76" name="image16.png"/>
                    <pic:cNvPicPr/>
                  </pic:nvPicPr>
                  <pic:blipFill>
                    <a:blip r:embed="rId39" cstate="print"/>
                    <a:stretch>
                      <a:fillRect/>
                    </a:stretch>
                  </pic:blipFill>
                  <pic:spPr>
                    <a:xfrm>
                      <a:off x="0" y="0"/>
                      <a:ext cx="55041" cy="6350"/>
                    </a:xfrm>
                    <a:prstGeom prst="rect">
                      <a:avLst/>
                    </a:prstGeom>
                  </pic:spPr>
                </pic:pic>
              </a:graphicData>
            </a:graphic>
          </wp:anchor>
        </w:drawing>
      </w:r>
      <w:r>
        <w:rPr>
          <w:sz w:val="12"/>
        </w:rPr>
        <w:t>15</w:t>
      </w:r>
    </w:p>
    <w:p>
      <w:pPr>
        <w:tabs>
          <w:tab w:pos="552" w:val="left" w:leader="none"/>
        </w:tabs>
        <w:spacing w:line="119" w:lineRule="exact" w:before="0"/>
        <w:ind w:left="197" w:right="0" w:firstLine="0"/>
        <w:jc w:val="left"/>
        <w:rPr>
          <w:sz w:val="12"/>
        </w:rPr>
      </w:pPr>
      <w:r>
        <w:rPr>
          <w:sz w:val="12"/>
        </w:rPr>
        <w:t>96</w:t>
        <w:tab/>
        <w:t>98</w:t>
      </w:r>
      <w:r>
        <w:rPr>
          <w:spacing w:val="16"/>
          <w:sz w:val="12"/>
        </w:rPr>
        <w:t> </w:t>
      </w:r>
      <w:r>
        <w:rPr>
          <w:sz w:val="12"/>
        </w:rPr>
        <w:t>2000</w:t>
      </w:r>
    </w:p>
    <w:p>
      <w:pPr>
        <w:spacing w:line="242" w:lineRule="auto" w:before="5"/>
        <w:ind w:left="314" w:right="0" w:firstLine="0"/>
        <w:jc w:val="left"/>
        <w:rPr>
          <w:sz w:val="24"/>
        </w:rPr>
      </w:pPr>
      <w:r>
        <w:rPr/>
        <w:br w:type="column"/>
      </w:r>
      <w:r>
        <w:rPr>
          <w:sz w:val="24"/>
        </w:rPr>
        <w:t>projections, is 106.1, around 4% below the central path assumed in the May </w:t>
      </w:r>
      <w:r>
        <w:rPr>
          <w:i/>
          <w:sz w:val="24"/>
        </w:rPr>
        <w:t>Report</w:t>
      </w:r>
      <w:r>
        <w:rPr>
          <w:sz w:val="24"/>
        </w:rPr>
        <w:t>. Sterling has depreciated against the euro and the dollar to a similar degree (see Chart 1.16).</w:t>
      </w:r>
    </w:p>
    <w:p>
      <w:pPr>
        <w:spacing w:after="0" w:line="242" w:lineRule="auto"/>
        <w:jc w:val="left"/>
        <w:rPr>
          <w:sz w:val="24"/>
        </w:rPr>
        <w:sectPr>
          <w:type w:val="continuous"/>
          <w:pgSz w:w="11900" w:h="16840"/>
          <w:pgMar w:top="1260" w:bottom="280" w:left="640" w:right="640"/>
          <w:cols w:num="3" w:equalWidth="0">
            <w:col w:w="2293" w:space="40"/>
            <w:col w:w="1284" w:space="1049"/>
            <w:col w:w="5954"/>
          </w:cols>
        </w:sectPr>
      </w:pPr>
    </w:p>
    <w:p>
      <w:pPr>
        <w:spacing w:before="103"/>
        <w:ind w:left="200" w:right="0" w:firstLine="0"/>
        <w:jc w:val="left"/>
        <w:rPr>
          <w:sz w:val="12"/>
        </w:rPr>
      </w:pPr>
      <w:r>
        <w:rPr>
          <w:sz w:val="12"/>
        </w:rPr>
        <w:t>Sources: Halifax plc and Nationwide Building Society.</w:t>
      </w:r>
    </w:p>
    <w:p>
      <w:pPr>
        <w:pStyle w:val="BodyText"/>
        <w:rPr>
          <w:sz w:val="12"/>
        </w:rPr>
      </w:pPr>
    </w:p>
    <w:p>
      <w:pPr>
        <w:pStyle w:val="BodyText"/>
        <w:rPr>
          <w:sz w:val="12"/>
        </w:rPr>
      </w:pPr>
    </w:p>
    <w:p>
      <w:pPr>
        <w:pStyle w:val="BodyText"/>
        <w:rPr>
          <w:sz w:val="12"/>
        </w:rPr>
      </w:pPr>
    </w:p>
    <w:p>
      <w:pPr>
        <w:pStyle w:val="BodyText"/>
        <w:spacing w:before="6"/>
        <w:rPr>
          <w:sz w:val="11"/>
        </w:rPr>
      </w:pPr>
    </w:p>
    <w:p>
      <w:pPr>
        <w:pStyle w:val="Heading6"/>
        <w:spacing w:before="1"/>
        <w:ind w:left="204"/>
      </w:pPr>
      <w:r>
        <w:rPr>
          <w:color w:val="0092C7"/>
        </w:rPr>
        <w:t>Chart 1.16</w:t>
      </w:r>
    </w:p>
    <w:p>
      <w:pPr>
        <w:pStyle w:val="Heading6"/>
        <w:ind w:left="204"/>
      </w:pPr>
      <w:r>
        <w:rPr>
          <w:color w:val="0092C7"/>
        </w:rPr>
        <w:t>Selected sterling exchange rates</w:t>
      </w:r>
    </w:p>
    <w:p>
      <w:pPr>
        <w:spacing w:line="128" w:lineRule="exact" w:before="79"/>
        <w:ind w:left="445" w:right="0" w:firstLine="0"/>
        <w:jc w:val="left"/>
        <w:rPr>
          <w:sz w:val="12"/>
        </w:rPr>
      </w:pPr>
      <w:r>
        <w:rPr>
          <w:sz w:val="12"/>
        </w:rPr>
        <w:t>Euro or US dollars</w:t>
      </w:r>
    </w:p>
    <w:p>
      <w:pPr>
        <w:spacing w:line="128" w:lineRule="exact" w:before="0"/>
        <w:ind w:left="191" w:right="0" w:firstLine="0"/>
        <w:jc w:val="left"/>
        <w:rPr>
          <w:sz w:val="12"/>
        </w:rPr>
      </w:pPr>
      <w:r>
        <w:rPr/>
        <w:pict>
          <v:group style="position:absolute;margin-left:62.310001pt;margin-top:2.110524pt;width:144.15pt;height:133.65pt;mso-position-horizontal-relative:page;mso-position-vertical-relative:paragraph;z-index:15858176" coordorigin="1246,42" coordsize="2883,2673">
            <v:shape style="position:absolute;left:1246;top:42;width:2883;height:2673" type="#_x0000_t75" stroked="false">
              <v:imagedata r:id="rId57" o:title=""/>
            </v:shape>
            <v:shape style="position:absolute;left:1661;top:346;width:1044;height:254" type="#_x0000_t202" filled="false" stroked="false">
              <v:textbox inset="0,0,0,0">
                <w:txbxContent>
                  <w:p>
                    <w:pPr>
                      <w:spacing w:line="208" w:lineRule="auto" w:before="9"/>
                      <w:ind w:left="60" w:right="18" w:hanging="60"/>
                      <w:jc w:val="left"/>
                      <w:rPr>
                        <w:sz w:val="12"/>
                      </w:rPr>
                    </w:pPr>
                    <w:r>
                      <w:rPr>
                        <w:sz w:val="12"/>
                      </w:rPr>
                      <w:t>US dollars per pound (left-hand scale)</w:t>
                    </w:r>
                  </w:p>
                </w:txbxContent>
              </v:textbox>
              <w10:wrap type="none"/>
            </v:shape>
            <v:shape style="position:absolute;left:3127;top:1404;width:930;height:254" type="#_x0000_t202" filled="false" stroked="false">
              <v:textbox inset="0,0,0,0">
                <w:txbxContent>
                  <w:p>
                    <w:pPr>
                      <w:spacing w:line="208" w:lineRule="auto" w:before="9"/>
                      <w:ind w:left="60" w:right="18" w:hanging="60"/>
                      <w:jc w:val="left"/>
                      <w:rPr>
                        <w:sz w:val="12"/>
                      </w:rPr>
                    </w:pPr>
                    <w:r>
                      <w:rPr>
                        <w:sz w:val="12"/>
                      </w:rPr>
                      <w:t>Euro per pound (a) (left-hand scale)</w:t>
                    </w:r>
                  </w:p>
                </w:txbxContent>
              </v:textbox>
              <w10:wrap type="none"/>
            </v:shape>
            <v:shape style="position:absolute;left:2668;top:2390;width:1093;height:134" type="#_x0000_t202" filled="false" stroked="false">
              <v:textbox inset="0,0,0,0">
                <w:txbxContent>
                  <w:p>
                    <w:pPr>
                      <w:spacing w:line="133" w:lineRule="exact" w:before="0"/>
                      <w:ind w:left="0" w:right="0" w:firstLine="0"/>
                      <w:jc w:val="left"/>
                      <w:rPr>
                        <w:sz w:val="12"/>
                      </w:rPr>
                    </w:pPr>
                    <w:r>
                      <w:rPr>
                        <w:sz w:val="12"/>
                      </w:rPr>
                      <w:t>ERI (right-hand scale)</w:t>
                    </w:r>
                  </w:p>
                </w:txbxContent>
              </v:textbox>
              <w10:wrap type="none"/>
            </v:shape>
            <w10:wrap type="none"/>
          </v:group>
        </w:pict>
      </w:r>
      <w:r>
        <w:rPr/>
        <w:drawing>
          <wp:anchor distT="0" distB="0" distL="0" distR="0" allowOverlap="1" layoutInCell="1" locked="0" behindDoc="0" simplePos="0" relativeHeight="15861760">
            <wp:simplePos x="0" y="0"/>
            <wp:positionH relativeFrom="page">
              <wp:posOffset>689483</wp:posOffset>
            </wp:positionH>
            <wp:positionV relativeFrom="paragraph">
              <wp:posOffset>31566</wp:posOffset>
            </wp:positionV>
            <wp:extent cx="55041" cy="6350"/>
            <wp:effectExtent l="0" t="0" r="0" b="0"/>
            <wp:wrapNone/>
            <wp:docPr id="77" name="image16.png"/>
            <wp:cNvGraphicFramePr>
              <a:graphicFrameLocks noChangeAspect="1"/>
            </wp:cNvGraphicFramePr>
            <a:graphic>
              <a:graphicData uri="http://schemas.openxmlformats.org/drawingml/2006/picture">
                <pic:pic>
                  <pic:nvPicPr>
                    <pic:cNvPr id="78" name="image16.png"/>
                    <pic:cNvPicPr/>
                  </pic:nvPicPr>
                  <pic:blipFill>
                    <a:blip r:embed="rId39" cstate="print"/>
                    <a:stretch>
                      <a:fillRect/>
                    </a:stretch>
                  </pic:blipFill>
                  <pic:spPr>
                    <a:xfrm>
                      <a:off x="0" y="0"/>
                      <a:ext cx="55041" cy="6350"/>
                    </a:xfrm>
                    <a:prstGeom prst="rect">
                      <a:avLst/>
                    </a:prstGeom>
                  </pic:spPr>
                </pic:pic>
              </a:graphicData>
            </a:graphic>
          </wp:anchor>
        </w:drawing>
      </w:r>
      <w:r>
        <w:rPr>
          <w:sz w:val="12"/>
        </w:rPr>
        <w:t>1.80</w:t>
      </w:r>
    </w:p>
    <w:p>
      <w:pPr>
        <w:pStyle w:val="BodyText"/>
        <w:rPr>
          <w:sz w:val="12"/>
        </w:rPr>
      </w:pPr>
    </w:p>
    <w:p>
      <w:pPr>
        <w:spacing w:before="84"/>
        <w:ind w:left="191" w:right="0" w:firstLine="0"/>
        <w:jc w:val="left"/>
        <w:rPr>
          <w:sz w:val="12"/>
        </w:rPr>
      </w:pPr>
      <w:r>
        <w:rPr/>
        <w:drawing>
          <wp:anchor distT="0" distB="0" distL="0" distR="0" allowOverlap="1" layoutInCell="1" locked="0" behindDoc="0" simplePos="0" relativeHeight="15862272">
            <wp:simplePos x="0" y="0"/>
            <wp:positionH relativeFrom="page">
              <wp:posOffset>689483</wp:posOffset>
            </wp:positionH>
            <wp:positionV relativeFrom="paragraph">
              <wp:posOffset>91275</wp:posOffset>
            </wp:positionV>
            <wp:extent cx="55041" cy="6350"/>
            <wp:effectExtent l="0" t="0" r="0" b="0"/>
            <wp:wrapNone/>
            <wp:docPr id="79" name="image16.png"/>
            <wp:cNvGraphicFramePr>
              <a:graphicFrameLocks noChangeAspect="1"/>
            </wp:cNvGraphicFramePr>
            <a:graphic>
              <a:graphicData uri="http://schemas.openxmlformats.org/drawingml/2006/picture">
                <pic:pic>
                  <pic:nvPicPr>
                    <pic:cNvPr id="80" name="image16.png"/>
                    <pic:cNvPicPr/>
                  </pic:nvPicPr>
                  <pic:blipFill>
                    <a:blip r:embed="rId39" cstate="print"/>
                    <a:stretch>
                      <a:fillRect/>
                    </a:stretch>
                  </pic:blipFill>
                  <pic:spPr>
                    <a:xfrm>
                      <a:off x="0" y="0"/>
                      <a:ext cx="55041" cy="6350"/>
                    </a:xfrm>
                    <a:prstGeom prst="rect">
                      <a:avLst/>
                    </a:prstGeom>
                  </pic:spPr>
                </pic:pic>
              </a:graphicData>
            </a:graphic>
          </wp:anchor>
        </w:drawing>
      </w:r>
      <w:r>
        <w:rPr>
          <w:sz w:val="12"/>
        </w:rPr>
        <w:t>1.70</w:t>
      </w:r>
    </w:p>
    <w:p>
      <w:pPr>
        <w:pStyle w:val="BodyText"/>
        <w:rPr>
          <w:sz w:val="12"/>
        </w:rPr>
      </w:pPr>
    </w:p>
    <w:p>
      <w:pPr>
        <w:spacing w:before="83"/>
        <w:ind w:left="191" w:right="0" w:firstLine="0"/>
        <w:jc w:val="left"/>
        <w:rPr>
          <w:sz w:val="12"/>
        </w:rPr>
      </w:pPr>
      <w:r>
        <w:rPr/>
        <w:drawing>
          <wp:anchor distT="0" distB="0" distL="0" distR="0" allowOverlap="1" layoutInCell="1" locked="0" behindDoc="0" simplePos="0" relativeHeight="15862784">
            <wp:simplePos x="0" y="0"/>
            <wp:positionH relativeFrom="page">
              <wp:posOffset>689483</wp:posOffset>
            </wp:positionH>
            <wp:positionV relativeFrom="paragraph">
              <wp:posOffset>90757</wp:posOffset>
            </wp:positionV>
            <wp:extent cx="55041" cy="6350"/>
            <wp:effectExtent l="0" t="0" r="0" b="0"/>
            <wp:wrapNone/>
            <wp:docPr id="81" name="image16.png"/>
            <wp:cNvGraphicFramePr>
              <a:graphicFrameLocks noChangeAspect="1"/>
            </wp:cNvGraphicFramePr>
            <a:graphic>
              <a:graphicData uri="http://schemas.openxmlformats.org/drawingml/2006/picture">
                <pic:pic>
                  <pic:nvPicPr>
                    <pic:cNvPr id="82" name="image16.png"/>
                    <pic:cNvPicPr/>
                  </pic:nvPicPr>
                  <pic:blipFill>
                    <a:blip r:embed="rId39" cstate="print"/>
                    <a:stretch>
                      <a:fillRect/>
                    </a:stretch>
                  </pic:blipFill>
                  <pic:spPr>
                    <a:xfrm>
                      <a:off x="0" y="0"/>
                      <a:ext cx="55041" cy="6350"/>
                    </a:xfrm>
                    <a:prstGeom prst="rect">
                      <a:avLst/>
                    </a:prstGeom>
                  </pic:spPr>
                </pic:pic>
              </a:graphicData>
            </a:graphic>
          </wp:anchor>
        </w:drawing>
      </w:r>
      <w:r>
        <w:rPr>
          <w:sz w:val="12"/>
        </w:rPr>
        <w:t>1.60</w:t>
      </w:r>
    </w:p>
    <w:p>
      <w:pPr>
        <w:pStyle w:val="BodyText"/>
        <w:rPr>
          <w:sz w:val="12"/>
        </w:rPr>
      </w:pPr>
    </w:p>
    <w:p>
      <w:pPr>
        <w:spacing w:before="84"/>
        <w:ind w:left="191" w:right="0" w:firstLine="0"/>
        <w:jc w:val="left"/>
        <w:rPr>
          <w:sz w:val="12"/>
        </w:rPr>
      </w:pPr>
      <w:r>
        <w:rPr/>
        <w:drawing>
          <wp:anchor distT="0" distB="0" distL="0" distR="0" allowOverlap="1" layoutInCell="1" locked="0" behindDoc="0" simplePos="0" relativeHeight="15858688">
            <wp:simplePos x="0" y="0"/>
            <wp:positionH relativeFrom="page">
              <wp:posOffset>689483</wp:posOffset>
            </wp:positionH>
            <wp:positionV relativeFrom="paragraph">
              <wp:posOffset>91522</wp:posOffset>
            </wp:positionV>
            <wp:extent cx="55041" cy="6350"/>
            <wp:effectExtent l="0" t="0" r="0" b="0"/>
            <wp:wrapNone/>
            <wp:docPr id="83" name="image16.png"/>
            <wp:cNvGraphicFramePr>
              <a:graphicFrameLocks noChangeAspect="1"/>
            </wp:cNvGraphicFramePr>
            <a:graphic>
              <a:graphicData uri="http://schemas.openxmlformats.org/drawingml/2006/picture">
                <pic:pic>
                  <pic:nvPicPr>
                    <pic:cNvPr id="84" name="image16.png"/>
                    <pic:cNvPicPr/>
                  </pic:nvPicPr>
                  <pic:blipFill>
                    <a:blip r:embed="rId39" cstate="print"/>
                    <a:stretch>
                      <a:fillRect/>
                    </a:stretch>
                  </pic:blipFill>
                  <pic:spPr>
                    <a:xfrm>
                      <a:off x="0" y="0"/>
                      <a:ext cx="55041" cy="6350"/>
                    </a:xfrm>
                    <a:prstGeom prst="rect">
                      <a:avLst/>
                    </a:prstGeom>
                  </pic:spPr>
                </pic:pic>
              </a:graphicData>
            </a:graphic>
          </wp:anchor>
        </w:drawing>
      </w:r>
      <w:r>
        <w:rPr>
          <w:sz w:val="12"/>
        </w:rPr>
        <w:t>1.50</w:t>
      </w:r>
    </w:p>
    <w:p>
      <w:pPr>
        <w:pStyle w:val="BodyText"/>
        <w:rPr>
          <w:sz w:val="12"/>
        </w:rPr>
      </w:pPr>
    </w:p>
    <w:p>
      <w:pPr>
        <w:spacing w:before="83"/>
        <w:ind w:left="191" w:right="0" w:firstLine="0"/>
        <w:jc w:val="left"/>
        <w:rPr>
          <w:sz w:val="12"/>
        </w:rPr>
      </w:pPr>
      <w:r>
        <w:rPr/>
        <w:drawing>
          <wp:anchor distT="0" distB="0" distL="0" distR="0" allowOverlap="1" layoutInCell="1" locked="0" behindDoc="0" simplePos="0" relativeHeight="15859200">
            <wp:simplePos x="0" y="0"/>
            <wp:positionH relativeFrom="page">
              <wp:posOffset>689483</wp:posOffset>
            </wp:positionH>
            <wp:positionV relativeFrom="paragraph">
              <wp:posOffset>91003</wp:posOffset>
            </wp:positionV>
            <wp:extent cx="55041" cy="6350"/>
            <wp:effectExtent l="0" t="0" r="0" b="0"/>
            <wp:wrapNone/>
            <wp:docPr id="85" name="image16.png"/>
            <wp:cNvGraphicFramePr>
              <a:graphicFrameLocks noChangeAspect="1"/>
            </wp:cNvGraphicFramePr>
            <a:graphic>
              <a:graphicData uri="http://schemas.openxmlformats.org/drawingml/2006/picture">
                <pic:pic>
                  <pic:nvPicPr>
                    <pic:cNvPr id="86" name="image16.png"/>
                    <pic:cNvPicPr/>
                  </pic:nvPicPr>
                  <pic:blipFill>
                    <a:blip r:embed="rId39" cstate="print"/>
                    <a:stretch>
                      <a:fillRect/>
                    </a:stretch>
                  </pic:blipFill>
                  <pic:spPr>
                    <a:xfrm>
                      <a:off x="0" y="0"/>
                      <a:ext cx="55041" cy="6350"/>
                    </a:xfrm>
                    <a:prstGeom prst="rect">
                      <a:avLst/>
                    </a:prstGeom>
                  </pic:spPr>
                </pic:pic>
              </a:graphicData>
            </a:graphic>
          </wp:anchor>
        </w:drawing>
      </w:r>
      <w:r>
        <w:rPr>
          <w:sz w:val="12"/>
        </w:rPr>
        <w:t>1.40</w:t>
      </w:r>
    </w:p>
    <w:p>
      <w:pPr>
        <w:pStyle w:val="BodyText"/>
        <w:rPr>
          <w:sz w:val="12"/>
        </w:rPr>
      </w:pPr>
    </w:p>
    <w:p>
      <w:pPr>
        <w:spacing w:before="83"/>
        <w:ind w:left="191" w:right="0" w:firstLine="0"/>
        <w:jc w:val="left"/>
        <w:rPr>
          <w:sz w:val="12"/>
        </w:rPr>
      </w:pPr>
      <w:r>
        <w:rPr/>
        <w:drawing>
          <wp:anchor distT="0" distB="0" distL="0" distR="0" allowOverlap="1" layoutInCell="1" locked="0" behindDoc="0" simplePos="0" relativeHeight="15859712">
            <wp:simplePos x="0" y="0"/>
            <wp:positionH relativeFrom="page">
              <wp:posOffset>689483</wp:posOffset>
            </wp:positionH>
            <wp:positionV relativeFrom="paragraph">
              <wp:posOffset>91133</wp:posOffset>
            </wp:positionV>
            <wp:extent cx="55041" cy="6350"/>
            <wp:effectExtent l="0" t="0" r="0" b="0"/>
            <wp:wrapNone/>
            <wp:docPr id="87" name="image16.png"/>
            <wp:cNvGraphicFramePr>
              <a:graphicFrameLocks noChangeAspect="1"/>
            </wp:cNvGraphicFramePr>
            <a:graphic>
              <a:graphicData uri="http://schemas.openxmlformats.org/drawingml/2006/picture">
                <pic:pic>
                  <pic:nvPicPr>
                    <pic:cNvPr id="88" name="image16.png"/>
                    <pic:cNvPicPr/>
                  </pic:nvPicPr>
                  <pic:blipFill>
                    <a:blip r:embed="rId39" cstate="print"/>
                    <a:stretch>
                      <a:fillRect/>
                    </a:stretch>
                  </pic:blipFill>
                  <pic:spPr>
                    <a:xfrm>
                      <a:off x="0" y="0"/>
                      <a:ext cx="55041" cy="6350"/>
                    </a:xfrm>
                    <a:prstGeom prst="rect">
                      <a:avLst/>
                    </a:prstGeom>
                  </pic:spPr>
                </pic:pic>
              </a:graphicData>
            </a:graphic>
          </wp:anchor>
        </w:drawing>
      </w:r>
      <w:r>
        <w:rPr>
          <w:sz w:val="12"/>
        </w:rPr>
        <w:t>1.30</w:t>
      </w:r>
    </w:p>
    <w:p>
      <w:pPr>
        <w:pStyle w:val="BodyText"/>
        <w:rPr>
          <w:sz w:val="12"/>
        </w:rPr>
      </w:pPr>
    </w:p>
    <w:p>
      <w:pPr>
        <w:spacing w:before="84"/>
        <w:ind w:left="191" w:right="0" w:firstLine="0"/>
        <w:jc w:val="left"/>
        <w:rPr>
          <w:sz w:val="12"/>
        </w:rPr>
      </w:pPr>
      <w:r>
        <w:rPr/>
        <w:drawing>
          <wp:anchor distT="0" distB="0" distL="0" distR="0" allowOverlap="1" layoutInCell="1" locked="0" behindDoc="0" simplePos="0" relativeHeight="15860224">
            <wp:simplePos x="0" y="0"/>
            <wp:positionH relativeFrom="page">
              <wp:posOffset>689483</wp:posOffset>
            </wp:positionH>
            <wp:positionV relativeFrom="paragraph">
              <wp:posOffset>91885</wp:posOffset>
            </wp:positionV>
            <wp:extent cx="55041" cy="6350"/>
            <wp:effectExtent l="0" t="0" r="0" b="0"/>
            <wp:wrapNone/>
            <wp:docPr id="89" name="image16.png"/>
            <wp:cNvGraphicFramePr>
              <a:graphicFrameLocks noChangeAspect="1"/>
            </wp:cNvGraphicFramePr>
            <a:graphic>
              <a:graphicData uri="http://schemas.openxmlformats.org/drawingml/2006/picture">
                <pic:pic>
                  <pic:nvPicPr>
                    <pic:cNvPr id="90" name="image16.png"/>
                    <pic:cNvPicPr/>
                  </pic:nvPicPr>
                  <pic:blipFill>
                    <a:blip r:embed="rId39" cstate="print"/>
                    <a:stretch>
                      <a:fillRect/>
                    </a:stretch>
                  </pic:blipFill>
                  <pic:spPr>
                    <a:xfrm>
                      <a:off x="0" y="0"/>
                      <a:ext cx="55041" cy="6350"/>
                    </a:xfrm>
                    <a:prstGeom prst="rect">
                      <a:avLst/>
                    </a:prstGeom>
                  </pic:spPr>
                </pic:pic>
              </a:graphicData>
            </a:graphic>
          </wp:anchor>
        </w:drawing>
      </w:r>
      <w:r>
        <w:rPr>
          <w:sz w:val="12"/>
        </w:rPr>
        <w:t>1.20</w:t>
      </w:r>
    </w:p>
    <w:p>
      <w:pPr>
        <w:pStyle w:val="BodyText"/>
        <w:rPr>
          <w:sz w:val="12"/>
        </w:rPr>
      </w:pPr>
    </w:p>
    <w:p>
      <w:pPr>
        <w:spacing w:before="83"/>
        <w:ind w:left="191" w:right="0" w:firstLine="0"/>
        <w:jc w:val="left"/>
        <w:rPr>
          <w:sz w:val="12"/>
        </w:rPr>
      </w:pPr>
      <w:r>
        <w:rPr/>
        <w:drawing>
          <wp:anchor distT="0" distB="0" distL="0" distR="0" allowOverlap="1" layoutInCell="1" locked="0" behindDoc="0" simplePos="0" relativeHeight="15860736">
            <wp:simplePos x="0" y="0"/>
            <wp:positionH relativeFrom="page">
              <wp:posOffset>689483</wp:posOffset>
            </wp:positionH>
            <wp:positionV relativeFrom="paragraph">
              <wp:posOffset>91379</wp:posOffset>
            </wp:positionV>
            <wp:extent cx="55041" cy="6350"/>
            <wp:effectExtent l="0" t="0" r="0" b="0"/>
            <wp:wrapNone/>
            <wp:docPr id="91" name="image16.png"/>
            <wp:cNvGraphicFramePr>
              <a:graphicFrameLocks noChangeAspect="1"/>
            </wp:cNvGraphicFramePr>
            <a:graphic>
              <a:graphicData uri="http://schemas.openxmlformats.org/drawingml/2006/picture">
                <pic:pic>
                  <pic:nvPicPr>
                    <pic:cNvPr id="92" name="image16.png"/>
                    <pic:cNvPicPr/>
                  </pic:nvPicPr>
                  <pic:blipFill>
                    <a:blip r:embed="rId39" cstate="print"/>
                    <a:stretch>
                      <a:fillRect/>
                    </a:stretch>
                  </pic:blipFill>
                  <pic:spPr>
                    <a:xfrm>
                      <a:off x="0" y="0"/>
                      <a:ext cx="55041" cy="6350"/>
                    </a:xfrm>
                    <a:prstGeom prst="rect">
                      <a:avLst/>
                    </a:prstGeom>
                  </pic:spPr>
                </pic:pic>
              </a:graphicData>
            </a:graphic>
          </wp:anchor>
        </w:drawing>
      </w:r>
      <w:r>
        <w:rPr>
          <w:sz w:val="12"/>
        </w:rPr>
        <w:t>1.10</w:t>
      </w:r>
    </w:p>
    <w:p>
      <w:pPr>
        <w:pStyle w:val="BodyText"/>
        <w:rPr>
          <w:sz w:val="12"/>
        </w:rPr>
      </w:pPr>
    </w:p>
    <w:p>
      <w:pPr>
        <w:spacing w:line="74" w:lineRule="exact" w:before="84"/>
        <w:ind w:left="191" w:right="0" w:firstLine="0"/>
        <w:jc w:val="left"/>
        <w:rPr>
          <w:sz w:val="12"/>
        </w:rPr>
      </w:pPr>
      <w:r>
        <w:rPr/>
        <w:drawing>
          <wp:anchor distT="0" distB="0" distL="0" distR="0" allowOverlap="1" layoutInCell="1" locked="0" behindDoc="0" simplePos="0" relativeHeight="15861248">
            <wp:simplePos x="0" y="0"/>
            <wp:positionH relativeFrom="page">
              <wp:posOffset>689483</wp:posOffset>
            </wp:positionH>
            <wp:positionV relativeFrom="paragraph">
              <wp:posOffset>50158</wp:posOffset>
            </wp:positionV>
            <wp:extent cx="2034895" cy="48323"/>
            <wp:effectExtent l="0" t="0" r="0" b="0"/>
            <wp:wrapNone/>
            <wp:docPr id="93" name="image27.png"/>
            <wp:cNvGraphicFramePr>
              <a:graphicFrameLocks noChangeAspect="1"/>
            </wp:cNvGraphicFramePr>
            <a:graphic>
              <a:graphicData uri="http://schemas.openxmlformats.org/drawingml/2006/picture">
                <pic:pic>
                  <pic:nvPicPr>
                    <pic:cNvPr id="94" name="image27.png"/>
                    <pic:cNvPicPr/>
                  </pic:nvPicPr>
                  <pic:blipFill>
                    <a:blip r:embed="rId58" cstate="print"/>
                    <a:stretch>
                      <a:fillRect/>
                    </a:stretch>
                  </pic:blipFill>
                  <pic:spPr>
                    <a:xfrm>
                      <a:off x="0" y="0"/>
                      <a:ext cx="2034895" cy="48323"/>
                    </a:xfrm>
                    <a:prstGeom prst="rect">
                      <a:avLst/>
                    </a:prstGeom>
                  </pic:spPr>
                </pic:pic>
              </a:graphicData>
            </a:graphic>
          </wp:anchor>
        </w:drawing>
      </w:r>
      <w:r>
        <w:rPr>
          <w:sz w:val="12"/>
        </w:rPr>
        <w:t>1.00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123" w:lineRule="exact" w:before="96"/>
        <w:ind w:left="154" w:right="0" w:firstLine="0"/>
        <w:jc w:val="left"/>
        <w:rPr>
          <w:sz w:val="12"/>
        </w:rPr>
      </w:pPr>
      <w:r>
        <w:rPr>
          <w:sz w:val="12"/>
        </w:rPr>
        <w:t>1990 = 100</w:t>
      </w:r>
    </w:p>
    <w:p>
      <w:pPr>
        <w:spacing w:line="123" w:lineRule="exact" w:before="0"/>
        <w:ind w:left="743" w:right="0" w:firstLine="0"/>
        <w:jc w:val="left"/>
        <w:rPr>
          <w:sz w:val="12"/>
        </w:rPr>
      </w:pPr>
      <w:r>
        <w:rPr/>
        <w:drawing>
          <wp:anchor distT="0" distB="0" distL="0" distR="0" allowOverlap="1" layoutInCell="1" locked="0" behindDoc="0" simplePos="0" relativeHeight="15865856">
            <wp:simplePos x="0" y="0"/>
            <wp:positionH relativeFrom="page">
              <wp:posOffset>2669349</wp:posOffset>
            </wp:positionH>
            <wp:positionV relativeFrom="paragraph">
              <wp:posOffset>32193</wp:posOffset>
            </wp:positionV>
            <wp:extent cx="55029" cy="6350"/>
            <wp:effectExtent l="0" t="0" r="0" b="0"/>
            <wp:wrapNone/>
            <wp:docPr id="95" name="image13.png"/>
            <wp:cNvGraphicFramePr>
              <a:graphicFrameLocks noChangeAspect="1"/>
            </wp:cNvGraphicFramePr>
            <a:graphic>
              <a:graphicData uri="http://schemas.openxmlformats.org/drawingml/2006/picture">
                <pic:pic>
                  <pic:nvPicPr>
                    <pic:cNvPr id="96" name="image13.png"/>
                    <pic:cNvPicPr/>
                  </pic:nvPicPr>
                  <pic:blipFill>
                    <a:blip r:embed="rId36" cstate="print"/>
                    <a:stretch>
                      <a:fillRect/>
                    </a:stretch>
                  </pic:blipFill>
                  <pic:spPr>
                    <a:xfrm>
                      <a:off x="0" y="0"/>
                      <a:ext cx="55029" cy="6350"/>
                    </a:xfrm>
                    <a:prstGeom prst="rect">
                      <a:avLst/>
                    </a:prstGeom>
                  </pic:spPr>
                </pic:pic>
              </a:graphicData>
            </a:graphic>
          </wp:anchor>
        </w:drawing>
      </w:r>
      <w:r>
        <w:rPr>
          <w:sz w:val="12"/>
        </w:rPr>
        <w:t>112</w:t>
      </w:r>
    </w:p>
    <w:p>
      <w:pPr>
        <w:pStyle w:val="BodyText"/>
        <w:rPr>
          <w:sz w:val="12"/>
        </w:rPr>
      </w:pPr>
    </w:p>
    <w:p>
      <w:pPr>
        <w:spacing w:before="83"/>
        <w:ind w:left="0" w:right="38" w:firstLine="0"/>
        <w:jc w:val="right"/>
        <w:rPr>
          <w:sz w:val="12"/>
        </w:rPr>
      </w:pPr>
      <w:r>
        <w:rPr/>
        <w:drawing>
          <wp:anchor distT="0" distB="0" distL="0" distR="0" allowOverlap="1" layoutInCell="1" locked="0" behindDoc="0" simplePos="0" relativeHeight="15866368">
            <wp:simplePos x="0" y="0"/>
            <wp:positionH relativeFrom="page">
              <wp:posOffset>2669349</wp:posOffset>
            </wp:positionH>
            <wp:positionV relativeFrom="paragraph">
              <wp:posOffset>94433</wp:posOffset>
            </wp:positionV>
            <wp:extent cx="55029" cy="6350"/>
            <wp:effectExtent l="0" t="0" r="0" b="0"/>
            <wp:wrapNone/>
            <wp:docPr id="97" name="image13.png"/>
            <wp:cNvGraphicFramePr>
              <a:graphicFrameLocks noChangeAspect="1"/>
            </wp:cNvGraphicFramePr>
            <a:graphic>
              <a:graphicData uri="http://schemas.openxmlformats.org/drawingml/2006/picture">
                <pic:pic>
                  <pic:nvPicPr>
                    <pic:cNvPr id="98" name="image13.png"/>
                    <pic:cNvPicPr/>
                  </pic:nvPicPr>
                  <pic:blipFill>
                    <a:blip r:embed="rId36" cstate="print"/>
                    <a:stretch>
                      <a:fillRect/>
                    </a:stretch>
                  </pic:blipFill>
                  <pic:spPr>
                    <a:xfrm>
                      <a:off x="0" y="0"/>
                      <a:ext cx="55029" cy="6350"/>
                    </a:xfrm>
                    <a:prstGeom prst="rect">
                      <a:avLst/>
                    </a:prstGeom>
                  </pic:spPr>
                </pic:pic>
              </a:graphicData>
            </a:graphic>
          </wp:anchor>
        </w:drawing>
      </w:r>
      <w:r>
        <w:rPr>
          <w:sz w:val="12"/>
        </w:rPr>
        <w:t>108</w:t>
      </w:r>
    </w:p>
    <w:p>
      <w:pPr>
        <w:pStyle w:val="BodyText"/>
        <w:rPr>
          <w:sz w:val="12"/>
        </w:rPr>
      </w:pPr>
    </w:p>
    <w:p>
      <w:pPr>
        <w:spacing w:before="84"/>
        <w:ind w:left="0" w:right="38" w:firstLine="0"/>
        <w:jc w:val="right"/>
        <w:rPr>
          <w:sz w:val="12"/>
        </w:rPr>
      </w:pPr>
      <w:r>
        <w:rPr/>
        <w:drawing>
          <wp:anchor distT="0" distB="0" distL="0" distR="0" allowOverlap="1" layoutInCell="1" locked="0" behindDoc="0" simplePos="0" relativeHeight="15866880">
            <wp:simplePos x="0" y="0"/>
            <wp:positionH relativeFrom="page">
              <wp:posOffset>2669349</wp:posOffset>
            </wp:positionH>
            <wp:positionV relativeFrom="paragraph">
              <wp:posOffset>95197</wp:posOffset>
            </wp:positionV>
            <wp:extent cx="55029" cy="6350"/>
            <wp:effectExtent l="0" t="0" r="0" b="0"/>
            <wp:wrapNone/>
            <wp:docPr id="99" name="image13.png"/>
            <wp:cNvGraphicFramePr>
              <a:graphicFrameLocks noChangeAspect="1"/>
            </wp:cNvGraphicFramePr>
            <a:graphic>
              <a:graphicData uri="http://schemas.openxmlformats.org/drawingml/2006/picture">
                <pic:pic>
                  <pic:nvPicPr>
                    <pic:cNvPr id="100" name="image13.png"/>
                    <pic:cNvPicPr/>
                  </pic:nvPicPr>
                  <pic:blipFill>
                    <a:blip r:embed="rId36" cstate="print"/>
                    <a:stretch>
                      <a:fillRect/>
                    </a:stretch>
                  </pic:blipFill>
                  <pic:spPr>
                    <a:xfrm>
                      <a:off x="0" y="0"/>
                      <a:ext cx="55029" cy="6350"/>
                    </a:xfrm>
                    <a:prstGeom prst="rect">
                      <a:avLst/>
                    </a:prstGeom>
                  </pic:spPr>
                </pic:pic>
              </a:graphicData>
            </a:graphic>
          </wp:anchor>
        </w:drawing>
      </w:r>
      <w:r>
        <w:rPr>
          <w:sz w:val="12"/>
        </w:rPr>
        <w:t>104</w:t>
      </w:r>
    </w:p>
    <w:p>
      <w:pPr>
        <w:pStyle w:val="BodyText"/>
        <w:rPr>
          <w:sz w:val="12"/>
        </w:rPr>
      </w:pPr>
    </w:p>
    <w:p>
      <w:pPr>
        <w:spacing w:before="83"/>
        <w:ind w:left="0" w:right="38" w:firstLine="0"/>
        <w:jc w:val="right"/>
        <w:rPr>
          <w:sz w:val="12"/>
        </w:rPr>
      </w:pPr>
      <w:r>
        <w:rPr/>
        <w:drawing>
          <wp:anchor distT="0" distB="0" distL="0" distR="0" allowOverlap="1" layoutInCell="1" locked="0" behindDoc="0" simplePos="0" relativeHeight="15863296">
            <wp:simplePos x="0" y="0"/>
            <wp:positionH relativeFrom="page">
              <wp:posOffset>2669349</wp:posOffset>
            </wp:positionH>
            <wp:positionV relativeFrom="paragraph">
              <wp:posOffset>94679</wp:posOffset>
            </wp:positionV>
            <wp:extent cx="55029" cy="6350"/>
            <wp:effectExtent l="0" t="0" r="0" b="0"/>
            <wp:wrapNone/>
            <wp:docPr id="101" name="image13.png"/>
            <wp:cNvGraphicFramePr>
              <a:graphicFrameLocks noChangeAspect="1"/>
            </wp:cNvGraphicFramePr>
            <a:graphic>
              <a:graphicData uri="http://schemas.openxmlformats.org/drawingml/2006/picture">
                <pic:pic>
                  <pic:nvPicPr>
                    <pic:cNvPr id="102" name="image13.png"/>
                    <pic:cNvPicPr/>
                  </pic:nvPicPr>
                  <pic:blipFill>
                    <a:blip r:embed="rId36" cstate="print"/>
                    <a:stretch>
                      <a:fillRect/>
                    </a:stretch>
                  </pic:blipFill>
                  <pic:spPr>
                    <a:xfrm>
                      <a:off x="0" y="0"/>
                      <a:ext cx="55029" cy="6350"/>
                    </a:xfrm>
                    <a:prstGeom prst="rect">
                      <a:avLst/>
                    </a:prstGeom>
                  </pic:spPr>
                </pic:pic>
              </a:graphicData>
            </a:graphic>
          </wp:anchor>
        </w:drawing>
      </w:r>
      <w:r>
        <w:rPr>
          <w:sz w:val="12"/>
        </w:rPr>
        <w:t>100</w:t>
      </w:r>
    </w:p>
    <w:p>
      <w:pPr>
        <w:pStyle w:val="BodyText"/>
        <w:rPr>
          <w:sz w:val="12"/>
        </w:rPr>
      </w:pPr>
    </w:p>
    <w:p>
      <w:pPr>
        <w:spacing w:before="84"/>
        <w:ind w:left="0" w:right="38" w:firstLine="0"/>
        <w:jc w:val="right"/>
        <w:rPr>
          <w:sz w:val="12"/>
        </w:rPr>
      </w:pPr>
      <w:r>
        <w:rPr/>
        <w:drawing>
          <wp:anchor distT="0" distB="0" distL="0" distR="0" allowOverlap="1" layoutInCell="1" locked="0" behindDoc="0" simplePos="0" relativeHeight="15863808">
            <wp:simplePos x="0" y="0"/>
            <wp:positionH relativeFrom="page">
              <wp:posOffset>2669349</wp:posOffset>
            </wp:positionH>
            <wp:positionV relativeFrom="paragraph">
              <wp:posOffset>95451</wp:posOffset>
            </wp:positionV>
            <wp:extent cx="55029" cy="6350"/>
            <wp:effectExtent l="0" t="0" r="0" b="0"/>
            <wp:wrapNone/>
            <wp:docPr id="103" name="image13.png"/>
            <wp:cNvGraphicFramePr>
              <a:graphicFrameLocks noChangeAspect="1"/>
            </wp:cNvGraphicFramePr>
            <a:graphic>
              <a:graphicData uri="http://schemas.openxmlformats.org/drawingml/2006/picture">
                <pic:pic>
                  <pic:nvPicPr>
                    <pic:cNvPr id="104" name="image13.png"/>
                    <pic:cNvPicPr/>
                  </pic:nvPicPr>
                  <pic:blipFill>
                    <a:blip r:embed="rId36" cstate="print"/>
                    <a:stretch>
                      <a:fillRect/>
                    </a:stretch>
                  </pic:blipFill>
                  <pic:spPr>
                    <a:xfrm>
                      <a:off x="0" y="0"/>
                      <a:ext cx="55029" cy="6350"/>
                    </a:xfrm>
                    <a:prstGeom prst="rect">
                      <a:avLst/>
                    </a:prstGeom>
                  </pic:spPr>
                </pic:pic>
              </a:graphicData>
            </a:graphic>
          </wp:anchor>
        </w:drawing>
      </w:r>
      <w:r>
        <w:rPr>
          <w:sz w:val="12"/>
        </w:rPr>
        <w:t>96</w:t>
      </w:r>
    </w:p>
    <w:p>
      <w:pPr>
        <w:pStyle w:val="BodyText"/>
        <w:rPr>
          <w:sz w:val="12"/>
        </w:rPr>
      </w:pPr>
    </w:p>
    <w:p>
      <w:pPr>
        <w:spacing w:before="83"/>
        <w:ind w:left="0" w:right="38" w:firstLine="0"/>
        <w:jc w:val="right"/>
        <w:rPr>
          <w:sz w:val="12"/>
        </w:rPr>
      </w:pPr>
      <w:r>
        <w:rPr/>
        <w:drawing>
          <wp:anchor distT="0" distB="0" distL="0" distR="0" allowOverlap="1" layoutInCell="1" locked="0" behindDoc="0" simplePos="0" relativeHeight="15864320">
            <wp:simplePos x="0" y="0"/>
            <wp:positionH relativeFrom="page">
              <wp:posOffset>2669349</wp:posOffset>
            </wp:positionH>
            <wp:positionV relativeFrom="paragraph">
              <wp:posOffset>94933</wp:posOffset>
            </wp:positionV>
            <wp:extent cx="55029" cy="6350"/>
            <wp:effectExtent l="0" t="0" r="0" b="0"/>
            <wp:wrapNone/>
            <wp:docPr id="105" name="image12.png"/>
            <wp:cNvGraphicFramePr>
              <a:graphicFrameLocks noChangeAspect="1"/>
            </wp:cNvGraphicFramePr>
            <a:graphic>
              <a:graphicData uri="http://schemas.openxmlformats.org/drawingml/2006/picture">
                <pic:pic>
                  <pic:nvPicPr>
                    <pic:cNvPr id="106" name="image12.png"/>
                    <pic:cNvPicPr/>
                  </pic:nvPicPr>
                  <pic:blipFill>
                    <a:blip r:embed="rId35" cstate="print"/>
                    <a:stretch>
                      <a:fillRect/>
                    </a:stretch>
                  </pic:blipFill>
                  <pic:spPr>
                    <a:xfrm>
                      <a:off x="0" y="0"/>
                      <a:ext cx="55029" cy="6350"/>
                    </a:xfrm>
                    <a:prstGeom prst="rect">
                      <a:avLst/>
                    </a:prstGeom>
                  </pic:spPr>
                </pic:pic>
              </a:graphicData>
            </a:graphic>
          </wp:anchor>
        </w:drawing>
      </w:r>
      <w:r>
        <w:rPr>
          <w:sz w:val="12"/>
        </w:rPr>
        <w:t>92</w:t>
      </w:r>
    </w:p>
    <w:p>
      <w:pPr>
        <w:pStyle w:val="BodyText"/>
        <w:rPr>
          <w:sz w:val="12"/>
        </w:rPr>
      </w:pPr>
    </w:p>
    <w:p>
      <w:pPr>
        <w:spacing w:before="83"/>
        <w:ind w:left="0" w:right="38" w:firstLine="0"/>
        <w:jc w:val="right"/>
        <w:rPr>
          <w:sz w:val="12"/>
        </w:rPr>
      </w:pPr>
      <w:r>
        <w:rPr/>
        <w:drawing>
          <wp:anchor distT="0" distB="0" distL="0" distR="0" allowOverlap="1" layoutInCell="1" locked="0" behindDoc="0" simplePos="0" relativeHeight="15864832">
            <wp:simplePos x="0" y="0"/>
            <wp:positionH relativeFrom="page">
              <wp:posOffset>2669349</wp:posOffset>
            </wp:positionH>
            <wp:positionV relativeFrom="paragraph">
              <wp:posOffset>95062</wp:posOffset>
            </wp:positionV>
            <wp:extent cx="55029" cy="6350"/>
            <wp:effectExtent l="0" t="0" r="0" b="0"/>
            <wp:wrapNone/>
            <wp:docPr id="107" name="image12.png"/>
            <wp:cNvGraphicFramePr>
              <a:graphicFrameLocks noChangeAspect="1"/>
            </wp:cNvGraphicFramePr>
            <a:graphic>
              <a:graphicData uri="http://schemas.openxmlformats.org/drawingml/2006/picture">
                <pic:pic>
                  <pic:nvPicPr>
                    <pic:cNvPr id="108" name="image12.png"/>
                    <pic:cNvPicPr/>
                  </pic:nvPicPr>
                  <pic:blipFill>
                    <a:blip r:embed="rId35" cstate="print"/>
                    <a:stretch>
                      <a:fillRect/>
                    </a:stretch>
                  </pic:blipFill>
                  <pic:spPr>
                    <a:xfrm>
                      <a:off x="0" y="0"/>
                      <a:ext cx="55029" cy="6350"/>
                    </a:xfrm>
                    <a:prstGeom prst="rect">
                      <a:avLst/>
                    </a:prstGeom>
                  </pic:spPr>
                </pic:pic>
              </a:graphicData>
            </a:graphic>
          </wp:anchor>
        </w:drawing>
      </w:r>
      <w:r>
        <w:rPr>
          <w:sz w:val="12"/>
        </w:rPr>
        <w:t>88</w:t>
      </w:r>
    </w:p>
    <w:p>
      <w:pPr>
        <w:pStyle w:val="BodyText"/>
        <w:rPr>
          <w:sz w:val="12"/>
        </w:rPr>
      </w:pPr>
    </w:p>
    <w:p>
      <w:pPr>
        <w:spacing w:before="84"/>
        <w:ind w:left="0" w:right="38" w:firstLine="0"/>
        <w:jc w:val="right"/>
        <w:rPr>
          <w:sz w:val="12"/>
        </w:rPr>
      </w:pPr>
      <w:r>
        <w:rPr/>
        <w:drawing>
          <wp:anchor distT="0" distB="0" distL="0" distR="0" allowOverlap="1" layoutInCell="1" locked="0" behindDoc="0" simplePos="0" relativeHeight="15865344">
            <wp:simplePos x="0" y="0"/>
            <wp:positionH relativeFrom="page">
              <wp:posOffset>2669349</wp:posOffset>
            </wp:positionH>
            <wp:positionV relativeFrom="paragraph">
              <wp:posOffset>95814</wp:posOffset>
            </wp:positionV>
            <wp:extent cx="55029" cy="6350"/>
            <wp:effectExtent l="0" t="0" r="0" b="0"/>
            <wp:wrapNone/>
            <wp:docPr id="109" name="image12.png"/>
            <wp:cNvGraphicFramePr>
              <a:graphicFrameLocks noChangeAspect="1"/>
            </wp:cNvGraphicFramePr>
            <a:graphic>
              <a:graphicData uri="http://schemas.openxmlformats.org/drawingml/2006/picture">
                <pic:pic>
                  <pic:nvPicPr>
                    <pic:cNvPr id="110" name="image12.png"/>
                    <pic:cNvPicPr/>
                  </pic:nvPicPr>
                  <pic:blipFill>
                    <a:blip r:embed="rId35" cstate="print"/>
                    <a:stretch>
                      <a:fillRect/>
                    </a:stretch>
                  </pic:blipFill>
                  <pic:spPr>
                    <a:xfrm>
                      <a:off x="0" y="0"/>
                      <a:ext cx="55029" cy="6350"/>
                    </a:xfrm>
                    <a:prstGeom prst="rect">
                      <a:avLst/>
                    </a:prstGeom>
                  </pic:spPr>
                </pic:pic>
              </a:graphicData>
            </a:graphic>
          </wp:anchor>
        </w:drawing>
      </w:r>
      <w:r>
        <w:rPr>
          <w:sz w:val="12"/>
        </w:rPr>
        <w:t>84</w:t>
      </w:r>
    </w:p>
    <w:p>
      <w:pPr>
        <w:pStyle w:val="BodyText"/>
        <w:rPr>
          <w:sz w:val="12"/>
        </w:rPr>
      </w:pPr>
    </w:p>
    <w:p>
      <w:pPr>
        <w:spacing w:line="84" w:lineRule="exact" w:before="83"/>
        <w:ind w:left="803" w:right="0" w:firstLine="0"/>
        <w:jc w:val="left"/>
        <w:rPr>
          <w:sz w:val="12"/>
        </w:rPr>
      </w:pPr>
      <w:r>
        <w:rPr>
          <w:sz w:val="12"/>
        </w:rPr>
        <w:t>80</w:t>
      </w:r>
    </w:p>
    <w:p>
      <w:pPr>
        <w:spacing w:line="242" w:lineRule="auto" w:before="195"/>
        <w:ind w:left="191" w:right="62" w:firstLine="0"/>
        <w:jc w:val="left"/>
        <w:rPr>
          <w:sz w:val="24"/>
        </w:rPr>
      </w:pPr>
      <w:r>
        <w:rPr/>
        <w:br w:type="column"/>
      </w:r>
      <w:r>
        <w:rPr>
          <w:sz w:val="24"/>
        </w:rPr>
        <w:t>The expected risk-adjusted returns from holding assets in different currencies should be identical. Otherwise there would be profitable trading opportunities worth exploiting. That means that the expected path of the exchange rate should correspond to the expected differential between interest rates in each country, plus any risk premium that investors require for holding that currency. That path, and hence the spot rate, will be affected by changes in views about the long-run equilibrium rate. Within this theoretical framework, unexpected changes in the exchange rate should be explained by revised expectations about interest rate differentials, risk premia, or equilibrium exchange rates.</w:t>
      </w:r>
    </w:p>
    <w:p>
      <w:pPr>
        <w:pStyle w:val="BodyText"/>
        <w:spacing w:before="9"/>
        <w:rPr>
          <w:sz w:val="25"/>
        </w:rPr>
      </w:pPr>
    </w:p>
    <w:p>
      <w:pPr>
        <w:spacing w:before="0"/>
        <w:ind w:left="191" w:right="0" w:firstLine="0"/>
        <w:jc w:val="left"/>
        <w:rPr>
          <w:sz w:val="24"/>
        </w:rPr>
      </w:pPr>
      <w:r>
        <w:rPr>
          <w:sz w:val="24"/>
        </w:rPr>
        <w:t>Chart 1.17 shows that despite the rise in official rates</w:t>
      </w:r>
    </w:p>
    <w:p>
      <w:pPr>
        <w:spacing w:after="0"/>
        <w:jc w:val="left"/>
        <w:rPr>
          <w:sz w:val="24"/>
        </w:rPr>
        <w:sectPr>
          <w:type w:val="continuous"/>
          <w:pgSz w:w="11900" w:h="16840"/>
          <w:pgMar w:top="1260" w:bottom="280" w:left="640" w:right="640"/>
          <w:cols w:num="3" w:equalWidth="0">
            <w:col w:w="2909" w:space="40"/>
            <w:col w:w="964" w:space="875"/>
            <w:col w:w="5832"/>
          </w:cols>
        </w:sectPr>
      </w:pPr>
    </w:p>
    <w:p>
      <w:pPr>
        <w:tabs>
          <w:tab w:pos="1126" w:val="left" w:leader="none"/>
          <w:tab w:pos="1516" w:val="left" w:leader="none"/>
          <w:tab w:pos="1896" w:val="left" w:leader="none"/>
          <w:tab w:pos="2276" w:val="left" w:leader="none"/>
          <w:tab w:pos="2656" w:val="left" w:leader="none"/>
          <w:tab w:pos="3036" w:val="left" w:leader="none"/>
        </w:tabs>
        <w:spacing w:before="18"/>
        <w:ind w:left="668" w:right="0" w:firstLine="0"/>
        <w:jc w:val="left"/>
        <w:rPr>
          <w:sz w:val="12"/>
        </w:rPr>
      </w:pPr>
      <w:r>
        <w:rPr>
          <w:sz w:val="12"/>
        </w:rPr>
        <w:t>1993</w:t>
        <w:tab/>
        <w:t>94</w:t>
        <w:tab/>
        <w:t>95</w:t>
        <w:tab/>
        <w:t>96</w:t>
        <w:tab/>
        <w:t>97</w:t>
        <w:tab/>
        <w:t>98</w:t>
        <w:tab/>
        <w:t>99</w:t>
      </w:r>
      <w:r>
        <w:rPr>
          <w:spacing w:val="4"/>
          <w:sz w:val="12"/>
        </w:rPr>
        <w:t> </w:t>
      </w:r>
      <w:r>
        <w:rPr>
          <w:sz w:val="12"/>
        </w:rPr>
        <w:t>2000</w:t>
      </w:r>
    </w:p>
    <w:p>
      <w:pPr>
        <w:spacing w:before="91"/>
        <w:ind w:left="184" w:right="0" w:firstLine="0"/>
        <w:jc w:val="left"/>
        <w:rPr>
          <w:sz w:val="12"/>
        </w:rPr>
      </w:pPr>
      <w:r>
        <w:rPr>
          <w:sz w:val="12"/>
        </w:rPr>
        <w:t>Source: Bank of England.</w:t>
      </w:r>
    </w:p>
    <w:p>
      <w:pPr>
        <w:pStyle w:val="BodyText"/>
        <w:spacing w:before="2"/>
        <w:rPr>
          <w:sz w:val="10"/>
        </w:rPr>
      </w:pPr>
    </w:p>
    <w:p>
      <w:pPr>
        <w:spacing w:line="208" w:lineRule="auto" w:before="0"/>
        <w:ind w:left="424" w:right="0" w:hanging="240"/>
        <w:jc w:val="left"/>
        <w:rPr>
          <w:sz w:val="12"/>
        </w:rPr>
      </w:pPr>
      <w:r>
        <w:rPr>
          <w:sz w:val="12"/>
        </w:rPr>
        <w:t>(a) Rates before 1 January 1999 are calculated as a synthetic euro exchange rate based on a weighted average of the component currencies.</w:t>
      </w:r>
    </w:p>
    <w:p>
      <w:pPr>
        <w:spacing w:line="242" w:lineRule="auto" w:before="0"/>
        <w:ind w:left="184" w:right="201" w:firstLine="0"/>
        <w:jc w:val="left"/>
        <w:rPr>
          <w:sz w:val="24"/>
        </w:rPr>
      </w:pPr>
      <w:r>
        <w:rPr/>
        <w:br w:type="column"/>
      </w:r>
      <w:r>
        <w:rPr>
          <w:sz w:val="24"/>
        </w:rPr>
        <w:t>overseas relative to those in the United Kingdom, the recent depreciation of sterling against the dollar or the euro cannot be explained by revised views about future</w:t>
      </w:r>
    </w:p>
    <w:p>
      <w:pPr>
        <w:spacing w:after="0" w:line="242" w:lineRule="auto"/>
        <w:jc w:val="left"/>
        <w:rPr>
          <w:sz w:val="24"/>
        </w:rPr>
        <w:sectPr>
          <w:type w:val="continuous"/>
          <w:pgSz w:w="11900" w:h="16840"/>
          <w:pgMar w:top="1260" w:bottom="280" w:left="640" w:right="640"/>
          <w:cols w:num="2" w:equalWidth="0">
            <w:col w:w="3924" w:space="871"/>
            <w:col w:w="5825"/>
          </w:cols>
        </w:sectPr>
      </w:pPr>
    </w:p>
    <w:p>
      <w:pPr>
        <w:pStyle w:val="Heading6"/>
        <w:spacing w:before="70"/>
        <w:ind w:left="198"/>
      </w:pPr>
      <w:bookmarkStart w:name="Summary" w:id="26"/>
      <w:bookmarkEnd w:id="26"/>
      <w:r>
        <w:rPr>
          <w:b w:val="0"/>
        </w:rPr>
      </w:r>
      <w:bookmarkStart w:name="_bookmark9" w:id="27"/>
      <w:bookmarkEnd w:id="27"/>
      <w:r>
        <w:rPr>
          <w:b w:val="0"/>
        </w:rPr>
      </w:r>
      <w:r>
        <w:rPr>
          <w:color w:val="0092C7"/>
        </w:rPr>
        <w:t>Chart 1.17</w:t>
      </w:r>
    </w:p>
    <w:p>
      <w:pPr>
        <w:pStyle w:val="Heading6"/>
        <w:spacing w:line="249" w:lineRule="auto"/>
        <w:ind w:left="198" w:right="16"/>
        <w:rPr>
          <w:i/>
        </w:rPr>
      </w:pPr>
      <w:r>
        <w:rPr>
          <w:color w:val="0092C7"/>
        </w:rPr>
        <w:t>Change in sterling-euro exchange rate and relative interest rates since the February </w:t>
      </w:r>
      <w:r>
        <w:rPr>
          <w:i/>
          <w:color w:val="0092C7"/>
        </w:rPr>
        <w:t>Inflation Report</w:t>
      </w:r>
    </w:p>
    <w:p>
      <w:pPr>
        <w:spacing w:line="120" w:lineRule="exact" w:before="40"/>
        <w:ind w:left="0" w:right="452" w:firstLine="0"/>
        <w:jc w:val="right"/>
        <w:rPr>
          <w:sz w:val="12"/>
        </w:rPr>
      </w:pPr>
      <w:r>
        <w:rPr>
          <w:sz w:val="12"/>
        </w:rPr>
        <w:t>Cumulative change</w:t>
      </w:r>
    </w:p>
    <w:p>
      <w:pPr>
        <w:spacing w:line="120" w:lineRule="exact" w:before="0"/>
        <w:ind w:left="0" w:right="367" w:firstLine="0"/>
        <w:jc w:val="right"/>
        <w:rPr>
          <w:sz w:val="12"/>
        </w:rPr>
      </w:pPr>
      <w:r>
        <w:rPr/>
        <w:pict>
          <v:group style="position:absolute;margin-left:49.830002pt;margin-top:2.394573pt;width:152.550pt;height:114.15pt;mso-position-horizontal-relative:page;mso-position-vertical-relative:paragraph;z-index:-23426048" coordorigin="997,48" coordsize="3051,2283">
            <v:line style="position:absolute" from="1006,1564" to="3892,1564" stroked="true" strokeweight=".5pt" strokecolor="#000000">
              <v:stroke dashstyle="solid"/>
            </v:line>
            <v:shape style="position:absolute;left:1006;top:1543;width:205;height:123" coordorigin="1007,1543" coordsize="205,123" path="m1007,1567l1019,1543m1019,1543l1044,1665m1044,1665l1092,1628m1092,1628l1104,1604m1104,1604l1127,1543m1127,1543l1139,1545m1139,1543l1152,1640m1152,1640l1212,1665e" filled="false" stroked="true" strokeweight="1pt" strokecolor="#acbc4a">
              <v:path arrowok="t"/>
              <v:stroke dashstyle="solid"/>
            </v:shape>
            <v:line style="position:absolute" from="1217,1655" to="1217,1845" stroked="true" strokeweight="1.5pt" strokecolor="#acbc4a">
              <v:stroke dashstyle="solid"/>
            </v:line>
            <v:shape style="position:absolute;left:1221;top:1785;width:38;height:111" coordorigin="1222,1785" coordsize="38,111" path="m1222,1835l1234,1896m1234,1896l1259,1785e" filled="false" stroked="true" strokeweight="1pt" strokecolor="#acbc4a">
              <v:path arrowok="t"/>
              <v:stroke dashstyle="solid"/>
            </v:shape>
            <v:line style="position:absolute" from="1264,1533" to="1264,1795" stroked="true" strokeweight="1.5pt" strokecolor="#acbc4a">
              <v:stroke dashstyle="solid"/>
            </v:line>
            <v:shape style="position:absolute;left:1269;top:1360;width:168;height:184" coordorigin="1269,1360" coordsize="168,184" path="m1269,1543l1319,1360m1319,1360l1342,1421m1342,1421l1354,1457m1354,1457l1367,1470m1367,1470l1389,1372m1389,1372l1437,1457e" filled="false" stroked="true" strokeweight="1pt" strokecolor="#acbc4a">
              <v:path arrowok="t"/>
              <v:stroke dashstyle="solid"/>
            </v:shape>
            <v:line style="position:absolute" from="1443,1277" to="1443,1467" stroked="true" strokeweight="1.625pt" strokecolor="#acbc4a">
              <v:stroke dashstyle="solid"/>
            </v:line>
            <v:line style="position:absolute" from="1449,1287" to="1474,1262" stroked="true" strokeweight="1pt" strokecolor="#acbc4a">
              <v:stroke dashstyle="solid"/>
            </v:line>
            <v:line style="position:absolute" from="1480,1252" to="1480,1516" stroked="true" strokeweight="1.625pt" strokecolor="#acbc4a">
              <v:stroke dashstyle="solid"/>
            </v:line>
            <v:shape style="position:absolute;left:1486;top:1456;width:83;height:62" coordorigin="1487,1457" coordsize="83,62" path="m1487,1506l1497,1457m1497,1457l1544,1494m1544,1494l1569,1518e" filled="false" stroked="true" strokeweight="1pt" strokecolor="#acbc4a">
              <v:path arrowok="t"/>
              <v:stroke dashstyle="solid"/>
            </v:shape>
            <v:line style="position:absolute" from="1575,1508" to="1575,1638" stroked="true" strokeweight="1.625pt" strokecolor="#acbc4a">
              <v:stroke dashstyle="solid"/>
            </v:line>
            <v:shape style="position:absolute;left:1581;top:1616;width:83;height:97" coordorigin="1582,1616" coordsize="83,97" path="m1582,1628l1604,1640m1604,1640l1617,1616m1617,1616l1664,1713e" filled="false" stroked="true" strokeweight="1pt" strokecolor="#acbc4a">
              <v:path arrowok="t"/>
              <v:stroke dashstyle="solid"/>
            </v:shape>
            <v:line style="position:absolute" from="1670,1594" to="1670,1723" stroked="true" strokeweight="1.625pt" strokecolor="#acbc4a">
              <v:stroke dashstyle="solid"/>
            </v:line>
            <v:shape style="position:absolute;left:1676;top:1421;width:120;height:184" coordorigin="1677,1421" coordsize="120,184" path="m1677,1604l1702,1529m1702,1529l1712,1531m1712,1529l1737,1482m1737,1482l1784,1421m1784,1421l1797,1423e" filled="false" stroked="true" strokeweight="1pt" strokecolor="#acbc4a">
              <v:path arrowok="t"/>
              <v:stroke dashstyle="solid"/>
            </v:shape>
            <v:line style="position:absolute" from="1803,1143" to="1803,1431" stroked="true" strokeweight="1.625pt" strokecolor="#acbc4a">
              <v:stroke dashstyle="solid"/>
            </v:line>
            <v:shape style="position:absolute;left:1809;top:1042;width:108;height:111" coordorigin="1809,1043" coordsize="108,111" path="m1809,1153l1832,1104m1832,1104l1844,1116m1844,1116l1892,1092m1892,1092l1917,1043e" filled="false" stroked="true" strokeweight="1pt" strokecolor="#acbc4a">
              <v:path arrowok="t"/>
              <v:stroke dashstyle="solid"/>
            </v:shape>
            <v:line style="position:absolute" from="1922,1033" to="1922,1333" stroked="true" strokeweight="1.5pt" strokecolor="#acbc4a">
              <v:stroke dashstyle="solid"/>
            </v:line>
            <v:line style="position:absolute" from="1927,1323" to="1939,1299" stroked="true" strokeweight="1pt" strokecolor="#acbc4a">
              <v:stroke dashstyle="solid"/>
            </v:line>
            <v:line style="position:absolute" from="1929,1300" to="1974,1300" stroked="true" strokeweight="1.098pt" strokecolor="#acbc4a">
              <v:stroke dashstyle="solid"/>
            </v:line>
            <v:shape style="position:absolute;left:1964;top:1153;width:178;height:158" coordorigin="1964,1153" coordsize="178,158" path="m1964,1299l2012,1311m2012,1311l2024,1299m2024,1299l2047,1226m2047,1226l2059,1153m2059,1153l2084,1189m2084,1189l2132,1165m2132,1165l2142,1167e" filled="false" stroked="true" strokeweight="1pt" strokecolor="#acbc4a">
              <v:path arrowok="t"/>
              <v:stroke dashstyle="solid"/>
            </v:shape>
            <v:line style="position:absolute" from="2148,948" to="2148,1175" stroked="true" strokeweight="1.625pt" strokecolor="#acbc4a">
              <v:stroke dashstyle="solid"/>
            </v:line>
            <v:shape style="position:absolute;left:2154;top:920;width:38;height:38" coordorigin="2154,921" coordsize="38,38" path="m2154,958l2179,921m2179,921l2192,923e" filled="false" stroked="true" strokeweight="1pt" strokecolor="#acbc4a">
              <v:path arrowok="t"/>
              <v:stroke dashstyle="solid"/>
            </v:shape>
            <v:line style="position:absolute" from="2182,922" to="2249,922" stroked="true" strokeweight="1.097pt" strokecolor="#acbc4a">
              <v:stroke dashstyle="solid"/>
            </v:line>
            <v:line style="position:absolute" from="2250,679" to="2250,931" stroked="true" strokeweight="2.125pt" strokecolor="#acbc4a">
              <v:stroke dashstyle="solid"/>
            </v:line>
            <v:line style="position:absolute" from="2262,689" to="2274,592" stroked="true" strokeweight="1pt" strokecolor="#acbc4a">
              <v:stroke dashstyle="solid"/>
            </v:line>
            <v:line style="position:absolute" from="2280,387" to="2280,602" stroked="true" strokeweight="1.625pt" strokecolor="#acbc4a">
              <v:stroke dashstyle="solid"/>
            </v:line>
            <v:line style="position:absolute" from="2287,397" to="2309,531" stroked="true" strokeweight="1pt" strokecolor="#acbc4a">
              <v:stroke dashstyle="solid"/>
            </v:line>
            <v:line style="position:absolute" from="2299,532" to="2369,532" stroked="true" strokeweight="1.098pt" strokecolor="#acbc4a">
              <v:stroke dashstyle="solid"/>
            </v:line>
            <v:line style="position:absolute" from="2359,531" to="2369,482" stroked="true" strokeweight="1pt" strokecolor="#acbc4a">
              <v:stroke dashstyle="solid"/>
            </v:line>
            <v:line style="position:absolute" from="2382,105" to="2382,492" stroked="true" strokeweight="2.25pt" strokecolor="#acbc4a">
              <v:stroke dashstyle="solid"/>
            </v:line>
            <v:line style="position:absolute" from="2400,105" to="2400,370" stroked="true" strokeweight="1.625pt" strokecolor="#acbc4a">
              <v:stroke dashstyle="solid"/>
            </v:line>
            <v:line style="position:absolute" from="2412,350" to="2412,614" stroked="true" strokeweight="1.5pt" strokecolor="#acbc4a">
              <v:stroke dashstyle="solid"/>
            </v:line>
            <v:line style="position:absolute" from="2417,604" to="2477,592" stroked="true" strokeweight="1.0pt" strokecolor="#acbc4a">
              <v:stroke dashstyle="solid"/>
            </v:line>
            <v:line style="position:absolute" from="2483,582" to="2483,748" stroked="true" strokeweight="1.625pt" strokecolor="#acbc4a">
              <v:stroke dashstyle="solid"/>
            </v:line>
            <v:shape style="position:absolute;left:2489;top:737;width:35;height:428" coordorigin="2489,738" coordsize="35,428" path="m2489,738l2502,1078m2502,1078l2524,1165e" filled="false" stroked="true" strokeweight="1pt" strokecolor="#acbc4a">
              <v:path arrowok="t"/>
              <v:stroke dashstyle="solid"/>
            </v:shape>
            <v:line style="position:absolute" from="2530,1033" to="2530,1175" stroked="true" strokeweight="1.625pt" strokecolor="#acbc4a">
              <v:stroke dashstyle="solid"/>
            </v:line>
            <v:shape style="position:absolute;left:2536;top:1042;width:73;height:219" coordorigin="2537,1043" coordsize="73,219" path="m2537,1043l2584,1262m2584,1262l2609,1250e" filled="false" stroked="true" strokeweight="1pt" strokecolor="#acbc4a">
              <v:path arrowok="t"/>
              <v:stroke dashstyle="solid"/>
            </v:shape>
            <v:line style="position:absolute" from="2615,1021" to="2615,1260" stroked="true" strokeweight="1.625pt" strokecolor="#acbc4a">
              <v:stroke dashstyle="solid"/>
            </v:line>
            <v:line style="position:absolute" from="2627,1021" to="2627,1224" stroked="true" strokeweight="1.5pt" strokecolor="#acbc4a">
              <v:stroke dashstyle="solid"/>
            </v:line>
            <v:shape style="position:absolute;left:2631;top:1153;width:73;height:121" coordorigin="2632,1153" coordsize="73,121" path="m2632,1214l2657,1153m2657,1153l2704,1273e" filled="false" stroked="true" strokeweight="1pt" strokecolor="#acbc4a">
              <v:path arrowok="t"/>
              <v:stroke dashstyle="solid"/>
            </v:shape>
            <v:line style="position:absolute" from="2710,1263" to="2710,1577" stroked="true" strokeweight="1.625pt" strokecolor="#acbc4a">
              <v:stroke dashstyle="solid"/>
            </v:line>
            <v:shape style="position:absolute;left:2716;top:1566;width:35;height:50" coordorigin="2717,1567" coordsize="35,50" path="m2717,1567l2742,1616m2742,1616l2752,1590e" filled="false" stroked="true" strokeweight="1pt" strokecolor="#acbc4a">
              <v:path arrowok="t"/>
              <v:stroke dashstyle="solid"/>
            </v:shape>
            <v:line style="position:absolute" from="2758,1580" to="2758,1856" stroked="true" strokeweight="1.625pt" strokecolor="#acbc4a">
              <v:stroke dashstyle="solid"/>
            </v:line>
            <v:line style="position:absolute" from="2754,1847" to="2822,1847" stroked="true" strokeweight="1.098pt" strokecolor="#acbc4a">
              <v:stroke dashstyle="solid"/>
            </v:line>
            <v:shape style="position:absolute;left:2811;top:1738;width:240;height:353" coordorigin="2812,1738" coordsize="240,353" path="m2812,1846l2837,1811m2837,1811l2849,1738m2849,1738l2872,1846m2872,1846l2884,1921m2884,1921l2932,1872m2932,1872l2957,2006m2957,2006l2967,2030m2967,2030l2979,2079m2979,2079l3004,2091m3004,2091l3052,2055e" filled="false" stroked="true" strokeweight="1pt" strokecolor="#acbc4a">
              <v:path arrowok="t"/>
              <v:stroke dashstyle="solid"/>
            </v:shape>
            <v:line style="position:absolute" from="3058,2045" to="3058,2173" stroked="true" strokeweight="1.625pt" strokecolor="#acbc4a">
              <v:stroke dashstyle="solid"/>
            </v:line>
            <v:line style="position:absolute" from="3064,2163" to="3087,2274" stroked="true" strokeweight="1pt" strokecolor="#acbc4a">
              <v:stroke dashstyle="solid"/>
            </v:line>
            <v:line style="position:absolute" from="3093,2092" to="3093,2284" stroked="true" strokeweight="1.625pt" strokecolor="#acbc4a">
              <v:stroke dashstyle="solid"/>
            </v:line>
            <v:shape style="position:absolute;left:3099;top:2067;width:95;height:111" coordorigin="3099,2067" coordsize="95,111" path="m3099,2102l3112,2152m3112,2152l3159,2177m3159,2177l3182,2140m3182,2140l3194,2067e" filled="false" stroked="true" strokeweight="1pt" strokecolor="#acbc4a">
              <v:path arrowok="t"/>
              <v:stroke dashstyle="solid"/>
            </v:shape>
            <v:line style="position:absolute" from="3207,1764" to="3207,2077" stroked="true" strokeweight="2.25pt" strokecolor="#acbc4a">
              <v:stroke dashstyle="solid"/>
            </v:line>
            <v:shape style="position:absolute;left:3219;top:1773;width:60;height:99" coordorigin="3219,1774" coordsize="60,99" path="m3219,1774l3232,1835m3232,1835l3279,1872e" filled="false" stroked="true" strokeweight="1pt" strokecolor="#acbc4a">
              <v:path arrowok="t"/>
              <v:stroke dashstyle="solid"/>
            </v:shape>
            <v:line style="position:absolute" from="3284,1862" to="3284,2016" stroked="true" strokeweight="1.5pt" strokecolor="#acbc4a">
              <v:stroke dashstyle="solid"/>
            </v:line>
            <v:shape style="position:absolute;left:3289;top:1907;width:120;height:209" coordorigin="3289,1907" coordsize="120,209" path="m3289,2006l3314,1907m3314,1907l3327,1933m3327,1933l3349,2116m3349,2116l3397,1980m3397,1980l3409,1945e" filled="false" stroked="true" strokeweight="1pt" strokecolor="#acbc4a">
              <v:path arrowok="t"/>
              <v:stroke dashstyle="solid"/>
            </v:shape>
            <v:line style="position:absolute" from="3415,1935" to="3415,2112" stroked="true" strokeweight="1.625pt" strokecolor="#acbc4a">
              <v:stroke dashstyle="solid"/>
            </v:line>
            <v:line style="position:absolute" from="3422,2102" to="3447,2055" stroked="true" strokeweight="1pt" strokecolor="#acbc4a">
              <v:stroke dashstyle="solid"/>
            </v:line>
            <v:line style="position:absolute" from="3452,1911" to="3452,2065" stroked="true" strokeweight="1.5pt" strokecolor="#acbc4a">
              <v:stroke dashstyle="solid"/>
            </v:line>
            <v:shape style="position:absolute;left:3456;top:1921;width:73;height:85" coordorigin="3457,1921" coordsize="73,85" path="m3457,1921l3504,2006m3504,2006l3529,1969e" filled="false" stroked="true" strokeweight="1pt" strokecolor="#acbc4a">
              <v:path arrowok="t"/>
              <v:stroke dashstyle="solid"/>
            </v:shape>
            <v:line style="position:absolute" from="3535,1825" to="3535,1979" stroked="true" strokeweight="1.625pt" strokecolor="#acbc4a">
              <v:stroke dashstyle="solid"/>
            </v:line>
            <v:shape style="position:absolute;left:3541;top:1688;width:120;height:219" coordorigin="3542,1689" coordsize="120,219" path="m3542,1835l3554,1837m3554,1835l3577,1860m3577,1860l3624,1907m3624,1907l3662,1689e" filled="false" stroked="true" strokeweight="1pt" strokecolor="#acbc4a">
              <v:path arrowok="t"/>
              <v:stroke dashstyle="solid"/>
            </v:shape>
            <v:line style="position:absolute" from="3667,1557" to="3667,1699" stroked="true" strokeweight="1.5pt" strokecolor="#acbc4a">
              <v:stroke dashstyle="solid"/>
            </v:line>
            <v:line style="position:absolute" from="3672,1567" to="3684,1604" stroked="true" strokeweight="1pt" strokecolor="#acbc4a">
              <v:stroke dashstyle="solid"/>
            </v:line>
            <v:line style="position:absolute" from="3674,1605" to="3754,1605" stroked="true" strokeweight="1.097pt" strokecolor="#acbc4a">
              <v:stroke dashstyle="solid"/>
            </v:line>
            <v:line style="position:absolute" from="3750,1594" to="3750,1734" stroked="true" strokeweight="1.625pt" strokecolor="#acbc4a">
              <v:stroke dashstyle="solid"/>
            </v:line>
            <v:shape style="position:absolute;left:3756;top:1724;width:35;height:38" coordorigin="3757,1724" coordsize="35,38" path="m3757,1724l3769,1762m3769,1762l3792,1724e" filled="false" stroked="true" strokeweight="1pt" strokecolor="#acbc4a">
              <v:path arrowok="t"/>
              <v:stroke dashstyle="solid"/>
            </v:shape>
            <v:line style="position:absolute" from="3798,1606" to="3798,1734" stroked="true" strokeweight="1.625pt" strokecolor="#acbc4a">
              <v:stroke dashstyle="solid"/>
            </v:line>
            <v:shape style="position:absolute;left:3804;top:1616;width:73;height:85" coordorigin="3804,1616" coordsize="73,85" path="m3804,1616l3852,1701m3852,1701l3877,1640e" filled="false" stroked="true" strokeweight="1pt" strokecolor="#acbc4a">
              <v:path arrowok="t"/>
              <v:stroke dashstyle="solid"/>
            </v:shape>
            <v:line style="position:absolute" from="3882,1460" to="3882,1650" stroked="true" strokeweight="1.5pt" strokecolor="#acbc4a">
              <v:stroke dashstyle="solid"/>
            </v:line>
            <v:shape style="position:absolute;left:1006;top:1555;width:253;height:207" coordorigin="1007,1555" coordsize="253,207" path="m1007,1567l1019,1555m1019,1555l1044,1604m1044,1604l1092,1665m1092,1665l1104,1628m1104,1628l1127,1590m1127,1590l1139,1616m1139,1616l1152,1590m1152,1590l1212,1665m1212,1665l1222,1701m1222,1701l1234,1651m1234,1651l1259,1762e" filled="false" stroked="true" strokeweight="1pt" strokecolor="#006caa">
              <v:path arrowok="t"/>
              <v:stroke dashstyle="solid"/>
            </v:shape>
            <v:line style="position:absolute" from="1264,1752" to="1264,1943" stroked="true" strokeweight="1.5pt" strokecolor="#006caa">
              <v:stroke dashstyle="solid"/>
            </v:line>
            <v:shape style="position:absolute;left:1269;top:1785;width:205;height:162" coordorigin="1269,1785" coordsize="205,162" path="m1269,1933l1319,1945m1319,1945l1342,1811m1342,1811l1354,1785m1354,1785l1367,1787m1367,1785l1389,1835m1389,1835l1437,1945m1437,1945l1449,1947m1449,1945l1474,1933e" filled="false" stroked="true" strokeweight="1pt" strokecolor="#006caa">
              <v:path arrowok="t"/>
              <v:stroke dashstyle="solid"/>
            </v:shape>
            <v:line style="position:absolute" from="1480,1764" to="1480,1943" stroked="true" strokeweight="1.625pt" strokecolor="#006caa">
              <v:stroke dashstyle="solid"/>
            </v:line>
            <v:shape style="position:absolute;left:1486;top:1712;width:58;height:73" coordorigin="1487,1713" coordsize="58,73" path="m1487,1774l1497,1785m1497,1785l1544,1713e" filled="false" stroked="true" strokeweight="1pt" strokecolor="#006caa">
              <v:path arrowok="t"/>
              <v:stroke dashstyle="solid"/>
            </v:shape>
            <v:line style="position:absolute" from="1534,1714" to="1579,1714" stroked="true" strokeweight="1.098pt" strokecolor="#006caa">
              <v:stroke dashstyle="solid"/>
            </v:line>
            <v:shape style="position:absolute;left:1569;top:1444;width:348;height:355" coordorigin="1569,1445" coordsize="348,355" path="m1569,1713l1582,1701m1582,1701l1604,1762m1604,1762l1617,1799m1617,1799l1664,1724m1664,1724l1677,1677m1677,1677l1702,1506m1702,1506l1712,1543m1712,1543l1737,1604m1737,1604l1784,1494m1784,1494l1797,1496m1797,1494l1809,1555m1809,1555l1832,1567m1832,1567l1844,1518m1844,1518l1892,1567m1892,1567l1917,1445e" filled="false" stroked="true" strokeweight="1pt" strokecolor="#006caa">
              <v:path arrowok="t"/>
              <v:stroke dashstyle="solid"/>
            </v:shape>
            <v:line style="position:absolute" from="1922,1435" to="1922,1626" stroked="true" strokeweight="1.5pt" strokecolor="#006caa">
              <v:stroke dashstyle="solid"/>
            </v:line>
            <v:shape style="position:absolute;left:1926;top:1432;width:205;height:195" coordorigin="1927,1433" coordsize="205,195" path="m1927,1616l1939,1543m1939,1543l1964,1628m1964,1628l2012,1494m2012,1494l2024,1579m2024,1579l2047,1529m2047,1529l2059,1482m2059,1482l2084,1529m2084,1529l2132,1433e" filled="false" stroked="true" strokeweight="1pt" strokecolor="#006caa">
              <v:path arrowok="t"/>
              <v:stroke dashstyle="solid"/>
            </v:shape>
            <v:line style="position:absolute" from="2137,1423" to="2137,1565" stroked="true" strokeweight="1.5pt" strokecolor="#006caa">
              <v:stroke dashstyle="solid"/>
            </v:line>
            <v:shape style="position:absolute;left:2141;top:1517;width:38;height:38" coordorigin="2142,1518" coordsize="38,38" path="m2142,1555l2154,1529m2154,1529l2179,1518e" filled="false" stroked="true" strokeweight="1pt" strokecolor="#006caa">
              <v:path arrowok="t"/>
              <v:stroke dashstyle="solid"/>
            </v:shape>
            <v:line style="position:absolute" from="2185,1508" to="2185,1661" stroked="true" strokeweight="1.625pt" strokecolor="#006caa">
              <v:stroke dashstyle="solid"/>
            </v:line>
            <v:shape style="position:absolute;left:2191;top:1505;width:83;height:146" coordorigin="2192,1506" coordsize="83,146" path="m2192,1651l2239,1640m2239,1640l2262,1579m2262,1579l2274,1506e" filled="false" stroked="true" strokeweight="1pt" strokecolor="#006caa">
              <v:path arrowok="t"/>
              <v:stroke dashstyle="solid"/>
            </v:shape>
            <v:line style="position:absolute" from="2280,1496" to="2280,1626" stroked="true" strokeweight="1.625pt" strokecolor="#006caa">
              <v:stroke dashstyle="solid"/>
            </v:line>
            <v:shape style="position:absolute;left:2286;top:1616;width:108;height:231" coordorigin="2287,1616" coordsize="108,231" path="m2287,1616l2309,1750m2309,1750l2359,1738m2359,1738l2369,1677m2369,1677l2394,1846e" filled="false" stroked="true" strokeweight="1pt" strokecolor="#006caa">
              <v:path arrowok="t"/>
              <v:stroke dashstyle="solid"/>
            </v:shape>
            <v:line style="position:absolute" from="2400,1714" to="2400,1856" stroked="true" strokeweight="1.625pt" strokecolor="#006caa">
              <v:stroke dashstyle="solid"/>
            </v:line>
            <v:line style="position:absolute" from="2412,1594" to="2412,1734" stroked="true" strokeweight="1.5pt" strokecolor="#006caa">
              <v:stroke dashstyle="solid"/>
            </v:line>
            <v:shape style="position:absolute;left:2416;top:1517;width:205;height:134" coordorigin="2417,1518" coordsize="205,134" path="m2417,1604l2477,1567m2477,1567l2489,1651m2489,1651l2502,1628m2502,1628l2524,1567m2524,1567l2537,1518m2537,1518l2584,1628m2584,1628l2609,1590m2609,1590l2622,1543e" filled="false" stroked="true" strokeweight="1pt" strokecolor="#006caa">
              <v:path arrowok="t"/>
              <v:stroke dashstyle="solid"/>
            </v:shape>
            <v:line style="position:absolute" from="2627,1435" to="2627,1553" stroked="true" strokeweight="1.5pt" strokecolor="#006caa">
              <v:stroke dashstyle="solid"/>
            </v:line>
            <v:shape style="position:absolute;left:2631;top:1334;width:120;height:111" coordorigin="2632,1334" coordsize="120,111" path="m2632,1445l2657,1384m2657,1384l2704,1409m2704,1409l2717,1334m2717,1334l2742,1348m2742,1348l2752,1395e" filled="false" stroked="true" strokeweight="1pt" strokecolor="#006caa">
              <v:path arrowok="t"/>
              <v:stroke dashstyle="solid"/>
            </v:shape>
            <v:line style="position:absolute" from="2758,1385" to="2758,1553" stroked="true" strokeweight="1.625pt" strokecolor="#006caa">
              <v:stroke dashstyle="solid"/>
            </v:line>
            <v:line style="position:absolute" from="2754,1544" to="2822,1544" stroked="true" strokeweight="1.098pt" strokecolor="#006caa">
              <v:stroke dashstyle="solid"/>
            </v:line>
            <v:shape style="position:absolute;left:2811;top:1517;width:168;height:111" coordorigin="2812,1518" coordsize="168,111" path="m2812,1543l2837,1518m2837,1518l2849,1555m2849,1555l2872,1628m2872,1628l2884,1616m2884,1616l2932,1518m2932,1518l2957,1543m2957,1543l2967,1567m2967,1567l2979,1555e" filled="false" stroked="true" strokeweight="1pt" strokecolor="#006caa">
              <v:path arrowok="t"/>
              <v:stroke dashstyle="solid"/>
            </v:shape>
            <v:line style="position:absolute" from="2969,1556" to="3014,1556" stroked="true" strokeweight="1.098pt" strokecolor="#006caa">
              <v:stroke dashstyle="solid"/>
            </v:line>
            <v:shape style="position:absolute;left:3004;top:1421;width:95;height:148" coordorigin="3004,1421" coordsize="95,148" path="m3004,1555l3052,1567m3052,1567l3064,1569m3064,1567l3087,1494m3087,1494l3099,1421e" filled="false" stroked="true" strokeweight="1pt" strokecolor="#006caa">
              <v:path arrowok="t"/>
              <v:stroke dashstyle="solid"/>
            </v:shape>
            <v:line style="position:absolute" from="3105,1411" to="3105,1539" stroked="true" strokeweight="1.625pt" strokecolor="#006caa">
              <v:stroke dashstyle="solid"/>
            </v:line>
            <v:shape style="position:absolute;left:3111;top:1371;width:168;height:158" coordorigin="3112,1372" coordsize="168,158" path="m3112,1529l3159,1494m3159,1494l3182,1395m3182,1395l3194,1372m3194,1372l3219,1529m3219,1529l3232,1457m3232,1457l3279,1470e" filled="false" stroked="true" strokeweight="1pt" strokecolor="#006caa">
              <v:path arrowok="t"/>
              <v:stroke dashstyle="solid"/>
            </v:shape>
            <v:line style="position:absolute" from="3284,1374" to="3284,1480" stroked="true" strokeweight="1.5pt" strokecolor="#006caa">
              <v:stroke dashstyle="solid"/>
            </v:line>
            <v:shape style="position:absolute;left:3289;top:1139;width:598;height:489" coordorigin="3289,1139" coordsize="598,489" path="m3289,1384l3314,1470m3314,1470l3327,1506m3327,1506l3349,1590m3349,1590l3397,1529m3397,1529l3409,1628m3409,1628l3422,1616m3422,1616l3447,1628m3447,1628l3457,1604m3457,1604l3504,1579m3504,1579l3529,1529m3529,1529l3542,1555m3542,1555l3554,1506m3554,1506l3577,1372m3577,1372l3624,1409m3624,1409l3637,1445m3637,1445l3662,1494m3662,1494l3672,1445m3672,1445l3684,1506m3684,1506l3744,1470m3744,1470l3769,1372m3769,1372l3792,1323m3792,1323l3804,1226m3804,1226l3852,1214m3852,1214l3877,1153m3877,1153l3887,1139e" filled="false" stroked="true" strokeweight="1pt" strokecolor="#006caa">
              <v:path arrowok="t"/>
              <v:stroke dashstyle="solid"/>
            </v:shape>
            <v:shape style="position:absolute;left:1003;top:52;width:3044;height:2273" coordorigin="1004,53" coordsize="3044,2273" path="m1006,2325l3892,2325m1004,2272l1004,2325m1503,2272l1503,2325m2001,2272l2001,2325m2500,2272l2500,2325m2999,2272l2999,2325m3498,2272l3498,2325m3961,1564l4047,1564m3961,431l4047,431m3961,1942l4047,1942m3961,1186l4047,1186m3961,2319l4047,2319m3961,53l4047,53m3961,808l4047,808e" filled="false" stroked="true" strokeweight=".5pt" strokecolor="#000000">
              <v:path arrowok="t"/>
              <v:stroke dashstyle="solid"/>
            </v:shape>
            <w10:wrap type="none"/>
          </v:group>
        </w:pict>
      </w:r>
      <w:r>
        <w:rPr/>
        <w:pict>
          <v:line style="position:absolute;mso-position-horizontal-relative:page;mso-position-vertical-relative:paragraph;z-index:15874048" from="41.865002pt,2.918573pt" to="46.198002pt,2.918573pt" stroked="true" strokeweight=".5pt" strokecolor="#000000">
            <v:stroke dashstyle="solid"/>
            <w10:wrap type="none"/>
          </v:line>
        </w:pict>
      </w:r>
      <w:r>
        <w:rPr>
          <w:sz w:val="12"/>
        </w:rPr>
        <w:t>8</w:t>
      </w:r>
    </w:p>
    <w:p>
      <w:pPr>
        <w:spacing w:before="70"/>
        <w:ind w:left="1796" w:right="0" w:firstLine="0"/>
        <w:jc w:val="left"/>
        <w:rPr>
          <w:sz w:val="12"/>
        </w:rPr>
      </w:pPr>
      <w:r>
        <w:rPr>
          <w:sz w:val="12"/>
        </w:rPr>
        <w:t>Sterling-euro (a)</w:t>
      </w:r>
    </w:p>
    <w:p>
      <w:pPr>
        <w:spacing w:before="32"/>
        <w:ind w:left="3432" w:right="0" w:firstLine="0"/>
        <w:jc w:val="left"/>
        <w:rPr>
          <w:sz w:val="12"/>
        </w:rPr>
      </w:pPr>
      <w:r>
        <w:rPr/>
        <w:pict>
          <v:line style="position:absolute;mso-position-horizontal-relative:page;mso-position-vertical-relative:paragraph;z-index:15873024" from="41.865002pt,5.429369pt" to="46.198002pt,5.429369pt" stroked="true" strokeweight=".5pt" strokecolor="#000000">
            <v:stroke dashstyle="solid"/>
            <w10:wrap type="none"/>
          </v:line>
        </w:pict>
      </w:r>
      <w:r>
        <w:rPr>
          <w:sz w:val="12"/>
        </w:rPr>
        <w:t>6</w:t>
      </w:r>
    </w:p>
    <w:p>
      <w:pPr>
        <w:pStyle w:val="BodyText"/>
        <w:rPr>
          <w:sz w:val="12"/>
        </w:rPr>
      </w:pPr>
    </w:p>
    <w:p>
      <w:pPr>
        <w:spacing w:before="101"/>
        <w:ind w:left="3432" w:right="0" w:firstLine="0"/>
        <w:jc w:val="left"/>
        <w:rPr>
          <w:sz w:val="12"/>
        </w:rPr>
      </w:pPr>
      <w:r>
        <w:rPr/>
        <w:pict>
          <v:line style="position:absolute;mso-position-horizontal-relative:page;mso-position-vertical-relative:paragraph;z-index:15874560" from="41.866001pt,8.878758pt" to="46.198001pt,8.878758pt" stroked="true" strokeweight=".5pt" strokecolor="#000000">
            <v:stroke dashstyle="solid"/>
            <w10:wrap type="none"/>
          </v:line>
        </w:pict>
      </w:r>
      <w:r>
        <w:rPr>
          <w:sz w:val="12"/>
        </w:rPr>
        <w:t>4</w:t>
      </w:r>
    </w:p>
    <w:p>
      <w:pPr>
        <w:pStyle w:val="BodyText"/>
        <w:rPr>
          <w:sz w:val="12"/>
        </w:rPr>
      </w:pPr>
    </w:p>
    <w:p>
      <w:pPr>
        <w:spacing w:before="102"/>
        <w:ind w:left="3432" w:right="0" w:firstLine="0"/>
        <w:jc w:val="left"/>
        <w:rPr>
          <w:sz w:val="12"/>
        </w:rPr>
      </w:pPr>
      <w:r>
        <w:rPr/>
        <w:pict>
          <v:line style="position:absolute;mso-position-horizontal-relative:page;mso-position-vertical-relative:paragraph;z-index:15873536" from="41.865002pt,8.929148pt" to="46.198002pt,8.929148pt" stroked="true" strokeweight=".5pt" strokecolor="#000000">
            <v:stroke dashstyle="solid"/>
            <w10:wrap type="none"/>
          </v:line>
        </w:pict>
      </w:r>
      <w:r>
        <w:rPr>
          <w:sz w:val="12"/>
        </w:rPr>
        <w:t>2</w:t>
      </w:r>
    </w:p>
    <w:p>
      <w:pPr>
        <w:spacing w:before="55"/>
        <w:ind w:left="3360" w:right="0" w:firstLine="0"/>
        <w:jc w:val="left"/>
        <w:rPr>
          <w:sz w:val="16"/>
        </w:rPr>
      </w:pPr>
      <w:r>
        <w:rPr>
          <w:sz w:val="16"/>
        </w:rPr>
        <w:t>+</w:t>
      </w:r>
    </w:p>
    <w:p>
      <w:pPr>
        <w:spacing w:before="1"/>
        <w:ind w:left="3374" w:right="0" w:firstLine="0"/>
        <w:jc w:val="left"/>
        <w:rPr>
          <w:sz w:val="12"/>
        </w:rPr>
      </w:pPr>
      <w:r>
        <w:rPr/>
        <w:pict>
          <v:line style="position:absolute;mso-position-horizontal-relative:page;mso-position-vertical-relative:paragraph;z-index:15872512" from="41.866001pt,3.879758pt" to="46.198001pt,3.879758pt" stroked="true" strokeweight=".5pt" strokecolor="#000000">
            <v:stroke dashstyle="solid"/>
            <w10:wrap type="none"/>
          </v:line>
        </w:pict>
      </w:r>
      <w:r>
        <w:rPr>
          <w:position w:val="-8"/>
          <w:sz w:val="16"/>
        </w:rPr>
        <w:t>_</w:t>
      </w:r>
      <w:r>
        <w:rPr>
          <w:sz w:val="12"/>
        </w:rPr>
        <w:t>0</w:t>
      </w:r>
    </w:p>
    <w:p>
      <w:pPr>
        <w:pStyle w:val="BodyText"/>
        <w:rPr>
          <w:sz w:val="26"/>
        </w:rPr>
      </w:pPr>
      <w:r>
        <w:rPr/>
        <w:br w:type="column"/>
      </w:r>
      <w:r>
        <w:rPr>
          <w:sz w:val="26"/>
        </w:rPr>
      </w:r>
    </w:p>
    <w:p>
      <w:pPr>
        <w:spacing w:line="242" w:lineRule="auto" w:before="153"/>
        <w:ind w:left="198" w:right="58" w:hanging="1"/>
        <w:jc w:val="left"/>
        <w:rPr>
          <w:sz w:val="24"/>
        </w:rPr>
      </w:pPr>
      <w:r>
        <w:rPr>
          <w:sz w:val="24"/>
        </w:rPr>
        <w:t>relative interest rates. This was also true of sterling’s earlier appreciation. Surveys can be used to assess whether the sterling risk premium, or agents’ perceptions about the long-run or equilibrium exchange rate, have changed. Previous </w:t>
      </w:r>
      <w:r>
        <w:rPr>
          <w:i/>
          <w:sz w:val="24"/>
        </w:rPr>
        <w:t>Reports </w:t>
      </w:r>
      <w:r>
        <w:rPr>
          <w:sz w:val="24"/>
        </w:rPr>
        <w:t>suggested that some of the earlier appreciation might be explained, in terms of the framework above, by a decline in sterling’s relative risk premium and an increase in sterling’s perceived equilibrium exchange rate.</w:t>
      </w:r>
    </w:p>
    <w:p>
      <w:pPr>
        <w:spacing w:after="0" w:line="242" w:lineRule="auto"/>
        <w:jc w:val="left"/>
        <w:rPr>
          <w:sz w:val="24"/>
        </w:rPr>
        <w:sectPr>
          <w:pgSz w:w="11900" w:h="16840"/>
          <w:pgMar w:header="601" w:footer="612" w:top="800" w:bottom="800" w:left="640" w:right="640"/>
          <w:cols w:num="2" w:equalWidth="0">
            <w:col w:w="3862" w:space="924"/>
            <w:col w:w="5834"/>
          </w:cols>
        </w:sectPr>
      </w:pPr>
    </w:p>
    <w:p>
      <w:pPr>
        <w:pStyle w:val="BodyText"/>
        <w:spacing w:before="7" w:after="1"/>
        <w:rPr>
          <w:sz w:val="14"/>
        </w:rPr>
      </w:pPr>
    </w:p>
    <w:p>
      <w:pPr>
        <w:pStyle w:val="BodyText"/>
        <w:spacing w:line="20" w:lineRule="exact"/>
        <w:ind w:left="19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before="0"/>
        <w:ind w:left="755" w:right="0" w:firstLine="0"/>
        <w:jc w:val="left"/>
        <w:rPr>
          <w:sz w:val="12"/>
        </w:rPr>
      </w:pPr>
      <w:r>
        <w:rPr>
          <w:sz w:val="12"/>
        </w:rPr>
        <w:t>Interest rate news (b)</w:t>
      </w:r>
    </w:p>
    <w:p>
      <w:pPr>
        <w:pStyle w:val="BodyText"/>
        <w:spacing w:before="5"/>
        <w:rPr>
          <w:sz w:val="17"/>
        </w:rPr>
      </w:pPr>
      <w:r>
        <w:rPr/>
        <w:pict>
          <v:shape style="position:absolute;margin-left:41.865002pt;margin-top:12.245125pt;width:4.350pt;height:.1pt;mso-position-horizontal-relative:page;mso-position-vertical-relative:paragraph;z-index:-15589376;mso-wrap-distance-left:0;mso-wrap-distance-right:0" coordorigin="837,245" coordsize="87,0" path="m837,245l924,245e" filled="false" stroked="true" strokeweight=".5pt" strokecolor="#000000">
            <v:path arrowok="t"/>
            <v:stroke dashstyle="solid"/>
            <w10:wrap type="topAndBottom"/>
          </v:shape>
        </w:pict>
      </w:r>
    </w:p>
    <w:p>
      <w:pPr>
        <w:tabs>
          <w:tab w:pos="985" w:val="left" w:leader="none"/>
          <w:tab w:pos="1497" w:val="left" w:leader="none"/>
          <w:tab w:pos="2000" w:val="left" w:leader="none"/>
          <w:tab w:pos="2505" w:val="left" w:leader="none"/>
        </w:tabs>
        <w:spacing w:before="0"/>
        <w:ind w:left="490" w:right="0" w:firstLine="0"/>
        <w:jc w:val="left"/>
        <w:rPr>
          <w:sz w:val="12"/>
        </w:rPr>
      </w:pPr>
      <w:r>
        <w:rPr>
          <w:sz w:val="12"/>
        </w:rPr>
        <w:t>Feb.</w:t>
        <w:tab/>
        <w:t>Mar.</w:t>
        <w:tab/>
        <w:t>Apr.</w:t>
        <w:tab/>
        <w:t>May</w:t>
        <w:tab/>
      </w:r>
      <w:r>
        <w:rPr>
          <w:spacing w:val="-5"/>
          <w:sz w:val="12"/>
        </w:rPr>
        <w:t>June</w:t>
      </w:r>
    </w:p>
    <w:p>
      <w:pPr>
        <w:spacing w:line="137" w:lineRule="exact" w:before="17"/>
        <w:ind w:left="1692" w:right="0" w:firstLine="0"/>
        <w:jc w:val="left"/>
        <w:rPr>
          <w:sz w:val="12"/>
        </w:rPr>
      </w:pPr>
      <w:r>
        <w:rPr>
          <w:sz w:val="12"/>
        </w:rPr>
        <w:t>2000</w:t>
      </w:r>
    </w:p>
    <w:p>
      <w:pPr>
        <w:spacing w:before="97"/>
        <w:ind w:left="666" w:right="0" w:firstLine="0"/>
        <w:jc w:val="left"/>
        <w:rPr>
          <w:sz w:val="12"/>
        </w:rPr>
      </w:pPr>
      <w:r>
        <w:rPr/>
        <w:br w:type="column"/>
      </w:r>
      <w:r>
        <w:rPr>
          <w:sz w:val="12"/>
        </w:rPr>
        <w:t>2</w:t>
      </w:r>
    </w:p>
    <w:p>
      <w:pPr>
        <w:pStyle w:val="BodyText"/>
        <w:rPr>
          <w:sz w:val="12"/>
        </w:rPr>
      </w:pPr>
    </w:p>
    <w:p>
      <w:pPr>
        <w:spacing w:line="116" w:lineRule="exact" w:before="102"/>
        <w:ind w:left="666" w:right="0" w:firstLine="0"/>
        <w:jc w:val="left"/>
        <w:rPr>
          <w:sz w:val="12"/>
        </w:rPr>
      </w:pPr>
      <w:r>
        <w:rPr>
          <w:sz w:val="12"/>
        </w:rPr>
        <w:t>4</w:t>
      </w:r>
    </w:p>
    <w:p>
      <w:pPr>
        <w:spacing w:line="116" w:lineRule="exact" w:before="0"/>
        <w:ind w:left="234" w:right="0" w:firstLine="0"/>
        <w:jc w:val="left"/>
        <w:rPr>
          <w:sz w:val="12"/>
        </w:rPr>
      </w:pPr>
      <w:r>
        <w:rPr>
          <w:sz w:val="12"/>
        </w:rPr>
        <w:t>July</w:t>
      </w:r>
    </w:p>
    <w:p>
      <w:pPr>
        <w:pStyle w:val="BodyText"/>
        <w:spacing w:before="4"/>
        <w:rPr>
          <w:sz w:val="25"/>
        </w:rPr>
      </w:pPr>
      <w:r>
        <w:rPr/>
        <w:br w:type="column"/>
      </w:r>
      <w:r>
        <w:rPr>
          <w:sz w:val="25"/>
        </w:rPr>
      </w:r>
    </w:p>
    <w:p>
      <w:pPr>
        <w:spacing w:line="242" w:lineRule="auto" w:before="0"/>
        <w:ind w:left="490" w:right="496" w:firstLine="0"/>
        <w:jc w:val="left"/>
        <w:rPr>
          <w:sz w:val="24"/>
        </w:rPr>
      </w:pPr>
      <w:r>
        <w:rPr>
          <w:sz w:val="24"/>
        </w:rPr>
        <w:t>Risk premia are not directly observable and are very difficult to measure. However, by comparing surveys</w:t>
      </w:r>
    </w:p>
    <w:p>
      <w:pPr>
        <w:spacing w:after="0" w:line="242" w:lineRule="auto"/>
        <w:jc w:val="left"/>
        <w:rPr>
          <w:sz w:val="24"/>
        </w:rPr>
        <w:sectPr>
          <w:type w:val="continuous"/>
          <w:pgSz w:w="11900" w:h="16840"/>
          <w:pgMar w:top="1260" w:bottom="280" w:left="640" w:right="640"/>
          <w:cols w:num="3" w:equalWidth="0">
            <w:col w:w="2726" w:space="40"/>
            <w:col w:w="767" w:space="962"/>
            <w:col w:w="6125"/>
          </w:cols>
        </w:sectPr>
      </w:pPr>
    </w:p>
    <w:p>
      <w:pPr>
        <w:pStyle w:val="Heading6"/>
        <w:spacing w:line="249" w:lineRule="auto" w:before="86"/>
        <w:ind w:left="211" w:right="20"/>
        <w:rPr>
          <w:i/>
        </w:rPr>
      </w:pPr>
      <w:r>
        <w:rPr>
          <w:color w:val="0092C7"/>
        </w:rPr>
        <w:t>Change in sterling-dollar exchange rate and relative interest rates since the February </w:t>
      </w:r>
      <w:r>
        <w:rPr>
          <w:i/>
          <w:color w:val="0092C7"/>
        </w:rPr>
        <w:t>Inflation Report</w:t>
      </w:r>
    </w:p>
    <w:p>
      <w:pPr>
        <w:spacing w:before="43"/>
        <w:ind w:left="2458" w:right="0" w:firstLine="0"/>
        <w:jc w:val="left"/>
        <w:rPr>
          <w:sz w:val="12"/>
        </w:rPr>
      </w:pPr>
      <w:r>
        <w:rPr/>
        <w:pict>
          <v:line style="position:absolute;mso-position-horizontal-relative:page;mso-position-vertical-relative:paragraph;z-index:15870464" from="41.521999pt,10.159713pt" to="45.854999pt,10.159713pt" stroked="true" strokeweight=".5pt" strokecolor="#000000">
            <v:stroke dashstyle="solid"/>
            <w10:wrap type="none"/>
          </v:line>
        </w:pict>
      </w:r>
      <w:r>
        <w:rPr/>
        <w:pict>
          <v:line style="position:absolute;mso-position-horizontal-relative:page;mso-position-vertical-relative:paragraph;z-index:-23426560" from="197.074005pt,10.554713pt" to="201.406005pt,10.554713pt" stroked="true" strokeweight=".5pt" strokecolor="#000000">
            <v:stroke dashstyle="solid"/>
            <w10:wrap type="none"/>
          </v:line>
        </w:pict>
      </w:r>
      <w:r>
        <w:rPr>
          <w:sz w:val="12"/>
        </w:rPr>
        <w:t>Cumulative change </w:t>
      </w:r>
      <w:r>
        <w:rPr>
          <w:position w:val="-7"/>
          <w:sz w:val="12"/>
        </w:rPr>
        <w:t>6</w:t>
      </w:r>
    </w:p>
    <w:p>
      <w:pPr>
        <w:spacing w:line="118" w:lineRule="exact" w:before="47"/>
        <w:ind w:left="1373" w:right="1571" w:firstLine="0"/>
        <w:jc w:val="center"/>
        <w:rPr>
          <w:sz w:val="12"/>
        </w:rPr>
      </w:pPr>
      <w:r>
        <w:rPr>
          <w:sz w:val="12"/>
        </w:rPr>
        <w:t>Interest rate news (b)</w:t>
      </w:r>
    </w:p>
    <w:p>
      <w:pPr>
        <w:spacing w:line="118" w:lineRule="exact" w:before="0"/>
        <w:ind w:left="3445" w:right="0" w:firstLine="0"/>
        <w:jc w:val="left"/>
        <w:rPr>
          <w:sz w:val="12"/>
        </w:rPr>
      </w:pPr>
      <w:r>
        <w:rPr/>
        <w:pict>
          <v:group style="position:absolute;margin-left:41.521999pt;margin-top:.562864pt;width:159.9pt;height:92.25pt;mso-position-horizontal-relative:page;mso-position-vertical-relative:paragraph;z-index:-23428608" coordorigin="830,11" coordsize="3198,1845">
            <v:line style="position:absolute" from="990,635" to="3860,635" stroked="true" strokeweight=".5pt" strokecolor="#000000">
              <v:stroke dashstyle="solid"/>
            </v:line>
            <v:shape style="position:absolute;left:989;top:584;width:488;height:377" coordorigin="990,585" coordsize="488,377" path="m990,628l1000,673m1000,673l1022,762m1022,762l1070,827m1070,827l1092,750m1092,750l1102,695m1102,695l1125,662m1125,662l1137,750m1137,750l1182,739m1182,739l1205,585m1205,585l1217,673m1217,673l1240,707m1240,707l1250,772m1250,772l1297,806m1297,806l1320,906m1320,906l1330,861m1330,861l1352,894m1352,894l1365,882m1365,882l1422,961m1422,961l1432,882m1432,882l1445,873m1445,873l1467,874m1467,873l1477,906e" filled="false" stroked="true" strokeweight="1pt" strokecolor="#acbc4a">
              <v:path arrowok="t"/>
              <v:stroke dashstyle="solid"/>
            </v:shape>
            <v:line style="position:absolute" from="1467,907" to="1545,907" stroked="true" strokeweight="1.099pt" strokecolor="#acbc4a">
              <v:stroke dashstyle="solid"/>
            </v:line>
            <v:shape style="position:absolute;left:1534;top:906;width:115;height:121" coordorigin="1535,906" coordsize="115,121" path="m1535,906l1547,983m1547,983l1570,961m1570,961l1580,928m1580,928l1592,971m1592,971l1650,1026e" filled="false" stroked="true" strokeweight="1pt" strokecolor="#acbc4a">
              <v:path arrowok="t"/>
              <v:stroke dashstyle="solid"/>
            </v:shape>
            <v:line style="position:absolute" from="1655,906" to="1655,1036" stroked="true" strokeweight="1.5pt" strokecolor="#acbc4a">
              <v:stroke dashstyle="solid"/>
            </v:line>
            <v:line style="position:absolute" from="1660,916" to="1682,1005" stroked="true" strokeweight="1pt" strokecolor="#acbc4a">
              <v:stroke dashstyle="solid"/>
            </v:line>
            <v:line style="position:absolute" from="1689,872" to="1689,1015" stroked="true" strokeweight="1.625pt" strokecolor="#acbc4a">
              <v:stroke dashstyle="solid"/>
            </v:line>
            <v:shape style="position:absolute;left:1694;top:762;width:135;height:121" coordorigin="1695,762" coordsize="135,121" path="m1695,882l1717,827m1717,827l1762,796m1762,796l1775,851m1775,851l1797,853m1797,851l1807,772m1807,772l1830,762e" filled="false" stroked="true" strokeweight="1pt" strokecolor="#acbc4a">
              <v:path arrowok="t"/>
              <v:stroke dashstyle="solid"/>
            </v:shape>
            <v:line style="position:absolute" from="1820,763" to="1887,763" stroked="true" strokeweight="1.099pt" strokecolor="#acbc4a">
              <v:stroke dashstyle="solid"/>
            </v:line>
            <v:shape style="position:absolute;left:1877;top:750;width:68;height:125" coordorigin="1877,750" coordsize="68,125" path="m1877,762l1900,750m1900,750l1910,796m1910,796l1922,873m1922,873l1945,874e" filled="false" stroked="true" strokeweight="1pt" strokecolor="#acbc4a">
              <v:path arrowok="t"/>
              <v:stroke dashstyle="solid"/>
            </v:shape>
            <v:line style="position:absolute" from="1935,873" to="2000,873" stroked="true" strokeweight="1.098pt" strokecolor="#acbc4a">
              <v:stroke dashstyle="solid"/>
            </v:line>
            <v:shape style="position:absolute;left:1989;top:817;width:183;height:99" coordorigin="1990,817" coordsize="183,99" path="m1990,873l2012,827m2012,827l2025,839m2025,839l2047,817m2047,817l2057,827m2057,827l2105,839m2105,839l2127,916m2127,916l2137,894m2137,894l2160,896m2160,894l2172,896e" filled="false" stroked="true" strokeweight="1pt" strokecolor="#acbc4a">
              <v:path arrowok="t"/>
              <v:stroke dashstyle="solid"/>
            </v:shape>
            <v:line style="position:absolute" from="2162,895" to="2227,895" stroked="true" strokeweight="1.098pt" strokecolor="#acbc4a">
              <v:stroke dashstyle="solid"/>
            </v:line>
            <v:shape style="position:absolute;left:2217;top:894;width:58;height:44" coordorigin="2217,894" coordsize="58,44" path="m2217,894l2240,906m2240,906l2252,894m2252,894l2275,938e" filled="false" stroked="true" strokeweight="1pt" strokecolor="#acbc4a">
              <v:path arrowok="t"/>
              <v:stroke dashstyle="solid"/>
            </v:shape>
            <v:line style="position:absolute" from="2280,928" to="2280,1048" stroked="true" strokeweight="1.5pt" strokecolor="#acbc4a">
              <v:stroke dashstyle="solid"/>
            </v:line>
            <v:line style="position:absolute" from="2275,1039" to="2352,1039" stroked="true" strokeweight="1.098pt" strokecolor="#acbc4a">
              <v:stroke dashstyle="solid"/>
            </v:line>
            <v:shape style="position:absolute;left:2342;top:1038;width:45;height:166" coordorigin="2342,1038" coordsize="45,166" path="m2342,1038l2355,1060m2355,1060l2365,1050m2365,1050l2387,1204e" filled="false" stroked="true" strokeweight="1pt" strokecolor="#acbc4a">
              <v:path arrowok="t"/>
              <v:stroke dashstyle="solid"/>
            </v:shape>
            <v:line style="position:absolute" from="2394,1194" to="2394,1369" stroked="true" strokeweight="1.625pt" strokecolor="#acbc4a">
              <v:stroke dashstyle="solid"/>
            </v:line>
            <v:shape style="position:absolute;left:2399;top:1313;width:90;height:101" coordorigin="2400,1314" coordsize="90,101" path="m2400,1359l2457,1338m2457,1338l2467,1314m2467,1314l2490,1414e" filled="false" stroked="true" strokeweight="1pt" strokecolor="#acbc4a">
              <v:path arrowok="t"/>
              <v:stroke dashstyle="solid"/>
            </v:shape>
            <v:line style="position:absolute" from="2496,1404" to="2496,1602" stroked="true" strokeweight="1.625pt" strokecolor="#acbc4a">
              <v:stroke dashstyle="solid"/>
            </v:line>
            <v:line style="position:absolute" from="2507,1460" to="2507,1602" stroked="true" strokeweight="1.5pt" strokecolor="#acbc4a">
              <v:stroke dashstyle="solid"/>
            </v:line>
            <v:line style="position:absolute" from="2502,1471" to="2580,1471" stroked="true" strokeweight="1.098pt" strokecolor="#acbc4a">
              <v:stroke dashstyle="solid"/>
            </v:line>
            <v:line style="position:absolute" from="2576,1460" to="2576,1635" stroked="true" strokeweight="1.625pt" strokecolor="#acbc4a">
              <v:stroke dashstyle="solid"/>
            </v:line>
            <v:line style="position:absolute" from="2582,1625" to="2605,1680" stroked="true" strokeweight="1.0pt" strokecolor="#acbc4a">
              <v:stroke dashstyle="solid"/>
            </v:line>
            <v:line style="position:absolute" from="2610,1670" to="2610,1777" stroked="true" strokeweight="1.5pt" strokecolor="#acbc4a">
              <v:stroke dashstyle="solid"/>
            </v:line>
            <v:shape style="position:absolute;left:2614;top:1656;width:70;height:111" coordorigin="2615,1657" coordsize="70,111" path="m2615,1767l2640,1736m2640,1736l2685,1657e" filled="false" stroked="true" strokeweight="1pt" strokecolor="#acbc4a">
              <v:path arrowok="t"/>
              <v:stroke dashstyle="solid"/>
            </v:shape>
            <v:line style="position:absolute" from="2690,1647" to="2690,1801" stroked="true" strokeweight="1.5pt" strokecolor="#acbc4a">
              <v:stroke dashstyle="solid"/>
            </v:line>
            <v:shape style="position:absolute;left:2694;top:1745;width:58;height:101" coordorigin="2695,1745" coordsize="58,101" path="m2695,1791l2717,1846m2717,1846l2730,1834m2730,1834l2752,1745e" filled="false" stroked="true" strokeweight="1pt" strokecolor="#acbc4a">
              <v:path arrowok="t"/>
              <v:stroke dashstyle="solid"/>
            </v:shape>
            <v:line style="position:absolute" from="2742,1746" to="2807,1746" stroked="true" strokeweight="1.099pt" strokecolor="#acbc4a">
              <v:stroke dashstyle="solid"/>
            </v:line>
            <v:line style="position:absolute" from="2804,1615" to="2804,1755" stroked="true" strokeweight="1.625pt" strokecolor="#acbc4a">
              <v:stroke dashstyle="solid"/>
            </v:line>
            <v:shape style="position:absolute;left:2809;top:1392;width:513;height:276" coordorigin="2810,1393" coordsize="513,276" path="m2810,1625l2832,1647m2832,1647l2842,1669m2842,1669l2867,1537m2867,1537l2912,1503m2912,1503l2935,1393m2935,1393l2945,1436m2945,1436l2957,1525m2957,1525l2980,1558m2980,1558l3025,1491m3025,1491l3047,1481m3047,1481l3060,1568m3060,1568l3082,1546m3082,1546l3095,1458m3095,1458l3140,1491m3140,1491l3162,1537m3162,1537l3172,1613m3172,1613l3195,1503m3195,1503l3207,1580m3207,1580l3265,1592m3265,1592l3275,1602m3275,1602l3287,1503m3287,1503l3310,1424m3310,1424l3322,1481e" filled="false" stroked="true" strokeweight="1pt" strokecolor="#acbc4a">
              <v:path arrowok="t"/>
              <v:stroke dashstyle="solid"/>
            </v:shape>
            <v:line style="position:absolute" from="3312,1482" to="3387,1482" stroked="true" strokeweight="1.099pt" strokecolor="#acbc4a">
              <v:stroke dashstyle="solid"/>
            </v:line>
            <v:shape style="position:absolute;left:3377;top:1469;width:148;height:22" coordorigin="3377,1470" coordsize="148,22" path="m3377,1481l3390,1470m3390,1470l3412,1491m3412,1491l3422,1470m3422,1470l3435,1472m3435,1470l3492,1481m3492,1481l3502,1470m3502,1470l3525,1481e" filled="false" stroked="true" strokeweight="1pt" strokecolor="#acbc4a">
              <v:path arrowok="t"/>
              <v:stroke dashstyle="solid"/>
            </v:shape>
            <v:line style="position:absolute" from="3531,1471" to="3531,1612" stroked="true" strokeweight="1.625pt" strokecolor="#acbc4a">
              <v:stroke dashstyle="solid"/>
            </v:line>
            <v:shape style="position:absolute;left:3537;top:1469;width:138;height:188" coordorigin="3537,1470" coordsize="138,188" path="m3537,1602l3560,1580m3560,1580l3605,1657m3605,1657l3617,1647m3617,1647l3640,1649m3640,1647l3650,1568m3650,1568l3675,1470e" filled="false" stroked="true" strokeweight="1pt" strokecolor="#acbc4a">
              <v:path arrowok="t"/>
              <v:stroke dashstyle="solid"/>
            </v:shape>
            <v:line style="position:absolute" from="3665,1471" to="3730,1471" stroked="true" strokeweight="1.098pt" strokecolor="#acbc4a">
              <v:stroke dashstyle="solid"/>
            </v:line>
            <v:shape style="position:absolute;left:3719;top:1436;width:148;height:211" coordorigin="3720,1436" coordsize="148,211" path="m3720,1470l3730,1436m3730,1436l3752,1448m3752,1448l3765,1458m3765,1458l3787,1558m3787,1558l3832,1625m3832,1625l3855,1602m3855,1602l3867,1647e" filled="false" stroked="true" strokeweight="1pt" strokecolor="#acbc4a">
              <v:path arrowok="t"/>
              <v:stroke dashstyle="solid"/>
            </v:shape>
            <v:line style="position:absolute" from="995,618" to="995,727" stroked="true" strokeweight="1.5pt" strokecolor="#006caa">
              <v:stroke dashstyle="solid"/>
            </v:line>
            <v:shape style="position:absolute;left:999;top:594;width:93;height:123" coordorigin="1000,595" coordsize="93,123" path="m1000,717l1022,640m1022,640l1070,595m1070,595l1092,628e" filled="false" stroked="true" strokeweight="1pt" strokecolor="#006caa">
              <v:path arrowok="t"/>
              <v:stroke dashstyle="solid"/>
            </v:shape>
            <v:line style="position:absolute" from="1097,486" to="1097,638" stroked="true" strokeweight="1.5pt" strokecolor="#006caa">
              <v:stroke dashstyle="solid"/>
            </v:line>
            <v:shape style="position:absolute;left:1102;top:496;width:138;height:255" coordorigin="1102,496" coordsize="138,255" path="m1102,496l1125,498m1125,496l1137,518m1137,518l1182,618m1182,618l1205,585m1205,585l1217,652m1217,652l1240,750e" filled="false" stroked="true" strokeweight="1pt" strokecolor="#006caa">
              <v:path arrowok="t"/>
              <v:stroke dashstyle="solid"/>
            </v:shape>
            <v:line style="position:absolute" from="1245,642" to="1245,760" stroked="true" strokeweight="1.5pt" strokecolor="#006caa">
              <v:stroke dashstyle="solid"/>
            </v:line>
            <v:shape style="position:absolute;left:1249;top:584;width:70;height:166" coordorigin="1250,585" coordsize="70,166" path="m1250,652l1297,750m1297,750l1320,585e" filled="false" stroked="true" strokeweight="1pt" strokecolor="#006caa">
              <v:path arrowok="t"/>
              <v:stroke dashstyle="solid"/>
            </v:shape>
            <v:line style="position:absolute" from="1325,575" to="1325,683" stroked="true" strokeweight="1.5pt" strokecolor="#006caa">
              <v:stroke dashstyle="solid"/>
            </v:line>
            <v:line style="position:absolute" from="1330,673" to="1352,530" stroked="true" strokeweight="1pt" strokecolor="#006caa">
              <v:stroke dashstyle="solid"/>
            </v:line>
            <v:line style="position:absolute" from="1359,520" to="1359,650" stroked="true" strokeweight="1.625pt" strokecolor="#006caa">
              <v:stroke dashstyle="solid"/>
            </v:line>
            <v:shape style="position:absolute;left:1364;top:640;width:113;height:133" coordorigin="1365,640" coordsize="113,133" path="m1365,640l1422,717m1422,717l1432,772m1432,772l1445,739m1445,739l1467,762m1467,762l1477,739e" filled="false" stroked="true" strokeweight="1pt" strokecolor="#006caa">
              <v:path arrowok="t"/>
              <v:stroke dashstyle="solid"/>
            </v:shape>
            <v:line style="position:absolute" from="1467,739" to="1545,739" stroked="true" strokeweight="1.098pt" strokecolor="#006caa">
              <v:stroke dashstyle="solid"/>
            </v:line>
            <v:line style="position:absolute" from="1541,585" to="1541,749" stroked="true" strokeweight="1.625pt" strokecolor="#006caa">
              <v:stroke dashstyle="solid"/>
            </v:line>
            <v:line style="position:absolute" from="1547,595" to="1570,606" stroked="true" strokeweight="1pt" strokecolor="#006caa">
              <v:stroke dashstyle="solid"/>
            </v:line>
            <v:line style="position:absolute" from="1575,596" to="1575,727" stroked="true" strokeweight="1.5pt" strokecolor="#006caa">
              <v:stroke dashstyle="solid"/>
            </v:line>
            <v:shape style="position:absolute;left:1579;top:628;width:70;height:89" coordorigin="1580,628" coordsize="70,89" path="m1580,717l1592,707m1592,707l1650,628e" filled="false" stroked="true" strokeweight="1pt" strokecolor="#006caa">
              <v:path arrowok="t"/>
              <v:stroke dashstyle="solid"/>
            </v:shape>
            <v:line style="position:absolute" from="1655,529" to="1655,638" stroked="true" strokeweight="1.5pt" strokecolor="#006caa">
              <v:stroke dashstyle="solid"/>
            </v:line>
            <v:shape style="position:absolute;left:1659;top:174;width:240;height:420" coordorigin="1660,175" coordsize="240,420" path="m1660,539l1682,396m1682,396l1695,407m1695,407l1717,595m1717,595l1762,364m1762,364l1775,419m1775,419l1797,386m1797,386l1807,340m1807,340l1830,285m1830,285l1877,309m1877,309l1900,175e" filled="false" stroked="true" strokeweight="1pt" strokecolor="#006caa">
              <v:path arrowok="t"/>
              <v:stroke dashstyle="solid"/>
            </v:shape>
            <v:shape style="position:absolute;left:1889;top:164;width:43;height:154" coordorigin="1890,165" coordsize="43,154" path="m1932,177l1920,177,1920,165,1890,165,1890,319,1920,319,1932,319,1932,177xe" filled="true" fillcolor="#006caa" stroked="false">
              <v:path arrowok="t"/>
              <v:fill type="solid"/>
            </v:shape>
            <v:shape style="position:absolute;left:1922;top:21;width:205;height:298" coordorigin="1922,21" coordsize="205,298" path="m1922,187l1945,141m1945,141l1990,21m1990,21l2012,220m2012,220l2025,285m2025,285l2047,153m2047,153l2057,98m2057,98l2105,319m2105,319l2127,297e" filled="false" stroked="true" strokeweight="1pt" strokecolor="#006caa">
              <v:path arrowok="t"/>
              <v:stroke dashstyle="solid"/>
            </v:shape>
            <v:line style="position:absolute" from="2132,198" to="2132,307" stroked="true" strokeweight="1.5pt" strokecolor="#006caa">
              <v:stroke dashstyle="solid"/>
            </v:line>
            <v:shape style="position:absolute;left:2137;top:165;width:218;height:430" coordorigin="2137,165" coordsize="218,430" path="m2137,208l2160,165m2160,165l2172,167m2172,165l2217,230m2217,230l2240,297m2240,297l2252,352m2252,352l2275,474m2275,474l2285,530m2285,530l2342,595m2342,595l2355,585e" filled="false" stroked="true" strokeweight="1pt" strokecolor="#006caa">
              <v:path arrowok="t"/>
              <v:stroke dashstyle="solid"/>
            </v:shape>
            <v:line style="position:absolute" from="2360,575" to="2360,760" stroked="true" strokeweight="1.5pt" strokecolor="#006caa">
              <v:stroke dashstyle="solid"/>
            </v:line>
            <v:shape style="position:absolute;left:2364;top:618;width:125;height:209" coordorigin="2365,618" coordsize="125,209" path="m2365,750l2387,618m2387,618l2400,662m2400,662l2457,827m2457,827l2467,817m2467,817l2490,695e" filled="false" stroked="true" strokeweight="1pt" strokecolor="#006caa">
              <v:path arrowok="t"/>
              <v:stroke dashstyle="solid"/>
            </v:shape>
            <v:shape style="position:absolute;left:2479;top:519;width:43;height:186" coordorigin="2480,520" coordsize="43,186" path="m2522,520l2512,520,2492,520,2480,520,2480,705,2512,705,2512,693,2522,693,2522,520xe" filled="true" fillcolor="#006caa" stroked="false">
              <v:path arrowok="t"/>
              <v:fill type="solid"/>
            </v:shape>
            <v:shape style="position:absolute;left:2512;top:496;width:240;height:188" coordorigin="2512,496" coordsize="240,188" path="m2512,683l2570,673m2570,673l2582,662m2582,662l2605,640m2605,640l2615,595m2615,595l2640,530m2640,530l2685,563m2685,563l2695,496m2695,496l2717,628m2717,628l2730,585m2730,585l2752,640e" filled="false" stroked="true" strokeweight="1pt" strokecolor="#006caa">
              <v:path arrowok="t"/>
              <v:stroke dashstyle="solid"/>
            </v:shape>
            <v:line style="position:absolute" from="2742,641" to="2807,641" stroked="true" strokeweight="1.098pt" strokecolor="#006caa">
              <v:stroke dashstyle="solid"/>
            </v:line>
            <v:shape style="position:absolute;left:2797;top:452;width:250;height:255" coordorigin="2797,453" coordsize="250,255" path="m2797,640l2810,695m2810,695l2832,652m2832,652l2842,628m2842,628l2867,707m2867,707l2912,573m2912,573l2935,518m2935,518l2945,520m2945,518l2957,453m2957,453l2980,551m2980,551l3025,474m3025,474l3047,662e" filled="false" stroked="true" strokeweight="1pt" strokecolor="#006caa">
              <v:path arrowok="t"/>
              <v:stroke dashstyle="solid"/>
            </v:shape>
            <v:line style="position:absolute" from="3054,386" to="3054,672" stroked="true" strokeweight="1.625pt" strokecolor="#006caa">
              <v:stroke dashstyle="solid"/>
            </v:line>
            <v:shape style="position:absolute;left:3059;top:364;width:35;height:32" coordorigin="3060,364" coordsize="35,32" path="m3060,396l3082,364m3082,364l3095,396e" filled="false" stroked="true" strokeweight="1pt" strokecolor="#006caa">
              <v:path arrowok="t"/>
              <v:stroke dashstyle="solid"/>
            </v:shape>
            <v:line style="position:absolute" from="3085,397" to="3150,397" stroked="true" strokeweight="1.098pt" strokecolor="#006caa">
              <v:stroke dashstyle="solid"/>
            </v:line>
            <v:shape style="position:absolute;left:3139;top:220;width:385;height:200" coordorigin="3140,220" coordsize="385,200" path="m3140,396l3162,364m3162,364l3172,352m3172,352l3195,374m3195,374l3207,419m3207,419l3265,340m3265,340l3275,285m3275,285l3287,374m3287,374l3310,396m3310,396l3322,319m3322,319l3377,220m3377,220l3390,264m3390,264l3412,297m3412,297l3422,299m3422,297l3435,309m3435,309l3492,285m3492,285l3502,319m3502,319l3525,331e" filled="false" stroked="true" strokeweight="1pt" strokecolor="#006caa">
              <v:path arrowok="t"/>
              <v:stroke dashstyle="solid"/>
            </v:shape>
            <v:line style="position:absolute" from="3531,198" to="3531,341" stroked="true" strokeweight="1.625pt" strokecolor="#006caa">
              <v:stroke dashstyle="solid"/>
            </v:line>
            <v:shape style="position:absolute;left:3537;top:208;width:103;height:178" coordorigin="3537,208" coordsize="103,178" path="m3537,208l3560,242m3560,242l3605,285m3605,285l3617,297m3617,297l3640,386e" filled="false" stroked="true" strokeweight="1pt" strokecolor="#006caa">
              <v:path arrowok="t"/>
              <v:stroke dashstyle="solid"/>
            </v:shape>
            <v:line style="position:absolute" from="3645,177" to="3645,396" stroked="true" strokeweight="1.5pt" strokecolor="#006caa">
              <v:stroke dashstyle="solid"/>
            </v:line>
            <v:shape style="position:absolute;left:3649;top:31;width:218;height:255" coordorigin="3650,31" coordsize="218,255" path="m3650,187l3675,230m3675,230l3720,275m3720,275l3730,277m3730,275l3752,285m3752,285l3765,187m3765,187l3787,120m3787,120l3832,108m3832,108l3855,43m3855,43l3867,31e" filled="false" stroked="true" strokeweight="1pt" strokecolor="#006caa">
              <v:path arrowok="t"/>
              <v:stroke dashstyle="solid"/>
            </v:shape>
            <v:shape style="position:absolute;left:830;top:60;width:3198;height:1709" coordorigin="830,60" coordsize="3198,1709" path="m830,627l917,627m830,60l917,60m830,344l917,344m830,911l917,911m830,1194l917,1194m830,1761l917,1761m830,1478l917,1478m3941,68l4028,68m3941,352l4028,352m3941,919l4028,919m3941,1202l4028,1202m3941,1769l4028,1769m3941,1486l4028,1486e" filled="false" stroked="true" strokeweight=".5pt" strokecolor="#000000">
              <v:path arrowok="t"/>
              <v:stroke dashstyle="solid"/>
            </v:shape>
            <w10:wrap type="none"/>
          </v:group>
        </w:pict>
      </w:r>
      <w:r>
        <w:rPr>
          <w:sz w:val="12"/>
        </w:rPr>
        <w:t>4</w:t>
      </w:r>
    </w:p>
    <w:p>
      <w:pPr>
        <w:pStyle w:val="BodyText"/>
        <w:spacing w:before="8"/>
        <w:rPr>
          <w:sz w:val="12"/>
        </w:rPr>
      </w:pPr>
    </w:p>
    <w:p>
      <w:pPr>
        <w:spacing w:line="136" w:lineRule="exact" w:before="0"/>
        <w:ind w:left="3445" w:right="0" w:firstLine="0"/>
        <w:jc w:val="left"/>
        <w:rPr>
          <w:sz w:val="12"/>
        </w:rPr>
      </w:pPr>
      <w:r>
        <w:rPr>
          <w:sz w:val="12"/>
        </w:rPr>
        <w:t>2</w:t>
      </w:r>
    </w:p>
    <w:p>
      <w:pPr>
        <w:spacing w:line="50" w:lineRule="exact" w:before="0"/>
        <w:ind w:left="3352" w:right="0" w:firstLine="0"/>
        <w:jc w:val="left"/>
        <w:rPr>
          <w:sz w:val="16"/>
        </w:rPr>
      </w:pPr>
      <w:r>
        <w:rPr>
          <w:sz w:val="16"/>
        </w:rPr>
        <w:t>+</w:t>
      </w:r>
    </w:p>
    <w:p>
      <w:pPr>
        <w:spacing w:line="242" w:lineRule="auto" w:before="0"/>
        <w:ind w:left="211" w:right="195" w:firstLine="0"/>
        <w:jc w:val="left"/>
        <w:rPr>
          <w:sz w:val="24"/>
        </w:rPr>
      </w:pPr>
      <w:r>
        <w:rPr/>
        <w:br w:type="column"/>
      </w:r>
      <w:r>
        <w:rPr>
          <w:sz w:val="24"/>
        </w:rPr>
        <w:t>of expected exchange rate movements with market expectations about interest rate differentials, it is possible to estimate the risk premium required</w:t>
      </w:r>
    </w:p>
    <w:p>
      <w:pPr>
        <w:spacing w:line="242" w:lineRule="auto" w:before="0"/>
        <w:ind w:left="211" w:right="481" w:firstLine="0"/>
        <w:jc w:val="left"/>
        <w:rPr>
          <w:sz w:val="24"/>
        </w:rPr>
      </w:pPr>
      <w:r>
        <w:rPr>
          <w:sz w:val="24"/>
        </w:rPr>
        <w:t>for holding sterling rather than other currencies. Chart 1.18 shows that an estimate of the relative sterling</w:t>
      </w:r>
      <w:r>
        <w:rPr>
          <w:spacing w:val="-7"/>
          <w:sz w:val="24"/>
        </w:rPr>
        <w:t> </w:t>
      </w:r>
      <w:r>
        <w:rPr>
          <w:sz w:val="24"/>
        </w:rPr>
        <w:t>risk</w:t>
      </w:r>
      <w:r>
        <w:rPr>
          <w:spacing w:val="-7"/>
          <w:sz w:val="24"/>
        </w:rPr>
        <w:t> </w:t>
      </w:r>
      <w:r>
        <w:rPr>
          <w:sz w:val="24"/>
        </w:rPr>
        <w:t>premium</w:t>
      </w:r>
      <w:r>
        <w:rPr>
          <w:spacing w:val="-6"/>
          <w:sz w:val="24"/>
        </w:rPr>
        <w:t> </w:t>
      </w:r>
      <w:r>
        <w:rPr>
          <w:sz w:val="24"/>
        </w:rPr>
        <w:t>versus</w:t>
      </w:r>
      <w:r>
        <w:rPr>
          <w:spacing w:val="-7"/>
          <w:sz w:val="24"/>
        </w:rPr>
        <w:t> </w:t>
      </w:r>
      <w:r>
        <w:rPr>
          <w:sz w:val="24"/>
        </w:rPr>
        <w:t>the</w:t>
      </w:r>
      <w:r>
        <w:rPr>
          <w:spacing w:val="-6"/>
          <w:sz w:val="24"/>
        </w:rPr>
        <w:t> </w:t>
      </w:r>
      <w:r>
        <w:rPr>
          <w:sz w:val="24"/>
        </w:rPr>
        <w:t>major</w:t>
      </w:r>
      <w:r>
        <w:rPr>
          <w:spacing w:val="-7"/>
          <w:sz w:val="24"/>
        </w:rPr>
        <w:t> </w:t>
      </w:r>
      <w:r>
        <w:rPr>
          <w:sz w:val="24"/>
        </w:rPr>
        <w:t>six</w:t>
      </w:r>
      <w:r>
        <w:rPr>
          <w:spacing w:val="-6"/>
          <w:sz w:val="24"/>
        </w:rPr>
        <w:t> </w:t>
      </w:r>
      <w:r>
        <w:rPr>
          <w:sz w:val="24"/>
        </w:rPr>
        <w:t>currencies,</w:t>
      </w:r>
    </w:p>
    <w:p>
      <w:pPr>
        <w:spacing w:after="0" w:line="242" w:lineRule="auto"/>
        <w:jc w:val="left"/>
        <w:rPr>
          <w:sz w:val="24"/>
        </w:rPr>
        <w:sectPr>
          <w:type w:val="continuous"/>
          <w:pgSz w:w="11900" w:h="16840"/>
          <w:pgMar w:top="1260" w:bottom="280" w:left="640" w:right="640"/>
          <w:cols w:num="2" w:equalWidth="0">
            <w:col w:w="4001" w:space="774"/>
            <w:col w:w="5845"/>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7"/>
        </w:rPr>
      </w:pPr>
    </w:p>
    <w:p>
      <w:pPr>
        <w:spacing w:before="1"/>
        <w:ind w:left="866" w:right="0" w:firstLine="0"/>
        <w:jc w:val="left"/>
        <w:rPr>
          <w:sz w:val="12"/>
        </w:rPr>
      </w:pPr>
      <w:r>
        <w:rPr>
          <w:sz w:val="12"/>
        </w:rPr>
        <w:t>Sterling-dollar (a)</w:t>
      </w:r>
    </w:p>
    <w:p>
      <w:pPr>
        <w:pStyle w:val="BodyText"/>
        <w:rPr>
          <w:sz w:val="20"/>
        </w:rPr>
      </w:pPr>
    </w:p>
    <w:p>
      <w:pPr>
        <w:pStyle w:val="BodyText"/>
        <w:rPr>
          <w:sz w:val="20"/>
        </w:rPr>
      </w:pPr>
    </w:p>
    <w:p>
      <w:pPr>
        <w:pStyle w:val="BodyText"/>
        <w:spacing w:before="3"/>
        <w:rPr>
          <w:sz w:val="17"/>
        </w:rPr>
      </w:pPr>
      <w:r>
        <w:rPr/>
        <w:pict>
          <v:shape style="position:absolute;margin-left:41.521999pt;margin-top:12.172447pt;width:4.350pt;height:.1pt;mso-position-horizontal-relative:page;mso-position-vertical-relative:paragraph;z-index:-15588864;mso-wrap-distance-left:0;mso-wrap-distance-right:0" coordorigin="830,243" coordsize="87,0" path="m830,243l917,243e" filled="false" stroked="true" strokeweight=".5pt" strokecolor="#000000">
            <v:path arrowok="t"/>
            <v:stroke dashstyle="solid"/>
            <w10:wrap type="topAndBottom"/>
          </v:shape>
        </w:pict>
      </w:r>
    </w:p>
    <w:p>
      <w:pPr>
        <w:tabs>
          <w:tab w:pos="990" w:val="left" w:leader="none"/>
          <w:tab w:pos="1496" w:val="left" w:leader="none"/>
          <w:tab w:pos="1995" w:val="left" w:leader="none"/>
        </w:tabs>
        <w:spacing w:before="0"/>
        <w:ind w:left="500" w:right="0" w:firstLine="0"/>
        <w:jc w:val="left"/>
        <w:rPr>
          <w:sz w:val="12"/>
        </w:rPr>
      </w:pPr>
      <w:r>
        <w:rPr>
          <w:sz w:val="12"/>
        </w:rPr>
        <w:t>Feb.</w:t>
        <w:tab/>
        <w:t>Mar.</w:t>
        <w:tab/>
        <w:t>Apr.</w:t>
        <w:tab/>
      </w:r>
      <w:r>
        <w:rPr>
          <w:spacing w:val="-7"/>
          <w:sz w:val="12"/>
        </w:rPr>
        <w:t>May</w:t>
      </w:r>
    </w:p>
    <w:p>
      <w:pPr>
        <w:spacing w:before="17"/>
        <w:ind w:left="1702" w:right="0" w:firstLine="0"/>
        <w:jc w:val="left"/>
        <w:rPr>
          <w:sz w:val="12"/>
        </w:rPr>
      </w:pPr>
      <w:r>
        <w:rPr>
          <w:sz w:val="12"/>
        </w:rPr>
        <w:t>2000</w:t>
      </w:r>
    </w:p>
    <w:p>
      <w:pPr>
        <w:spacing w:before="97"/>
        <w:ind w:left="1112" w:right="0" w:firstLine="0"/>
        <w:jc w:val="left"/>
        <w:rPr>
          <w:sz w:val="12"/>
        </w:rPr>
      </w:pPr>
      <w:r>
        <w:rPr/>
        <w:br w:type="column"/>
      </w:r>
      <w:r>
        <w:rPr>
          <w:position w:val="-7"/>
          <w:sz w:val="16"/>
        </w:rPr>
        <w:t>_</w:t>
      </w:r>
      <w:r>
        <w:rPr>
          <w:sz w:val="12"/>
        </w:rPr>
        <w:t>0</w:t>
      </w:r>
    </w:p>
    <w:p>
      <w:pPr>
        <w:spacing w:before="56"/>
        <w:ind w:left="0" w:right="38" w:firstLine="0"/>
        <w:jc w:val="right"/>
        <w:rPr>
          <w:sz w:val="12"/>
        </w:rPr>
      </w:pPr>
      <w:r>
        <w:rPr/>
        <w:pict>
          <v:line style="position:absolute;mso-position-horizontal-relative:page;mso-position-vertical-relative:paragraph;z-index:-23429120" from="197.074005pt,-6.957245pt" to="201.406005pt,-6.957245pt" stroked="true" strokeweight=".5pt" strokecolor="#000000">
            <v:stroke dashstyle="solid"/>
            <w10:wrap type="none"/>
          </v:line>
        </w:pict>
      </w:r>
      <w:r>
        <w:rPr>
          <w:sz w:val="12"/>
        </w:rPr>
        <w:t>2</w:t>
      </w:r>
    </w:p>
    <w:p>
      <w:pPr>
        <w:pStyle w:val="BodyText"/>
        <w:spacing w:before="8"/>
        <w:rPr>
          <w:sz w:val="12"/>
        </w:rPr>
      </w:pPr>
    </w:p>
    <w:p>
      <w:pPr>
        <w:spacing w:before="0"/>
        <w:ind w:left="0" w:right="38" w:firstLine="0"/>
        <w:jc w:val="right"/>
        <w:rPr>
          <w:sz w:val="12"/>
        </w:rPr>
      </w:pPr>
      <w:r>
        <w:rPr>
          <w:sz w:val="12"/>
        </w:rPr>
        <w:t>4</w:t>
      </w:r>
    </w:p>
    <w:p>
      <w:pPr>
        <w:pStyle w:val="BodyText"/>
        <w:spacing w:before="7"/>
        <w:rPr>
          <w:sz w:val="12"/>
        </w:rPr>
      </w:pPr>
    </w:p>
    <w:p>
      <w:pPr>
        <w:spacing w:before="0"/>
        <w:ind w:left="0" w:right="38" w:firstLine="0"/>
        <w:jc w:val="right"/>
        <w:rPr>
          <w:sz w:val="12"/>
        </w:rPr>
      </w:pPr>
      <w:r>
        <w:rPr>
          <w:sz w:val="12"/>
        </w:rPr>
        <w:t>6</w:t>
      </w:r>
    </w:p>
    <w:p>
      <w:pPr>
        <w:pStyle w:val="BodyText"/>
        <w:spacing w:before="8"/>
        <w:rPr>
          <w:sz w:val="12"/>
        </w:rPr>
      </w:pPr>
    </w:p>
    <w:p>
      <w:pPr>
        <w:spacing w:before="0"/>
        <w:ind w:left="0" w:right="38" w:firstLine="0"/>
        <w:jc w:val="right"/>
        <w:rPr>
          <w:sz w:val="12"/>
        </w:rPr>
      </w:pPr>
      <w:r>
        <w:rPr>
          <w:sz w:val="12"/>
        </w:rPr>
        <w:t>8</w:t>
      </w:r>
    </w:p>
    <w:p>
      <w:pPr>
        <w:pStyle w:val="BodyText"/>
        <w:spacing w:before="7"/>
        <w:rPr>
          <w:sz w:val="12"/>
        </w:rPr>
      </w:pPr>
    </w:p>
    <w:p>
      <w:pPr>
        <w:spacing w:line="119" w:lineRule="exact" w:before="0"/>
        <w:ind w:left="1130" w:right="0" w:firstLine="0"/>
        <w:jc w:val="left"/>
        <w:rPr>
          <w:sz w:val="12"/>
        </w:rPr>
      </w:pPr>
      <w:r>
        <w:rPr/>
        <w:pict>
          <v:shape style="position:absolute;margin-left:49.896999pt;margin-top:1.782574pt;width:143.450pt;height:2.65pt;mso-position-horizontal-relative:page;mso-position-vertical-relative:paragraph;z-index:15869952" coordorigin="998,36" coordsize="2869,53" path="m1000,88l3867,88m998,36l998,88m1493,36l1493,88m1987,36l1987,88m2482,36l2482,88m2976,36l2976,88m3471,36l3471,88e" filled="false" stroked="true" strokeweight=".5pt" strokecolor="#000000">
            <v:path arrowok="t"/>
            <v:stroke dashstyle="solid"/>
            <w10:wrap type="none"/>
          </v:shape>
        </w:pict>
      </w:r>
      <w:r>
        <w:rPr/>
        <w:pict>
          <v:line style="position:absolute;mso-position-horizontal-relative:page;mso-position-vertical-relative:paragraph;z-index:15870976" from="197.074005pt,4.420574pt" to="201.406005pt,4.420574pt" stroked="true" strokeweight=".5pt" strokecolor="#000000">
            <v:stroke dashstyle="solid"/>
            <w10:wrap type="none"/>
          </v:line>
        </w:pict>
      </w:r>
      <w:r>
        <w:rPr>
          <w:sz w:val="12"/>
        </w:rPr>
        <w:t>10</w:t>
      </w:r>
    </w:p>
    <w:p>
      <w:pPr>
        <w:tabs>
          <w:tab w:pos="713" w:val="left" w:leader="none"/>
        </w:tabs>
        <w:spacing w:line="119" w:lineRule="exact" w:before="0"/>
        <w:ind w:left="239" w:right="0" w:firstLine="0"/>
        <w:jc w:val="left"/>
        <w:rPr>
          <w:sz w:val="12"/>
        </w:rPr>
      </w:pPr>
      <w:r>
        <w:rPr>
          <w:sz w:val="12"/>
        </w:rPr>
        <w:t>June</w:t>
        <w:tab/>
        <w:t>July</w:t>
      </w:r>
    </w:p>
    <w:p>
      <w:pPr>
        <w:spacing w:line="242" w:lineRule="auto" w:before="0"/>
        <w:ind w:left="500" w:right="242" w:firstLine="0"/>
        <w:jc w:val="left"/>
        <w:rPr>
          <w:sz w:val="24"/>
        </w:rPr>
      </w:pPr>
      <w:r>
        <w:rPr/>
        <w:br w:type="column"/>
      </w:r>
      <w:r>
        <w:rPr>
          <w:sz w:val="24"/>
        </w:rPr>
        <w:t>derived in this way, has increased since May, consistent with the depreciation. But this estimate assumes</w:t>
      </w:r>
    </w:p>
    <w:p>
      <w:pPr>
        <w:spacing w:line="242" w:lineRule="auto" w:before="0"/>
        <w:ind w:left="500" w:right="242" w:firstLine="0"/>
        <w:jc w:val="left"/>
        <w:rPr>
          <w:sz w:val="24"/>
        </w:rPr>
      </w:pPr>
      <w:r>
        <w:rPr>
          <w:sz w:val="24"/>
        </w:rPr>
        <w:t>that there has been no change in the long-run exchange rate.</w:t>
      </w:r>
    </w:p>
    <w:p>
      <w:pPr>
        <w:pStyle w:val="BodyText"/>
        <w:spacing w:before="10"/>
        <w:rPr>
          <w:sz w:val="23"/>
        </w:rPr>
      </w:pPr>
    </w:p>
    <w:p>
      <w:pPr>
        <w:spacing w:line="242" w:lineRule="auto" w:before="0"/>
        <w:ind w:left="500" w:right="0" w:firstLine="0"/>
        <w:jc w:val="left"/>
        <w:rPr>
          <w:sz w:val="24"/>
        </w:rPr>
      </w:pPr>
      <w:r>
        <w:rPr>
          <w:sz w:val="24"/>
        </w:rPr>
        <w:t>Consensus Economics surveys can also be used to assess whether perceptions about the long-run exchange rate</w:t>
      </w:r>
    </w:p>
    <w:p>
      <w:pPr>
        <w:spacing w:after="0" w:line="242" w:lineRule="auto"/>
        <w:jc w:val="left"/>
        <w:rPr>
          <w:sz w:val="24"/>
        </w:rPr>
        <w:sectPr>
          <w:type w:val="continuous"/>
          <w:pgSz w:w="11900" w:h="16840"/>
          <w:pgMar w:top="1260" w:bottom="280" w:left="640" w:right="640"/>
          <w:cols w:num="3" w:equalWidth="0">
            <w:col w:w="2216" w:space="40"/>
            <w:col w:w="1291" w:space="939"/>
            <w:col w:w="6134"/>
          </w:cols>
        </w:sectPr>
      </w:pPr>
    </w:p>
    <w:p>
      <w:pPr>
        <w:pStyle w:val="BodyText"/>
        <w:spacing w:before="1"/>
        <w:rPr>
          <w:sz w:val="10"/>
        </w:rPr>
      </w:pPr>
    </w:p>
    <w:p>
      <w:pPr>
        <w:pStyle w:val="ListParagraph"/>
        <w:numPr>
          <w:ilvl w:val="0"/>
          <w:numId w:val="10"/>
        </w:numPr>
        <w:tabs>
          <w:tab w:pos="426" w:val="left" w:leader="none"/>
        </w:tabs>
        <w:spacing w:line="129" w:lineRule="exact" w:before="0" w:after="0"/>
        <w:ind w:left="425" w:right="0" w:hanging="241"/>
        <w:jc w:val="left"/>
        <w:rPr>
          <w:sz w:val="12"/>
        </w:rPr>
      </w:pPr>
      <w:r>
        <w:rPr>
          <w:sz w:val="12"/>
        </w:rPr>
        <w:t>Cumulative percentage change in the exchange</w:t>
      </w:r>
      <w:r>
        <w:rPr>
          <w:spacing w:val="-15"/>
          <w:sz w:val="12"/>
        </w:rPr>
        <w:t> </w:t>
      </w:r>
      <w:r>
        <w:rPr>
          <w:sz w:val="12"/>
        </w:rPr>
        <w:t>rate.</w:t>
      </w:r>
    </w:p>
    <w:p>
      <w:pPr>
        <w:pStyle w:val="ListParagraph"/>
        <w:numPr>
          <w:ilvl w:val="0"/>
          <w:numId w:val="10"/>
        </w:numPr>
        <w:tabs>
          <w:tab w:pos="426" w:val="left" w:leader="none"/>
        </w:tabs>
        <w:spacing w:line="208" w:lineRule="auto" w:before="6" w:after="0"/>
        <w:ind w:left="425" w:right="38" w:hanging="240"/>
        <w:jc w:val="left"/>
        <w:rPr>
          <w:sz w:val="12"/>
        </w:rPr>
      </w:pPr>
      <w:r>
        <w:rPr>
          <w:sz w:val="12"/>
        </w:rPr>
        <w:t>Cumulative percentage point change in differentials between expected</w:t>
      </w:r>
      <w:r>
        <w:rPr>
          <w:spacing w:val="-5"/>
          <w:sz w:val="12"/>
        </w:rPr>
        <w:t> </w:t>
      </w:r>
      <w:r>
        <w:rPr>
          <w:sz w:val="12"/>
        </w:rPr>
        <w:t>UK</w:t>
      </w:r>
      <w:r>
        <w:rPr>
          <w:spacing w:val="-5"/>
          <w:sz w:val="12"/>
        </w:rPr>
        <w:t> </w:t>
      </w:r>
      <w:r>
        <w:rPr>
          <w:sz w:val="12"/>
        </w:rPr>
        <w:t>and</w:t>
      </w:r>
      <w:r>
        <w:rPr>
          <w:spacing w:val="-5"/>
          <w:sz w:val="12"/>
        </w:rPr>
        <w:t> </w:t>
      </w:r>
      <w:r>
        <w:rPr>
          <w:sz w:val="12"/>
        </w:rPr>
        <w:t>overseas</w:t>
      </w:r>
      <w:r>
        <w:rPr>
          <w:spacing w:val="-5"/>
          <w:sz w:val="12"/>
        </w:rPr>
        <w:t> </w:t>
      </w:r>
      <w:r>
        <w:rPr>
          <w:sz w:val="12"/>
        </w:rPr>
        <w:t>nominal</w:t>
      </w:r>
      <w:r>
        <w:rPr>
          <w:spacing w:val="-5"/>
          <w:sz w:val="12"/>
        </w:rPr>
        <w:t> </w:t>
      </w:r>
      <w:r>
        <w:rPr>
          <w:sz w:val="12"/>
        </w:rPr>
        <w:t>interest</w:t>
      </w:r>
      <w:r>
        <w:rPr>
          <w:spacing w:val="-5"/>
          <w:sz w:val="12"/>
        </w:rPr>
        <w:t> </w:t>
      </w:r>
      <w:r>
        <w:rPr>
          <w:sz w:val="12"/>
        </w:rPr>
        <w:t>rates</w:t>
      </w:r>
      <w:r>
        <w:rPr>
          <w:spacing w:val="-5"/>
          <w:sz w:val="12"/>
        </w:rPr>
        <w:t> </w:t>
      </w:r>
      <w:r>
        <w:rPr>
          <w:sz w:val="12"/>
        </w:rPr>
        <w:t>up</w:t>
      </w:r>
      <w:r>
        <w:rPr>
          <w:spacing w:val="-5"/>
          <w:sz w:val="12"/>
        </w:rPr>
        <w:t> </w:t>
      </w:r>
      <w:r>
        <w:rPr>
          <w:sz w:val="12"/>
        </w:rPr>
        <w:t>to</w:t>
      </w:r>
      <w:r>
        <w:rPr>
          <w:spacing w:val="-5"/>
          <w:sz w:val="12"/>
        </w:rPr>
        <w:t> </w:t>
      </w:r>
      <w:r>
        <w:rPr>
          <w:sz w:val="12"/>
        </w:rPr>
        <w:t>ten</w:t>
      </w:r>
      <w:r>
        <w:rPr>
          <w:spacing w:val="-4"/>
          <w:sz w:val="12"/>
        </w:rPr>
        <w:t> </w:t>
      </w:r>
      <w:r>
        <w:rPr>
          <w:sz w:val="12"/>
        </w:rPr>
        <w:t>years ahead.</w:t>
      </w:r>
    </w:p>
    <w:p>
      <w:pPr>
        <w:pStyle w:val="BodyText"/>
        <w:rPr>
          <w:sz w:val="12"/>
        </w:rPr>
      </w:pPr>
    </w:p>
    <w:p>
      <w:pPr>
        <w:pStyle w:val="BodyText"/>
        <w:rPr>
          <w:sz w:val="12"/>
        </w:rPr>
      </w:pPr>
    </w:p>
    <w:p>
      <w:pPr>
        <w:pStyle w:val="BodyText"/>
        <w:spacing w:before="2"/>
        <w:rPr>
          <w:sz w:val="16"/>
        </w:rPr>
      </w:pPr>
    </w:p>
    <w:p>
      <w:pPr>
        <w:pStyle w:val="Heading6"/>
        <w:spacing w:before="0"/>
        <w:ind w:left="211"/>
      </w:pPr>
      <w:r>
        <w:rPr>
          <w:color w:val="0092C7"/>
        </w:rPr>
        <w:t>Chart 1.18</w:t>
      </w:r>
    </w:p>
    <w:p>
      <w:pPr>
        <w:pStyle w:val="Heading6"/>
        <w:spacing w:line="249" w:lineRule="auto"/>
        <w:ind w:left="211"/>
      </w:pPr>
      <w:r>
        <w:rPr>
          <w:color w:val="0092C7"/>
        </w:rPr>
        <w:t>Estimated risk premium on sterling versus major six currencies</w:t>
      </w:r>
    </w:p>
    <w:p>
      <w:pPr>
        <w:spacing w:line="280" w:lineRule="exact" w:before="3"/>
        <w:ind w:left="185" w:right="201" w:firstLine="0"/>
        <w:jc w:val="left"/>
        <w:rPr>
          <w:sz w:val="24"/>
        </w:rPr>
      </w:pPr>
      <w:r>
        <w:rPr/>
        <w:br w:type="column"/>
      </w:r>
      <w:r>
        <w:rPr>
          <w:sz w:val="24"/>
        </w:rPr>
        <w:t>may have changed. Chart 1.19 shows that the recent depreciation has not been associated with a change in view about the exchange rate in five years’ time. That suggests that the depreciation has not occurred because of a marked change of view about the equilibrium exchange rate, which supports the hypothesis that there may have been some recent increase in the relative risk</w:t>
      </w:r>
    </w:p>
    <w:p>
      <w:pPr>
        <w:spacing w:after="0" w:line="280" w:lineRule="exact"/>
        <w:jc w:val="left"/>
        <w:rPr>
          <w:sz w:val="24"/>
        </w:rPr>
        <w:sectPr>
          <w:type w:val="continuous"/>
          <w:pgSz w:w="11900" w:h="16840"/>
          <w:pgMar w:top="1260" w:bottom="280" w:left="640" w:right="640"/>
          <w:cols w:num="2" w:equalWidth="0">
            <w:col w:w="3532" w:space="1268"/>
            <w:col w:w="5820"/>
          </w:cols>
        </w:sectPr>
      </w:pPr>
    </w:p>
    <w:p>
      <w:pPr>
        <w:pStyle w:val="ListParagraph"/>
        <w:numPr>
          <w:ilvl w:val="0"/>
          <w:numId w:val="11"/>
        </w:numPr>
        <w:tabs>
          <w:tab w:pos="326" w:val="left" w:leader="none"/>
        </w:tabs>
        <w:spacing w:line="16" w:lineRule="auto" w:before="0" w:after="0"/>
        <w:ind w:left="325" w:right="0" w:hanging="104"/>
        <w:jc w:val="left"/>
        <w:rPr>
          <w:sz w:val="12"/>
        </w:rPr>
      </w:pPr>
      <w:r>
        <w:rPr/>
        <w:pict>
          <v:line style="position:absolute;mso-position-horizontal-relative:page;mso-position-vertical-relative:paragraph;z-index:15879680" from="48.292999pt,7.283468pt" to="52.625999pt,7.283468pt" stroked="true" strokeweight=".5pt" strokecolor="#000000">
            <v:stroke dashstyle="solid"/>
            <w10:wrap type="none"/>
          </v:line>
        </w:pict>
      </w:r>
      <w:r>
        <w:rPr>
          <w:sz w:val="12"/>
        </w:rPr>
        <w:t>Per cent</w:t>
      </w:r>
    </w:p>
    <w:p>
      <w:pPr>
        <w:pStyle w:val="BodyText"/>
        <w:rPr>
          <w:sz w:val="22"/>
        </w:rPr>
      </w:pPr>
    </w:p>
    <w:p>
      <w:pPr>
        <w:pStyle w:val="BodyText"/>
        <w:spacing w:before="4"/>
      </w:pPr>
    </w:p>
    <w:p>
      <w:pPr>
        <w:spacing w:before="0"/>
        <w:ind w:left="222" w:right="0" w:firstLine="0"/>
        <w:jc w:val="left"/>
        <w:rPr>
          <w:sz w:val="12"/>
        </w:rPr>
      </w:pPr>
      <w:r>
        <w:rPr/>
        <w:pict>
          <v:group style="position:absolute;margin-left:56.567001pt;margin-top:-8.340096pt;width:152.75pt;height:127.45pt;mso-position-horizontal-relative:page;mso-position-vertical-relative:paragraph;z-index:-23421952" coordorigin="1131,-167" coordsize="3055,2549">
            <v:line style="position:absolute" from="1135,664" to="4028,664" stroked="true" strokeweight=".5pt" strokecolor="#000000">
              <v:stroke dashstyle="solid"/>
            </v:line>
            <v:shape style="position:absolute;left:1146;top:695;width:848;height:918" coordorigin="1146,696" coordsize="848,918" path="m1146,1613l1204,1598m1204,1598l1259,1613m1259,1613l1304,1598m1304,1598l1359,1548m1359,1548l1414,1483m1414,1483l1471,1451m1471,1451l1516,1548m1516,1548l1571,1483m1571,1483l1626,1401m1626,1401l1681,1203m1681,1203l1739,1056m1739,1056l1784,908m1784,908l1839,828m1839,828l1894,778m1894,778l1949,696m1949,696l1994,713e" filled="false" stroked="true" strokeweight="1pt" strokecolor="#008360">
              <v:path arrowok="t"/>
              <v:stroke dashstyle="solid"/>
            </v:shape>
            <v:line style="position:absolute" from="1984,714" to="2061,714" stroked="true" strokeweight="1.125pt" strokecolor="#008360">
              <v:stroke dashstyle="solid"/>
            </v:line>
            <v:shape style="position:absolute;left:2051;top:350;width:323;height:363" coordorigin="2051,351" coordsize="323,363" path="m2051,713l2106,351m2106,351l2161,548m2161,548l2216,663m2216,663l2261,646m2261,646l2319,516m2319,516l2374,433e" filled="false" stroked="true" strokeweight="1pt" strokecolor="#008360">
              <v:path arrowok="t"/>
              <v:stroke dashstyle="solid"/>
            </v:shape>
            <v:line style="position:absolute" from="2364,434" to="2439,434" stroked="true" strokeweight="1.125pt" strokecolor="#008360">
              <v:stroke dashstyle="solid"/>
            </v:line>
            <v:shape style="position:absolute;left:2428;top:203;width:1328;height:510" coordorigin="2429,203" coordsize="1328,510" path="m2429,433l2474,418m2474,418l2529,368m2529,368l2586,236m2586,236l2641,498m2641,498l2696,451m2696,451l2741,351m2741,351l2796,418m2796,418l2854,498m2854,498l2909,613m2909,613l2954,631m2954,631l3009,681m3009,681l3064,713m3064,713l3121,631m3121,631l3176,548m3176,548l3221,516m3221,516l3276,433m3276,433l3386,303m3386,303l3431,516m3431,516l3489,401m3489,401l3544,351m3544,351l3599,368m3599,368l3654,303m3654,303l3699,236m3699,236l3756,203e" filled="false" stroked="true" strokeweight="1pt" strokecolor="#008360">
              <v:path arrowok="t"/>
              <v:stroke dashstyle="solid"/>
            </v:shape>
            <v:line style="position:absolute" from="3746,204" to="3821,204" stroked="true" strokeweight="1.125pt" strokecolor="#008360">
              <v:stroke dashstyle="solid"/>
            </v:line>
            <v:shape style="position:absolute;left:3811;top:23;width:213;height:378" coordorigin="3811,23" coordsize="213,378" path="m3811,203l3866,156m3866,156l3911,23m3911,23l3966,401m3966,401l4024,383e" filled="false" stroked="true" strokeweight="1pt" strokecolor="#008360">
              <v:path arrowok="t"/>
              <v:stroke dashstyle="solid"/>
            </v:shape>
            <v:shape style="position:absolute;left:1146;top:-157;width:325;height:558" coordorigin="1146,-157" coordsize="325,558" path="m1146,-92l1204,8m1204,8l1259,-157m1259,-157l1304,-107m1304,-107l1359,-42m1359,-42l1414,171m1414,171l1471,401e" filled="false" stroked="true" strokeweight="1pt" strokecolor="#de0035">
              <v:path arrowok="t"/>
              <v:stroke dashstyle="solid"/>
            </v:shape>
            <v:line style="position:absolute" from="1494,-117" to="1494,411" stroked="true" strokeweight="3.25pt" strokecolor="#de0035">
              <v:stroke dashstyle="solid"/>
            </v:line>
            <v:shape style="position:absolute;left:1516;top:-107;width:223;height:393" coordorigin="1516,-107" coordsize="223,393" path="m1516,-107l1571,73m1571,73l1626,-74m1626,-74l1681,286m1681,286l1739,121e" filled="false" stroked="true" strokeweight="1pt" strokecolor="#de0035">
              <v:path arrowok="t"/>
              <v:stroke dashstyle="solid"/>
            </v:shape>
            <v:line style="position:absolute" from="1761,111" to="1761,723" stroked="true" strokeweight="3.25pt" strokecolor="#de0035">
              <v:stroke dashstyle="solid"/>
            </v:line>
            <v:shape style="position:absolute;left:1783;top:713;width:165;height:558" coordorigin="1784,713" coordsize="165,558" path="m1784,713l1839,1023m1839,1023l1894,1253m1894,1253l1949,1271e" filled="false" stroked="true" strokeweight="1pt" strokecolor="#de0035">
              <v:path arrowok="t"/>
              <v:stroke dashstyle="solid"/>
            </v:shape>
            <v:line style="position:absolute" from="1939,1272" to="2004,1272" stroked="true" strokeweight="1.125pt" strokecolor="#de0035">
              <v:stroke dashstyle="solid"/>
            </v:line>
            <v:shape style="position:absolute;left:1993;top:1238;width:268;height:1048" coordorigin="1994,1238" coordsize="268,1048" path="m1994,1271l2051,1368m2051,1368l2106,1861m2106,1861l2161,2286m2161,2286l2216,1926m2216,1926l2261,1238e" filled="false" stroked="true" strokeweight="1pt" strokecolor="#de0035">
              <v:path arrowok="t"/>
              <v:stroke dashstyle="solid"/>
            </v:shape>
            <v:line style="position:absolute" from="2251,1239" to="2329,1239" stroked="true" strokeweight="1.125pt" strokecolor="#de0035">
              <v:stroke dashstyle="solid"/>
            </v:line>
            <v:line style="position:absolute" from="2346,1228" to="2346,1853" stroked="true" strokeweight="3.75pt" strokecolor="#de0035">
              <v:stroke dashstyle="solid"/>
            </v:line>
            <v:shape style="position:absolute;left:2373;top:1548;width:323;height:460" coordorigin="2374,1548" coordsize="323,460" path="m2374,1843l2429,1828m2429,1828l2474,1861m2474,1861l2529,1893m2529,1893l2586,2008m2586,2008l2696,1548e" filled="false" stroked="true" strokeweight="1pt" strokecolor="#de0035">
              <v:path arrowok="t"/>
              <v:stroke dashstyle="solid"/>
            </v:shape>
            <v:shape style="position:absolute;left:2686;top:948;width:545;height:693" type="#_x0000_t75" stroked="false">
              <v:imagedata r:id="rId59" o:title=""/>
            </v:shape>
            <v:line style="position:absolute" from="3249,1081" to="3249,1691" stroked="true" strokeweight="3.75pt" strokecolor="#de0035">
              <v:stroke dashstyle="solid"/>
            </v:line>
            <v:shape style="position:absolute;left:3276;top:958;width:748;height:1378" coordorigin="3276,958" coordsize="748,1378" path="m3276,1681l3331,1843m3331,1843l3386,1386m3386,1386l3431,1106m3431,1106l3489,958m3489,958l3544,1221m3544,1221l3599,1203m3599,1203l3654,1418m3654,1418l3699,1501m3699,1501l3756,1466m3756,1466l3811,1663m3811,1663l3866,2008m3866,2008l3911,2336m3911,2336l3966,1566m3966,1566l4024,1418e" filled="false" stroked="true" strokeweight="1pt" strokecolor="#de0035">
              <v:path arrowok="t"/>
              <v:stroke dashstyle="solid"/>
            </v:shape>
            <v:shape style="position:absolute;left:1136;top:82;width:3050;height:2295" coordorigin="1136,82" coordsize="3050,2295" path="m1139,2377l4045,2377m1136,2309l1136,2377m1780,2309l1780,2377m2423,2309l2423,2377m3066,2309l3066,2377m3710,2309l3710,2377m4099,82l4186,82m4099,1803l4186,1803m4099,1229l4186,1229m4099,2376l4186,2376e" filled="false" stroked="true" strokeweight=".5pt" strokecolor="#000000">
              <v:path arrowok="t"/>
              <v:stroke dashstyle="solid"/>
            </v:shape>
            <v:shape style="position:absolute;left:2358;top:-85;width:1543;height:254" type="#_x0000_t202" filled="false" stroked="false">
              <v:textbox inset="0,0,0,0">
                <w:txbxContent>
                  <w:p>
                    <w:pPr>
                      <w:spacing w:line="208" w:lineRule="auto" w:before="9"/>
                      <w:ind w:left="60" w:right="18" w:hanging="60"/>
                      <w:jc w:val="left"/>
                      <w:rPr>
                        <w:sz w:val="12"/>
                      </w:rPr>
                    </w:pPr>
                    <w:r>
                      <w:rPr>
                        <w:sz w:val="12"/>
                      </w:rPr>
                      <w:t>Sterling effective exchange rate (right-hand scale)</w:t>
                    </w:r>
                  </w:p>
                </w:txbxContent>
              </v:textbox>
              <w10:wrap type="none"/>
            </v:shape>
            <v:shape style="position:absolute;left:2638;top:1924;width:867;height:254" type="#_x0000_t202" filled="false" stroked="false">
              <v:textbox inset="0,0,0,0">
                <w:txbxContent>
                  <w:p>
                    <w:pPr>
                      <w:spacing w:line="208" w:lineRule="auto" w:before="9"/>
                      <w:ind w:left="30" w:right="18" w:hanging="30"/>
                      <w:jc w:val="left"/>
                      <w:rPr>
                        <w:sz w:val="12"/>
                      </w:rPr>
                    </w:pPr>
                    <w:r>
                      <w:rPr>
                        <w:sz w:val="12"/>
                      </w:rPr>
                      <w:t>Risk premium (a) (left-hand scale)</w:t>
                    </w:r>
                  </w:p>
                </w:txbxContent>
              </v:textbox>
              <w10:wrap type="none"/>
            </v:shape>
            <w10:wrap type="none"/>
          </v:group>
        </w:pict>
      </w:r>
      <w:r>
        <w:rPr/>
        <w:pict>
          <v:line style="position:absolute;mso-position-horizontal-relative:page;mso-position-vertical-relative:paragraph;z-index:15877120" from="48.292999pt,4.544904pt" to="52.625999pt,4.544904pt" stroked="true" strokeweight=".5pt" strokecolor="#000000">
            <v:stroke dashstyle="solid"/>
            <w10:wrap type="none"/>
          </v:line>
        </w:pict>
      </w:r>
      <w:r>
        <w:rPr>
          <w:sz w:val="12"/>
        </w:rPr>
        <w:t>1</w:t>
      </w:r>
    </w:p>
    <w:p>
      <w:pPr>
        <w:pStyle w:val="BodyText"/>
        <w:rPr>
          <w:sz w:val="12"/>
        </w:rPr>
      </w:pPr>
    </w:p>
    <w:p>
      <w:pPr>
        <w:spacing w:before="94"/>
        <w:ind w:left="266" w:right="0" w:firstLine="0"/>
        <w:jc w:val="left"/>
        <w:rPr>
          <w:sz w:val="16"/>
        </w:rPr>
      </w:pPr>
      <w:r>
        <w:rPr>
          <w:sz w:val="16"/>
        </w:rPr>
        <w:t>+</w:t>
      </w:r>
    </w:p>
    <w:p>
      <w:pPr>
        <w:spacing w:line="127" w:lineRule="exact" w:before="20"/>
        <w:ind w:left="222" w:right="0" w:firstLine="0"/>
        <w:jc w:val="left"/>
        <w:rPr>
          <w:sz w:val="12"/>
        </w:rPr>
      </w:pPr>
      <w:r>
        <w:rPr/>
        <w:pict>
          <v:line style="position:absolute;mso-position-horizontal-relative:page;mso-position-vertical-relative:paragraph;z-index:15877632" from="48.292999pt,5.515105pt" to="52.625999pt,5.515105pt" stroked="true" strokeweight=".5pt" strokecolor="#000000">
            <v:stroke dashstyle="solid"/>
            <w10:wrap type="none"/>
          </v:line>
        </w:pict>
      </w:r>
      <w:r>
        <w:rPr>
          <w:sz w:val="12"/>
        </w:rPr>
        <w:t>0</w:t>
      </w:r>
    </w:p>
    <w:p>
      <w:pPr>
        <w:spacing w:line="173" w:lineRule="exact" w:before="0"/>
        <w:ind w:left="285" w:right="0" w:firstLine="0"/>
        <w:jc w:val="left"/>
        <w:rPr>
          <w:sz w:val="16"/>
        </w:rPr>
      </w:pPr>
      <w:r>
        <w:rPr>
          <w:sz w:val="16"/>
        </w:rPr>
        <w:t>_</w:t>
      </w:r>
    </w:p>
    <w:p>
      <w:pPr>
        <w:pStyle w:val="BodyText"/>
        <w:spacing w:before="9"/>
        <w:rPr>
          <w:sz w:val="23"/>
        </w:rPr>
      </w:pPr>
    </w:p>
    <w:p>
      <w:pPr>
        <w:spacing w:before="0"/>
        <w:ind w:left="222" w:right="0" w:firstLine="0"/>
        <w:jc w:val="left"/>
        <w:rPr>
          <w:sz w:val="12"/>
        </w:rPr>
      </w:pPr>
      <w:r>
        <w:rPr/>
        <w:pict>
          <v:line style="position:absolute;mso-position-horizontal-relative:page;mso-position-vertical-relative:paragraph;z-index:15878656" from="48.292999pt,4.486291pt" to="52.625999pt,4.486291pt" stroked="true" strokeweight=".5pt" strokecolor="#000000">
            <v:stroke dashstyle="solid"/>
            <w10:wrap type="none"/>
          </v:line>
        </w:pict>
      </w:r>
      <w:r>
        <w:rPr>
          <w:sz w:val="12"/>
        </w:rPr>
        <w:t>1</w:t>
      </w:r>
    </w:p>
    <w:p>
      <w:pPr>
        <w:pStyle w:val="BodyText"/>
        <w:rPr>
          <w:sz w:val="12"/>
        </w:rPr>
      </w:pPr>
    </w:p>
    <w:p>
      <w:pPr>
        <w:pStyle w:val="BodyText"/>
        <w:rPr>
          <w:sz w:val="12"/>
        </w:rPr>
      </w:pPr>
    </w:p>
    <w:p>
      <w:pPr>
        <w:pStyle w:val="BodyText"/>
        <w:spacing w:before="11"/>
        <w:rPr>
          <w:sz w:val="13"/>
        </w:rPr>
      </w:pPr>
    </w:p>
    <w:p>
      <w:pPr>
        <w:spacing w:before="0"/>
        <w:ind w:left="222" w:right="0" w:firstLine="0"/>
        <w:jc w:val="left"/>
        <w:rPr>
          <w:sz w:val="12"/>
        </w:rPr>
      </w:pPr>
      <w:r>
        <w:rPr/>
        <w:pict>
          <v:line style="position:absolute;mso-position-horizontal-relative:page;mso-position-vertical-relative:paragraph;z-index:15878144" from="48.292999pt,4.455897pt" to="52.625999pt,4.455897pt" stroked="true" strokeweight=".5pt" strokecolor="#000000">
            <v:stroke dashstyle="solid"/>
            <w10:wrap type="none"/>
          </v:line>
        </w:pict>
      </w:r>
      <w:r>
        <w:rPr>
          <w:sz w:val="12"/>
        </w:rPr>
        <w:t>2</w:t>
      </w:r>
    </w:p>
    <w:p>
      <w:pPr>
        <w:spacing w:line="16" w:lineRule="auto" w:before="0"/>
        <w:ind w:left="222" w:right="0" w:firstLine="0"/>
        <w:jc w:val="left"/>
        <w:rPr>
          <w:sz w:val="12"/>
        </w:rPr>
      </w:pPr>
      <w:r>
        <w:rPr/>
        <w:br w:type="column"/>
      </w:r>
      <w:r>
        <w:rPr>
          <w:sz w:val="12"/>
        </w:rPr>
        <w:t>1990 = 100</w:t>
      </w:r>
      <w:r>
        <w:rPr>
          <w:spacing w:val="-7"/>
          <w:sz w:val="12"/>
        </w:rPr>
        <w:t> </w:t>
      </w:r>
      <w:r>
        <w:rPr>
          <w:position w:val="-7"/>
          <w:sz w:val="12"/>
        </w:rPr>
        <w:t>120</w:t>
      </w:r>
    </w:p>
    <w:p>
      <w:pPr>
        <w:pStyle w:val="BodyText"/>
        <w:rPr>
          <w:sz w:val="22"/>
        </w:rPr>
      </w:pPr>
    </w:p>
    <w:p>
      <w:pPr>
        <w:pStyle w:val="BodyText"/>
        <w:spacing w:before="4"/>
      </w:pPr>
    </w:p>
    <w:p>
      <w:pPr>
        <w:spacing w:before="0"/>
        <w:ind w:left="0" w:right="38" w:firstLine="0"/>
        <w:jc w:val="right"/>
        <w:rPr>
          <w:sz w:val="12"/>
        </w:rPr>
      </w:pPr>
      <w:r>
        <w:rPr/>
        <w:pict>
          <v:line style="position:absolute;mso-position-horizontal-relative:page;mso-position-vertical-relative:paragraph;z-index:15880192" from="204.942001pt,-24.546638pt" to="209.275001pt,-24.546638pt" stroked="true" strokeweight=".5pt" strokecolor="#000000">
            <v:stroke dashstyle="solid"/>
            <w10:wrap type="none"/>
          </v:line>
        </w:pict>
      </w:r>
      <w:r>
        <w:rPr>
          <w:sz w:val="12"/>
        </w:rPr>
        <w:t>110</w:t>
      </w:r>
    </w:p>
    <w:p>
      <w:pPr>
        <w:pStyle w:val="BodyText"/>
        <w:rPr>
          <w:sz w:val="12"/>
        </w:rPr>
      </w:pPr>
    </w:p>
    <w:p>
      <w:pPr>
        <w:pStyle w:val="BodyText"/>
        <w:rPr>
          <w:sz w:val="12"/>
        </w:rPr>
      </w:pPr>
    </w:p>
    <w:p>
      <w:pPr>
        <w:pStyle w:val="BodyText"/>
        <w:spacing w:before="10"/>
        <w:rPr>
          <w:sz w:val="13"/>
        </w:rPr>
      </w:pPr>
    </w:p>
    <w:p>
      <w:pPr>
        <w:spacing w:before="1"/>
        <w:ind w:left="0" w:right="38" w:firstLine="0"/>
        <w:jc w:val="right"/>
        <w:rPr>
          <w:sz w:val="12"/>
        </w:rPr>
      </w:pPr>
      <w:r>
        <w:rPr/>
        <w:pict>
          <v:line style="position:absolute;mso-position-horizontal-relative:page;mso-position-vertical-relative:paragraph;z-index:15876608" from="204.942001pt,4.565563pt" to="209.275001pt,4.565563pt" stroked="true" strokeweight=".5pt" strokecolor="#000000">
            <v:stroke dashstyle="solid"/>
            <w10:wrap type="none"/>
          </v:line>
        </w:pict>
      </w:r>
      <w:r>
        <w:rPr>
          <w:sz w:val="12"/>
        </w:rPr>
        <w:t>100</w:t>
      </w:r>
    </w:p>
    <w:p>
      <w:pPr>
        <w:pStyle w:val="BodyText"/>
        <w:rPr>
          <w:sz w:val="12"/>
        </w:rPr>
      </w:pPr>
    </w:p>
    <w:p>
      <w:pPr>
        <w:pStyle w:val="BodyText"/>
        <w:rPr>
          <w:sz w:val="12"/>
        </w:rPr>
      </w:pPr>
    </w:p>
    <w:p>
      <w:pPr>
        <w:pStyle w:val="BodyText"/>
        <w:spacing w:before="10"/>
        <w:rPr>
          <w:sz w:val="13"/>
        </w:rPr>
      </w:pPr>
    </w:p>
    <w:p>
      <w:pPr>
        <w:spacing w:before="0"/>
        <w:ind w:left="0" w:right="38" w:firstLine="0"/>
        <w:jc w:val="right"/>
        <w:rPr>
          <w:sz w:val="12"/>
        </w:rPr>
      </w:pPr>
      <w:r>
        <w:rPr>
          <w:sz w:val="12"/>
        </w:rPr>
        <w:t>90</w:t>
      </w:r>
    </w:p>
    <w:p>
      <w:pPr>
        <w:pStyle w:val="BodyText"/>
        <w:rPr>
          <w:sz w:val="12"/>
        </w:rPr>
      </w:pPr>
    </w:p>
    <w:p>
      <w:pPr>
        <w:pStyle w:val="BodyText"/>
        <w:rPr>
          <w:sz w:val="12"/>
        </w:rPr>
      </w:pPr>
    </w:p>
    <w:p>
      <w:pPr>
        <w:pStyle w:val="BodyText"/>
        <w:spacing w:before="10"/>
        <w:rPr>
          <w:sz w:val="13"/>
        </w:rPr>
      </w:pPr>
    </w:p>
    <w:p>
      <w:pPr>
        <w:spacing w:before="1"/>
        <w:ind w:left="0" w:right="38" w:firstLine="0"/>
        <w:jc w:val="right"/>
        <w:rPr>
          <w:sz w:val="12"/>
        </w:rPr>
      </w:pPr>
      <w:r>
        <w:rPr>
          <w:sz w:val="12"/>
        </w:rPr>
        <w:t>80</w:t>
      </w:r>
    </w:p>
    <w:p>
      <w:pPr>
        <w:spacing w:before="0"/>
        <w:ind w:left="222" w:right="0" w:firstLine="0"/>
        <w:jc w:val="left"/>
        <w:rPr>
          <w:sz w:val="24"/>
        </w:rPr>
      </w:pPr>
      <w:r>
        <w:rPr/>
        <w:br w:type="column"/>
      </w:r>
      <w:r>
        <w:rPr>
          <w:sz w:val="24"/>
        </w:rPr>
        <w:t>premium.</w:t>
      </w:r>
    </w:p>
    <w:p>
      <w:pPr>
        <w:pStyle w:val="BodyText"/>
        <w:spacing w:before="10"/>
        <w:rPr>
          <w:sz w:val="24"/>
        </w:rPr>
      </w:pPr>
    </w:p>
    <w:p>
      <w:pPr>
        <w:pStyle w:val="ListParagraph"/>
        <w:numPr>
          <w:ilvl w:val="1"/>
          <w:numId w:val="3"/>
        </w:numPr>
        <w:tabs>
          <w:tab w:pos="4320" w:val="left" w:leader="none"/>
          <w:tab w:pos="4321" w:val="left" w:leader="none"/>
          <w:tab w:pos="5722" w:val="left" w:leader="none"/>
        </w:tabs>
        <w:spacing w:line="240" w:lineRule="auto" w:before="0" w:after="0"/>
        <w:ind w:left="4320" w:right="0" w:hanging="4099"/>
        <w:jc w:val="left"/>
        <w:rPr>
          <w:b/>
          <w:sz w:val="28"/>
        </w:rPr>
      </w:pPr>
      <w:r>
        <w:rPr>
          <w:b/>
          <w:color w:val="009391"/>
          <w:sz w:val="28"/>
          <w:u w:val="thick" w:color="0092C7"/>
        </w:rPr>
        <w:t>Summary</w:t>
        <w:tab/>
      </w:r>
    </w:p>
    <w:p>
      <w:pPr>
        <w:pStyle w:val="BodyText"/>
        <w:rPr>
          <w:b/>
          <w:sz w:val="24"/>
        </w:rPr>
      </w:pPr>
    </w:p>
    <w:p>
      <w:pPr>
        <w:spacing w:line="242" w:lineRule="auto" w:before="0"/>
        <w:ind w:left="222" w:right="176" w:firstLine="0"/>
        <w:jc w:val="left"/>
        <w:rPr>
          <w:sz w:val="24"/>
        </w:rPr>
      </w:pPr>
      <w:r>
        <w:rPr>
          <w:sz w:val="24"/>
        </w:rPr>
        <w:t>Narrow money growth has eased, in line with the slowdown in retail sales growth since the end of last year. Growth in household M4 and household Divisia has also weakened, and total borrowing for consumption is estimated to have slowed slightly since 1999 Q3.</w:t>
      </w:r>
    </w:p>
    <w:p>
      <w:pPr>
        <w:spacing w:before="6"/>
        <w:ind w:left="222" w:right="0" w:firstLine="0"/>
        <w:jc w:val="left"/>
        <w:rPr>
          <w:sz w:val="24"/>
        </w:rPr>
      </w:pPr>
      <w:r>
        <w:rPr>
          <w:sz w:val="24"/>
        </w:rPr>
        <w:t>House price inflation has moderated. This is consistent</w:t>
      </w:r>
    </w:p>
    <w:p>
      <w:pPr>
        <w:spacing w:after="0"/>
        <w:jc w:val="left"/>
        <w:rPr>
          <w:sz w:val="24"/>
        </w:rPr>
        <w:sectPr>
          <w:type w:val="continuous"/>
          <w:pgSz w:w="11900" w:h="16840"/>
          <w:pgMar w:top="1260" w:bottom="280" w:left="640" w:right="640"/>
          <w:cols w:num="3" w:equalWidth="0">
            <w:col w:w="756" w:space="2019"/>
            <w:col w:w="1014" w:space="974"/>
            <w:col w:w="5857"/>
          </w:cols>
        </w:sectPr>
      </w:pPr>
    </w:p>
    <w:p>
      <w:pPr>
        <w:tabs>
          <w:tab w:pos="3629" w:val="left" w:leader="none"/>
        </w:tabs>
        <w:spacing w:line="133" w:lineRule="exact" w:before="14"/>
        <w:ind w:left="222" w:right="0" w:firstLine="0"/>
        <w:jc w:val="left"/>
        <w:rPr>
          <w:sz w:val="12"/>
        </w:rPr>
      </w:pPr>
      <w:r>
        <w:rPr/>
        <w:pict>
          <v:line style="position:absolute;mso-position-horizontal-relative:page;mso-position-vertical-relative:paragraph;z-index:-23418880" from="48.292999pt,5.126489pt" to="52.625999pt,5.126489pt" stroked="true" strokeweight=".5pt" strokecolor="#000000">
            <v:stroke dashstyle="solid"/>
            <w10:wrap type="none"/>
          </v:line>
        </w:pict>
      </w:r>
      <w:r>
        <w:rPr>
          <w:sz w:val="12"/>
        </w:rPr>
        <w:t>3</w:t>
        <w:tab/>
        <w:t>70</w:t>
      </w:r>
    </w:p>
    <w:p>
      <w:pPr>
        <w:tabs>
          <w:tab w:pos="1425" w:val="left" w:leader="none"/>
          <w:tab w:pos="2070" w:val="left" w:leader="none"/>
          <w:tab w:pos="2705" w:val="left" w:leader="none"/>
          <w:tab w:pos="3130" w:val="left" w:leader="none"/>
        </w:tabs>
        <w:spacing w:line="133" w:lineRule="exact" w:before="0"/>
        <w:ind w:left="703" w:right="0" w:firstLine="0"/>
        <w:jc w:val="left"/>
        <w:rPr>
          <w:sz w:val="12"/>
        </w:rPr>
      </w:pPr>
      <w:r>
        <w:rPr>
          <w:sz w:val="12"/>
        </w:rPr>
        <w:t>1996</w:t>
        <w:tab/>
        <w:t>97</w:t>
        <w:tab/>
        <w:t>98</w:t>
        <w:tab/>
        <w:t>99</w:t>
        <w:tab/>
        <w:t>2000</w:t>
      </w:r>
    </w:p>
    <w:p>
      <w:pPr>
        <w:pStyle w:val="BodyText"/>
        <w:spacing w:before="9"/>
        <w:rPr>
          <w:sz w:val="9"/>
        </w:rPr>
      </w:pPr>
    </w:p>
    <w:p>
      <w:pPr>
        <w:spacing w:before="1"/>
        <w:ind w:left="191" w:right="0" w:firstLine="0"/>
        <w:jc w:val="left"/>
        <w:rPr>
          <w:sz w:val="12"/>
        </w:rPr>
      </w:pPr>
      <w:r>
        <w:rPr>
          <w:sz w:val="12"/>
        </w:rPr>
        <w:t>Source: Bank of England.</w:t>
      </w:r>
    </w:p>
    <w:p>
      <w:pPr>
        <w:pStyle w:val="BodyText"/>
        <w:spacing w:before="1"/>
        <w:rPr>
          <w:sz w:val="10"/>
        </w:rPr>
      </w:pPr>
    </w:p>
    <w:p>
      <w:pPr>
        <w:spacing w:line="208" w:lineRule="auto" w:before="0"/>
        <w:ind w:left="431" w:right="36" w:hanging="240"/>
        <w:jc w:val="left"/>
        <w:rPr>
          <w:sz w:val="12"/>
        </w:rPr>
      </w:pPr>
      <w:r>
        <w:rPr>
          <w:sz w:val="12"/>
        </w:rPr>
        <w:t>(a) The risk premium is the compensation that investors require, in addition to interest rate differentials, for holding a currency. It is estimated by comparing exchange rate forecasts from Consensus Economics surveys with market interest rate differentials. It is expressed as an annualised rate.</w:t>
      </w:r>
    </w:p>
    <w:p>
      <w:pPr>
        <w:spacing w:line="242" w:lineRule="auto" w:before="4"/>
        <w:ind w:left="191" w:right="486" w:firstLine="0"/>
        <w:jc w:val="left"/>
        <w:rPr>
          <w:sz w:val="24"/>
        </w:rPr>
      </w:pPr>
      <w:r>
        <w:rPr/>
        <w:br w:type="column"/>
      </w:r>
      <w:r>
        <w:rPr>
          <w:sz w:val="24"/>
        </w:rPr>
        <w:t>with a </w:t>
      </w:r>
      <w:r>
        <w:rPr>
          <w:spacing w:val="-3"/>
          <w:sz w:val="24"/>
        </w:rPr>
        <w:t>slowdown </w:t>
      </w:r>
      <w:r>
        <w:rPr>
          <w:sz w:val="24"/>
        </w:rPr>
        <w:t>in consumption growth, which may partly reflect the increase in real interest rates faced by the household sector since August 1999. Growth in</w:t>
      </w:r>
      <w:r>
        <w:rPr>
          <w:spacing w:val="-8"/>
          <w:sz w:val="24"/>
        </w:rPr>
        <w:t> </w:t>
      </w:r>
      <w:r>
        <w:rPr>
          <w:sz w:val="24"/>
        </w:rPr>
        <w:t>borrowing</w:t>
      </w:r>
      <w:r>
        <w:rPr>
          <w:spacing w:val="-7"/>
          <w:sz w:val="24"/>
        </w:rPr>
        <w:t> </w:t>
      </w:r>
      <w:r>
        <w:rPr>
          <w:sz w:val="24"/>
        </w:rPr>
        <w:t>by</w:t>
      </w:r>
      <w:r>
        <w:rPr>
          <w:spacing w:val="-7"/>
          <w:sz w:val="24"/>
        </w:rPr>
        <w:t> </w:t>
      </w:r>
      <w:r>
        <w:rPr>
          <w:sz w:val="24"/>
        </w:rPr>
        <w:t>corporates</w:t>
      </w:r>
      <w:r>
        <w:rPr>
          <w:spacing w:val="-7"/>
          <w:sz w:val="24"/>
        </w:rPr>
        <w:t> </w:t>
      </w:r>
      <w:r>
        <w:rPr>
          <w:sz w:val="24"/>
        </w:rPr>
        <w:t>has</w:t>
      </w:r>
      <w:r>
        <w:rPr>
          <w:spacing w:val="-7"/>
          <w:sz w:val="24"/>
        </w:rPr>
        <w:t> </w:t>
      </w:r>
      <w:r>
        <w:rPr>
          <w:sz w:val="24"/>
        </w:rPr>
        <w:t>picked</w:t>
      </w:r>
      <w:r>
        <w:rPr>
          <w:spacing w:val="-7"/>
          <w:sz w:val="24"/>
        </w:rPr>
        <w:t> </w:t>
      </w:r>
      <w:r>
        <w:rPr>
          <w:sz w:val="24"/>
        </w:rPr>
        <w:t>up</w:t>
      </w:r>
      <w:r>
        <w:rPr>
          <w:spacing w:val="-7"/>
          <w:sz w:val="24"/>
        </w:rPr>
        <w:t> </w:t>
      </w:r>
      <w:r>
        <w:rPr>
          <w:sz w:val="24"/>
        </w:rPr>
        <w:t>further,</w:t>
      </w:r>
      <w:r>
        <w:rPr>
          <w:spacing w:val="-6"/>
          <w:sz w:val="24"/>
        </w:rPr>
        <w:t> </w:t>
      </w:r>
      <w:r>
        <w:rPr>
          <w:sz w:val="24"/>
        </w:rPr>
        <w:t>and their borrowing has reached historically high </w:t>
      </w:r>
      <w:r>
        <w:rPr>
          <w:spacing w:val="-3"/>
          <w:sz w:val="24"/>
        </w:rPr>
        <w:t>levels </w:t>
      </w:r>
      <w:r>
        <w:rPr>
          <w:sz w:val="24"/>
        </w:rPr>
        <w:t>relative to internally generated funds. But</w:t>
      </w:r>
      <w:r>
        <w:rPr>
          <w:spacing w:val="-28"/>
          <w:sz w:val="24"/>
        </w:rPr>
        <w:t> </w:t>
      </w:r>
      <w:r>
        <w:rPr>
          <w:sz w:val="24"/>
        </w:rPr>
        <w:t>profit</w:t>
      </w:r>
    </w:p>
    <w:p>
      <w:pPr>
        <w:spacing w:line="242" w:lineRule="auto" w:before="8"/>
        <w:ind w:left="191" w:right="201" w:firstLine="0"/>
        <w:jc w:val="left"/>
        <w:rPr>
          <w:sz w:val="24"/>
        </w:rPr>
      </w:pPr>
      <w:r>
        <w:rPr>
          <w:sz w:val="24"/>
        </w:rPr>
        <w:t>expectations remain high, and share prices have risen at a slightly faster rate than was incorporated in the May </w:t>
      </w:r>
      <w:r>
        <w:rPr>
          <w:i/>
          <w:sz w:val="24"/>
        </w:rPr>
        <w:t>Report</w:t>
      </w:r>
      <w:r>
        <w:rPr>
          <w:sz w:val="24"/>
        </w:rPr>
        <w:t>.</w:t>
      </w:r>
    </w:p>
    <w:p>
      <w:pPr>
        <w:spacing w:after="0" w:line="242" w:lineRule="auto"/>
        <w:jc w:val="left"/>
        <w:rPr>
          <w:sz w:val="24"/>
        </w:rPr>
        <w:sectPr>
          <w:type w:val="continuous"/>
          <w:pgSz w:w="11900" w:h="16840"/>
          <w:pgMar w:top="1260" w:bottom="280" w:left="640" w:right="640"/>
          <w:cols w:num="2" w:equalWidth="0">
            <w:col w:w="3927" w:space="868"/>
            <w:col w:w="5825"/>
          </w:cols>
        </w:sectPr>
      </w:pPr>
    </w:p>
    <w:p>
      <w:pPr>
        <w:pStyle w:val="BodyText"/>
        <w:rPr>
          <w:sz w:val="20"/>
        </w:rPr>
      </w:pPr>
    </w:p>
    <w:p>
      <w:pPr>
        <w:spacing w:after="0"/>
        <w:rPr>
          <w:sz w:val="20"/>
        </w:rPr>
        <w:sectPr>
          <w:pgSz w:w="11900" w:h="16840"/>
          <w:pgMar w:header="586" w:footer="592" w:top="780" w:bottom="780" w:left="640" w:right="640"/>
        </w:sectPr>
      </w:pPr>
    </w:p>
    <w:p>
      <w:pPr>
        <w:pStyle w:val="BodyText"/>
        <w:spacing w:before="2"/>
        <w:rPr>
          <w:sz w:val="23"/>
        </w:rPr>
      </w:pPr>
    </w:p>
    <w:p>
      <w:pPr>
        <w:pStyle w:val="Heading6"/>
        <w:spacing w:before="0"/>
        <w:ind w:left="189"/>
      </w:pPr>
      <w:r>
        <w:rPr>
          <w:color w:val="0092C7"/>
        </w:rPr>
        <w:t>Chart 1.19</w:t>
      </w:r>
    </w:p>
    <w:p>
      <w:pPr>
        <w:pStyle w:val="Heading6"/>
        <w:spacing w:line="249" w:lineRule="auto"/>
        <w:ind w:left="189" w:right="11"/>
      </w:pPr>
      <w:r>
        <w:rPr>
          <w:color w:val="0092C7"/>
        </w:rPr>
        <w:t>Consensus survey for the sterling nominal exchange rate versus major six currencies</w:t>
      </w:r>
    </w:p>
    <w:p>
      <w:pPr>
        <w:spacing w:before="71"/>
        <w:ind w:left="2864" w:right="0" w:firstLine="0"/>
        <w:jc w:val="left"/>
        <w:rPr>
          <w:sz w:val="12"/>
        </w:rPr>
      </w:pPr>
      <w:r>
        <w:rPr/>
        <w:pict>
          <v:line style="position:absolute;mso-position-horizontal-relative:page;mso-position-vertical-relative:paragraph;z-index:15884800" from="42.356998pt,11.682202pt" to="46.689998pt,11.682202pt" stroked="true" strokeweight=".5pt" strokecolor="#000000">
            <v:stroke dashstyle="solid"/>
            <w10:wrap type="none"/>
          </v:line>
        </w:pict>
      </w:r>
      <w:r>
        <w:rPr/>
        <w:pict>
          <v:line style="position:absolute;mso-position-horizontal-relative:page;mso-position-vertical-relative:paragraph;z-index:-23410688" from="198.268997pt,11.682202pt" to="202.601997pt,11.682202pt" stroked="true" strokeweight=".5pt" strokecolor="#000000">
            <v:stroke dashstyle="solid"/>
            <w10:wrap type="none"/>
          </v:line>
        </w:pict>
      </w:r>
      <w:r>
        <w:rPr>
          <w:sz w:val="12"/>
        </w:rPr>
        <w:t>1990 = 100</w:t>
      </w:r>
      <w:r>
        <w:rPr>
          <w:spacing w:val="18"/>
          <w:sz w:val="12"/>
        </w:rPr>
        <w:t> </w:t>
      </w:r>
      <w:r>
        <w:rPr>
          <w:position w:val="-7"/>
          <w:sz w:val="12"/>
        </w:rPr>
        <w:t>110</w:t>
      </w:r>
    </w:p>
    <w:p>
      <w:pPr>
        <w:pStyle w:val="BodyText"/>
        <w:rPr>
          <w:sz w:val="20"/>
        </w:rPr>
      </w:pPr>
    </w:p>
    <w:p>
      <w:pPr>
        <w:pStyle w:val="BodyText"/>
        <w:rPr>
          <w:sz w:val="20"/>
        </w:rPr>
      </w:pPr>
    </w:p>
    <w:p>
      <w:pPr>
        <w:spacing w:before="119"/>
        <w:ind w:left="3460" w:right="0" w:firstLine="0"/>
        <w:jc w:val="left"/>
        <w:rPr>
          <w:sz w:val="12"/>
        </w:rPr>
      </w:pPr>
      <w:r>
        <w:rPr/>
        <w:pict>
          <v:group style="position:absolute;margin-left:107.470001pt;margin-top:-6.908032pt;width:87.25pt;height:34.050pt;mso-position-horizontal-relative:page;mso-position-vertical-relative:paragraph;z-index:15882240" coordorigin="2149,-138" coordsize="1745,681">
            <v:shape style="position:absolute;left:2159;top:-129;width:568;height:515" coordorigin="2159,-128" coordsize="568,515" path="m2159,-128l2444,44m2444,44l2727,387e" filled="false" stroked="true" strokeweight="1pt" strokecolor="#b3dabb">
              <v:path arrowok="t"/>
              <v:stroke dashstyle="solid"/>
            </v:shape>
            <v:line style="position:absolute" from="2717,379" to="3032,379" stroked="true" strokeweight="1.75pt" strokecolor="#b3dabb">
              <v:stroke dashstyle="solid"/>
            </v:line>
            <v:shape style="position:absolute;left:3021;top:371;width:863;height:78" coordorigin="3022,372" coordsize="863,78" path="m3022,372l3307,434m3307,434l3602,372m3602,372l3884,449e" filled="false" stroked="true" strokeweight="1pt" strokecolor="#b3dabb">
              <v:path arrowok="t"/>
              <v:stroke dashstyle="solid"/>
            </v:shape>
            <v:shape style="position:absolute;left:2159;top:-66;width:1148;height:438" coordorigin="2159,-66" coordsize="1148,438" path="m2159,-66l2444,152m2444,152l2727,214m3022,232l3307,372e" filled="false" stroked="true" strokeweight="1pt" strokecolor="#972140">
              <v:path arrowok="t"/>
              <v:stroke dashstyle="solid"/>
            </v:shape>
            <v:line style="position:absolute" from="3297,387" to="3612,387" stroked="true" strokeweight="2.5pt" strokecolor="#972140">
              <v:stroke dashstyle="solid"/>
            </v:line>
            <v:line style="position:absolute" from="3602,402" to="3884,434" stroked="true" strokeweight="1pt" strokecolor="#972140">
              <v:stroke dashstyle="solid"/>
            </v:line>
            <v:shape style="position:absolute;left:2149;top:-139;width:1745;height:681" type="#_x0000_t202" filled="false" stroked="false">
              <v:textbox inset="0,0,0,0">
                <w:txbxContent>
                  <w:p>
                    <w:pPr>
                      <w:spacing w:line="240" w:lineRule="auto" w:before="7"/>
                      <w:rPr>
                        <w:sz w:val="17"/>
                      </w:rPr>
                    </w:pPr>
                  </w:p>
                  <w:p>
                    <w:pPr>
                      <w:spacing w:before="0"/>
                      <w:ind w:left="567" w:right="0" w:firstLine="0"/>
                      <w:jc w:val="left"/>
                      <w:rPr>
                        <w:sz w:val="12"/>
                      </w:rPr>
                    </w:pPr>
                    <w:r>
                      <w:rPr>
                        <w:sz w:val="12"/>
                        <w:u w:val="thick" w:color="972140"/>
                      </w:rPr>
                      <w:t>      Jun</w:t>
                    </w:r>
                    <w:r>
                      <w:rPr>
                        <w:sz w:val="12"/>
                      </w:rPr>
                      <w:t>e 2000</w:t>
                    </w:r>
                  </w:p>
                  <w:p>
                    <w:pPr>
                      <w:spacing w:line="240" w:lineRule="auto" w:before="6"/>
                      <w:rPr>
                        <w:sz w:val="17"/>
                      </w:rPr>
                    </w:pPr>
                  </w:p>
                  <w:p>
                    <w:pPr>
                      <w:spacing w:before="0"/>
                      <w:ind w:left="169" w:right="0" w:firstLine="0"/>
                      <w:jc w:val="left"/>
                      <w:rPr>
                        <w:sz w:val="12"/>
                      </w:rPr>
                    </w:pPr>
                    <w:r>
                      <w:rPr>
                        <w:sz w:val="12"/>
                      </w:rPr>
                      <w:t>February 2000</w:t>
                    </w:r>
                  </w:p>
                </w:txbxContent>
              </v:textbox>
              <w10:wrap type="none"/>
            </v:shape>
            <w10:wrap type="none"/>
          </v:group>
        </w:pict>
      </w:r>
      <w:r>
        <w:rPr/>
        <w:pict>
          <v:line style="position:absolute;mso-position-horizontal-relative:page;mso-position-vertical-relative:paragraph;z-index:15882752" from="42.356998pt,10.310967pt" to="46.689998pt,10.310967pt" stroked="true" strokeweight=".5pt" strokecolor="#000000">
            <v:stroke dashstyle="solid"/>
            <w10:wrap type="none"/>
          </v:line>
        </w:pict>
      </w:r>
      <w:r>
        <w:rPr/>
        <w:pict>
          <v:line style="position:absolute;mso-position-horizontal-relative:page;mso-position-vertical-relative:paragraph;z-index:15885312" from="198.268997pt,10.310967pt" to="202.601997pt,10.310967pt" stroked="true" strokeweight=".5pt" strokecolor="#000000">
            <v:stroke dashstyle="solid"/>
            <w10:wrap type="none"/>
          </v:line>
        </w:pict>
      </w:r>
      <w:r>
        <w:rPr>
          <w:sz w:val="12"/>
        </w:rPr>
        <w:t>100</w:t>
      </w:r>
    </w:p>
    <w:p>
      <w:pPr>
        <w:pStyle w:val="BodyText"/>
        <w:rPr>
          <w:sz w:val="12"/>
        </w:rPr>
      </w:pPr>
    </w:p>
    <w:p>
      <w:pPr>
        <w:pStyle w:val="BodyText"/>
        <w:rPr>
          <w:sz w:val="12"/>
        </w:rPr>
      </w:pPr>
    </w:p>
    <w:p>
      <w:pPr>
        <w:pStyle w:val="BodyText"/>
        <w:rPr>
          <w:sz w:val="12"/>
        </w:rPr>
      </w:pPr>
    </w:p>
    <w:p>
      <w:pPr>
        <w:pStyle w:val="BodyText"/>
        <w:spacing w:before="9"/>
        <w:rPr>
          <w:sz w:val="14"/>
        </w:rPr>
      </w:pPr>
    </w:p>
    <w:p>
      <w:pPr>
        <w:spacing w:before="0"/>
        <w:ind w:left="3520" w:right="0" w:firstLine="0"/>
        <w:jc w:val="left"/>
        <w:rPr>
          <w:sz w:val="12"/>
        </w:rPr>
      </w:pPr>
      <w:r>
        <w:rPr/>
        <w:pict>
          <v:line style="position:absolute;mso-position-horizontal-relative:page;mso-position-vertical-relative:paragraph;z-index:15883776" from="42.356998pt,4.36095pt" to="46.689998pt,4.36095pt" stroked="true" strokeweight=".5pt" strokecolor="#000000">
            <v:stroke dashstyle="solid"/>
            <w10:wrap type="none"/>
          </v:line>
        </w:pict>
      </w:r>
      <w:r>
        <w:rPr/>
        <w:pict>
          <v:line style="position:absolute;mso-position-horizontal-relative:page;mso-position-vertical-relative:paragraph;z-index:15886336" from="198.268997pt,4.36095pt" to="202.601997pt,4.36095pt" stroked="true" strokeweight=".5pt" strokecolor="#000000">
            <v:stroke dashstyle="solid"/>
            <w10:wrap type="none"/>
          </v:line>
        </w:pict>
      </w:r>
      <w:r>
        <w:rPr>
          <w:sz w:val="12"/>
        </w:rPr>
        <w:t>90</w:t>
      </w:r>
    </w:p>
    <w:p>
      <w:pPr>
        <w:pStyle w:val="BodyText"/>
        <w:spacing w:before="7"/>
        <w:rPr>
          <w:sz w:val="20"/>
        </w:rPr>
      </w:pPr>
      <w:r>
        <w:rPr/>
        <w:br w:type="column"/>
      </w:r>
      <w:r>
        <w:rPr>
          <w:sz w:val="20"/>
        </w:rPr>
      </w:r>
    </w:p>
    <w:p>
      <w:pPr>
        <w:spacing w:line="242" w:lineRule="auto" w:before="0"/>
        <w:ind w:left="189" w:right="161" w:firstLine="0"/>
        <w:jc w:val="left"/>
        <w:rPr>
          <w:sz w:val="24"/>
        </w:rPr>
      </w:pPr>
      <w:r>
        <w:rPr>
          <w:sz w:val="24"/>
        </w:rPr>
        <w:t>Sterling has depreciated significantly since the May </w:t>
      </w:r>
      <w:r>
        <w:rPr>
          <w:i/>
          <w:sz w:val="24"/>
        </w:rPr>
        <w:t>Report</w:t>
      </w:r>
      <w:r>
        <w:rPr>
          <w:sz w:val="24"/>
        </w:rPr>
        <w:t>. The depreciation cannot be explained by revised views about future interest rates in the United Kingdom relative to overseas. Survey evidence suggests that an increase in the sterling relative risk premium may be one contributory factor. The depreciation does not appear to have been associated with any change in the market’s perception of the exchange rate likely to prevail in five years’ time.</w:t>
      </w:r>
    </w:p>
    <w:p>
      <w:pPr>
        <w:spacing w:after="0" w:line="242" w:lineRule="auto"/>
        <w:jc w:val="left"/>
        <w:rPr>
          <w:sz w:val="24"/>
        </w:rPr>
        <w:sectPr>
          <w:type w:val="continuous"/>
          <w:pgSz w:w="11900" w:h="16840"/>
          <w:pgMar w:top="1260" w:bottom="280" w:left="640" w:right="640"/>
          <w:cols w:num="2" w:equalWidth="0">
            <w:col w:w="3804" w:space="987"/>
            <w:col w:w="5829"/>
          </w:cols>
        </w:sectPr>
      </w:pPr>
    </w:p>
    <w:p>
      <w:pPr>
        <w:pStyle w:val="BodyText"/>
        <w:spacing w:before="5" w:after="1"/>
        <w:rPr>
          <w:sz w:val="23"/>
        </w:rPr>
      </w:pPr>
    </w:p>
    <w:p>
      <w:pPr>
        <w:pStyle w:val="BodyText"/>
        <w:ind w:left="354"/>
        <w:rPr>
          <w:sz w:val="20"/>
        </w:rPr>
      </w:pPr>
      <w:r>
        <w:rPr>
          <w:sz w:val="20"/>
        </w:rPr>
        <w:pict>
          <v:group style="width:87.15pt;height:13.95pt;mso-position-horizontal-relative:char;mso-position-vertical-relative:line" coordorigin="0,0" coordsize="1743,279">
            <v:shape style="position:absolute;left:10;top:10;width:578;height:95" coordorigin="10,10" coordsize="578,95" path="m10,10l293,58m293,58l588,105e" filled="false" stroked="true" strokeweight="1pt" strokecolor="#a64991">
              <v:path arrowok="t"/>
              <v:stroke dashstyle="solid"/>
            </v:shape>
            <v:line style="position:absolute" from="578,96" to="883,96" stroked="true" strokeweight="1.875pt" strokecolor="#a64991">
              <v:stroke dashstyle="solid"/>
            </v:line>
            <v:shape style="position:absolute;left:872;top:87;width:860;height:110" coordorigin="873,88" coordsize="860,110" path="m873,88l1165,135m1165,135l1450,138m1450,135l1733,198e" filled="false" stroked="true" strokeweight="1pt" strokecolor="#a64991">
              <v:path arrowok="t"/>
              <v:stroke dashstyle="solid"/>
            </v:shape>
            <v:shape style="position:absolute;left:0;top:0;width:1743;height:279" type="#_x0000_t202" filled="false" stroked="false">
              <v:textbox inset="0,0,0,0">
                <w:txbxContent>
                  <w:p>
                    <w:pPr>
                      <w:spacing w:line="240" w:lineRule="auto" w:before="2"/>
                      <w:rPr>
                        <w:sz w:val="12"/>
                      </w:rPr>
                    </w:pPr>
                  </w:p>
                  <w:p>
                    <w:pPr>
                      <w:spacing w:before="0"/>
                      <w:ind w:left="360" w:right="0" w:firstLine="0"/>
                      <w:jc w:val="left"/>
                      <w:rPr>
                        <w:sz w:val="12"/>
                      </w:rPr>
                    </w:pPr>
                    <w:r>
                      <w:rPr>
                        <w:sz w:val="12"/>
                      </w:rPr>
                      <w:t>June 1996</w:t>
                    </w:r>
                  </w:p>
                </w:txbxContent>
              </v:textbox>
              <w10:wrap type="none"/>
            </v:shape>
          </v:group>
        </w:pict>
      </w:r>
      <w:r>
        <w:rPr>
          <w:sz w:val="20"/>
        </w:rPr>
      </w:r>
    </w:p>
    <w:p>
      <w:pPr>
        <w:spacing w:line="119" w:lineRule="exact" w:before="0"/>
        <w:ind w:left="3520" w:right="0" w:firstLine="0"/>
        <w:jc w:val="left"/>
        <w:rPr>
          <w:sz w:val="12"/>
        </w:rPr>
      </w:pPr>
      <w:r>
        <w:rPr/>
        <w:pict>
          <v:line style="position:absolute;mso-position-horizontal-relative:page;mso-position-vertical-relative:paragraph;z-index:15883264" from="42.356998pt,3.406pt" to="46.689998pt,3.406pt" stroked="true" strokeweight=".5pt" strokecolor="#000000">
            <v:stroke dashstyle="solid"/>
            <w10:wrap type="none"/>
          </v:line>
        </w:pict>
      </w:r>
      <w:r>
        <w:rPr/>
        <w:pict>
          <v:line style="position:absolute;mso-position-horizontal-relative:page;mso-position-vertical-relative:paragraph;z-index:15885824" from="198.268997pt,3.406pt" to="202.601997pt,3.406pt" stroked="true" strokeweight=".5pt" strokecolor="#000000">
            <v:stroke dashstyle="solid"/>
            <w10:wrap type="none"/>
          </v:line>
        </w:pict>
      </w:r>
      <w:r>
        <w:rPr>
          <w:sz w:val="12"/>
        </w:rPr>
        <w:t>80</w:t>
      </w:r>
    </w:p>
    <w:p>
      <w:pPr>
        <w:pStyle w:val="BodyText"/>
        <w:rPr>
          <w:sz w:val="20"/>
        </w:rPr>
      </w:pPr>
    </w:p>
    <w:p>
      <w:pPr>
        <w:pStyle w:val="BodyText"/>
        <w:spacing w:before="6"/>
        <w:rPr>
          <w:sz w:val="22"/>
        </w:rPr>
      </w:pPr>
    </w:p>
    <w:p>
      <w:pPr>
        <w:spacing w:line="129" w:lineRule="exact" w:before="95"/>
        <w:ind w:left="3520" w:right="0" w:firstLine="0"/>
        <w:jc w:val="left"/>
        <w:rPr>
          <w:sz w:val="12"/>
        </w:rPr>
      </w:pPr>
      <w:r>
        <w:rPr/>
        <w:pict>
          <v:line style="position:absolute;mso-position-horizontal-relative:page;mso-position-vertical-relative:paragraph;z-index:15884288" from="41.348pt,9.110535pt" to="45.681pt,9.110535pt" stroked="true" strokeweight=".5pt" strokecolor="#000000">
            <v:stroke dashstyle="solid"/>
            <w10:wrap type="none"/>
          </v:line>
        </w:pict>
      </w:r>
      <w:r>
        <w:rPr/>
        <w:pict>
          <v:shape style="position:absolute;margin-left:50.096001pt;margin-top:5.755535pt;width:152.550pt;height:3.4pt;mso-position-horizontal-relative:page;mso-position-vertical-relative:paragraph;z-index:15886848" coordorigin="1002,115" coordsize="3051,68" path="m3965,182l4052,182m1004,182l3898,182m1002,115l1002,182m1291,115l1291,182m1580,115l1580,182m1869,115l1869,182m2158,115l2158,182m2735,115l2735,182m3313,115l3313,182m2447,115l2447,182m3024,115l3024,182m3602,115l3602,182m3891,115l3891,182e" filled="false" stroked="true" strokeweight=".5pt" strokecolor="#000000">
            <v:path arrowok="t"/>
            <v:stroke dashstyle="solid"/>
            <w10:wrap type="none"/>
          </v:shape>
        </w:pict>
      </w:r>
      <w:r>
        <w:rPr>
          <w:sz w:val="12"/>
        </w:rPr>
        <w:t>70</w:t>
      </w:r>
    </w:p>
    <w:p>
      <w:pPr>
        <w:tabs>
          <w:tab w:pos="1031" w:val="left" w:leader="none"/>
          <w:tab w:pos="1539" w:val="left" w:leader="none"/>
          <w:tab w:pos="2179" w:val="left" w:leader="none"/>
          <w:tab w:pos="2767" w:val="left" w:leader="none"/>
          <w:tab w:pos="3229" w:val="left" w:leader="none"/>
        </w:tabs>
        <w:spacing w:line="129" w:lineRule="exact" w:before="0"/>
        <w:ind w:left="380" w:right="0" w:firstLine="0"/>
        <w:jc w:val="left"/>
        <w:rPr>
          <w:sz w:val="12"/>
        </w:rPr>
      </w:pPr>
      <w:r>
        <w:rPr>
          <w:sz w:val="12"/>
        </w:rPr>
        <w:t>1996</w:t>
        <w:tab/>
        <w:t>98</w:t>
        <w:tab/>
        <w:t>2000</w:t>
        <w:tab/>
        <w:t>02</w:t>
        <w:tab/>
        <w:t>04</w:t>
        <w:tab/>
        <w:t>06</w:t>
      </w:r>
    </w:p>
    <w:p>
      <w:pPr>
        <w:spacing w:before="97"/>
        <w:ind w:left="180" w:right="0" w:firstLine="0"/>
        <w:jc w:val="left"/>
        <w:rPr>
          <w:sz w:val="12"/>
        </w:rPr>
      </w:pPr>
      <w:r>
        <w:rPr>
          <w:sz w:val="12"/>
        </w:rPr>
        <w:t>Source: Consensus Economics.</w:t>
      </w:r>
    </w:p>
    <w:p>
      <w:pPr>
        <w:spacing w:after="0"/>
        <w:jc w:val="left"/>
        <w:rPr>
          <w:sz w:val="12"/>
        </w:rPr>
        <w:sectPr>
          <w:type w:val="continuous"/>
          <w:pgSz w:w="11900" w:h="16840"/>
          <w:pgMar w:top="1260" w:bottom="280" w:left="640" w:right="64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rPr>
          <w:sz w:val="20"/>
        </w:rPr>
      </w:pPr>
    </w:p>
    <w:p>
      <w:pPr>
        <w:pStyle w:val="BodyText"/>
        <w:spacing w:before="9"/>
      </w:pPr>
      <w:r>
        <w:rPr/>
        <w:pict>
          <v:shape style="position:absolute;margin-left:40pt;margin-top:12.000977pt;width:516pt;height:48pt;mso-position-horizontal-relative:page;mso-position-vertical-relative:paragraph;z-index:-15568896;mso-wrap-distance-left:0;mso-wrap-distance-right:0" type="#_x0000_t202" filled="true" fillcolor="#cee2e0" stroked="false">
            <v:textbox inset="0,0,0,0">
              <w:txbxContent>
                <w:p>
                  <w:pPr>
                    <w:tabs>
                      <w:tab w:pos="10099" w:val="right" w:leader="none"/>
                    </w:tabs>
                    <w:spacing w:before="51"/>
                    <w:ind w:left="260" w:right="0" w:firstLine="0"/>
                    <w:jc w:val="left"/>
                    <w:rPr>
                      <w:b/>
                      <w:sz w:val="72"/>
                    </w:rPr>
                  </w:pPr>
                  <w:bookmarkStart w:name="Demand and output" w:id="28"/>
                  <w:bookmarkEnd w:id="28"/>
                  <w:r>
                    <w:rPr/>
                  </w:r>
                  <w:bookmarkStart w:name="External demand" w:id="29"/>
                  <w:bookmarkEnd w:id="29"/>
                  <w:r>
                    <w:rPr/>
                  </w:r>
                  <w:bookmarkStart w:name="_bookmark10" w:id="30"/>
                  <w:bookmarkEnd w:id="30"/>
                  <w:r>
                    <w:rPr/>
                  </w:r>
                  <w:r>
                    <w:rPr>
                      <w:b/>
                      <w:color w:val="009391"/>
                      <w:sz w:val="48"/>
                    </w:rPr>
                    <w:t>Demand</w:t>
                  </w:r>
                  <w:r>
                    <w:rPr>
                      <w:b/>
                      <w:color w:val="009391"/>
                      <w:spacing w:val="-2"/>
                      <w:sz w:val="48"/>
                    </w:rPr>
                    <w:t> </w:t>
                  </w:r>
                  <w:r>
                    <w:rPr>
                      <w:b/>
                      <w:color w:val="009391"/>
                      <w:sz w:val="48"/>
                    </w:rPr>
                    <w:t>and</w:t>
                  </w:r>
                  <w:r>
                    <w:rPr>
                      <w:b/>
                      <w:color w:val="009391"/>
                      <w:spacing w:val="-1"/>
                      <w:sz w:val="48"/>
                    </w:rPr>
                    <w:t> </w:t>
                  </w:r>
                  <w:r>
                    <w:rPr>
                      <w:b/>
                      <w:color w:val="009391"/>
                      <w:sz w:val="48"/>
                    </w:rPr>
                    <w:t>output</w:t>
                    <w:tab/>
                  </w:r>
                  <w:r>
                    <w:rPr>
                      <w:b/>
                      <w:color w:val="009391"/>
                      <w:sz w:val="72"/>
                    </w:rPr>
                    <w:t>2</w:t>
                  </w:r>
                </w:p>
              </w:txbxContent>
            </v:textbox>
            <v:fill type="solid"/>
            <w10:wrap type="topAndBottom"/>
          </v:shape>
        </w:pict>
      </w:r>
    </w:p>
    <w:p>
      <w:pPr>
        <w:pStyle w:val="BodyText"/>
        <w:rPr>
          <w:sz w:val="20"/>
        </w:rPr>
      </w:pPr>
    </w:p>
    <w:p>
      <w:pPr>
        <w:pStyle w:val="BodyText"/>
        <w:rPr>
          <w:sz w:val="20"/>
        </w:rPr>
      </w:pPr>
    </w:p>
    <w:p>
      <w:pPr>
        <w:pStyle w:val="BodyText"/>
        <w:spacing w:before="8"/>
        <w:rPr>
          <w:sz w:val="20"/>
        </w:rPr>
      </w:pPr>
    </w:p>
    <w:p>
      <w:pPr>
        <w:spacing w:line="242" w:lineRule="auto" w:before="0"/>
        <w:ind w:left="4980" w:right="186" w:firstLine="0"/>
        <w:jc w:val="left"/>
        <w:rPr>
          <w:sz w:val="24"/>
        </w:rPr>
      </w:pPr>
      <w:r>
        <w:rPr>
          <w:sz w:val="24"/>
        </w:rPr>
        <w:t>The preliminary estimate is that real GDP rose by 0.9% in 2000 Q2 on a quarter </w:t>
      </w:r>
      <w:r>
        <w:rPr>
          <w:spacing w:val="-3"/>
          <w:sz w:val="24"/>
        </w:rPr>
        <w:t>earlier. </w:t>
      </w:r>
      <w:r>
        <w:rPr>
          <w:sz w:val="24"/>
        </w:rPr>
        <w:t>Growth in the first quarter was somewhat </w:t>
      </w:r>
      <w:r>
        <w:rPr>
          <w:spacing w:val="-3"/>
          <w:sz w:val="24"/>
        </w:rPr>
        <w:t>weaker, </w:t>
      </w:r>
      <w:r>
        <w:rPr>
          <w:sz w:val="24"/>
        </w:rPr>
        <w:t>at 0.5%, reflecting much slower domestic demand growth following exceptional strength in the run-up to the </w:t>
      </w:r>
      <w:r>
        <w:rPr>
          <w:spacing w:val="-3"/>
          <w:sz w:val="24"/>
        </w:rPr>
        <w:t>new </w:t>
      </w:r>
      <w:r>
        <w:rPr>
          <w:sz w:val="24"/>
        </w:rPr>
        <w:t>millennium. </w:t>
      </w:r>
      <w:r>
        <w:rPr>
          <w:spacing w:val="-4"/>
          <w:sz w:val="24"/>
        </w:rPr>
        <w:t>However, </w:t>
      </w:r>
      <w:r>
        <w:rPr>
          <w:sz w:val="24"/>
        </w:rPr>
        <w:t>revisions in the National Accounts on 29 June </w:t>
      </w:r>
      <w:r>
        <w:rPr>
          <w:spacing w:val="-3"/>
          <w:sz w:val="24"/>
        </w:rPr>
        <w:t>have </w:t>
      </w:r>
      <w:r>
        <w:rPr>
          <w:sz w:val="24"/>
        </w:rPr>
        <w:t>raised the estimated level of GDP in 2000 Q1 by 0.6%, largely due to stronger consumer spending in recent years than previously thought. Despite a possibly erratic positive contribution to growth in 2000 Q1, the net trade position has been adversely affected by the high </w:t>
      </w:r>
      <w:r>
        <w:rPr>
          <w:spacing w:val="-3"/>
          <w:sz w:val="24"/>
        </w:rPr>
        <w:t>level </w:t>
      </w:r>
      <w:r>
        <w:rPr>
          <w:sz w:val="24"/>
        </w:rPr>
        <w:t>of the exchange rate. But looking ahead, strong overseas demand and the recent fall in sterling may lessen existing imbalances between external and domestic demand.</w:t>
      </w:r>
    </w:p>
    <w:p>
      <w:pPr>
        <w:pStyle w:val="BodyText"/>
        <w:spacing w:before="3"/>
      </w:pPr>
    </w:p>
    <w:p>
      <w:pPr>
        <w:spacing w:after="0"/>
        <w:sectPr>
          <w:headerReference w:type="default" r:id="rId60"/>
          <w:footerReference w:type="default" r:id="rId61"/>
          <w:footerReference w:type="even" r:id="rId62"/>
          <w:pgSz w:w="11900" w:h="16840"/>
          <w:pgMar w:header="0" w:footer="612" w:top="800" w:bottom="800" w:left="640" w:right="640"/>
          <w:pgNumType w:start="13"/>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1"/>
        <w:rPr>
          <w:sz w:val="32"/>
        </w:rPr>
      </w:pPr>
    </w:p>
    <w:p>
      <w:pPr>
        <w:pStyle w:val="Heading6"/>
        <w:spacing w:before="0"/>
        <w:ind w:left="200"/>
      </w:pPr>
      <w:r>
        <w:rPr>
          <w:color w:val="0092C7"/>
        </w:rPr>
        <w:t>Chart 2.1</w:t>
      </w:r>
    </w:p>
    <w:p>
      <w:pPr>
        <w:pStyle w:val="Heading6"/>
        <w:spacing w:line="249" w:lineRule="auto"/>
        <w:ind w:left="200"/>
      </w:pPr>
      <w:r>
        <w:rPr/>
        <w:pict>
          <v:line style="position:absolute;mso-position-horizontal-relative:page;mso-position-vertical-relative:paragraph;z-index:-23403520" from="158.875pt,71.652924pt" to="170.75pt,67.527924pt" stroked="true" strokeweight="1pt" strokecolor="#acbc4a">
            <v:stroke dashstyle="solid"/>
            <w10:wrap type="none"/>
          </v:line>
        </w:pict>
      </w:r>
      <w:r>
        <w:rPr>
          <w:color w:val="0092C7"/>
        </w:rPr>
        <w:t>Evolution of Consensus forecasts for 2000 GDP growth</w:t>
      </w:r>
    </w:p>
    <w:p>
      <w:pPr>
        <w:pStyle w:val="BodyText"/>
        <w:spacing w:before="2"/>
        <w:rPr>
          <w:b/>
          <w:sz w:val="8"/>
        </w:rPr>
      </w:pPr>
    </w:p>
    <w:p>
      <w:pPr>
        <w:pStyle w:val="BodyText"/>
        <w:ind w:left="194" w:right="-29"/>
        <w:rPr>
          <w:sz w:val="20"/>
        </w:rPr>
      </w:pPr>
      <w:r>
        <w:rPr>
          <w:sz w:val="20"/>
        </w:rPr>
        <w:pict>
          <v:group style="width:166.25pt;height:134.35pt;mso-position-horizontal-relative:char;mso-position-vertical-relative:line" coordorigin="0,0" coordsize="3325,2687">
            <v:shape style="position:absolute;left:156;top:1812;width:2903;height:795" coordorigin="156,1813" coordsize="2903,795" path="m156,2608l401,2573m401,2573l639,2338m639,2338l886,2340m886,2338l1124,2235m1124,2235l1371,2135m1371,2135l1606,2185m1606,2185l1854,2188m1854,2185l2091,2083m2091,2083l2339,2050m2339,2050l2576,2000m2576,2000l2821,1898m2821,1898l3059,1813e" filled="false" stroked="true" strokeweight="1pt" strokecolor="#a64991">
              <v:path arrowok="t"/>
              <v:stroke dashstyle="solid"/>
            </v:shape>
            <v:shape style="position:absolute;left:156;top:1002;width:2903;height:810" coordorigin="156,1003" coordsize="2903,810" path="m156,1813l401,1763m401,1763l639,1528m639,1528l886,1530m1124,1425l1371,1323m886,1528l1124,1425m1371,1323l1606,1375m1606,1375l1854,1323m1854,1323l2091,1290m2091,1290l2339,1188m2339,1188l2576,1138m2576,1138l2821,1088m2821,1088l3059,1003e" filled="false" stroked="true" strokeweight="1pt" strokecolor="#f6bd61">
              <v:path arrowok="t"/>
              <v:stroke dashstyle="solid"/>
            </v:shape>
            <v:shape style="position:absolute;left:156;top:1137;width:1215;height:153" coordorigin="156,1138" coordsize="1215,153" path="m156,1290l401,1240m401,1240l639,1243m639,1240l886,1188m886,1188l1124,1138m1124,1138l1371,1140e" filled="false" stroked="true" strokeweight="1pt" strokecolor="#de8508">
              <v:path arrowok="t"/>
              <v:stroke dashstyle="solid"/>
            </v:shape>
            <v:shape style="position:absolute;left:156;top:850;width:1935;height:155" coordorigin="156,850" coordsize="1935,155" path="m156,850l401,853m401,850l639,953m639,953l886,955m886,953l1124,1003m1124,1003l1371,1005m1371,1003l1606,903m1606,903l1854,905m1854,903l2091,850e" filled="false" stroked="true" strokeweight="1pt" strokecolor="#acbc4a">
              <v:path arrowok="t"/>
              <v:stroke dashstyle="solid"/>
            </v:shape>
            <v:shape style="position:absolute;left:1371;top:902;width:1688;height:235" coordorigin="1371,903" coordsize="1688,235" path="m1371,1138l1606,1088m1606,1088l1854,1053m1854,1053l2091,1055m2091,1053l2339,1003m2339,1003l2576,953m2576,953l2821,955m2821,953l3059,903e" filled="false" stroked="true" strokeweight="1pt" strokecolor="#de8508">
              <v:path arrowok="t"/>
              <v:stroke dashstyle="solid"/>
            </v:shape>
            <v:shape style="position:absolute;left:156;top:192;width:2903;height:1050" coordorigin="156,193" coordsize="2903,1050" path="m156,1240l401,1243m401,1240l639,1243m639,1240l886,1138m886,1138l1124,1053m1124,1053l1371,903m1371,903l1606,800m1606,800l1854,665m1854,665l2091,480m2091,480l2339,328m2339,328l2576,243m2576,243l2821,193m2821,193l3059,243e" filled="false" stroked="true" strokeweight="1pt" strokecolor="#006caa">
              <v:path arrowok="t"/>
              <v:stroke dashstyle="solid"/>
            </v:shape>
            <v:shape style="position:absolute;left:0;top:145;width:3219;height:2378" coordorigin="0,145" coordsize="3219,2378" path="m0,621l87,621m0,1096l87,1096m0,1572l87,1572m0,2522l87,2522m0,2047l87,2047m0,145l87,145m3132,629l3218,629m3132,1105l3218,1105m3132,1580l3218,1580m3132,2055l3218,2055e" filled="false" stroked="true" strokeweight=".5pt" strokecolor="#000000">
              <v:path arrowok="t"/>
              <v:stroke dashstyle="solid"/>
            </v:shape>
            <v:shape style="position:absolute;left:1504;top:0;width:1820;height:683" type="#_x0000_t202" filled="false" stroked="false">
              <v:textbox inset="0,0,0,0">
                <w:txbxContent>
                  <w:p>
                    <w:pPr>
                      <w:spacing w:line="403" w:lineRule="auto" w:before="0"/>
                      <w:ind w:left="0" w:right="-3" w:firstLine="350"/>
                      <w:jc w:val="left"/>
                      <w:rPr>
                        <w:sz w:val="12"/>
                      </w:rPr>
                    </w:pPr>
                    <w:r>
                      <w:rPr>
                        <w:sz w:val="12"/>
                      </w:rPr>
                      <w:t>Percentage changes on 19</w:t>
                    </w:r>
                    <w:r>
                      <w:rPr>
                        <w:sz w:val="12"/>
                        <w:u w:val="single"/>
                      </w:rPr>
                      <w:t>99</w:t>
                    </w:r>
                    <w:r>
                      <w:rPr>
                        <w:sz w:val="12"/>
                      </w:rPr>
                      <w:t> </w:t>
                    </w:r>
                    <w:r>
                      <w:rPr>
                        <w:position w:val="-6"/>
                        <w:sz w:val="12"/>
                      </w:rPr>
                      <w:t>5 </w:t>
                    </w:r>
                    <w:r>
                      <w:rPr>
                        <w:sz w:val="12"/>
                      </w:rPr>
                      <w:t>United States</w:t>
                    </w:r>
                  </w:p>
                  <w:p>
                    <w:pPr>
                      <w:tabs>
                        <w:tab w:pos="843" w:val="left" w:leader="none"/>
                        <w:tab w:pos="1061" w:val="left" w:leader="none"/>
                        <w:tab w:pos="1563" w:val="left" w:leader="none"/>
                      </w:tabs>
                      <w:spacing w:before="10"/>
                      <w:ind w:left="576" w:right="0" w:firstLine="0"/>
                      <w:jc w:val="left"/>
                      <w:rPr>
                        <w:sz w:val="12"/>
                      </w:rPr>
                    </w:pPr>
                    <w:r>
                      <w:rPr>
                        <w:sz w:val="12"/>
                        <w:u w:val="thick" w:color="ACBC4A"/>
                      </w:rPr>
                      <w:t> </w:t>
                      <w:tab/>
                    </w:r>
                    <w:r>
                      <w:rPr>
                        <w:sz w:val="12"/>
                      </w:rPr>
                      <w:tab/>
                    </w:r>
                    <w:r>
                      <w:rPr>
                        <w:sz w:val="12"/>
                        <w:u w:val="thick" w:color="ACBC4A"/>
                      </w:rPr>
                      <w:t> </w:t>
                      <w:tab/>
                    </w:r>
                    <w:r>
                      <w:rPr>
                        <w:sz w:val="12"/>
                      </w:rPr>
                      <w:t>     </w:t>
                    </w:r>
                    <w:r>
                      <w:rPr>
                        <w:spacing w:val="-5"/>
                        <w:sz w:val="12"/>
                      </w:rPr>
                      <w:t> </w:t>
                    </w:r>
                    <w:r>
                      <w:rPr>
                        <w:sz w:val="12"/>
                      </w:rPr>
                      <w:t>4</w:t>
                    </w:r>
                  </w:p>
                </w:txbxContent>
              </v:textbox>
              <w10:wrap type="none"/>
            </v:shape>
            <v:shape style="position:absolute;left:274;top:695;width:717;height:134" type="#_x0000_t202" filled="false" stroked="false">
              <v:textbox inset="0,0,0,0">
                <w:txbxContent>
                  <w:p>
                    <w:pPr>
                      <w:spacing w:line="133" w:lineRule="exact" w:before="0"/>
                      <w:ind w:left="0" w:right="0" w:firstLine="0"/>
                      <w:jc w:val="left"/>
                      <w:rPr>
                        <w:sz w:val="12"/>
                      </w:rPr>
                    </w:pPr>
                    <w:r>
                      <w:rPr>
                        <w:sz w:val="12"/>
                      </w:rPr>
                      <w:t>Latin America</w:t>
                    </w:r>
                  </w:p>
                </w:txbxContent>
              </v:textbox>
              <w10:wrap type="none"/>
            </v:shape>
            <v:shape style="position:absolute;left:3244;top:1025;width:80;height:133" type="#_x0000_t202" filled="false" stroked="false">
              <v:textbox inset="0,0,0,0">
                <w:txbxContent>
                  <w:p>
                    <w:pPr>
                      <w:spacing w:line="133" w:lineRule="exact" w:before="0"/>
                      <w:ind w:left="0" w:right="0" w:firstLine="0"/>
                      <w:jc w:val="left"/>
                      <w:rPr>
                        <w:sz w:val="12"/>
                      </w:rPr>
                    </w:pPr>
                    <w:r>
                      <w:rPr>
                        <w:sz w:val="12"/>
                      </w:rPr>
                      <w:t>3</w:t>
                    </w:r>
                  </w:p>
                </w:txbxContent>
              </v:textbox>
              <w10:wrap type="none"/>
            </v:shape>
            <v:shape style="position:absolute;left:1424;top:1132;width:483;height:133" type="#_x0000_t202" filled="false" stroked="false">
              <v:textbox inset="0,0,0,0">
                <w:txbxContent>
                  <w:p>
                    <w:pPr>
                      <w:spacing w:line="133" w:lineRule="exact" w:before="0"/>
                      <w:ind w:left="0" w:right="0" w:firstLine="0"/>
                      <w:jc w:val="left"/>
                      <w:rPr>
                        <w:sz w:val="12"/>
                      </w:rPr>
                    </w:pPr>
                    <w:r>
                      <w:rPr>
                        <w:sz w:val="12"/>
                      </w:rPr>
                      <w:t>Euro area</w:t>
                    </w:r>
                  </w:p>
                </w:txbxContent>
              </v:textbox>
              <w10:wrap type="none"/>
            </v:shape>
            <v:shape style="position:absolute;left:782;top:1545;width:604;height:133" type="#_x0000_t202" filled="false" stroked="false">
              <v:textbox inset="0,0,0,0">
                <w:txbxContent>
                  <w:p>
                    <w:pPr>
                      <w:spacing w:line="133" w:lineRule="exact" w:before="0"/>
                      <w:ind w:left="0" w:right="0" w:firstLine="0"/>
                      <w:jc w:val="left"/>
                      <w:rPr>
                        <w:sz w:val="12"/>
                      </w:rPr>
                    </w:pPr>
                    <w:r>
                      <w:rPr>
                        <w:sz w:val="12"/>
                      </w:rPr>
                      <w:t>Asia Pacific</w:t>
                    </w:r>
                  </w:p>
                </w:txbxContent>
              </v:textbox>
              <w10:wrap type="none"/>
            </v:shape>
            <v:shape style="position:absolute;left:3244;top:1501;width:80;height:609" type="#_x0000_t202" filled="false" stroked="false">
              <v:textbox inset="0,0,0,0">
                <w:txbxContent>
                  <w:p>
                    <w:pPr>
                      <w:spacing w:line="133" w:lineRule="exact" w:before="0"/>
                      <w:ind w:left="0" w:right="0" w:firstLine="0"/>
                      <w:jc w:val="left"/>
                      <w:rPr>
                        <w:sz w:val="12"/>
                      </w:rPr>
                    </w:pPr>
                    <w:r>
                      <w:rPr>
                        <w:sz w:val="12"/>
                      </w:rPr>
                      <w:t>2</w:t>
                    </w:r>
                  </w:p>
                  <w:p>
                    <w:pPr>
                      <w:spacing w:line="240" w:lineRule="auto" w:before="0"/>
                      <w:rPr>
                        <w:sz w:val="12"/>
                      </w:rPr>
                    </w:pPr>
                  </w:p>
                  <w:p>
                    <w:pPr>
                      <w:spacing w:line="240" w:lineRule="auto" w:before="4"/>
                      <w:rPr>
                        <w:sz w:val="17"/>
                      </w:rPr>
                    </w:pPr>
                  </w:p>
                  <w:p>
                    <w:pPr>
                      <w:spacing w:before="0"/>
                      <w:ind w:left="0" w:right="0" w:firstLine="0"/>
                      <w:jc w:val="left"/>
                      <w:rPr>
                        <w:sz w:val="12"/>
                      </w:rPr>
                    </w:pPr>
                    <w:r>
                      <w:rPr>
                        <w:sz w:val="12"/>
                      </w:rPr>
                      <w:t>1</w:t>
                    </w:r>
                  </w:p>
                </w:txbxContent>
              </v:textbox>
              <w10:wrap type="none"/>
            </v:shape>
            <v:shape style="position:absolute;left:154;top:2271;width:3171;height:415" type="#_x0000_t202" filled="false" stroked="false">
              <v:textbox inset="0,0,0,0">
                <w:txbxContent>
                  <w:p>
                    <w:pPr>
                      <w:tabs>
                        <w:tab w:pos="2904" w:val="left" w:leader="none"/>
                      </w:tabs>
                      <w:spacing w:line="177" w:lineRule="exact" w:before="0"/>
                      <w:ind w:left="0" w:right="0" w:firstLine="0"/>
                      <w:jc w:val="left"/>
                      <w:rPr>
                        <w:sz w:val="16"/>
                      </w:rPr>
                    </w:pPr>
                    <w:r>
                      <w:rPr>
                        <w:sz w:val="16"/>
                        <w:u w:val="single"/>
                      </w:rPr>
                      <w:t> </w:t>
                      <w:tab/>
                    </w:r>
                    <w:r>
                      <w:rPr>
                        <w:sz w:val="16"/>
                      </w:rPr>
                      <w:t> </w:t>
                    </w:r>
                    <w:r>
                      <w:rPr>
                        <w:spacing w:val="-8"/>
                        <w:sz w:val="16"/>
                      </w:rPr>
                      <w:t> </w:t>
                    </w:r>
                    <w:r>
                      <w:rPr>
                        <w:spacing w:val="6"/>
                        <w:sz w:val="16"/>
                        <w:u w:val="single"/>
                      </w:rPr>
                      <w:t> </w:t>
                    </w:r>
                    <w:r>
                      <w:rPr>
                        <w:sz w:val="16"/>
                        <w:u w:val="single"/>
                      </w:rPr>
                      <w:t>+</w:t>
                    </w:r>
                  </w:p>
                  <w:p>
                    <w:pPr>
                      <w:spacing w:line="177" w:lineRule="auto" w:before="14"/>
                      <w:ind w:left="0" w:right="18" w:firstLine="0"/>
                      <w:jc w:val="right"/>
                      <w:rPr>
                        <w:sz w:val="12"/>
                      </w:rPr>
                    </w:pPr>
                    <w:r>
                      <w:rPr>
                        <w:position w:val="-8"/>
                        <w:sz w:val="16"/>
                      </w:rPr>
                      <w:t>_</w:t>
                    </w:r>
                    <w:r>
                      <w:rPr>
                        <w:sz w:val="12"/>
                      </w:rPr>
                      <w:t>0</w:t>
                    </w:r>
                  </w:p>
                </w:txbxContent>
              </v:textbox>
              <w10:wrap type="none"/>
            </v:shape>
            <v:shape style="position:absolute;left:1278;top:2184;width:294;height:133" type="#_x0000_t202" filled="false" stroked="false">
              <v:textbox inset="0,0,0,0">
                <w:txbxContent>
                  <w:p>
                    <w:pPr>
                      <w:spacing w:line="133" w:lineRule="exact" w:before="0"/>
                      <w:ind w:left="0" w:right="0" w:firstLine="0"/>
                      <w:jc w:val="left"/>
                      <w:rPr>
                        <w:sz w:val="12"/>
                      </w:rPr>
                    </w:pPr>
                    <w:r>
                      <w:rPr>
                        <w:sz w:val="12"/>
                      </w:rPr>
                      <w:t>Japan</w:t>
                    </w:r>
                  </w:p>
                </w:txbxContent>
              </v:textbox>
              <w10:wrap type="none"/>
            </v:shape>
          </v:group>
        </w:pict>
      </w:r>
      <w:r>
        <w:rPr>
          <w:sz w:val="20"/>
        </w:rPr>
      </w:r>
    </w:p>
    <w:p>
      <w:pPr>
        <w:pStyle w:val="BodyText"/>
        <w:spacing w:before="2"/>
        <w:rPr>
          <w:b/>
        </w:rPr>
      </w:pPr>
    </w:p>
    <w:p>
      <w:pPr>
        <w:spacing w:line="124" w:lineRule="exact" w:before="0"/>
        <w:ind w:left="0" w:right="38" w:firstLine="0"/>
        <w:jc w:val="right"/>
        <w:rPr>
          <w:sz w:val="12"/>
        </w:rPr>
      </w:pPr>
      <w:r>
        <w:rPr/>
        <w:pict>
          <v:shape style="position:absolute;margin-left:41.950001pt;margin-top:-2.782444pt;width:160.950pt;height:6.95pt;mso-position-horizontal-relative:page;mso-position-vertical-relative:paragraph;z-index:15895040" coordorigin="839,-56" coordsize="3219,139" path="m839,83l926,83m998,1l998,68m3971,83l4057,83m1001,83l3918,83m1241,16l1241,83m1484,16l1484,83m1727,16l1727,83m2213,16l2213,83m2700,16l2700,83m3186,16l3186,83m3672,16l3672,83m3429,16l3429,83m3915,16l3915,83m1970,16l1970,83m2457,-56l2457,83m2943,16l2943,83e" filled="false" stroked="true" strokeweight=".5pt" strokecolor="#000000">
            <v:path arrowok="t"/>
            <v:stroke dashstyle="solid"/>
            <w10:wrap type="none"/>
          </v:shape>
        </w:pict>
      </w:r>
      <w:r>
        <w:rPr>
          <w:sz w:val="12"/>
        </w:rPr>
        <w:t>1</w:t>
      </w:r>
    </w:p>
    <w:p>
      <w:pPr>
        <w:spacing w:line="242" w:lineRule="auto" w:before="90"/>
        <w:ind w:left="200" w:right="274" w:firstLine="0"/>
        <w:jc w:val="left"/>
        <w:rPr>
          <w:sz w:val="24"/>
        </w:rPr>
      </w:pPr>
      <w:r>
        <w:rPr/>
        <w:br w:type="column"/>
      </w:r>
      <w:r>
        <w:rPr>
          <w:sz w:val="24"/>
        </w:rPr>
        <w:t>In the short-to-medium term, inflation prospects will be affected by the level of nominal demand in relation to supply capacity. Annual nominal GDP growth rose to 5.8% in Q1 from 5.2% in the previous quarter. But quarterly growth decelerated to 1% from high rates in the second half of 1999.</w:t>
      </w:r>
    </w:p>
    <w:p>
      <w:pPr>
        <w:pStyle w:val="BodyText"/>
        <w:spacing w:before="2"/>
        <w:rPr>
          <w:sz w:val="25"/>
        </w:rPr>
      </w:pPr>
    </w:p>
    <w:p>
      <w:pPr>
        <w:pStyle w:val="ListParagraph"/>
        <w:numPr>
          <w:ilvl w:val="1"/>
          <w:numId w:val="11"/>
        </w:numPr>
        <w:tabs>
          <w:tab w:pos="3407" w:val="left" w:leader="none"/>
          <w:tab w:pos="3408" w:val="left" w:leader="none"/>
        </w:tabs>
        <w:spacing w:line="240" w:lineRule="auto" w:before="0" w:after="0"/>
        <w:ind w:left="3407" w:right="0" w:hanging="3208"/>
        <w:jc w:val="left"/>
        <w:rPr>
          <w:b/>
          <w:sz w:val="28"/>
        </w:rPr>
      </w:pPr>
      <w:r>
        <w:rPr>
          <w:b/>
          <w:color w:val="009391"/>
          <w:sz w:val="28"/>
        </w:rPr>
        <w:t>External</w:t>
      </w:r>
      <w:r>
        <w:rPr>
          <w:b/>
          <w:color w:val="009391"/>
          <w:spacing w:val="-4"/>
          <w:sz w:val="28"/>
        </w:rPr>
        <w:t> </w:t>
      </w:r>
      <w:r>
        <w:rPr>
          <w:b/>
          <w:color w:val="009391"/>
          <w:sz w:val="28"/>
        </w:rPr>
        <w:t>demand</w:t>
      </w:r>
    </w:p>
    <w:p>
      <w:pPr>
        <w:pStyle w:val="BodyText"/>
        <w:spacing w:line="40" w:lineRule="exact"/>
        <w:ind w:left="180"/>
        <w:rPr>
          <w:sz w:val="4"/>
        </w:rPr>
      </w:pPr>
      <w:r>
        <w:rPr>
          <w:position w:val="0"/>
          <w:sz w:val="4"/>
        </w:rPr>
        <w:pict>
          <v:group style="width:274pt;height:2pt;mso-position-horizontal-relative:char;mso-position-vertical-relative:line" coordorigin="0,0" coordsize="5480,40">
            <v:line style="position:absolute" from="0,20" to="5480,20" stroked="true" strokeweight="2pt" strokecolor="#0092c7">
              <v:stroke dashstyle="solid"/>
            </v:line>
          </v:group>
        </w:pict>
      </w:r>
      <w:r>
        <w:rPr>
          <w:position w:val="0"/>
          <w:sz w:val="4"/>
        </w:rPr>
      </w:r>
    </w:p>
    <w:p>
      <w:pPr>
        <w:spacing w:line="242" w:lineRule="auto" w:before="235"/>
        <w:ind w:left="200" w:right="165" w:firstLine="0"/>
        <w:jc w:val="left"/>
        <w:rPr>
          <w:sz w:val="24"/>
        </w:rPr>
      </w:pPr>
      <w:r>
        <w:rPr>
          <w:sz w:val="24"/>
        </w:rPr>
        <w:t>Strong world activity has raised external demand for UK goods and services </w:t>
      </w:r>
      <w:r>
        <w:rPr>
          <w:spacing w:val="-3"/>
          <w:sz w:val="24"/>
        </w:rPr>
        <w:t>over </w:t>
      </w:r>
      <w:r>
        <w:rPr>
          <w:sz w:val="24"/>
        </w:rPr>
        <w:t>the past </w:t>
      </w:r>
      <w:r>
        <w:rPr>
          <w:spacing w:val="-3"/>
          <w:sz w:val="24"/>
        </w:rPr>
        <w:t>year, </w:t>
      </w:r>
      <w:r>
        <w:rPr>
          <w:sz w:val="24"/>
        </w:rPr>
        <w:t>despite opposing effects from the high </w:t>
      </w:r>
      <w:r>
        <w:rPr>
          <w:spacing w:val="-3"/>
          <w:sz w:val="24"/>
        </w:rPr>
        <w:t>level </w:t>
      </w:r>
      <w:r>
        <w:rPr>
          <w:sz w:val="24"/>
        </w:rPr>
        <w:t>of sterling.</w:t>
      </w:r>
      <w:r>
        <w:rPr>
          <w:position w:val="5"/>
          <w:sz w:val="16"/>
        </w:rPr>
        <w:t>(1)  </w:t>
      </w:r>
      <w:r>
        <w:rPr>
          <w:sz w:val="24"/>
        </w:rPr>
        <w:t>Recent estimates point to higher world growth in 1999 than was thought three months ago, and forecasts for 2000 </w:t>
      </w:r>
      <w:r>
        <w:rPr>
          <w:spacing w:val="-3"/>
          <w:sz w:val="24"/>
        </w:rPr>
        <w:t>have </w:t>
      </w:r>
      <w:r>
        <w:rPr>
          <w:sz w:val="24"/>
        </w:rPr>
        <w:t>been revised up further (see Chart 2.1). In the United States, the pace of expansion has surprised forecasters for some time. US GDP growth was again above expectations in 2000 Q2, with output rising by 1.3% on the quarter and by 6.0% on a year </w:t>
      </w:r>
      <w:r>
        <w:rPr>
          <w:spacing w:val="-3"/>
          <w:sz w:val="24"/>
        </w:rPr>
        <w:t>earlier. </w:t>
      </w:r>
      <w:r>
        <w:rPr>
          <w:sz w:val="24"/>
        </w:rPr>
        <w:t>Although the near-term outlook is stronger, the MPC continues to expect US growth to ease in response to higher interest rates and slower growth in </w:t>
      </w:r>
      <w:r>
        <w:rPr>
          <w:spacing w:val="-3"/>
          <w:sz w:val="24"/>
        </w:rPr>
        <w:t>private </w:t>
      </w:r>
      <w:r>
        <w:rPr>
          <w:sz w:val="24"/>
        </w:rPr>
        <w:t>sector wealth.</w:t>
      </w:r>
      <w:r>
        <w:rPr>
          <w:spacing w:val="17"/>
          <w:sz w:val="24"/>
        </w:rPr>
        <w:t> </w:t>
      </w:r>
      <w:r>
        <w:rPr>
          <w:sz w:val="24"/>
        </w:rPr>
        <w:t>Indeed,</w:t>
      </w:r>
    </w:p>
    <w:p>
      <w:pPr>
        <w:spacing w:after="0" w:line="242" w:lineRule="auto"/>
        <w:jc w:val="left"/>
        <w:rPr>
          <w:sz w:val="24"/>
        </w:rPr>
        <w:sectPr>
          <w:type w:val="continuous"/>
          <w:pgSz w:w="11900" w:h="16840"/>
          <w:pgMar w:top="1260" w:bottom="280" w:left="640" w:right="640"/>
          <w:cols w:num="2" w:equalWidth="0">
            <w:col w:w="3544" w:space="1236"/>
            <w:col w:w="5840"/>
          </w:cols>
        </w:sectPr>
      </w:pPr>
    </w:p>
    <w:p>
      <w:pPr>
        <w:spacing w:line="27" w:lineRule="exact" w:before="0"/>
        <w:ind w:left="204" w:right="0" w:firstLine="0"/>
        <w:jc w:val="left"/>
        <w:rPr>
          <w:sz w:val="12"/>
        </w:rPr>
      </w:pPr>
      <w:r>
        <w:rPr>
          <w:sz w:val="12"/>
        </w:rPr>
        <w:t>Survey</w:t>
      </w:r>
    </w:p>
    <w:p>
      <w:pPr>
        <w:tabs>
          <w:tab w:pos="623" w:val="left" w:leader="none"/>
          <w:tab w:pos="1114" w:val="left" w:leader="none"/>
        </w:tabs>
        <w:spacing w:line="27" w:lineRule="exact" w:before="0"/>
        <w:ind w:left="139" w:right="0" w:firstLine="0"/>
        <w:jc w:val="left"/>
        <w:rPr>
          <w:sz w:val="12"/>
        </w:rPr>
      </w:pPr>
      <w:r>
        <w:rPr/>
        <w:br w:type="column"/>
      </w:r>
      <w:r>
        <w:rPr>
          <w:sz w:val="12"/>
        </w:rPr>
        <w:t>Sept.</w:t>
        <w:tab/>
        <w:t>Nov.</w:t>
        <w:tab/>
        <w:t>Jan.</w:t>
      </w:r>
    </w:p>
    <w:p>
      <w:pPr>
        <w:tabs>
          <w:tab w:pos="686" w:val="left" w:leader="none"/>
        </w:tabs>
        <w:spacing w:line="27" w:lineRule="exact" w:before="0"/>
        <w:ind w:left="204" w:right="0" w:firstLine="0"/>
        <w:jc w:val="left"/>
        <w:rPr>
          <w:sz w:val="12"/>
        </w:rPr>
      </w:pPr>
      <w:r>
        <w:rPr/>
        <w:br w:type="column"/>
      </w:r>
      <w:r>
        <w:rPr>
          <w:sz w:val="12"/>
        </w:rPr>
        <w:t>Mar.</w:t>
        <w:tab/>
      </w:r>
      <w:r>
        <w:rPr>
          <w:spacing w:val="-7"/>
          <w:sz w:val="12"/>
        </w:rPr>
        <w:t>May</w:t>
      </w:r>
    </w:p>
    <w:p>
      <w:pPr>
        <w:spacing w:line="27" w:lineRule="exact" w:before="0"/>
        <w:ind w:left="204" w:right="0" w:firstLine="0"/>
        <w:jc w:val="left"/>
        <w:rPr>
          <w:sz w:val="12"/>
        </w:rPr>
      </w:pPr>
      <w:r>
        <w:rPr/>
        <w:br w:type="column"/>
      </w:r>
      <w:r>
        <w:rPr>
          <w:sz w:val="12"/>
        </w:rPr>
        <w:t>July</w:t>
      </w:r>
    </w:p>
    <w:p>
      <w:pPr>
        <w:spacing w:after="0" w:line="27" w:lineRule="exact"/>
        <w:jc w:val="left"/>
        <w:rPr>
          <w:sz w:val="12"/>
        </w:rPr>
        <w:sectPr>
          <w:type w:val="continuous"/>
          <w:pgSz w:w="11900" w:h="16840"/>
          <w:pgMar w:top="1260" w:bottom="280" w:left="640" w:right="640"/>
          <w:cols w:num="4" w:equalWidth="0">
            <w:col w:w="545" w:space="40"/>
            <w:col w:w="1345" w:space="50"/>
            <w:col w:w="907" w:space="78"/>
            <w:col w:w="7655"/>
          </w:cols>
        </w:sectPr>
      </w:pPr>
    </w:p>
    <w:p>
      <w:pPr>
        <w:spacing w:before="77"/>
        <w:ind w:left="204" w:right="0" w:firstLine="0"/>
        <w:jc w:val="left"/>
        <w:rPr>
          <w:sz w:val="12"/>
        </w:rPr>
      </w:pPr>
      <w:r>
        <w:rPr>
          <w:sz w:val="12"/>
        </w:rPr>
        <w:t>date:</w:t>
      </w:r>
    </w:p>
    <w:p>
      <w:pPr>
        <w:pStyle w:val="BodyText"/>
        <w:spacing w:before="6"/>
        <w:rPr>
          <w:sz w:val="11"/>
        </w:rPr>
      </w:pPr>
      <w:r>
        <w:rPr/>
        <w:br w:type="column"/>
      </w:r>
      <w:r>
        <w:rPr>
          <w:sz w:val="11"/>
        </w:rPr>
      </w:r>
    </w:p>
    <w:p>
      <w:pPr>
        <w:tabs>
          <w:tab w:pos="1715" w:val="left" w:leader="none"/>
        </w:tabs>
        <w:spacing w:before="0"/>
        <w:ind w:left="204" w:right="0" w:firstLine="0"/>
        <w:jc w:val="left"/>
        <w:rPr>
          <w:sz w:val="12"/>
        </w:rPr>
      </w:pPr>
      <w:r>
        <w:rPr>
          <w:sz w:val="12"/>
        </w:rPr>
        <w:t>1999</w:t>
        <w:tab/>
        <w:t>2000</w:t>
      </w:r>
    </w:p>
    <w:p>
      <w:pPr>
        <w:spacing w:line="266" w:lineRule="exact" w:before="0"/>
        <w:ind w:left="204" w:right="0" w:firstLine="0"/>
        <w:jc w:val="left"/>
        <w:rPr>
          <w:sz w:val="24"/>
        </w:rPr>
      </w:pPr>
      <w:r>
        <w:rPr/>
        <w:br w:type="column"/>
      </w:r>
      <w:r>
        <w:rPr>
          <w:sz w:val="24"/>
        </w:rPr>
        <w:t>less rapid recent increases in retail sales and</w:t>
      </w:r>
    </w:p>
    <w:p>
      <w:pPr>
        <w:spacing w:after="0" w:line="266" w:lineRule="exact"/>
        <w:jc w:val="left"/>
        <w:rPr>
          <w:sz w:val="24"/>
        </w:rPr>
        <w:sectPr>
          <w:type w:val="continuous"/>
          <w:pgSz w:w="11900" w:h="16840"/>
          <w:pgMar w:top="1260" w:bottom="280" w:left="640" w:right="640"/>
          <w:cols w:num="3" w:equalWidth="0">
            <w:col w:w="479" w:space="300"/>
            <w:col w:w="1997" w:space="1999"/>
            <w:col w:w="5845"/>
          </w:cols>
        </w:sectPr>
      </w:pPr>
    </w:p>
    <w:p>
      <w:pPr>
        <w:spacing w:before="77"/>
        <w:ind w:left="180" w:right="0" w:firstLine="0"/>
        <w:jc w:val="left"/>
        <w:rPr>
          <w:sz w:val="12"/>
        </w:rPr>
      </w:pPr>
      <w:r>
        <w:rPr>
          <w:sz w:val="12"/>
        </w:rPr>
        <w:t>Source: Consensus Economics.</w:t>
      </w:r>
    </w:p>
    <w:p>
      <w:pPr>
        <w:spacing w:line="242" w:lineRule="auto" w:before="0"/>
        <w:ind w:left="199" w:right="276" w:firstLine="0"/>
        <w:jc w:val="left"/>
        <w:rPr>
          <w:sz w:val="24"/>
        </w:rPr>
      </w:pPr>
      <w:r>
        <w:rPr/>
        <w:br w:type="column"/>
      </w:r>
      <w:r>
        <w:rPr>
          <w:sz w:val="24"/>
        </w:rPr>
        <w:t>private sector employment provide tentative signs that US economic growth may now be easing. Euro-area GDP rose by 0.9% in the first quarter and by 3.4% on a</w:t>
      </w:r>
    </w:p>
    <w:p>
      <w:pPr>
        <w:pStyle w:val="BodyText"/>
        <w:spacing w:before="2"/>
        <w:rPr>
          <w:sz w:val="24"/>
        </w:rPr>
      </w:pPr>
      <w:r>
        <w:rPr/>
        <w:pict>
          <v:shape style="position:absolute;margin-left:279pt;margin-top:15.966633pt;width:275pt;height:.1pt;mso-position-horizontal-relative:page;mso-position-vertical-relative:paragraph;z-index:-15563264;mso-wrap-distance-left:0;mso-wrap-distance-right:0" coordorigin="5580,319" coordsize="5500,0" path="m5580,319l11080,319e" filled="false" stroked="true" strokeweight=".125pt" strokecolor="#000000">
            <v:path arrowok="t"/>
            <v:stroke dashstyle="solid"/>
            <w10:wrap type="topAndBottom"/>
          </v:shape>
        </w:pict>
      </w:r>
    </w:p>
    <w:p>
      <w:pPr>
        <w:spacing w:line="208" w:lineRule="auto" w:before="50"/>
        <w:ind w:left="420" w:right="805" w:hanging="240"/>
        <w:jc w:val="left"/>
        <w:rPr>
          <w:sz w:val="16"/>
        </w:rPr>
      </w:pPr>
      <w:r>
        <w:rPr>
          <w:sz w:val="16"/>
        </w:rPr>
        <w:t>(1) For a more detailed discussion of international economic developments, see ‘</w:t>
      </w:r>
      <w:r>
        <w:rPr>
          <w:color w:val="FF0000"/>
          <w:sz w:val="16"/>
        </w:rPr>
        <w:t>The international environment’ article in the </w:t>
      </w:r>
      <w:r>
        <w:rPr>
          <w:i/>
          <w:color w:val="FF0000"/>
          <w:sz w:val="16"/>
        </w:rPr>
        <w:t>Bank of England </w:t>
      </w:r>
      <w:r>
        <w:rPr>
          <w:i/>
          <w:color w:val="FF0000"/>
          <w:sz w:val="16"/>
        </w:rPr>
        <w:t>Quarterly Bulletin</w:t>
      </w:r>
      <w:r>
        <w:rPr>
          <w:color w:val="FF0000"/>
          <w:sz w:val="16"/>
        </w:rPr>
        <w:t>, August 2000, pages 233–46</w:t>
      </w:r>
      <w:r>
        <w:rPr>
          <w:sz w:val="16"/>
        </w:rPr>
        <w:t>.</w:t>
      </w:r>
    </w:p>
    <w:p>
      <w:pPr>
        <w:spacing w:after="0" w:line="208" w:lineRule="auto"/>
        <w:jc w:val="left"/>
        <w:rPr>
          <w:sz w:val="16"/>
        </w:rPr>
        <w:sectPr>
          <w:type w:val="continuous"/>
          <w:pgSz w:w="11900" w:h="16840"/>
          <w:pgMar w:top="1260" w:bottom="280" w:left="640" w:right="640"/>
          <w:cols w:num="2" w:equalWidth="0">
            <w:col w:w="1753" w:space="3027"/>
            <w:col w:w="5840"/>
          </w:cols>
        </w:sectPr>
      </w:pPr>
    </w:p>
    <w:p>
      <w:pPr>
        <w:pStyle w:val="BodyText"/>
        <w:rPr>
          <w:sz w:val="20"/>
        </w:rPr>
      </w:pPr>
    </w:p>
    <w:p>
      <w:pPr>
        <w:spacing w:after="0"/>
        <w:rPr>
          <w:sz w:val="20"/>
        </w:rPr>
        <w:sectPr>
          <w:headerReference w:type="default" r:id="rId63"/>
          <w:headerReference w:type="even" r:id="rId64"/>
          <w:pgSz w:w="11900" w:h="16840"/>
          <w:pgMar w:header="586" w:footer="612" w:top="780" w:bottom="780" w:left="640" w:right="640"/>
        </w:sectPr>
      </w:pPr>
    </w:p>
    <w:p>
      <w:pPr>
        <w:pStyle w:val="BodyText"/>
        <w:spacing w:before="4"/>
        <w:rPr>
          <w:sz w:val="21"/>
        </w:rPr>
      </w:pPr>
    </w:p>
    <w:p>
      <w:pPr>
        <w:pStyle w:val="Heading6"/>
        <w:spacing w:before="0"/>
        <w:ind w:left="200"/>
      </w:pPr>
      <w:r>
        <w:rPr>
          <w:color w:val="0092C7"/>
        </w:rPr>
        <w:t>Chart 2.2</w:t>
      </w:r>
    </w:p>
    <w:p>
      <w:pPr>
        <w:pStyle w:val="Heading6"/>
        <w:ind w:left="200"/>
      </w:pPr>
      <w:r>
        <w:rPr/>
        <w:pict>
          <v:group style="position:absolute;margin-left:58.125pt;margin-top:41.915913pt;width:153.450pt;height:41pt;mso-position-horizontal-relative:page;mso-position-vertical-relative:paragraph;z-index:15905280" coordorigin="1163,838" coordsize="3069,820">
            <v:line style="position:absolute" from="1173,1346" to="1253,1206" stroked="true" strokeweight="1pt" strokecolor="#006caa">
              <v:stroke dashstyle="solid"/>
            </v:line>
            <v:line style="position:absolute" from="1243,1201" to="1343,1201" stroked="true" strokeweight="1.5pt" strokecolor="#006caa">
              <v:stroke dashstyle="solid"/>
            </v:line>
            <v:shape style="position:absolute;left:1332;top:848;width:1290;height:508" coordorigin="1333,848" coordsize="1290,508" path="m1333,1196l1413,1306m1413,1306l1493,1356m1493,1356l1573,1156m1573,1156l1653,1316m1653,1316l1733,1126m1733,1126l1813,848m1813,848l1903,1036m1903,1036l1983,986m1983,986l2063,1016m2063,1016l2143,916m2143,916l2223,1066m2223,1066l2303,1096m2303,1096l2383,1146m2383,1146l2463,1006m2463,1006l2543,1196m2543,1196l2623,1016e" filled="false" stroked="true" strokeweight="1pt" strokecolor="#006caa">
              <v:path arrowok="t"/>
              <v:stroke dashstyle="solid"/>
            </v:shape>
            <v:line style="position:absolute" from="2613,1011" to="2713,1011" stroked="true" strokeweight="1.5pt" strokecolor="#006caa">
              <v:stroke dashstyle="solid"/>
            </v:line>
            <v:line style="position:absolute" from="2693,1007" to="2793,1007" stroked="true" strokeweight="1.125pt" strokecolor="#006caa">
              <v:stroke dashstyle="solid"/>
            </v:line>
            <v:shape style="position:absolute;left:2782;top:895;width:970;height:620" coordorigin="2783,896" coordsize="970,620" path="m2783,1006l2863,926m2863,926l2940,986m2940,986l3020,956m3020,956l3100,896m3100,896l3180,1036m3180,1036l3260,1066m3260,1066l3353,1136m3353,1136l3433,1256m3433,1256l3513,1206m3513,1206l3593,1256m3593,1256l3673,1366m3673,1366l3753,1516e" filled="false" stroked="true" strokeweight="1pt" strokecolor="#006caa">
              <v:path arrowok="t"/>
              <v:stroke dashstyle="solid"/>
            </v:shape>
            <v:line style="position:absolute" from="3743,1521" to="3843,1521" stroked="true" strokeweight="1.5pt" strokecolor="#006caa">
              <v:stroke dashstyle="solid"/>
            </v:line>
            <v:shape style="position:absolute;left:3832;top:1345;width:238;height:260" coordorigin="3833,1346" coordsize="238,260" path="m3833,1526l3910,1346m3910,1346l3990,1586m3990,1586l4070,1606e" filled="false" stroked="true" strokeweight="1pt" strokecolor="#006caa">
              <v:path arrowok="t"/>
              <v:stroke dashstyle="solid"/>
            </v:shape>
            <v:shape style="position:absolute;left:4143;top:1086;width:87;height:567" coordorigin="4144,1086" coordsize="87,567" path="m4144,1653l4231,1653m4144,1086l4231,1086m4144,1369l4231,1369e" filled="false" stroked="true" strokeweight=".5pt" strokecolor="#000000">
              <v:path arrowok="t"/>
              <v:stroke dashstyle="solid"/>
            </v:shape>
            <w10:wrap type="none"/>
          </v:group>
        </w:pict>
      </w:r>
      <w:r>
        <w:rPr>
          <w:color w:val="0092C7"/>
        </w:rPr>
        <w:t>UK export market shares</w:t>
      </w:r>
    </w:p>
    <w:p>
      <w:pPr>
        <w:pStyle w:val="BodyText"/>
        <w:spacing w:before="4"/>
        <w:rPr>
          <w:b/>
          <w:sz w:val="20"/>
        </w:rPr>
      </w:pPr>
      <w:r>
        <w:rPr/>
        <w:pict>
          <v:shape style="position:absolute;margin-left:50.033001pt;margin-top:13.938486pt;width:4.350pt;height:.1pt;mso-position-horizontal-relative:page;mso-position-vertical-relative:paragraph;z-index:-15561728;mso-wrap-distance-left:0;mso-wrap-distance-right:0" coordorigin="1001,279" coordsize="87,0" path="m1001,279l1087,279e" filled="false" stroked="true" strokeweight=".5pt" strokecolor="#000000">
            <v:path arrowok="t"/>
            <v:stroke dashstyle="solid"/>
            <w10:wrap type="topAndBottom"/>
          </v:shape>
        </w:pict>
      </w:r>
    </w:p>
    <w:p>
      <w:pPr>
        <w:spacing w:before="161"/>
        <w:ind w:left="992" w:right="904" w:firstLine="0"/>
        <w:jc w:val="center"/>
        <w:rPr>
          <w:sz w:val="12"/>
        </w:rPr>
      </w:pPr>
      <w:r>
        <w:rPr>
          <w:sz w:val="12"/>
        </w:rPr>
        <w:t>World (a)</w:t>
      </w:r>
    </w:p>
    <w:p>
      <w:pPr>
        <w:pStyle w:val="BodyText"/>
        <w:spacing w:before="6"/>
        <w:rPr>
          <w:sz w:val="16"/>
        </w:rPr>
      </w:pPr>
      <w:r>
        <w:rPr/>
        <w:pict>
          <v:shape style="position:absolute;margin-left:50.033001pt;margin-top:11.700586pt;width:4.350pt;height:.1pt;mso-position-horizontal-relative:page;mso-position-vertical-relative:paragraph;z-index:-15561216;mso-wrap-distance-left:0;mso-wrap-distance-right:0" coordorigin="1001,234" coordsize="87,0" path="m1001,234l1087,234e" filled="false" stroked="true" strokeweight=".5pt" strokecolor="#000000">
            <v:path arrowok="t"/>
            <v:stroke dashstyle="solid"/>
            <w10:wrap type="topAndBottom"/>
          </v:shape>
        </w:pict>
      </w:r>
      <w:r>
        <w:rPr/>
        <w:pict>
          <v:shape style="position:absolute;margin-left:50.033001pt;margin-top:25.875586pt;width:4.350pt;height:.1pt;mso-position-horizontal-relative:page;mso-position-vertical-relative:paragraph;z-index:-15560704;mso-wrap-distance-left:0;mso-wrap-distance-right:0" coordorigin="1001,518" coordsize="87,0" path="m1001,518l1087,518e" filled="false" stroked="true" strokeweight=".5pt" strokecolor="#000000">
            <v:path arrowok="t"/>
            <v:stroke dashstyle="solid"/>
            <w10:wrap type="topAndBottom"/>
          </v:shape>
        </w:pict>
      </w:r>
      <w:r>
        <w:rPr/>
        <w:pict>
          <v:shape style="position:absolute;margin-left:50.033001pt;margin-top:40.050587pt;width:4.350pt;height:.1pt;mso-position-horizontal-relative:page;mso-position-vertical-relative:paragraph;z-index:-15560192;mso-wrap-distance-left:0;mso-wrap-distance-right:0" coordorigin="1001,801" coordsize="87,0" path="m1001,801l1087,801e" filled="false" stroked="true" strokeweight=".5pt" strokecolor="#000000">
            <v:path arrowok="t"/>
            <v:stroke dashstyle="solid"/>
            <w10:wrap type="topAndBottom"/>
          </v:shape>
        </w:pict>
      </w:r>
      <w:r>
        <w:rPr/>
        <w:pict>
          <v:shape style="position:absolute;margin-left:50.033001pt;margin-top:54.225586pt;width:4.9pt;height:7.15pt;mso-position-horizontal-relative:page;mso-position-vertical-relative:paragraph;z-index:-15559680;mso-wrap-distance-left:0;mso-wrap-distance-right:0" coordorigin="1001,1085" coordsize="98,143" path="m1001,1085l1087,1085m1001,1227l1087,1227m1079,1089l1079,1116,1059,1132,1099,1146,1059,1166,1099,1182,1075,1192,1075,1216e" filled="false" stroked="true" strokeweight=".5pt" strokecolor="#000000">
            <v:path arrowok="t"/>
            <v:stroke dashstyle="solid"/>
            <w10:wrap type="topAndBottom"/>
          </v:shape>
        </w:pict>
      </w:r>
    </w:p>
    <w:p>
      <w:pPr>
        <w:pStyle w:val="BodyText"/>
        <w:spacing w:before="10"/>
        <w:rPr>
          <w:sz w:val="17"/>
        </w:rPr>
      </w:pPr>
    </w:p>
    <w:p>
      <w:pPr>
        <w:pStyle w:val="BodyText"/>
        <w:spacing w:before="10"/>
        <w:rPr>
          <w:sz w:val="17"/>
        </w:rPr>
      </w:pPr>
    </w:p>
    <w:p>
      <w:pPr>
        <w:pStyle w:val="BodyText"/>
        <w:spacing w:before="10"/>
        <w:rPr>
          <w:sz w:val="17"/>
        </w:rPr>
      </w:pPr>
    </w:p>
    <w:p>
      <w:pPr>
        <w:pStyle w:val="BodyText"/>
        <w:spacing w:before="2"/>
        <w:rPr>
          <w:sz w:val="17"/>
        </w:rPr>
      </w:pPr>
    </w:p>
    <w:p>
      <w:pPr>
        <w:spacing w:line="120" w:lineRule="exact" w:before="1"/>
        <w:ind w:left="360" w:right="0" w:firstLine="0"/>
        <w:jc w:val="left"/>
        <w:rPr>
          <w:sz w:val="12"/>
        </w:rPr>
      </w:pPr>
      <w:r>
        <w:rPr>
          <w:sz w:val="12"/>
        </w:rPr>
        <w:t>Per cent</w:t>
      </w:r>
    </w:p>
    <w:p>
      <w:pPr>
        <w:tabs>
          <w:tab w:pos="1295" w:val="left" w:leader="none"/>
        </w:tabs>
        <w:spacing w:line="131" w:lineRule="exact" w:before="0"/>
        <w:ind w:left="185" w:right="0" w:firstLine="0"/>
        <w:jc w:val="left"/>
        <w:rPr>
          <w:sz w:val="12"/>
        </w:rPr>
      </w:pPr>
      <w:r>
        <w:rPr/>
        <w:pict>
          <v:line style="position:absolute;mso-position-horizontal-relative:page;mso-position-vertical-relative:paragraph;z-index:-23390208" from="50.033001pt,3.247711pt" to="54.365001pt,3.247711pt" stroked="true" strokeweight=".5pt" strokecolor="#000000">
            <v:stroke dashstyle="solid"/>
            <w10:wrap type="none"/>
          </v:line>
        </w:pict>
      </w:r>
      <w:r>
        <w:rPr>
          <w:position w:val="6"/>
          <w:sz w:val="12"/>
        </w:rPr>
        <w:t>9.5</w:t>
        <w:tab/>
      </w:r>
      <w:r>
        <w:rPr>
          <w:sz w:val="12"/>
        </w:rPr>
        <w:t>EU (b)</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0"/>
        </w:rPr>
      </w:pPr>
    </w:p>
    <w:p>
      <w:pPr>
        <w:spacing w:line="126" w:lineRule="exact" w:before="0"/>
        <w:ind w:left="185" w:right="0" w:firstLine="0"/>
        <w:jc w:val="left"/>
        <w:rPr>
          <w:sz w:val="12"/>
        </w:rPr>
      </w:pPr>
      <w:r>
        <w:rPr>
          <w:sz w:val="12"/>
        </w:rPr>
        <w:t>Per cent</w:t>
      </w:r>
    </w:p>
    <w:p>
      <w:pPr>
        <w:spacing w:line="126" w:lineRule="exact" w:before="0"/>
        <w:ind w:left="659" w:right="0" w:firstLine="0"/>
        <w:jc w:val="left"/>
        <w:rPr>
          <w:sz w:val="12"/>
        </w:rPr>
      </w:pPr>
      <w:r>
        <w:rPr/>
        <w:pict>
          <v:line style="position:absolute;mso-position-horizontal-relative:page;mso-position-vertical-relative:paragraph;z-index:15906816" from="207.195007pt,3.182371pt" to="211.527007pt,3.182371pt" stroked="true" strokeweight=".5pt" strokecolor="#000000">
            <v:stroke dashstyle="solid"/>
            <w10:wrap type="none"/>
          </v:line>
        </w:pict>
      </w:r>
      <w:r>
        <w:rPr>
          <w:sz w:val="12"/>
        </w:rPr>
        <w:t>5.5</w:t>
      </w:r>
    </w:p>
    <w:p>
      <w:pPr>
        <w:pStyle w:val="BodyText"/>
        <w:spacing w:before="1"/>
        <w:rPr>
          <w:sz w:val="12"/>
        </w:rPr>
      </w:pPr>
    </w:p>
    <w:p>
      <w:pPr>
        <w:spacing w:before="0"/>
        <w:ind w:left="659" w:right="0" w:firstLine="0"/>
        <w:jc w:val="left"/>
        <w:rPr>
          <w:sz w:val="12"/>
        </w:rPr>
      </w:pPr>
      <w:r>
        <w:rPr>
          <w:sz w:val="12"/>
        </w:rPr>
        <w:t>5.3</w:t>
      </w:r>
    </w:p>
    <w:p>
      <w:pPr>
        <w:pStyle w:val="BodyText"/>
        <w:spacing w:before="9"/>
        <w:rPr>
          <w:sz w:val="13"/>
        </w:rPr>
      </w:pPr>
    </w:p>
    <w:p>
      <w:pPr>
        <w:spacing w:before="1"/>
        <w:ind w:left="659" w:right="0" w:firstLine="0"/>
        <w:jc w:val="left"/>
        <w:rPr>
          <w:sz w:val="12"/>
        </w:rPr>
      </w:pPr>
      <w:r>
        <w:rPr>
          <w:sz w:val="12"/>
        </w:rPr>
        <w:t>5.1</w:t>
      </w:r>
    </w:p>
    <w:p>
      <w:pPr>
        <w:pStyle w:val="BodyText"/>
        <w:spacing w:before="3"/>
        <w:rPr>
          <w:sz w:val="10"/>
        </w:rPr>
      </w:pPr>
    </w:p>
    <w:p>
      <w:pPr>
        <w:spacing w:before="1"/>
        <w:ind w:left="659" w:right="0" w:firstLine="0"/>
        <w:jc w:val="left"/>
        <w:rPr>
          <w:sz w:val="12"/>
        </w:rPr>
      </w:pPr>
      <w:r>
        <w:rPr>
          <w:sz w:val="12"/>
        </w:rPr>
        <w:t>4.9</w:t>
      </w:r>
    </w:p>
    <w:p>
      <w:pPr>
        <w:pStyle w:val="BodyText"/>
        <w:spacing w:before="9"/>
        <w:rPr>
          <w:sz w:val="13"/>
        </w:rPr>
      </w:pPr>
    </w:p>
    <w:p>
      <w:pPr>
        <w:spacing w:before="0"/>
        <w:ind w:left="659" w:right="0" w:firstLine="0"/>
        <w:jc w:val="left"/>
        <w:rPr>
          <w:sz w:val="12"/>
        </w:rPr>
      </w:pPr>
      <w:r>
        <w:rPr>
          <w:sz w:val="12"/>
        </w:rPr>
        <w:t>4.7</w:t>
      </w:r>
    </w:p>
    <w:p>
      <w:pPr>
        <w:pStyle w:val="BodyText"/>
        <w:spacing w:before="1"/>
        <w:rPr>
          <w:sz w:val="12"/>
        </w:rPr>
      </w:pPr>
    </w:p>
    <w:p>
      <w:pPr>
        <w:spacing w:before="0"/>
        <w:ind w:left="659" w:right="0" w:firstLine="0"/>
        <w:jc w:val="left"/>
        <w:rPr>
          <w:sz w:val="12"/>
        </w:rPr>
      </w:pPr>
      <w:r>
        <w:rPr/>
        <w:pict>
          <v:shape style="position:absolute;margin-left:207.195007pt;margin-top:4.365537pt;width:5.25pt;height:7.15pt;mso-position-horizontal-relative:page;mso-position-vertical-relative:paragraph;z-index:15907328" coordorigin="4144,87" coordsize="105,143" path="m4144,87l4231,87m4144,230l4231,230m4229,91l4229,118,4209,134,4249,148,4209,168,4249,184,4225,194,4225,218e" filled="false" stroked="true" strokeweight=".5pt" strokecolor="#000000">
            <v:path arrowok="t"/>
            <v:stroke dashstyle="solid"/>
            <w10:wrap type="none"/>
          </v:shape>
        </w:pict>
      </w:r>
      <w:r>
        <w:rPr>
          <w:sz w:val="12"/>
        </w:rPr>
        <w:t>4.5</w:t>
      </w:r>
    </w:p>
    <w:p>
      <w:pPr>
        <w:spacing w:before="17"/>
        <w:ind w:left="659" w:right="0" w:firstLine="0"/>
        <w:jc w:val="left"/>
        <w:rPr>
          <w:sz w:val="12"/>
        </w:rPr>
      </w:pPr>
      <w:r>
        <w:rPr>
          <w:sz w:val="12"/>
        </w:rPr>
        <w:t>0.0</w:t>
      </w:r>
    </w:p>
    <w:p>
      <w:pPr>
        <w:pStyle w:val="BodyText"/>
        <w:rPr>
          <w:sz w:val="12"/>
        </w:rPr>
      </w:pPr>
    </w:p>
    <w:p>
      <w:pPr>
        <w:pStyle w:val="BodyText"/>
        <w:spacing w:before="4"/>
        <w:rPr>
          <w:sz w:val="11"/>
        </w:rPr>
      </w:pPr>
    </w:p>
    <w:p>
      <w:pPr>
        <w:spacing w:before="0"/>
        <w:ind w:left="619" w:right="0" w:firstLine="0"/>
        <w:jc w:val="left"/>
        <w:rPr>
          <w:sz w:val="12"/>
        </w:rPr>
      </w:pPr>
      <w:r>
        <w:rPr/>
        <w:pict>
          <v:line style="position:absolute;mso-position-horizontal-relative:page;mso-position-vertical-relative:paragraph;z-index:15908352" from="207.195007pt,4.350586pt" to="211.527007pt,4.350586pt" stroked="true" strokeweight=".5pt" strokecolor="#000000">
            <v:stroke dashstyle="solid"/>
            <w10:wrap type="none"/>
          </v:line>
        </w:pict>
      </w:r>
      <w:r>
        <w:rPr>
          <w:sz w:val="12"/>
        </w:rPr>
        <w:t>3.75</w:t>
      </w:r>
    </w:p>
    <w:p>
      <w:pPr>
        <w:spacing w:line="242" w:lineRule="auto" w:before="227"/>
        <w:ind w:left="185" w:right="154" w:firstLine="0"/>
        <w:jc w:val="left"/>
        <w:rPr>
          <w:sz w:val="24"/>
        </w:rPr>
      </w:pPr>
      <w:r>
        <w:rPr/>
        <w:br w:type="column"/>
      </w:r>
      <w:r>
        <w:rPr>
          <w:sz w:val="24"/>
        </w:rPr>
        <w:t>year earlier. Rising employment and strong industrial production suggest that growth may have gained further momentum in recent months. In Japan, rising corporate profitability has prompted higher investment and there are some signs that household spending may now be starting to recover slowly in line with incomes. Robust activity in industrialised countries has added impetus to growth in emerging market economies. However, the pace of expansion in these countries now appears to be easing from the rapid rates earlier in their recoveries</w:t>
      </w:r>
    </w:p>
    <w:p>
      <w:pPr>
        <w:spacing w:after="0" w:line="242" w:lineRule="auto"/>
        <w:jc w:val="left"/>
        <w:rPr>
          <w:sz w:val="24"/>
        </w:rPr>
        <w:sectPr>
          <w:type w:val="continuous"/>
          <w:pgSz w:w="11900" w:h="16840"/>
          <w:pgMar w:top="1260" w:bottom="280" w:left="640" w:right="640"/>
          <w:cols w:num="3" w:equalWidth="0">
            <w:col w:w="2406" w:space="608"/>
            <w:col w:w="870" w:space="885"/>
            <w:col w:w="5851"/>
          </w:cols>
        </w:sectPr>
      </w:pPr>
    </w:p>
    <w:p>
      <w:pPr>
        <w:pStyle w:val="BodyText"/>
        <w:spacing w:before="5"/>
        <w:rPr>
          <w:sz w:val="12"/>
        </w:rPr>
      </w:pPr>
    </w:p>
    <w:p>
      <w:pPr>
        <w:spacing w:before="1"/>
        <w:ind w:left="185" w:right="0" w:firstLine="0"/>
        <w:jc w:val="left"/>
        <w:rPr>
          <w:sz w:val="12"/>
        </w:rPr>
      </w:pPr>
      <w:r>
        <w:rPr>
          <w:sz w:val="12"/>
        </w:rPr>
        <w:t>9.0</w:t>
      </w:r>
    </w:p>
    <w:p>
      <w:pPr>
        <w:pStyle w:val="BodyText"/>
        <w:spacing w:before="7"/>
        <w:rPr>
          <w:sz w:val="13"/>
        </w:rPr>
      </w:pPr>
    </w:p>
    <w:p>
      <w:pPr>
        <w:spacing w:before="0"/>
        <w:ind w:left="185" w:right="0" w:firstLine="0"/>
        <w:jc w:val="left"/>
        <w:rPr>
          <w:sz w:val="12"/>
        </w:rPr>
      </w:pPr>
      <w:r>
        <w:rPr>
          <w:sz w:val="12"/>
        </w:rPr>
        <w:t>8.5</w:t>
      </w:r>
    </w:p>
    <w:p>
      <w:pPr>
        <w:pStyle w:val="BodyText"/>
        <w:spacing w:before="8"/>
        <w:rPr>
          <w:sz w:val="13"/>
        </w:rPr>
      </w:pPr>
    </w:p>
    <w:p>
      <w:pPr>
        <w:spacing w:before="0"/>
        <w:ind w:left="185" w:right="0" w:firstLine="0"/>
        <w:jc w:val="left"/>
        <w:rPr>
          <w:sz w:val="12"/>
        </w:rPr>
      </w:pPr>
      <w:r>
        <w:rPr>
          <w:sz w:val="12"/>
        </w:rPr>
        <w:t>8.0</w:t>
      </w:r>
    </w:p>
    <w:p>
      <w:pPr>
        <w:pStyle w:val="BodyText"/>
        <w:spacing w:before="7"/>
        <w:rPr>
          <w:sz w:val="13"/>
        </w:rPr>
      </w:pPr>
    </w:p>
    <w:p>
      <w:pPr>
        <w:spacing w:before="0"/>
        <w:ind w:left="185" w:right="0" w:firstLine="0"/>
        <w:jc w:val="left"/>
        <w:rPr>
          <w:sz w:val="12"/>
        </w:rPr>
      </w:pPr>
      <w:r>
        <w:rPr>
          <w:sz w:val="12"/>
        </w:rPr>
        <w:t>7.5</w:t>
      </w:r>
    </w:p>
    <w:p>
      <w:pPr>
        <w:pStyle w:val="BodyText"/>
        <w:spacing w:before="8"/>
        <w:rPr>
          <w:sz w:val="13"/>
        </w:rPr>
      </w:pPr>
    </w:p>
    <w:p>
      <w:pPr>
        <w:spacing w:line="122" w:lineRule="exact" w:before="0"/>
        <w:ind w:left="185" w:right="0" w:firstLine="0"/>
        <w:jc w:val="left"/>
        <w:rPr>
          <w:sz w:val="12"/>
        </w:rPr>
      </w:pPr>
      <w:r>
        <w:rPr/>
        <w:pict>
          <v:shape style="position:absolute;margin-left:50.033001pt;margin-top:4.120868pt;width:162.35pt;height:5.65pt;mso-position-horizontal-relative:page;mso-position-vertical-relative:paragraph;z-index:-23391744" coordorigin="1001,82" coordsize="3247,113" path="m1170,192l4078,192m1167,125l1167,192m1490,125l1490,192m1812,125l1812,192m2134,125l2134,192m2457,125l2457,192m2779,125l2779,192m3424,125l3424,192m4069,125l4069,192m3102,125l3102,192m3747,125l3747,192m1001,192l1234,192m4144,90l4231,90m3989,192l4223,192m4227,89l4227,109,4207,125,4247,139,4200,152,4240,169,4224,172,4223,195m1001,87l1087,87m1083,82l1083,102,1063,119,1103,132,1056,145,1096,162,1080,165,1080,188e" filled="false" stroked="true" strokeweight=".5pt" strokecolor="#000000">
            <v:path arrowok="t"/>
            <v:stroke dashstyle="solid"/>
            <w10:wrap type="none"/>
          </v:shape>
        </w:pict>
      </w:r>
      <w:r>
        <w:rPr>
          <w:sz w:val="12"/>
        </w:rPr>
        <w:t>7.0</w:t>
      </w:r>
    </w:p>
    <w:p>
      <w:pPr>
        <w:spacing w:before="30"/>
        <w:ind w:left="185" w:right="0" w:firstLine="0"/>
        <w:jc w:val="left"/>
        <w:rPr>
          <w:sz w:val="12"/>
        </w:rPr>
      </w:pPr>
      <w:r>
        <w:rPr/>
        <w:br w:type="column"/>
      </w:r>
      <w:r>
        <w:rPr>
          <w:sz w:val="12"/>
        </w:rPr>
        <w:t>(left-hand scale)</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0"/>
        </w:rPr>
      </w:pPr>
    </w:p>
    <w:p>
      <w:pPr>
        <w:spacing w:line="129" w:lineRule="exact" w:before="0"/>
        <w:ind w:left="830" w:right="0" w:firstLine="0"/>
        <w:jc w:val="left"/>
        <w:rPr>
          <w:sz w:val="12"/>
        </w:rPr>
      </w:pPr>
      <w:r>
        <w:rPr/>
        <w:pict>
          <v:group style="position:absolute;margin-left:50.033001pt;margin-top:-37.810181pt;width:161.5pt;height:57.15pt;mso-position-horizontal-relative:page;mso-position-vertical-relative:paragraph;z-index:-23392256" coordorigin="1001,-756" coordsize="3230,1143">
            <v:shape style="position:absolute;left:1165;top:-592;width:320;height:210" coordorigin="1165,-591" coordsize="320,210" path="m1165,-459l1248,-551m1248,-551l1330,-591m1330,-591l1403,-394m1403,-394l1485,-381e" filled="false" stroked="true" strokeweight="1pt" strokecolor="#9ed01a">
              <v:path arrowok="t"/>
              <v:stroke dashstyle="solid"/>
            </v:shape>
            <v:line style="position:absolute" from="1475,-380" to="1580,-380" stroked="true" strokeweight="1.125pt" strokecolor="#9ed01a">
              <v:stroke dashstyle="solid"/>
            </v:line>
            <v:shape style="position:absolute;left:1570;top:-592;width:405;height:315" coordorigin="1570,-591" coordsize="405,315" path="m1570,-381l1653,-276m1653,-276l1725,-394m1725,-394l1808,-409m1808,-409l1893,-591m1893,-591l1975,-474e" filled="false" stroked="true" strokeweight="1pt" strokecolor="#9ed01a">
              <v:path arrowok="t"/>
              <v:stroke dashstyle="solid"/>
            </v:shape>
            <v:line style="position:absolute" from="1965,-472" to="2058,-472" stroked="true" strokeweight="1.125pt" strokecolor="#9ed01a">
              <v:stroke dashstyle="solid"/>
            </v:line>
            <v:shape style="position:absolute;left:2047;top:-474;width:490;height:275" coordorigin="2048,-474" coordsize="490,275" path="m2048,-474l2130,-394m2130,-394l2215,-421m2215,-421l2298,-381m2298,-381l2370,-369m2370,-369l2453,-276m2453,-276l2538,-199e" filled="false" stroked="true" strokeweight="1pt" strokecolor="#9ed01a">
              <v:path arrowok="t"/>
              <v:stroke dashstyle="solid"/>
            </v:shape>
            <v:line style="position:absolute" from="2528,-197" to="2630,-197" stroked="true" strokeweight="1.125pt" strokecolor="#9ed01a">
              <v:stroke dashstyle="solid"/>
            </v:line>
            <v:shape style="position:absolute;left:2620;top:-277;width:478;height:105" coordorigin="2620,-276" coordsize="478,105" path="m2620,-199l2693,-239m2693,-239l2775,-186m2775,-186l2860,-264m2860,-264l2943,-276m2943,-276l3015,-171m3015,-171l3098,-224e" filled="false" stroked="true" strokeweight="1pt" strokecolor="#9ed01a">
              <v:path arrowok="t"/>
              <v:stroke dashstyle="solid"/>
            </v:shape>
            <v:line style="position:absolute" from="3088,-222" to="3193,-222" stroked="true" strokeweight="1.125pt" strokecolor="#9ed01a">
              <v:stroke dashstyle="solid"/>
            </v:line>
            <v:shape style="position:absolute;left:3182;top:-224;width:883;height:600" coordorigin="3183,-224" coordsize="883,600" path="m3183,-224l3265,-199m3265,-199l3338,-41m3338,-41l3420,116m3420,116l3505,49m3505,49l3588,154m3588,154l3660,219m3660,219l3743,376m3743,376l3828,311m3828,311l3910,89m3910,89l3983,299m3983,299l4065,141e" filled="false" stroked="true" strokeweight="1pt" strokecolor="#9ed01a">
              <v:path arrowok="t"/>
              <v:stroke dashstyle="solid"/>
            </v:shape>
            <v:line style="position:absolute" from="1165,-54" to="1248,-106" stroked="true" strokeweight="1pt" strokecolor="#de0035">
              <v:stroke dashstyle="solid"/>
            </v:line>
            <v:line style="position:absolute" from="1238,-105" to="1340,-105" stroked="true" strokeweight="1.125pt" strokecolor="#de0035">
              <v:stroke dashstyle="solid"/>
            </v:line>
            <v:shape style="position:absolute;left:1330;top:-747;width:2735;height:758" coordorigin="1330,-746" coordsize="2735,758" path="m1330,-106l1403,-159m1403,-159l1485,11m1485,11l1570,-186m1570,-186l1653,-81m1653,-81l1725,-264m1725,-264l1808,-526m1808,-526l1893,-171m1893,-171l1975,-276m1975,-276l2048,-251m2048,-251l2130,-539m2130,-539l2215,-329m2215,-329l2298,-289m2298,-289l2370,-341m2370,-341l2453,-551m2453,-551l2538,-369m2538,-369l2620,-629m2620,-629l2693,-604m2693,-604l2775,-656m2775,-656l2860,-696m2860,-696l2943,-644m2943,-644l3015,-696m3015,-696l3098,-746m3098,-746l3183,-579m3183,-579l3265,-526m3265,-526l3338,-604m3338,-604l3420,-551m3420,-551l3505,-511m3505,-511l3588,-486m3588,-486l3660,-421m3660,-421l3743,-316m3743,-316l3828,-251m3828,-251l3910,-421m3910,-421l3983,-381m3983,-381l4065,-304e" filled="false" stroked="true" strokeweight="1pt" strokecolor="#de0035">
              <v:path arrowok="t"/>
              <v:stroke dashstyle="solid"/>
            </v:shape>
            <v:shape style="position:absolute;left:1000;top:-609;width:3230;height:889" coordorigin="1001,-608" coordsize="3230,889" path="m1001,-608l1087,-608m1001,278l1087,278m1001,-313l1087,-313m1001,-17l1087,-17m4144,-606l4231,-606m4144,281l4231,281m4144,-310l4231,-310m4144,-15l4231,-15e" filled="false" stroked="true" strokeweight=".5pt" strokecolor="#000000">
              <v:path arrowok="t"/>
              <v:stroke dashstyle="solid"/>
            </v:shape>
            <w10:wrap type="none"/>
          </v:group>
        </w:pict>
      </w:r>
      <w:r>
        <w:rPr>
          <w:sz w:val="12"/>
        </w:rPr>
        <w:t>Non-EU (b)</w:t>
      </w:r>
    </w:p>
    <w:p>
      <w:pPr>
        <w:spacing w:line="129" w:lineRule="exact" w:before="0"/>
        <w:ind w:left="890" w:right="0" w:firstLine="0"/>
        <w:jc w:val="left"/>
        <w:rPr>
          <w:sz w:val="12"/>
        </w:rPr>
      </w:pPr>
      <w:r>
        <w:rPr>
          <w:sz w:val="12"/>
        </w:rPr>
        <w:t>(right-hand scale)</w:t>
      </w:r>
    </w:p>
    <w:p>
      <w:pPr>
        <w:pStyle w:val="BodyText"/>
        <w:spacing w:before="5"/>
        <w:rPr>
          <w:sz w:val="12"/>
        </w:rPr>
      </w:pPr>
      <w:r>
        <w:rPr/>
        <w:br w:type="column"/>
      </w:r>
      <w:r>
        <w:rPr>
          <w:sz w:val="12"/>
        </w:rPr>
      </w:r>
    </w:p>
    <w:p>
      <w:pPr>
        <w:spacing w:before="1"/>
        <w:ind w:left="185" w:right="0" w:firstLine="0"/>
        <w:jc w:val="left"/>
        <w:rPr>
          <w:sz w:val="12"/>
        </w:rPr>
      </w:pPr>
      <w:r>
        <w:rPr>
          <w:sz w:val="12"/>
        </w:rPr>
        <w:t>3.50</w:t>
      </w:r>
    </w:p>
    <w:p>
      <w:pPr>
        <w:pStyle w:val="BodyText"/>
        <w:spacing w:before="7"/>
        <w:rPr>
          <w:sz w:val="13"/>
        </w:rPr>
      </w:pPr>
    </w:p>
    <w:p>
      <w:pPr>
        <w:spacing w:before="0"/>
        <w:ind w:left="185" w:right="0" w:firstLine="0"/>
        <w:jc w:val="left"/>
        <w:rPr>
          <w:sz w:val="12"/>
        </w:rPr>
      </w:pPr>
      <w:r>
        <w:rPr>
          <w:sz w:val="12"/>
        </w:rPr>
        <w:t>3.25</w:t>
      </w:r>
    </w:p>
    <w:p>
      <w:pPr>
        <w:pStyle w:val="BodyText"/>
        <w:spacing w:before="8"/>
        <w:rPr>
          <w:sz w:val="13"/>
        </w:rPr>
      </w:pPr>
    </w:p>
    <w:p>
      <w:pPr>
        <w:spacing w:before="0"/>
        <w:ind w:left="185" w:right="0" w:firstLine="0"/>
        <w:jc w:val="left"/>
        <w:rPr>
          <w:sz w:val="12"/>
        </w:rPr>
      </w:pPr>
      <w:r>
        <w:rPr>
          <w:sz w:val="12"/>
        </w:rPr>
        <w:t>3.00</w:t>
      </w:r>
    </w:p>
    <w:p>
      <w:pPr>
        <w:pStyle w:val="BodyText"/>
        <w:spacing w:before="7"/>
        <w:rPr>
          <w:sz w:val="13"/>
        </w:rPr>
      </w:pPr>
    </w:p>
    <w:p>
      <w:pPr>
        <w:spacing w:before="0"/>
        <w:ind w:left="185" w:right="0" w:firstLine="0"/>
        <w:jc w:val="left"/>
        <w:rPr>
          <w:sz w:val="12"/>
        </w:rPr>
      </w:pPr>
      <w:r>
        <w:rPr>
          <w:sz w:val="12"/>
        </w:rPr>
        <w:t>2.75</w:t>
      </w:r>
    </w:p>
    <w:p>
      <w:pPr>
        <w:pStyle w:val="BodyText"/>
        <w:spacing w:before="8"/>
        <w:rPr>
          <w:sz w:val="13"/>
        </w:rPr>
      </w:pPr>
    </w:p>
    <w:p>
      <w:pPr>
        <w:spacing w:line="122" w:lineRule="exact" w:before="0"/>
        <w:ind w:left="185" w:right="0" w:firstLine="0"/>
        <w:jc w:val="left"/>
        <w:rPr>
          <w:sz w:val="12"/>
        </w:rPr>
      </w:pPr>
      <w:r>
        <w:rPr>
          <w:sz w:val="12"/>
        </w:rPr>
        <w:t>2.50</w:t>
      </w:r>
    </w:p>
    <w:p>
      <w:pPr>
        <w:spacing w:line="242" w:lineRule="auto" w:before="0"/>
        <w:ind w:left="185" w:right="0" w:firstLine="0"/>
        <w:jc w:val="left"/>
        <w:rPr>
          <w:sz w:val="24"/>
        </w:rPr>
      </w:pPr>
      <w:r>
        <w:rPr/>
        <w:br w:type="column"/>
      </w:r>
      <w:r>
        <w:rPr>
          <w:sz w:val="24"/>
        </w:rPr>
        <w:t>from the financial turbulence of 1997 and 1998. Overall, the MPC judges that the prospects for world activity in 2000 are now slightly stronger than projected in the May </w:t>
      </w:r>
      <w:r>
        <w:rPr>
          <w:i/>
          <w:sz w:val="24"/>
        </w:rPr>
        <w:t>Report</w:t>
      </w:r>
      <w:r>
        <w:rPr>
          <w:sz w:val="24"/>
        </w:rPr>
        <w:t>, although world growth is still likely to slow in 2001.</w:t>
      </w:r>
    </w:p>
    <w:p>
      <w:pPr>
        <w:spacing w:after="0" w:line="242" w:lineRule="auto"/>
        <w:jc w:val="left"/>
        <w:rPr>
          <w:sz w:val="24"/>
        </w:rPr>
        <w:sectPr>
          <w:type w:val="continuous"/>
          <w:pgSz w:w="11900" w:h="16840"/>
          <w:pgMar w:top="1260" w:bottom="280" w:left="640" w:right="640"/>
          <w:cols w:num="4" w:equalWidth="0">
            <w:col w:w="376" w:space="794"/>
            <w:col w:w="1780" w:space="498"/>
            <w:col w:w="436" w:space="884"/>
            <w:col w:w="5852"/>
          </w:cols>
        </w:sectPr>
      </w:pPr>
    </w:p>
    <w:p>
      <w:pPr>
        <w:spacing w:line="133" w:lineRule="exact" w:before="0"/>
        <w:ind w:left="185" w:right="0" w:firstLine="0"/>
        <w:jc w:val="left"/>
        <w:rPr>
          <w:sz w:val="12"/>
        </w:rPr>
      </w:pPr>
      <w:r>
        <w:rPr>
          <w:sz w:val="12"/>
        </w:rPr>
        <w:t>0.0</w:t>
      </w:r>
    </w:p>
    <w:p>
      <w:pPr>
        <w:tabs>
          <w:tab w:pos="885" w:val="left" w:leader="none"/>
          <w:tab w:pos="1211" w:val="left" w:leader="none"/>
          <w:tab w:pos="1536" w:val="left" w:leader="none"/>
          <w:tab w:pos="1862" w:val="left" w:leader="none"/>
          <w:tab w:pos="2188" w:val="left" w:leader="none"/>
          <w:tab w:pos="2514" w:val="left" w:leader="none"/>
        </w:tabs>
        <w:spacing w:line="186" w:lineRule="exact" w:before="8"/>
        <w:ind w:left="156" w:right="0" w:firstLine="0"/>
        <w:jc w:val="left"/>
        <w:rPr>
          <w:sz w:val="12"/>
        </w:rPr>
      </w:pPr>
      <w:r>
        <w:rPr/>
        <w:br w:type="column"/>
      </w:r>
      <w:r>
        <w:rPr>
          <w:sz w:val="12"/>
        </w:rPr>
        <w:t>1991    </w:t>
      </w:r>
      <w:r>
        <w:rPr>
          <w:spacing w:val="12"/>
          <w:sz w:val="12"/>
        </w:rPr>
        <w:t> </w:t>
      </w:r>
      <w:r>
        <w:rPr>
          <w:sz w:val="12"/>
        </w:rPr>
        <w:t>92</w:t>
        <w:tab/>
        <w:t>93</w:t>
        <w:tab/>
        <w:t>94</w:t>
        <w:tab/>
        <w:t>95</w:t>
        <w:tab/>
        <w:t>96</w:t>
        <w:tab/>
        <w:t>97</w:t>
        <w:tab/>
        <w:t>98 99 2000</w:t>
      </w:r>
      <w:r>
        <w:rPr>
          <w:spacing w:val="22"/>
          <w:sz w:val="12"/>
        </w:rPr>
        <w:t> </w:t>
      </w:r>
      <w:r>
        <w:rPr>
          <w:position w:val="8"/>
          <w:sz w:val="12"/>
        </w:rPr>
        <w:t>0.00</w:t>
      </w:r>
    </w:p>
    <w:p>
      <w:pPr>
        <w:spacing w:after="0" w:line="186" w:lineRule="exact"/>
        <w:jc w:val="left"/>
        <w:rPr>
          <w:sz w:val="12"/>
        </w:rPr>
        <w:sectPr>
          <w:type w:val="continuous"/>
          <w:pgSz w:w="11900" w:h="16840"/>
          <w:pgMar w:top="1260" w:bottom="280" w:left="640" w:right="640"/>
          <w:cols w:num="2" w:equalWidth="0">
            <w:col w:w="336" w:space="40"/>
            <w:col w:w="10244"/>
          </w:cols>
        </w:sectPr>
      </w:pPr>
    </w:p>
    <w:p>
      <w:pPr>
        <w:pStyle w:val="BodyText"/>
        <w:spacing w:before="10"/>
        <w:rPr>
          <w:sz w:val="10"/>
        </w:rPr>
      </w:pPr>
    </w:p>
    <w:p>
      <w:pPr>
        <w:spacing w:before="0"/>
        <w:ind w:left="180" w:right="0" w:firstLine="0"/>
        <w:jc w:val="left"/>
        <w:rPr>
          <w:sz w:val="12"/>
        </w:rPr>
      </w:pPr>
      <w:r>
        <w:rPr>
          <w:sz w:val="12"/>
        </w:rPr>
        <w:t>Sources: ONS, NIESR and Bank estimates.</w:t>
      </w:r>
    </w:p>
    <w:p>
      <w:pPr>
        <w:pStyle w:val="BodyText"/>
        <w:spacing w:before="1"/>
        <w:rPr>
          <w:sz w:val="10"/>
        </w:rPr>
      </w:pPr>
    </w:p>
    <w:p>
      <w:pPr>
        <w:pStyle w:val="ListParagraph"/>
        <w:numPr>
          <w:ilvl w:val="0"/>
          <w:numId w:val="12"/>
        </w:numPr>
        <w:tabs>
          <w:tab w:pos="421" w:val="left" w:leader="none"/>
        </w:tabs>
        <w:spacing w:line="208" w:lineRule="auto" w:before="1" w:after="0"/>
        <w:ind w:left="420" w:right="524" w:hanging="240"/>
        <w:jc w:val="left"/>
        <w:rPr>
          <w:sz w:val="12"/>
        </w:rPr>
      </w:pPr>
      <w:r>
        <w:rPr>
          <w:sz w:val="12"/>
        </w:rPr>
        <w:t>UK</w:t>
      </w:r>
      <w:r>
        <w:rPr>
          <w:spacing w:val="-5"/>
          <w:sz w:val="12"/>
        </w:rPr>
        <w:t> </w:t>
      </w:r>
      <w:r>
        <w:rPr>
          <w:sz w:val="12"/>
        </w:rPr>
        <w:t>goods</w:t>
      </w:r>
      <w:r>
        <w:rPr>
          <w:spacing w:val="-4"/>
          <w:sz w:val="12"/>
        </w:rPr>
        <w:t> </w:t>
      </w:r>
      <w:r>
        <w:rPr>
          <w:sz w:val="12"/>
        </w:rPr>
        <w:t>and</w:t>
      </w:r>
      <w:r>
        <w:rPr>
          <w:spacing w:val="-5"/>
          <w:sz w:val="12"/>
        </w:rPr>
        <w:t> </w:t>
      </w:r>
      <w:r>
        <w:rPr>
          <w:sz w:val="12"/>
        </w:rPr>
        <w:t>services</w:t>
      </w:r>
      <w:r>
        <w:rPr>
          <w:spacing w:val="-4"/>
          <w:sz w:val="12"/>
        </w:rPr>
        <w:t> </w:t>
      </w:r>
      <w:r>
        <w:rPr>
          <w:sz w:val="12"/>
        </w:rPr>
        <w:t>export</w:t>
      </w:r>
      <w:r>
        <w:rPr>
          <w:spacing w:val="-4"/>
          <w:sz w:val="12"/>
        </w:rPr>
        <w:t> </w:t>
      </w:r>
      <w:r>
        <w:rPr>
          <w:sz w:val="12"/>
        </w:rPr>
        <w:t>volumes</w:t>
      </w:r>
      <w:r>
        <w:rPr>
          <w:spacing w:val="-5"/>
          <w:sz w:val="12"/>
        </w:rPr>
        <w:t> </w:t>
      </w:r>
      <w:r>
        <w:rPr>
          <w:sz w:val="12"/>
        </w:rPr>
        <w:t>as</w:t>
      </w:r>
      <w:r>
        <w:rPr>
          <w:spacing w:val="-4"/>
          <w:sz w:val="12"/>
        </w:rPr>
        <w:t> </w:t>
      </w:r>
      <w:r>
        <w:rPr>
          <w:sz w:val="12"/>
        </w:rPr>
        <w:t>a</w:t>
      </w:r>
      <w:r>
        <w:rPr>
          <w:spacing w:val="-4"/>
          <w:sz w:val="12"/>
        </w:rPr>
        <w:t> </w:t>
      </w:r>
      <w:r>
        <w:rPr>
          <w:sz w:val="12"/>
        </w:rPr>
        <w:t>share</w:t>
      </w:r>
      <w:r>
        <w:rPr>
          <w:spacing w:val="-5"/>
          <w:sz w:val="12"/>
        </w:rPr>
        <w:t> </w:t>
      </w:r>
      <w:r>
        <w:rPr>
          <w:sz w:val="12"/>
        </w:rPr>
        <w:t>of</w:t>
      </w:r>
      <w:r>
        <w:rPr>
          <w:spacing w:val="-4"/>
          <w:sz w:val="12"/>
        </w:rPr>
        <w:t> </w:t>
      </w:r>
      <w:r>
        <w:rPr>
          <w:sz w:val="12"/>
        </w:rPr>
        <w:t>world</w:t>
      </w:r>
      <w:r>
        <w:rPr>
          <w:spacing w:val="-5"/>
          <w:sz w:val="12"/>
        </w:rPr>
        <w:t> </w:t>
      </w:r>
      <w:r>
        <w:rPr>
          <w:sz w:val="12"/>
        </w:rPr>
        <w:t>imports</w:t>
      </w:r>
      <w:r>
        <w:rPr>
          <w:spacing w:val="-4"/>
          <w:sz w:val="12"/>
        </w:rPr>
        <w:t> </w:t>
      </w:r>
      <w:r>
        <w:rPr>
          <w:sz w:val="12"/>
        </w:rPr>
        <w:t>of goods and services, scaled to actual market share in</w:t>
      </w:r>
      <w:r>
        <w:rPr>
          <w:spacing w:val="-21"/>
          <w:sz w:val="12"/>
        </w:rPr>
        <w:t> </w:t>
      </w:r>
      <w:r>
        <w:rPr>
          <w:sz w:val="12"/>
        </w:rPr>
        <w:t>1994.</w:t>
      </w:r>
    </w:p>
    <w:p>
      <w:pPr>
        <w:pStyle w:val="ListParagraph"/>
        <w:numPr>
          <w:ilvl w:val="0"/>
          <w:numId w:val="12"/>
        </w:numPr>
        <w:tabs>
          <w:tab w:pos="421" w:val="left" w:leader="none"/>
        </w:tabs>
        <w:spacing w:line="208" w:lineRule="auto" w:before="0" w:after="0"/>
        <w:ind w:left="420" w:right="516" w:hanging="240"/>
        <w:jc w:val="left"/>
        <w:rPr>
          <w:sz w:val="12"/>
        </w:rPr>
      </w:pPr>
      <w:r>
        <w:rPr>
          <w:sz w:val="12"/>
        </w:rPr>
        <w:t>Proxied by UK goods export volumes as a share of EU and non-EU imports</w:t>
      </w:r>
      <w:r>
        <w:rPr>
          <w:spacing w:val="-5"/>
          <w:sz w:val="12"/>
        </w:rPr>
        <w:t> </w:t>
      </w:r>
      <w:r>
        <w:rPr>
          <w:sz w:val="12"/>
        </w:rPr>
        <w:t>of</w:t>
      </w:r>
      <w:r>
        <w:rPr>
          <w:spacing w:val="-5"/>
          <w:sz w:val="12"/>
        </w:rPr>
        <w:t> </w:t>
      </w:r>
      <w:r>
        <w:rPr>
          <w:sz w:val="12"/>
        </w:rPr>
        <w:t>goods</w:t>
      </w:r>
      <w:r>
        <w:rPr>
          <w:spacing w:val="-5"/>
          <w:sz w:val="12"/>
        </w:rPr>
        <w:t> </w:t>
      </w:r>
      <w:r>
        <w:rPr>
          <w:sz w:val="12"/>
        </w:rPr>
        <w:t>and</w:t>
      </w:r>
      <w:r>
        <w:rPr>
          <w:spacing w:val="-4"/>
          <w:sz w:val="12"/>
        </w:rPr>
        <w:t> </w:t>
      </w:r>
      <w:r>
        <w:rPr>
          <w:sz w:val="12"/>
        </w:rPr>
        <w:t>services,</w:t>
      </w:r>
      <w:r>
        <w:rPr>
          <w:spacing w:val="-4"/>
          <w:sz w:val="12"/>
        </w:rPr>
        <w:t> </w:t>
      </w:r>
      <w:r>
        <w:rPr>
          <w:sz w:val="12"/>
        </w:rPr>
        <w:t>scaled</w:t>
      </w:r>
      <w:r>
        <w:rPr>
          <w:spacing w:val="-5"/>
          <w:sz w:val="12"/>
        </w:rPr>
        <w:t> </w:t>
      </w:r>
      <w:r>
        <w:rPr>
          <w:sz w:val="12"/>
        </w:rPr>
        <w:t>to</w:t>
      </w:r>
      <w:r>
        <w:rPr>
          <w:spacing w:val="-5"/>
          <w:sz w:val="12"/>
        </w:rPr>
        <w:t> </w:t>
      </w:r>
      <w:r>
        <w:rPr>
          <w:sz w:val="12"/>
        </w:rPr>
        <w:t>actual</w:t>
      </w:r>
      <w:r>
        <w:rPr>
          <w:spacing w:val="-4"/>
          <w:sz w:val="12"/>
        </w:rPr>
        <w:t> </w:t>
      </w:r>
      <w:r>
        <w:rPr>
          <w:sz w:val="12"/>
        </w:rPr>
        <w:t>market</w:t>
      </w:r>
      <w:r>
        <w:rPr>
          <w:spacing w:val="-5"/>
          <w:sz w:val="12"/>
        </w:rPr>
        <w:t> </w:t>
      </w:r>
      <w:r>
        <w:rPr>
          <w:sz w:val="12"/>
        </w:rPr>
        <w:t>shares</w:t>
      </w:r>
      <w:r>
        <w:rPr>
          <w:spacing w:val="-5"/>
          <w:sz w:val="12"/>
        </w:rPr>
        <w:t> </w:t>
      </w:r>
      <w:r>
        <w:rPr>
          <w:sz w:val="12"/>
        </w:rPr>
        <w:t>in</w:t>
      </w:r>
      <w:r>
        <w:rPr>
          <w:spacing w:val="-5"/>
          <w:sz w:val="12"/>
        </w:rPr>
        <w:t> </w:t>
      </w:r>
      <w:r>
        <w:rPr>
          <w:sz w:val="12"/>
        </w:rPr>
        <w:t>1994.</w:t>
      </w:r>
    </w:p>
    <w:p>
      <w:pPr>
        <w:pStyle w:val="BodyText"/>
        <w:rPr>
          <w:sz w:val="12"/>
        </w:rPr>
      </w:pPr>
    </w:p>
    <w:p>
      <w:pPr>
        <w:pStyle w:val="BodyText"/>
        <w:rPr>
          <w:sz w:val="12"/>
        </w:rPr>
      </w:pPr>
    </w:p>
    <w:p>
      <w:pPr>
        <w:pStyle w:val="BodyText"/>
        <w:rPr>
          <w:sz w:val="12"/>
        </w:rPr>
      </w:pPr>
    </w:p>
    <w:p>
      <w:pPr>
        <w:pStyle w:val="BodyText"/>
        <w:spacing w:before="7"/>
        <w:rPr>
          <w:sz w:val="12"/>
        </w:rPr>
      </w:pPr>
    </w:p>
    <w:p>
      <w:pPr>
        <w:pStyle w:val="Heading6"/>
        <w:spacing w:before="0"/>
        <w:ind w:left="154"/>
      </w:pPr>
      <w:r>
        <w:rPr>
          <w:color w:val="0092C7"/>
        </w:rPr>
        <w:t>Table 2.A</w:t>
      </w:r>
    </w:p>
    <w:p>
      <w:pPr>
        <w:pStyle w:val="Heading6"/>
        <w:ind w:left="154"/>
        <w:rPr>
          <w:b w:val="0"/>
          <w:sz w:val="12"/>
        </w:rPr>
      </w:pPr>
      <w:r>
        <w:rPr>
          <w:color w:val="0092C7"/>
        </w:rPr>
        <w:t>Composition of UK import volume growth</w:t>
      </w:r>
      <w:r>
        <w:rPr>
          <w:b w:val="0"/>
          <w:position w:val="4"/>
          <w:sz w:val="12"/>
        </w:rPr>
        <w:t>(a)</w:t>
      </w:r>
    </w:p>
    <w:p>
      <w:pPr>
        <w:spacing w:before="106"/>
        <w:ind w:left="154" w:right="0" w:firstLine="0"/>
        <w:jc w:val="left"/>
        <w:rPr>
          <w:sz w:val="14"/>
        </w:rPr>
      </w:pPr>
      <w:r>
        <w:rPr>
          <w:sz w:val="14"/>
        </w:rPr>
        <w:t>Percentage changes on a quarter earlier</w:t>
      </w:r>
    </w:p>
    <w:p>
      <w:pPr>
        <w:tabs>
          <w:tab w:pos="3614" w:val="left" w:leader="none"/>
          <w:tab w:pos="3865" w:val="left" w:leader="none"/>
        </w:tabs>
        <w:spacing w:line="150" w:lineRule="exact" w:before="119"/>
        <w:ind w:left="2166" w:right="0" w:firstLine="0"/>
        <w:jc w:val="center"/>
        <w:rPr>
          <w:sz w:val="14"/>
        </w:rPr>
      </w:pPr>
      <w:r>
        <w:rPr>
          <w:sz w:val="14"/>
          <w:u w:val="single"/>
        </w:rPr>
        <w:t>1999</w:t>
        <w:tab/>
      </w:r>
      <w:r>
        <w:rPr>
          <w:sz w:val="14"/>
        </w:rPr>
        <w:tab/>
      </w:r>
      <w:r>
        <w:rPr>
          <w:sz w:val="14"/>
          <w:u w:val="single"/>
        </w:rPr>
        <w:t> 2000</w:t>
      </w:r>
      <w:r>
        <w:rPr>
          <w:spacing w:val="10"/>
          <w:sz w:val="14"/>
          <w:u w:val="single"/>
        </w:rPr>
        <w:t> </w:t>
      </w:r>
    </w:p>
    <w:p>
      <w:pPr>
        <w:tabs>
          <w:tab w:pos="2732" w:val="left" w:leader="none"/>
          <w:tab w:pos="3355" w:val="left" w:leader="none"/>
          <w:tab w:pos="3839" w:val="left" w:leader="none"/>
        </w:tabs>
        <w:spacing w:line="150" w:lineRule="exact" w:before="0"/>
        <w:ind w:left="2153" w:right="0" w:firstLine="0"/>
        <w:jc w:val="center"/>
        <w:rPr>
          <w:sz w:val="14"/>
        </w:rPr>
      </w:pPr>
      <w:r>
        <w:rPr>
          <w:sz w:val="14"/>
          <w:u w:val="single"/>
        </w:rPr>
        <w:t>Q2</w:t>
      </w:r>
      <w:r>
        <w:rPr>
          <w:sz w:val="14"/>
        </w:rPr>
        <w:tab/>
      </w:r>
      <w:r>
        <w:rPr>
          <w:sz w:val="14"/>
          <w:u w:val="single"/>
        </w:rPr>
        <w:t> Q3</w:t>
      </w:r>
      <w:r>
        <w:rPr>
          <w:sz w:val="14"/>
        </w:rPr>
        <w:tab/>
      </w:r>
      <w:r>
        <w:rPr>
          <w:sz w:val="14"/>
          <w:u w:val="single"/>
        </w:rPr>
        <w:t> Q4</w:t>
      </w:r>
      <w:r>
        <w:rPr>
          <w:sz w:val="14"/>
        </w:rPr>
        <w:tab/>
      </w:r>
      <w:r>
        <w:rPr>
          <w:sz w:val="14"/>
          <w:u w:val="single"/>
        </w:rPr>
        <w:t> Q1</w:t>
      </w:r>
      <w:r>
        <w:rPr>
          <w:spacing w:val="1"/>
          <w:sz w:val="14"/>
          <w:u w:val="single"/>
        </w:rPr>
        <w:t> </w:t>
      </w:r>
    </w:p>
    <w:p>
      <w:pPr>
        <w:spacing w:line="208" w:lineRule="auto" w:before="136"/>
        <w:ind w:left="154" w:right="2433" w:firstLine="0"/>
        <w:jc w:val="left"/>
        <w:rPr>
          <w:sz w:val="14"/>
        </w:rPr>
      </w:pPr>
      <w:r>
        <w:rPr/>
        <w:pict>
          <v:shape style="position:absolute;margin-left:142.509018pt;margin-top:6.247803pt;width:101.15pt;height:70.8pt;mso-position-horizontal-relative:page;mso-position-vertical-relative:paragraph;z-index:1591142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3"/>
                    <w:gridCol w:w="559"/>
                    <w:gridCol w:w="606"/>
                    <w:gridCol w:w="407"/>
                  </w:tblGrid>
                  <w:tr>
                    <w:trPr>
                      <w:trHeight w:val="217" w:hRule="atLeast"/>
                    </w:trPr>
                    <w:tc>
                      <w:tcPr>
                        <w:tcW w:w="453" w:type="dxa"/>
                      </w:tcPr>
                      <w:p>
                        <w:pPr>
                          <w:pStyle w:val="TableParagraph"/>
                          <w:spacing w:line="155" w:lineRule="exact"/>
                          <w:ind w:left="96"/>
                          <w:rPr>
                            <w:sz w:val="14"/>
                          </w:rPr>
                        </w:pPr>
                        <w:r>
                          <w:rPr>
                            <w:sz w:val="14"/>
                          </w:rPr>
                          <w:t>0.2</w:t>
                        </w:r>
                      </w:p>
                    </w:tc>
                    <w:tc>
                      <w:tcPr>
                        <w:tcW w:w="559" w:type="dxa"/>
                      </w:tcPr>
                      <w:p>
                        <w:pPr>
                          <w:pStyle w:val="TableParagraph"/>
                          <w:spacing w:line="155" w:lineRule="exact"/>
                          <w:ind w:right="201"/>
                          <w:jc w:val="right"/>
                          <w:rPr>
                            <w:sz w:val="14"/>
                          </w:rPr>
                        </w:pPr>
                        <w:r>
                          <w:rPr>
                            <w:sz w:val="14"/>
                          </w:rPr>
                          <w:t>4.8</w:t>
                        </w:r>
                      </w:p>
                    </w:tc>
                    <w:tc>
                      <w:tcPr>
                        <w:tcW w:w="606" w:type="dxa"/>
                      </w:tcPr>
                      <w:p>
                        <w:pPr>
                          <w:pStyle w:val="TableParagraph"/>
                          <w:spacing w:line="155" w:lineRule="exact"/>
                          <w:ind w:right="180"/>
                          <w:jc w:val="right"/>
                          <w:rPr>
                            <w:sz w:val="14"/>
                          </w:rPr>
                        </w:pPr>
                        <w:r>
                          <w:rPr>
                            <w:sz w:val="14"/>
                          </w:rPr>
                          <w:t>2.0</w:t>
                        </w:r>
                      </w:p>
                    </w:tc>
                    <w:tc>
                      <w:tcPr>
                        <w:tcW w:w="407" w:type="dxa"/>
                      </w:tcPr>
                      <w:p>
                        <w:pPr>
                          <w:pStyle w:val="TableParagraph"/>
                          <w:spacing w:line="155" w:lineRule="exact"/>
                          <w:ind w:right="50"/>
                          <w:jc w:val="right"/>
                          <w:rPr>
                            <w:sz w:val="14"/>
                          </w:rPr>
                        </w:pPr>
                        <w:r>
                          <w:rPr>
                            <w:sz w:val="14"/>
                          </w:rPr>
                          <w:t>1.4</w:t>
                        </w:r>
                      </w:p>
                    </w:tc>
                  </w:tr>
                  <w:tr>
                    <w:trPr>
                      <w:trHeight w:val="210" w:hRule="atLeast"/>
                    </w:trPr>
                    <w:tc>
                      <w:tcPr>
                        <w:tcW w:w="453" w:type="dxa"/>
                      </w:tcPr>
                      <w:p>
                        <w:pPr>
                          <w:pStyle w:val="TableParagraph"/>
                          <w:spacing w:line="133" w:lineRule="exact" w:before="56"/>
                          <w:ind w:left="50"/>
                          <w:rPr>
                            <w:sz w:val="14"/>
                          </w:rPr>
                        </w:pPr>
                        <w:r>
                          <w:rPr>
                            <w:sz w:val="14"/>
                          </w:rPr>
                          <w:t>-0.1</w:t>
                        </w:r>
                      </w:p>
                    </w:tc>
                    <w:tc>
                      <w:tcPr>
                        <w:tcW w:w="559" w:type="dxa"/>
                      </w:tcPr>
                      <w:p>
                        <w:pPr>
                          <w:pStyle w:val="TableParagraph"/>
                          <w:spacing w:line="133" w:lineRule="exact" w:before="56"/>
                          <w:ind w:right="201"/>
                          <w:jc w:val="right"/>
                          <w:rPr>
                            <w:sz w:val="14"/>
                          </w:rPr>
                        </w:pPr>
                        <w:r>
                          <w:rPr>
                            <w:sz w:val="14"/>
                          </w:rPr>
                          <w:t>4.2</w:t>
                        </w:r>
                      </w:p>
                    </w:tc>
                    <w:tc>
                      <w:tcPr>
                        <w:tcW w:w="606" w:type="dxa"/>
                      </w:tcPr>
                      <w:p>
                        <w:pPr>
                          <w:pStyle w:val="TableParagraph"/>
                          <w:spacing w:line="133" w:lineRule="exact" w:before="56"/>
                          <w:ind w:right="180"/>
                          <w:jc w:val="right"/>
                          <w:rPr>
                            <w:sz w:val="14"/>
                          </w:rPr>
                        </w:pPr>
                        <w:r>
                          <w:rPr>
                            <w:sz w:val="14"/>
                          </w:rPr>
                          <w:t>1.4</w:t>
                        </w:r>
                      </w:p>
                    </w:tc>
                    <w:tc>
                      <w:tcPr>
                        <w:tcW w:w="407" w:type="dxa"/>
                      </w:tcPr>
                      <w:p>
                        <w:pPr>
                          <w:pStyle w:val="TableParagraph"/>
                          <w:spacing w:line="133" w:lineRule="exact" w:before="56"/>
                          <w:ind w:right="50"/>
                          <w:jc w:val="right"/>
                          <w:rPr>
                            <w:sz w:val="14"/>
                          </w:rPr>
                        </w:pPr>
                        <w:r>
                          <w:rPr>
                            <w:sz w:val="14"/>
                          </w:rPr>
                          <w:t>1.0</w:t>
                        </w:r>
                      </w:p>
                    </w:tc>
                  </w:tr>
                  <w:tr>
                    <w:trPr>
                      <w:trHeight w:val="140" w:hRule="atLeast"/>
                    </w:trPr>
                    <w:tc>
                      <w:tcPr>
                        <w:tcW w:w="453" w:type="dxa"/>
                      </w:tcPr>
                      <w:p>
                        <w:pPr>
                          <w:pStyle w:val="TableParagraph"/>
                          <w:ind w:left="96"/>
                          <w:rPr>
                            <w:i/>
                            <w:sz w:val="14"/>
                          </w:rPr>
                        </w:pPr>
                        <w:r>
                          <w:rPr>
                            <w:i/>
                            <w:sz w:val="14"/>
                          </w:rPr>
                          <w:t>0.1</w:t>
                        </w:r>
                      </w:p>
                    </w:tc>
                    <w:tc>
                      <w:tcPr>
                        <w:tcW w:w="559" w:type="dxa"/>
                      </w:tcPr>
                      <w:p>
                        <w:pPr>
                          <w:pStyle w:val="TableParagraph"/>
                          <w:ind w:right="201"/>
                          <w:jc w:val="right"/>
                          <w:rPr>
                            <w:i/>
                            <w:sz w:val="14"/>
                          </w:rPr>
                        </w:pPr>
                        <w:r>
                          <w:rPr>
                            <w:i/>
                            <w:sz w:val="14"/>
                          </w:rPr>
                          <w:t>1.5</w:t>
                        </w:r>
                      </w:p>
                    </w:tc>
                    <w:tc>
                      <w:tcPr>
                        <w:tcW w:w="606" w:type="dxa"/>
                      </w:tcPr>
                      <w:p>
                        <w:pPr>
                          <w:pStyle w:val="TableParagraph"/>
                          <w:ind w:right="180"/>
                          <w:jc w:val="right"/>
                          <w:rPr>
                            <w:i/>
                            <w:sz w:val="14"/>
                          </w:rPr>
                        </w:pPr>
                        <w:r>
                          <w:rPr>
                            <w:i/>
                            <w:sz w:val="14"/>
                          </w:rPr>
                          <w:t>-0.4</w:t>
                        </w:r>
                      </w:p>
                    </w:tc>
                    <w:tc>
                      <w:tcPr>
                        <w:tcW w:w="407" w:type="dxa"/>
                      </w:tcPr>
                      <w:p>
                        <w:pPr>
                          <w:pStyle w:val="TableParagraph"/>
                          <w:ind w:right="50"/>
                          <w:jc w:val="right"/>
                          <w:rPr>
                            <w:i/>
                            <w:sz w:val="14"/>
                          </w:rPr>
                        </w:pPr>
                        <w:r>
                          <w:rPr>
                            <w:i/>
                            <w:sz w:val="14"/>
                          </w:rPr>
                          <w:t>0.3</w:t>
                        </w:r>
                      </w:p>
                    </w:tc>
                  </w:tr>
                  <w:tr>
                    <w:trPr>
                      <w:trHeight w:val="140" w:hRule="atLeast"/>
                    </w:trPr>
                    <w:tc>
                      <w:tcPr>
                        <w:tcW w:w="453" w:type="dxa"/>
                      </w:tcPr>
                      <w:p>
                        <w:pPr>
                          <w:pStyle w:val="TableParagraph"/>
                          <w:ind w:left="96"/>
                          <w:rPr>
                            <w:i/>
                            <w:sz w:val="14"/>
                          </w:rPr>
                        </w:pPr>
                        <w:r>
                          <w:rPr>
                            <w:i/>
                            <w:sz w:val="14"/>
                          </w:rPr>
                          <w:t>0.1</w:t>
                        </w:r>
                      </w:p>
                    </w:tc>
                    <w:tc>
                      <w:tcPr>
                        <w:tcW w:w="559" w:type="dxa"/>
                      </w:tcPr>
                      <w:p>
                        <w:pPr>
                          <w:pStyle w:val="TableParagraph"/>
                          <w:ind w:right="201"/>
                          <w:jc w:val="right"/>
                          <w:rPr>
                            <w:i/>
                            <w:sz w:val="14"/>
                          </w:rPr>
                        </w:pPr>
                        <w:r>
                          <w:rPr>
                            <w:i/>
                            <w:sz w:val="14"/>
                          </w:rPr>
                          <w:t>0.3</w:t>
                        </w:r>
                      </w:p>
                    </w:tc>
                    <w:tc>
                      <w:tcPr>
                        <w:tcW w:w="606" w:type="dxa"/>
                      </w:tcPr>
                      <w:p>
                        <w:pPr>
                          <w:pStyle w:val="TableParagraph"/>
                          <w:ind w:right="180"/>
                          <w:jc w:val="right"/>
                          <w:rPr>
                            <w:i/>
                            <w:sz w:val="14"/>
                          </w:rPr>
                        </w:pPr>
                        <w:r>
                          <w:rPr>
                            <w:i/>
                            <w:sz w:val="14"/>
                          </w:rPr>
                          <w:t>0.3</w:t>
                        </w:r>
                      </w:p>
                    </w:tc>
                    <w:tc>
                      <w:tcPr>
                        <w:tcW w:w="407" w:type="dxa"/>
                      </w:tcPr>
                      <w:p>
                        <w:pPr>
                          <w:pStyle w:val="TableParagraph"/>
                          <w:ind w:right="50"/>
                          <w:jc w:val="right"/>
                          <w:rPr>
                            <w:i/>
                            <w:sz w:val="14"/>
                          </w:rPr>
                        </w:pPr>
                        <w:r>
                          <w:rPr>
                            <w:i/>
                            <w:sz w:val="14"/>
                          </w:rPr>
                          <w:t>0.3</w:t>
                        </w:r>
                      </w:p>
                    </w:tc>
                  </w:tr>
                  <w:tr>
                    <w:trPr>
                      <w:trHeight w:val="140" w:hRule="atLeast"/>
                    </w:trPr>
                    <w:tc>
                      <w:tcPr>
                        <w:tcW w:w="453" w:type="dxa"/>
                      </w:tcPr>
                      <w:p>
                        <w:pPr>
                          <w:pStyle w:val="TableParagraph"/>
                          <w:ind w:left="96"/>
                          <w:rPr>
                            <w:i/>
                            <w:sz w:val="14"/>
                          </w:rPr>
                        </w:pPr>
                        <w:r>
                          <w:rPr>
                            <w:i/>
                            <w:sz w:val="14"/>
                          </w:rPr>
                          <w:t>0.1</w:t>
                        </w:r>
                      </w:p>
                    </w:tc>
                    <w:tc>
                      <w:tcPr>
                        <w:tcW w:w="559" w:type="dxa"/>
                      </w:tcPr>
                      <w:p>
                        <w:pPr>
                          <w:pStyle w:val="TableParagraph"/>
                          <w:ind w:right="201"/>
                          <w:jc w:val="right"/>
                          <w:rPr>
                            <w:i/>
                            <w:sz w:val="14"/>
                          </w:rPr>
                        </w:pPr>
                        <w:r>
                          <w:rPr>
                            <w:i/>
                            <w:sz w:val="14"/>
                          </w:rPr>
                          <w:t>1.2</w:t>
                        </w:r>
                      </w:p>
                    </w:tc>
                    <w:tc>
                      <w:tcPr>
                        <w:tcW w:w="606" w:type="dxa"/>
                      </w:tcPr>
                      <w:p>
                        <w:pPr>
                          <w:pStyle w:val="TableParagraph"/>
                          <w:ind w:right="180"/>
                          <w:jc w:val="right"/>
                          <w:rPr>
                            <w:i/>
                            <w:sz w:val="14"/>
                          </w:rPr>
                        </w:pPr>
                        <w:r>
                          <w:rPr>
                            <w:i/>
                            <w:sz w:val="14"/>
                          </w:rPr>
                          <w:t>1.1</w:t>
                        </w:r>
                      </w:p>
                    </w:tc>
                    <w:tc>
                      <w:tcPr>
                        <w:tcW w:w="407" w:type="dxa"/>
                      </w:tcPr>
                      <w:p>
                        <w:pPr>
                          <w:pStyle w:val="TableParagraph"/>
                          <w:ind w:right="50"/>
                          <w:jc w:val="right"/>
                          <w:rPr>
                            <w:i/>
                            <w:sz w:val="14"/>
                          </w:rPr>
                        </w:pPr>
                        <w:r>
                          <w:rPr>
                            <w:i/>
                            <w:sz w:val="14"/>
                          </w:rPr>
                          <w:t>0.4</w:t>
                        </w:r>
                      </w:p>
                    </w:tc>
                  </w:tr>
                  <w:tr>
                    <w:trPr>
                      <w:trHeight w:val="140" w:hRule="atLeast"/>
                    </w:trPr>
                    <w:tc>
                      <w:tcPr>
                        <w:tcW w:w="453" w:type="dxa"/>
                      </w:tcPr>
                      <w:p>
                        <w:pPr>
                          <w:pStyle w:val="TableParagraph"/>
                          <w:ind w:left="50"/>
                          <w:rPr>
                            <w:i/>
                            <w:sz w:val="14"/>
                          </w:rPr>
                        </w:pPr>
                        <w:r>
                          <w:rPr>
                            <w:i/>
                            <w:sz w:val="14"/>
                          </w:rPr>
                          <w:t>-0.1</w:t>
                        </w:r>
                      </w:p>
                    </w:tc>
                    <w:tc>
                      <w:tcPr>
                        <w:tcW w:w="559" w:type="dxa"/>
                      </w:tcPr>
                      <w:p>
                        <w:pPr>
                          <w:pStyle w:val="TableParagraph"/>
                          <w:ind w:right="201"/>
                          <w:jc w:val="right"/>
                          <w:rPr>
                            <w:i/>
                            <w:sz w:val="14"/>
                          </w:rPr>
                        </w:pPr>
                        <w:r>
                          <w:rPr>
                            <w:i/>
                            <w:sz w:val="14"/>
                          </w:rPr>
                          <w:t>1.0</w:t>
                        </w:r>
                      </w:p>
                    </w:tc>
                    <w:tc>
                      <w:tcPr>
                        <w:tcW w:w="606" w:type="dxa"/>
                      </w:tcPr>
                      <w:p>
                        <w:pPr>
                          <w:pStyle w:val="TableParagraph"/>
                          <w:ind w:right="180"/>
                          <w:jc w:val="right"/>
                          <w:rPr>
                            <w:i/>
                            <w:sz w:val="14"/>
                          </w:rPr>
                        </w:pPr>
                        <w:r>
                          <w:rPr>
                            <w:i/>
                            <w:sz w:val="14"/>
                          </w:rPr>
                          <w:t>0.8</w:t>
                        </w:r>
                      </w:p>
                    </w:tc>
                    <w:tc>
                      <w:tcPr>
                        <w:tcW w:w="407" w:type="dxa"/>
                      </w:tcPr>
                      <w:p>
                        <w:pPr>
                          <w:pStyle w:val="TableParagraph"/>
                          <w:ind w:right="50"/>
                          <w:jc w:val="right"/>
                          <w:rPr>
                            <w:i/>
                            <w:sz w:val="14"/>
                          </w:rPr>
                        </w:pPr>
                        <w:r>
                          <w:rPr>
                            <w:i/>
                            <w:sz w:val="14"/>
                          </w:rPr>
                          <w:t>0.0</w:t>
                        </w:r>
                      </w:p>
                    </w:tc>
                  </w:tr>
                  <w:tr>
                    <w:trPr>
                      <w:trHeight w:val="140" w:hRule="atLeast"/>
                    </w:trPr>
                    <w:tc>
                      <w:tcPr>
                        <w:tcW w:w="453" w:type="dxa"/>
                      </w:tcPr>
                      <w:p>
                        <w:pPr>
                          <w:pStyle w:val="TableParagraph"/>
                          <w:ind w:left="50"/>
                          <w:rPr>
                            <w:i/>
                            <w:sz w:val="14"/>
                          </w:rPr>
                        </w:pPr>
                        <w:r>
                          <w:rPr>
                            <w:i/>
                            <w:sz w:val="14"/>
                          </w:rPr>
                          <w:t>-0.3</w:t>
                        </w:r>
                      </w:p>
                    </w:tc>
                    <w:tc>
                      <w:tcPr>
                        <w:tcW w:w="559" w:type="dxa"/>
                      </w:tcPr>
                      <w:p>
                        <w:pPr>
                          <w:pStyle w:val="TableParagraph"/>
                          <w:ind w:right="201"/>
                          <w:jc w:val="right"/>
                          <w:rPr>
                            <w:i/>
                            <w:sz w:val="14"/>
                          </w:rPr>
                        </w:pPr>
                        <w:r>
                          <w:rPr>
                            <w:i/>
                            <w:sz w:val="14"/>
                          </w:rPr>
                          <w:t>0.3</w:t>
                        </w:r>
                      </w:p>
                    </w:tc>
                    <w:tc>
                      <w:tcPr>
                        <w:tcW w:w="606" w:type="dxa"/>
                      </w:tcPr>
                      <w:p>
                        <w:pPr>
                          <w:pStyle w:val="TableParagraph"/>
                          <w:ind w:right="180"/>
                          <w:jc w:val="right"/>
                          <w:rPr>
                            <w:i/>
                            <w:sz w:val="14"/>
                          </w:rPr>
                        </w:pPr>
                        <w:r>
                          <w:rPr>
                            <w:i/>
                            <w:sz w:val="14"/>
                          </w:rPr>
                          <w:t>-0.4</w:t>
                        </w:r>
                      </w:p>
                    </w:tc>
                    <w:tc>
                      <w:tcPr>
                        <w:tcW w:w="407" w:type="dxa"/>
                      </w:tcPr>
                      <w:p>
                        <w:pPr>
                          <w:pStyle w:val="TableParagraph"/>
                          <w:ind w:right="50"/>
                          <w:jc w:val="right"/>
                          <w:rPr>
                            <w:i/>
                            <w:sz w:val="14"/>
                          </w:rPr>
                        </w:pPr>
                        <w:r>
                          <w:rPr>
                            <w:i/>
                            <w:sz w:val="14"/>
                          </w:rPr>
                          <w:t>0.0</w:t>
                        </w:r>
                      </w:p>
                    </w:tc>
                  </w:tr>
                  <w:tr>
                    <w:trPr>
                      <w:trHeight w:val="140" w:hRule="atLeast"/>
                    </w:trPr>
                    <w:tc>
                      <w:tcPr>
                        <w:tcW w:w="453" w:type="dxa"/>
                      </w:tcPr>
                      <w:p>
                        <w:pPr>
                          <w:pStyle w:val="TableParagraph"/>
                          <w:ind w:left="96"/>
                          <w:rPr>
                            <w:sz w:val="14"/>
                          </w:rPr>
                        </w:pPr>
                        <w:r>
                          <w:rPr>
                            <w:sz w:val="14"/>
                          </w:rPr>
                          <w:t>0.0</w:t>
                        </w:r>
                      </w:p>
                    </w:tc>
                    <w:tc>
                      <w:tcPr>
                        <w:tcW w:w="559" w:type="dxa"/>
                      </w:tcPr>
                      <w:p>
                        <w:pPr>
                          <w:pStyle w:val="TableParagraph"/>
                          <w:ind w:right="201"/>
                          <w:jc w:val="right"/>
                          <w:rPr>
                            <w:sz w:val="14"/>
                          </w:rPr>
                        </w:pPr>
                        <w:r>
                          <w:rPr>
                            <w:sz w:val="14"/>
                          </w:rPr>
                          <w:t>0.5</w:t>
                        </w:r>
                      </w:p>
                    </w:tc>
                    <w:tc>
                      <w:tcPr>
                        <w:tcW w:w="606" w:type="dxa"/>
                      </w:tcPr>
                      <w:p>
                        <w:pPr>
                          <w:pStyle w:val="TableParagraph"/>
                          <w:ind w:right="180"/>
                          <w:jc w:val="right"/>
                          <w:rPr>
                            <w:sz w:val="14"/>
                          </w:rPr>
                        </w:pPr>
                        <w:r>
                          <w:rPr>
                            <w:sz w:val="14"/>
                          </w:rPr>
                          <w:t>0.2</w:t>
                        </w:r>
                      </w:p>
                    </w:tc>
                    <w:tc>
                      <w:tcPr>
                        <w:tcW w:w="407" w:type="dxa"/>
                      </w:tcPr>
                      <w:p>
                        <w:pPr>
                          <w:pStyle w:val="TableParagraph"/>
                          <w:ind w:right="50"/>
                          <w:jc w:val="right"/>
                          <w:rPr>
                            <w:sz w:val="14"/>
                          </w:rPr>
                        </w:pPr>
                        <w:r>
                          <w:rPr>
                            <w:sz w:val="14"/>
                          </w:rPr>
                          <w:t>0.2</w:t>
                        </w:r>
                      </w:p>
                    </w:tc>
                  </w:tr>
                  <w:tr>
                    <w:trPr>
                      <w:trHeight w:val="147" w:hRule="atLeast"/>
                    </w:trPr>
                    <w:tc>
                      <w:tcPr>
                        <w:tcW w:w="453" w:type="dxa"/>
                      </w:tcPr>
                      <w:p>
                        <w:pPr>
                          <w:pStyle w:val="TableParagraph"/>
                          <w:spacing w:line="128" w:lineRule="exact"/>
                          <w:ind w:left="96"/>
                          <w:rPr>
                            <w:sz w:val="14"/>
                          </w:rPr>
                        </w:pPr>
                        <w:r>
                          <w:rPr>
                            <w:sz w:val="14"/>
                          </w:rPr>
                          <w:t>0.2</w:t>
                        </w:r>
                      </w:p>
                    </w:tc>
                    <w:tc>
                      <w:tcPr>
                        <w:tcW w:w="559" w:type="dxa"/>
                      </w:tcPr>
                      <w:p>
                        <w:pPr>
                          <w:pStyle w:val="TableParagraph"/>
                          <w:spacing w:line="128" w:lineRule="exact"/>
                          <w:ind w:right="201"/>
                          <w:jc w:val="right"/>
                          <w:rPr>
                            <w:sz w:val="14"/>
                          </w:rPr>
                        </w:pPr>
                        <w:r>
                          <w:rPr>
                            <w:sz w:val="14"/>
                          </w:rPr>
                          <w:t>0.1</w:t>
                        </w:r>
                      </w:p>
                    </w:tc>
                    <w:tc>
                      <w:tcPr>
                        <w:tcW w:w="606" w:type="dxa"/>
                      </w:tcPr>
                      <w:p>
                        <w:pPr>
                          <w:pStyle w:val="TableParagraph"/>
                          <w:spacing w:line="128" w:lineRule="exact"/>
                          <w:ind w:right="180"/>
                          <w:jc w:val="right"/>
                          <w:rPr>
                            <w:sz w:val="14"/>
                          </w:rPr>
                        </w:pPr>
                        <w:r>
                          <w:rPr>
                            <w:sz w:val="14"/>
                          </w:rPr>
                          <w:t>0.4</w:t>
                        </w:r>
                      </w:p>
                    </w:tc>
                    <w:tc>
                      <w:tcPr>
                        <w:tcW w:w="407" w:type="dxa"/>
                      </w:tcPr>
                      <w:p>
                        <w:pPr>
                          <w:pStyle w:val="TableParagraph"/>
                          <w:spacing w:line="128" w:lineRule="exact"/>
                          <w:ind w:right="50"/>
                          <w:jc w:val="right"/>
                          <w:rPr>
                            <w:sz w:val="14"/>
                          </w:rPr>
                        </w:pPr>
                        <w:r>
                          <w:rPr>
                            <w:sz w:val="14"/>
                          </w:rPr>
                          <w:t>0.2</w:t>
                        </w:r>
                      </w:p>
                    </w:tc>
                  </w:tr>
                </w:tbl>
                <w:p>
                  <w:pPr>
                    <w:pStyle w:val="BodyText"/>
                  </w:pPr>
                </w:p>
              </w:txbxContent>
            </v:textbox>
            <w10:wrap type="none"/>
          </v:shape>
        </w:pict>
      </w:r>
      <w:r>
        <w:rPr>
          <w:sz w:val="14"/>
        </w:rPr>
        <w:t>Imports of goods and services Contributions of:</w:t>
      </w:r>
    </w:p>
    <w:p>
      <w:pPr>
        <w:spacing w:line="133" w:lineRule="exact" w:before="0"/>
        <w:ind w:left="154" w:right="0" w:firstLine="0"/>
        <w:jc w:val="left"/>
        <w:rPr>
          <w:sz w:val="14"/>
        </w:rPr>
      </w:pPr>
      <w:r>
        <w:rPr>
          <w:sz w:val="14"/>
        </w:rPr>
        <w:t>Manufactured goods</w:t>
      </w:r>
    </w:p>
    <w:p>
      <w:pPr>
        <w:spacing w:line="140" w:lineRule="exact" w:before="0"/>
        <w:ind w:left="224" w:right="0" w:firstLine="0"/>
        <w:jc w:val="left"/>
        <w:rPr>
          <w:i/>
          <w:sz w:val="14"/>
        </w:rPr>
      </w:pPr>
      <w:r>
        <w:rPr>
          <w:i/>
          <w:sz w:val="14"/>
        </w:rPr>
        <w:t>of which: Semi-finished goods</w:t>
      </w:r>
    </w:p>
    <w:p>
      <w:pPr>
        <w:spacing w:line="208" w:lineRule="auto" w:before="6"/>
        <w:ind w:left="819" w:right="2363" w:firstLine="0"/>
        <w:jc w:val="left"/>
        <w:rPr>
          <w:i/>
          <w:sz w:val="14"/>
        </w:rPr>
      </w:pPr>
      <w:r>
        <w:rPr>
          <w:i/>
          <w:sz w:val="14"/>
        </w:rPr>
        <w:t>Consumer goods </w:t>
      </w:r>
      <w:r>
        <w:rPr>
          <w:i/>
          <w:sz w:val="14"/>
        </w:rPr>
        <w:t>Intermediate goods Capital goods Other</w:t>
      </w:r>
    </w:p>
    <w:p>
      <w:pPr>
        <w:spacing w:line="208" w:lineRule="auto" w:before="0"/>
        <w:ind w:left="154" w:right="2686" w:firstLine="0"/>
        <w:jc w:val="left"/>
        <w:rPr>
          <w:sz w:val="14"/>
        </w:rPr>
      </w:pPr>
      <w:r>
        <w:rPr>
          <w:sz w:val="14"/>
        </w:rPr>
        <w:t>Non-manufactured goods Services</w:t>
      </w:r>
    </w:p>
    <w:p>
      <w:pPr>
        <w:spacing w:before="122"/>
        <w:ind w:left="154" w:right="0" w:firstLine="0"/>
        <w:jc w:val="left"/>
        <w:rPr>
          <w:sz w:val="12"/>
        </w:rPr>
      </w:pPr>
      <w:r>
        <w:rPr>
          <w:sz w:val="12"/>
        </w:rPr>
        <w:t>(a) Contributions may not sum to totals because of rounding.</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6"/>
        </w:rPr>
      </w:pPr>
    </w:p>
    <w:p>
      <w:pPr>
        <w:pStyle w:val="Heading6"/>
        <w:spacing w:before="0"/>
      </w:pPr>
      <w:r>
        <w:rPr>
          <w:color w:val="0092C7"/>
        </w:rPr>
        <w:t>Chart 2.3</w:t>
      </w:r>
    </w:p>
    <w:p>
      <w:pPr>
        <w:pStyle w:val="Heading6"/>
        <w:rPr>
          <w:b w:val="0"/>
          <w:sz w:val="12"/>
        </w:rPr>
      </w:pPr>
      <w:r>
        <w:rPr>
          <w:color w:val="0092C7"/>
        </w:rPr>
        <w:t>Contributions to quarterly GDP growth</w:t>
      </w:r>
      <w:r>
        <w:rPr>
          <w:b w:val="0"/>
          <w:position w:val="4"/>
          <w:sz w:val="12"/>
        </w:rPr>
        <w:t>(a)</w:t>
      </w:r>
    </w:p>
    <w:p>
      <w:pPr>
        <w:spacing w:before="130"/>
        <w:ind w:left="2232" w:right="0" w:firstLine="0"/>
        <w:jc w:val="center"/>
        <w:rPr>
          <w:sz w:val="12"/>
        </w:rPr>
      </w:pPr>
      <w:r>
        <w:rPr/>
        <w:pict>
          <v:line style="position:absolute;mso-position-horizontal-relative:page;mso-position-vertical-relative:paragraph;z-index:-23387648" from="195.792999pt,14.576129pt" to="200.124999pt,14.576129pt" stroked="true" strokeweight=".5pt" strokecolor="#000000">
            <v:stroke dashstyle="solid"/>
            <w10:wrap type="none"/>
          </v:line>
        </w:pict>
      </w:r>
      <w:r>
        <w:rPr/>
        <w:pict>
          <v:line style="position:absolute;mso-position-horizontal-relative:page;mso-position-vertical-relative:paragraph;z-index:15910912" from="40.139999pt,14.576129pt" to="44.471999pt,14.576129pt" stroked="true" strokeweight=".5pt" strokecolor="#000000">
            <v:stroke dashstyle="solid"/>
            <w10:wrap type="none"/>
          </v:line>
        </w:pict>
      </w:r>
      <w:r>
        <w:rPr>
          <w:sz w:val="12"/>
        </w:rPr>
        <w:t>Per cent</w:t>
      </w:r>
      <w:r>
        <w:rPr>
          <w:spacing w:val="3"/>
          <w:sz w:val="12"/>
        </w:rPr>
        <w:t> </w:t>
      </w:r>
      <w:r>
        <w:rPr>
          <w:position w:val="-6"/>
          <w:sz w:val="12"/>
        </w:rPr>
        <w:t>2.0</w:t>
      </w:r>
    </w:p>
    <w:p>
      <w:pPr>
        <w:spacing w:before="42"/>
        <w:ind w:left="0" w:right="738" w:firstLine="0"/>
        <w:jc w:val="right"/>
        <w:rPr>
          <w:sz w:val="12"/>
        </w:rPr>
      </w:pPr>
      <w:r>
        <w:rPr/>
        <w:pict>
          <v:group style="position:absolute;margin-left:48.625pt;margin-top:3.703357pt;width:151.5pt;height:143.3pt;mso-position-horizontal-relative:page;mso-position-vertical-relative:paragraph;z-index:-23389184" coordorigin="973,74" coordsize="3030,2866">
            <v:rect style="position:absolute;left:977;top:1569;width:80;height:193" filled="true" fillcolor="#f5b37a" stroked="false">
              <v:fill type="solid"/>
            </v:rect>
            <v:rect style="position:absolute;left:977;top:1569;width:80;height:193" filled="false" stroked="true" strokeweight=".5pt" strokecolor="#000000">
              <v:stroke dashstyle="solid"/>
            </v:rect>
            <v:rect style="position:absolute;left:977;top:817;width:80;height:755" filled="true" fillcolor="#006caa" stroked="false">
              <v:fill type="solid"/>
            </v:rect>
            <v:rect style="position:absolute;left:977;top:817;width:80;height:755" filled="false" stroked="true" strokeweight=".5pt" strokecolor="#000000">
              <v:stroke dashstyle="solid"/>
            </v:rect>
            <v:rect style="position:absolute;left:1212;top:1759;width:80;height:590" filled="true" fillcolor="#f5b37a" stroked="false">
              <v:fill type="solid"/>
            </v:rect>
            <v:rect style="position:absolute;left:1212;top:1759;width:80;height:590" filled="false" stroked="true" strokeweight=".5pt" strokecolor="#000000">
              <v:stroke dashstyle="solid"/>
            </v:rect>
            <v:rect style="position:absolute;left:1212;top:370;width:80;height:1392" filled="true" fillcolor="#006caa" stroked="false">
              <v:fill type="solid"/>
            </v:rect>
            <v:rect style="position:absolute;left:1212;top:370;width:80;height:1392" filled="false" stroked="true" strokeweight=".5pt" strokecolor="#000000">
              <v:stroke dashstyle="solid"/>
            </v:rect>
            <v:rect style="position:absolute;left:1447;top:1517;width:70;height:245" filled="true" fillcolor="#f5b37a" stroked="false">
              <v:fill type="solid"/>
            </v:rect>
            <v:rect style="position:absolute;left:1447;top:1517;width:70;height:245" filled="false" stroked="true" strokeweight=".5pt" strokecolor="#000000">
              <v:stroke dashstyle="solid"/>
            </v:rect>
            <v:rect style="position:absolute;left:1447;top:828;width:70;height:691" filled="true" fillcolor="#006caa" stroked="false">
              <v:fill type="solid"/>
            </v:rect>
            <v:rect style="position:absolute;left:1447;top:828;width:70;height:691" filled="false" stroked="true" strokeweight=".5pt" strokecolor="#000000">
              <v:stroke dashstyle="solid"/>
            </v:rect>
            <v:rect style="position:absolute;left:1672;top:1759;width:80;height:896" filled="true" fillcolor="#f5b37a" stroked="false">
              <v:fill type="solid"/>
            </v:rect>
            <v:rect style="position:absolute;left:1672;top:1759;width:80;height:896" filled="false" stroked="true" strokeweight=".5pt" strokecolor="#000000">
              <v:stroke dashstyle="solid"/>
            </v:rect>
            <v:rect style="position:absolute;left:1672;top:396;width:80;height:1366" filled="true" fillcolor="#006caa" stroked="false">
              <v:fill type="solid"/>
            </v:rect>
            <v:rect style="position:absolute;left:1672;top:396;width:80;height:1366" filled="false" stroked="true" strokeweight=".5pt" strokecolor="#000000">
              <v:stroke dashstyle="solid"/>
            </v:rect>
            <v:rect style="position:absolute;left:1907;top:1759;width:80;height:461" filled="true" fillcolor="#f5b37a" stroked="false">
              <v:fill type="solid"/>
            </v:rect>
            <v:rect style="position:absolute;left:1907;top:1759;width:80;height:461" filled="false" stroked="true" strokeweight=".5pt" strokecolor="#000000">
              <v:stroke dashstyle="solid"/>
            </v:rect>
            <v:rect style="position:absolute;left:1907;top:638;width:80;height:1124" filled="true" fillcolor="#006caa" stroked="false">
              <v:fill type="solid"/>
            </v:rect>
            <v:rect style="position:absolute;left:1907;top:638;width:80;height:1124" filled="false" stroked="true" strokeweight=".5pt" strokecolor="#000000">
              <v:stroke dashstyle="solid"/>
            </v:rect>
            <v:rect style="position:absolute;left:2142;top:1759;width:80;height:283" filled="true" fillcolor="#f5b37a" stroked="false">
              <v:fill type="solid"/>
            </v:rect>
            <v:rect style="position:absolute;left:2142;top:1759;width:80;height:283" filled="false" stroked="true" strokeweight=".5pt" strokecolor="#000000">
              <v:stroke dashstyle="solid"/>
            </v:rect>
            <v:rect style="position:absolute;left:2142;top:868;width:80;height:894" filled="true" fillcolor="#006caa" stroked="false">
              <v:fill type="solid"/>
            </v:rect>
            <v:rect style="position:absolute;left:2142;top:868;width:80;height:894" filled="false" stroked="true" strokeweight=".5pt" strokecolor="#000000">
              <v:stroke dashstyle="solid"/>
            </v:rect>
            <v:rect style="position:absolute;left:2377;top:1759;width:70;height:513" filled="true" fillcolor="#f5b37a" stroked="false">
              <v:fill type="solid"/>
            </v:rect>
            <v:rect style="position:absolute;left:2377;top:1759;width:70;height:513" filled="false" stroked="true" strokeweight=".5pt" strokecolor="#000000">
              <v:stroke dashstyle="solid"/>
            </v:rect>
            <v:rect style="position:absolute;left:2377;top:817;width:70;height:945" filled="true" fillcolor="#006caa" stroked="false">
              <v:fill type="solid"/>
            </v:rect>
            <v:rect style="position:absolute;left:2377;top:817;width:70;height:945" filled="false" stroked="true" strokeweight=".5pt" strokecolor="#000000">
              <v:stroke dashstyle="solid"/>
            </v:rect>
            <v:rect style="position:absolute;left:2602;top:1759;width:80;height:717" filled="true" fillcolor="#f5b37a" stroked="false">
              <v:fill type="solid"/>
            </v:rect>
            <v:rect style="position:absolute;left:2602;top:1759;width:80;height:717" filled="false" stroked="true" strokeweight=".5pt" strokecolor="#000000">
              <v:stroke dashstyle="solid"/>
            </v:rect>
            <v:rect style="position:absolute;left:2602;top:906;width:80;height:856" filled="true" fillcolor="#006caa" stroked="false">
              <v:fill type="solid"/>
            </v:rect>
            <v:rect style="position:absolute;left:2602;top:906;width:80;height:856" filled="false" stroked="true" strokeweight=".5pt" strokecolor="#000000">
              <v:stroke dashstyle="solid"/>
            </v:rect>
            <v:rect style="position:absolute;left:2837;top:1759;width:80;height:844" filled="true" fillcolor="#f5b37a" stroked="false">
              <v:fill type="solid"/>
            </v:rect>
            <v:rect style="position:absolute;left:2837;top:1759;width:80;height:844" filled="false" stroked="true" strokeweight=".5pt" strokecolor="#000000">
              <v:stroke dashstyle="solid"/>
            </v:rect>
            <v:rect style="position:absolute;left:2837;top:574;width:80;height:1187" filled="true" fillcolor="#006caa" stroked="false">
              <v:fill type="solid"/>
            </v:rect>
            <v:rect style="position:absolute;left:2837;top:574;width:80;height:1187" filled="false" stroked="true" strokeweight=".5pt" strokecolor="#000000">
              <v:stroke dashstyle="solid"/>
            </v:rect>
            <v:rect style="position:absolute;left:3072;top:1059;width:83;height:703" filled="true" fillcolor="#f5b37a" stroked="false">
              <v:fill type="solid"/>
            </v:rect>
            <v:rect style="position:absolute;left:3072;top:1059;width:83;height:703" filled="false" stroked="true" strokeweight=".5pt" strokecolor="#000000">
              <v:stroke dashstyle="solid"/>
            </v:rect>
            <v:rect style="position:absolute;left:3072;top:1047;width:83;height:15" filled="true" fillcolor="#006caa" stroked="false">
              <v:fill type="solid"/>
            </v:rect>
            <v:rect style="position:absolute;left:3072;top:1047;width:83;height:15" filled="false" stroked="true" strokeweight=".5pt" strokecolor="#000000">
              <v:stroke dashstyle="solid"/>
            </v:rect>
            <v:rect style="position:absolute;left:3307;top:1733;width:70;height:29" filled="true" fillcolor="#f5b37a" stroked="false">
              <v:fill type="solid"/>
            </v:rect>
            <v:rect style="position:absolute;left:3307;top:1733;width:70;height:29" filled="false" stroked="true" strokeweight=".5pt" strokecolor="#000000">
              <v:stroke dashstyle="solid"/>
            </v:rect>
            <v:rect style="position:absolute;left:3307;top:854;width:70;height:882" filled="true" fillcolor="#006caa" stroked="false">
              <v:fill type="solid"/>
            </v:rect>
            <v:rect style="position:absolute;left:3307;top:854;width:70;height:882" filled="false" stroked="true" strokeweight=".5pt" strokecolor="#000000">
              <v:stroke dashstyle="solid"/>
            </v:rect>
            <v:rect style="position:absolute;left:3532;top:1759;width:83;height:1075" filled="true" fillcolor="#f5b37a" stroked="false">
              <v:fill type="solid"/>
            </v:rect>
            <v:rect style="position:absolute;left:3532;top:1759;width:83;height:1075" filled="false" stroked="true" strokeweight=".5pt" strokecolor="#000000">
              <v:stroke dashstyle="solid"/>
            </v:rect>
            <v:rect style="position:absolute;left:3532;top:79;width:83;height:1683" filled="true" fillcolor="#006caa" stroked="false">
              <v:fill type="solid"/>
            </v:rect>
            <v:rect style="position:absolute;left:3532;top:79;width:83;height:1683" filled="false" stroked="true" strokeweight=".5pt" strokecolor="#000000">
              <v:stroke dashstyle="solid"/>
            </v:rect>
            <v:rect style="position:absolute;left:3767;top:1545;width:83;height:217" filled="true" fillcolor="#f5b37a" stroked="false">
              <v:fill type="solid"/>
            </v:rect>
            <v:rect style="position:absolute;left:3767;top:1543;width:83;height:219" filled="false" stroked="true" strokeweight=".5pt" strokecolor="#000000">
              <v:stroke dashstyle="solid"/>
            </v:rect>
            <v:rect style="position:absolute;left:3767;top:1327;width:83;height:219" filled="true" fillcolor="#006caa" stroked="false">
              <v:fill type="solid"/>
            </v:rect>
            <v:shape style="position:absolute;left:977;top:1327;width:2873;height:435" coordorigin="978,1327" coordsize="2873,435" path="m3768,1327l3850,1327,3850,1546,3768,1546,3768,1327xm978,1759l3848,1762e" filled="false" stroked="true" strokeweight=".5pt" strokecolor="#000000">
              <v:path arrowok="t"/>
              <v:stroke dashstyle="solid"/>
            </v:shape>
            <v:shape style="position:absolute;left:1010;top:817;width:2803;height:804" coordorigin="1010,817" coordsize="2803,804" path="m1010,817l1245,970m1245,970l1483,829m1483,829l1718,1289m1718,1289l1940,1111m1940,1111l2178,1148m2178,1148l2413,1339m2413,1339l2648,1621m2648,1621l2883,1466m2883,1466l3108,1047m3108,1047l3343,855m3343,855l3578,1134m3578,1134l3813,1301e" filled="false" stroked="true" strokeweight="1pt" strokecolor="#008360">
              <v:path arrowok="t"/>
              <v:stroke dashstyle="solid"/>
            </v:shape>
            <v:line style="position:absolute" from="3152,465" to="3212,867" stroked="true" strokeweight=".5pt" strokecolor="#000000">
              <v:stroke dashstyle="solid"/>
            </v:line>
            <v:shape style="position:absolute;left:3184;top:847;width:50;height:83" coordorigin="3184,848" coordsize="50,83" path="m3234,848l3184,854,3193,868,3199,879,3221,930,3221,921,3222,911,3223,900,3225,887,3227,876,3234,848xe" filled="true" fillcolor="#000000" stroked="false">
              <v:path arrowok="t"/>
              <v:fill type="solid"/>
            </v:shape>
            <v:shape style="position:absolute;left:979;top:130;width:3023;height:2805" coordorigin="980,130" coordsize="3023,2805" path="m3916,311l4002,311m3916,492l4002,492m3916,855l4002,855m3916,1217l4002,1217m3916,1579l4002,1579m3916,1941l4002,1941m3916,2304l4002,2304m3916,2666l4002,2666m3916,2485l4002,2485m3916,2852l4002,2852m3916,130l4002,130m3916,674l4002,674m3916,1036l4002,1036m3916,1398l4002,1398m3916,2123l4002,2123m980,2935l3852,2935m981,2826l981,2935m1213,2891l1213,2935m1445,2891l1445,2935m1677,2891l1677,2935m1908,2826l1908,2935m2140,2891l2140,2935m2372,2891l2372,2935m2604,2891l2604,2935m2836,2826l2836,2935m3068,2891l3068,2935m3300,2891l3300,2935m3532,2891l3532,2935m3763,2826l3763,2935e" filled="false" stroked="true" strokeweight=".5pt" strokecolor="#000000">
              <v:path arrowok="t"/>
              <v:stroke dashstyle="solid"/>
            </v:shape>
            <w10:wrap type="none"/>
          </v:group>
        </w:pict>
      </w:r>
      <w:r>
        <w:rPr/>
        <w:pict>
          <v:line style="position:absolute;mso-position-horizontal-relative:page;mso-position-vertical-relative:paragraph;z-index:15909888" from="40.139999pt,6.421358pt" to="44.472999pt,6.421358pt" stroked="true" strokeweight=".5pt" strokecolor="#000000">
            <v:stroke dashstyle="solid"/>
            <w10:wrap type="none"/>
          </v:line>
        </w:pict>
      </w:r>
      <w:r>
        <w:rPr>
          <w:sz w:val="12"/>
        </w:rPr>
        <w:t>1.8</w:t>
      </w:r>
    </w:p>
    <w:p>
      <w:pPr>
        <w:spacing w:line="242" w:lineRule="auto" w:before="0"/>
        <w:ind w:left="154" w:right="157" w:firstLine="0"/>
        <w:jc w:val="left"/>
        <w:rPr>
          <w:sz w:val="24"/>
        </w:rPr>
      </w:pPr>
      <w:r>
        <w:rPr/>
        <w:br w:type="column"/>
      </w:r>
      <w:r>
        <w:rPr>
          <w:sz w:val="24"/>
        </w:rPr>
        <w:t>Robust overseas demand continues to boost UK export volumes. </w:t>
      </w:r>
      <w:r>
        <w:rPr>
          <w:spacing w:val="-5"/>
          <w:sz w:val="24"/>
        </w:rPr>
        <w:t>Total </w:t>
      </w:r>
      <w:r>
        <w:rPr>
          <w:sz w:val="24"/>
        </w:rPr>
        <w:t>exports rose by 2.4% in 2000 Q1 and were 9.5% higher than a year </w:t>
      </w:r>
      <w:r>
        <w:rPr>
          <w:spacing w:val="-3"/>
          <w:sz w:val="24"/>
        </w:rPr>
        <w:t>earlier. </w:t>
      </w:r>
      <w:r>
        <w:rPr>
          <w:sz w:val="24"/>
        </w:rPr>
        <w:t>Growth was more than accounted for by higher exports of goods, which rose by 13.7% </w:t>
      </w:r>
      <w:r>
        <w:rPr>
          <w:spacing w:val="-3"/>
          <w:sz w:val="24"/>
        </w:rPr>
        <w:t>over </w:t>
      </w:r>
      <w:r>
        <w:rPr>
          <w:sz w:val="24"/>
        </w:rPr>
        <w:t>the past </w:t>
      </w:r>
      <w:r>
        <w:rPr>
          <w:spacing w:val="-3"/>
          <w:sz w:val="24"/>
        </w:rPr>
        <w:t>year, </w:t>
      </w:r>
      <w:r>
        <w:rPr>
          <w:sz w:val="24"/>
        </w:rPr>
        <w:t>their fastest growth rate since 1980. By contrast, services export volumes fell by 2.3% </w:t>
      </w:r>
      <w:r>
        <w:rPr>
          <w:spacing w:val="-3"/>
          <w:sz w:val="24"/>
        </w:rPr>
        <w:t>over </w:t>
      </w:r>
      <w:r>
        <w:rPr>
          <w:sz w:val="24"/>
        </w:rPr>
        <w:t>the same period. Goods exports to countries outside the European Union (EU) </w:t>
      </w:r>
      <w:r>
        <w:rPr>
          <w:spacing w:val="-3"/>
          <w:sz w:val="24"/>
        </w:rPr>
        <w:t>have </w:t>
      </w:r>
      <w:r>
        <w:rPr>
          <w:sz w:val="24"/>
        </w:rPr>
        <w:t>risen particularly strongly </w:t>
      </w:r>
      <w:r>
        <w:rPr>
          <w:spacing w:val="-3"/>
          <w:sz w:val="24"/>
        </w:rPr>
        <w:t>over </w:t>
      </w:r>
      <w:r>
        <w:rPr>
          <w:sz w:val="24"/>
        </w:rPr>
        <w:t>the past year and were 5.6% higher in</w:t>
      </w:r>
    </w:p>
    <w:p>
      <w:pPr>
        <w:spacing w:line="242" w:lineRule="auto" w:before="1"/>
        <w:ind w:left="154" w:right="0" w:firstLine="0"/>
        <w:jc w:val="left"/>
        <w:rPr>
          <w:sz w:val="24"/>
        </w:rPr>
      </w:pPr>
      <w:r>
        <w:rPr>
          <w:sz w:val="24"/>
        </w:rPr>
        <w:t>2000 Q2 than a quarter earlier. However, monthly data suggest that exports to the EU have been somewhat less buoyant in Q2: export volumes to the EU were flat in the three months to May compared with the previous</w:t>
      </w:r>
    </w:p>
    <w:p>
      <w:pPr>
        <w:spacing w:before="5"/>
        <w:ind w:left="154" w:right="0" w:firstLine="0"/>
        <w:jc w:val="left"/>
        <w:rPr>
          <w:sz w:val="24"/>
        </w:rPr>
      </w:pPr>
      <w:r>
        <w:rPr>
          <w:sz w:val="24"/>
        </w:rPr>
        <w:t>three-month period.</w:t>
      </w:r>
    </w:p>
    <w:p>
      <w:pPr>
        <w:pStyle w:val="BodyText"/>
        <w:spacing w:before="3"/>
        <w:rPr>
          <w:sz w:val="21"/>
        </w:rPr>
      </w:pPr>
    </w:p>
    <w:p>
      <w:pPr>
        <w:spacing w:line="242" w:lineRule="auto" w:before="0"/>
        <w:ind w:left="154" w:right="201" w:firstLine="0"/>
        <w:jc w:val="left"/>
        <w:rPr>
          <w:sz w:val="24"/>
        </w:rPr>
      </w:pPr>
      <w:r>
        <w:rPr>
          <w:sz w:val="24"/>
        </w:rPr>
        <w:t>Since the sharp appreciation of sterling in 1996, UK export volumes have tended to grow more slowly than overseas demand and the share of UK exports in world trade has fallen (see Chart 2.2). Consistent with the particularly large rise of sterling against the euro, the turnaround in UK export performance has been most marked in EU markets, where export share had</w:t>
      </w:r>
    </w:p>
    <w:p>
      <w:pPr>
        <w:spacing w:after="0" w:line="242" w:lineRule="auto"/>
        <w:jc w:val="left"/>
        <w:rPr>
          <w:sz w:val="24"/>
        </w:rPr>
        <w:sectPr>
          <w:type w:val="continuous"/>
          <w:pgSz w:w="11900" w:h="16840"/>
          <w:pgMar w:top="1260" w:bottom="280" w:left="640" w:right="640"/>
          <w:cols w:num="2" w:equalWidth="0">
            <w:col w:w="4287" w:space="513"/>
            <w:col w:w="5820"/>
          </w:cols>
        </w:sectPr>
      </w:pPr>
    </w:p>
    <w:p>
      <w:pPr>
        <w:spacing w:before="22"/>
        <w:ind w:left="579" w:right="0" w:firstLine="0"/>
        <w:jc w:val="left"/>
        <w:rPr>
          <w:sz w:val="12"/>
        </w:rPr>
      </w:pPr>
      <w:r>
        <w:rPr/>
        <w:pict>
          <v:line style="position:absolute;mso-position-horizontal-relative:page;mso-position-vertical-relative:paragraph;z-index:15909376" from="40.139999pt,6.255281pt" to="44.472999pt,6.255281pt" stroked="true" strokeweight=".5pt" strokecolor="#000000">
            <v:stroke dashstyle="solid"/>
            <w10:wrap type="none"/>
          </v:line>
        </w:pict>
      </w:r>
      <w:r>
        <w:rPr>
          <w:sz w:val="12"/>
        </w:rPr>
        <w:t>Domestic demand</w:t>
      </w:r>
    </w:p>
    <w:p>
      <w:pPr>
        <w:pStyle w:val="BodyText"/>
        <w:spacing w:before="10"/>
        <w:rPr>
          <w:sz w:val="8"/>
        </w:rPr>
      </w:pPr>
      <w:r>
        <w:rPr/>
        <w:pict>
          <v:shape style="position:absolute;margin-left:40.139999pt;margin-top:7.319728pt;width:4.350pt;height:.1pt;mso-position-horizontal-relative:page;mso-position-vertical-relative:paragraph;z-index:-15559168;mso-wrap-distance-left:0;mso-wrap-distance-right:0" coordorigin="803,146" coordsize="87,0" path="m803,146l889,146e" filled="false" stroked="true" strokeweight=".5pt" strokecolor="#000000">
            <v:path arrowok="t"/>
            <v:stroke dashstyle="solid"/>
            <w10:wrap type="topAndBottom"/>
          </v:shape>
        </w:pict>
      </w:r>
      <w:r>
        <w:rPr/>
        <w:pict>
          <v:shape style="position:absolute;margin-left:40.140999pt;margin-top:16.376728pt;width:4.350pt;height:.1pt;mso-position-horizontal-relative:page;mso-position-vertical-relative:paragraph;z-index:-15558656;mso-wrap-distance-left:0;mso-wrap-distance-right:0" coordorigin="803,328" coordsize="87,0" path="m803,328l889,328e" filled="false" stroked="true" strokeweight=".5pt" strokecolor="#000000">
            <v:path arrowok="t"/>
            <v:stroke dashstyle="solid"/>
            <w10:wrap type="topAndBottom"/>
          </v:shape>
        </w:pict>
      </w:r>
      <w:r>
        <w:rPr/>
        <w:pict>
          <v:shape style="position:absolute;margin-left:40.139999pt;margin-top:25.432728pt;width:4.350pt;height:.1pt;mso-position-horizontal-relative:page;mso-position-vertical-relative:paragraph;z-index:-15558144;mso-wrap-distance-left:0;mso-wrap-distance-right:0" coordorigin="803,509" coordsize="87,0" path="m803,509l889,509e" filled="false" stroked="true" strokeweight=".5pt" strokecolor="#000000">
            <v:path arrowok="t"/>
            <v:stroke dashstyle="solid"/>
            <w10:wrap type="topAndBottom"/>
          </v:shape>
        </w:pict>
      </w:r>
      <w:r>
        <w:rPr/>
        <w:pict>
          <v:shape style="position:absolute;margin-left:40.140999pt;margin-top:34.488728pt;width:4.350pt;height:.1pt;mso-position-horizontal-relative:page;mso-position-vertical-relative:paragraph;z-index:-15557632;mso-wrap-distance-left:0;mso-wrap-distance-right:0" coordorigin="803,690" coordsize="87,0" path="m803,690l889,690e" filled="false" stroked="true" strokeweight=".5pt" strokecolor="#000000">
            <v:path arrowok="t"/>
            <v:stroke dashstyle="solid"/>
            <w10:wrap type="topAndBottom"/>
          </v:shape>
        </w:pict>
      </w:r>
      <w:r>
        <w:rPr/>
        <w:pict>
          <v:shape style="position:absolute;margin-left:40.139999pt;margin-top:43.544727pt;width:4.350pt;height:.1pt;mso-position-horizontal-relative:page;mso-position-vertical-relative:paragraph;z-index:-15557120;mso-wrap-distance-left:0;mso-wrap-distance-right:0" coordorigin="803,871" coordsize="87,0" path="m803,871l889,871e" filled="false" stroked="true" strokeweight=".5pt" strokecolor="#000000">
            <v:path arrowok="t"/>
            <v:stroke dashstyle="solid"/>
            <w10:wrap type="topAndBottom"/>
          </v:shape>
        </w:pict>
      </w:r>
      <w:r>
        <w:rPr/>
        <w:pict>
          <v:shape style="position:absolute;margin-left:40.140999pt;margin-top:52.601727pt;width:4.350pt;height:.1pt;mso-position-horizontal-relative:page;mso-position-vertical-relative:paragraph;z-index:-15556608;mso-wrap-distance-left:0;mso-wrap-distance-right:0" coordorigin="803,1052" coordsize="87,0" path="m803,1052l889,1052e" filled="false" stroked="true" strokeweight=".5pt" strokecolor="#000000">
            <v:path arrowok="t"/>
            <v:stroke dashstyle="solid"/>
            <w10:wrap type="topAndBottom"/>
          </v:shape>
        </w:pict>
      </w:r>
      <w:r>
        <w:rPr/>
        <w:pict>
          <v:shape style="position:absolute;margin-left:40.139999pt;margin-top:61.657726pt;width:4.350pt;height:.1pt;mso-position-horizontal-relative:page;mso-position-vertical-relative:paragraph;z-index:-15556096;mso-wrap-distance-left:0;mso-wrap-distance-right:0" coordorigin="803,1233" coordsize="87,0" path="m803,1233l889,1233e" filled="false" stroked="true" strokeweight=".5pt" strokecolor="#000000">
            <v:path arrowok="t"/>
            <v:stroke dashstyle="solid"/>
            <w10:wrap type="topAndBottom"/>
          </v:shape>
        </w:pict>
      </w:r>
      <w:r>
        <w:rPr/>
        <w:pict>
          <v:shape style="position:absolute;margin-left:40.140999pt;margin-top:70.71373pt;width:4.350pt;height:.1pt;mso-position-horizontal-relative:page;mso-position-vertical-relative:paragraph;z-index:-15555584;mso-wrap-distance-left:0;mso-wrap-distance-right:0" coordorigin="803,1414" coordsize="87,0" path="m803,1414l889,1414e" filled="false" stroked="true" strokeweight=".5pt" strokecolor="#000000">
            <v:path arrowok="t"/>
            <v:stroke dashstyle="solid"/>
            <w10:wrap type="topAndBottom"/>
          </v:shape>
        </w:pict>
      </w:r>
      <w:r>
        <w:rPr/>
        <w:pict>
          <v:shape style="position:absolute;margin-left:40.139999pt;margin-top:79.770729pt;width:4.350pt;height:.1pt;mso-position-horizontal-relative:page;mso-position-vertical-relative:paragraph;z-index:-15555072;mso-wrap-distance-left:0;mso-wrap-distance-right:0" coordorigin="803,1595" coordsize="87,0" path="m803,1595l889,1595e" filled="false" stroked="true" strokeweight=".5pt" strokecolor="#000000">
            <v:path arrowok="t"/>
            <v:stroke dashstyle="solid"/>
            <w10:wrap type="topAndBottom"/>
          </v:shape>
        </w:pict>
      </w:r>
      <w:r>
        <w:rPr/>
        <w:pict>
          <v:shape style="position:absolute;margin-left:40.140999pt;margin-top:88.826729pt;width:4.350pt;height:.1pt;mso-position-horizontal-relative:page;mso-position-vertical-relative:paragraph;z-index:-15554560;mso-wrap-distance-left:0;mso-wrap-distance-right:0" coordorigin="803,1777" coordsize="87,0" path="m803,1777l889,1777e" filled="false" stroked="true" strokeweight=".5pt" strokecolor="#000000">
            <v:path arrowok="t"/>
            <v:stroke dashstyle="solid"/>
            <w10:wrap type="topAndBottom"/>
          </v:shape>
        </w:pict>
      </w:r>
      <w:r>
        <w:rPr/>
        <w:pict>
          <v:shape style="position:absolute;margin-left:40.139999pt;margin-top:97.882729pt;width:4.350pt;height:.1pt;mso-position-horizontal-relative:page;mso-position-vertical-relative:paragraph;z-index:-15554048;mso-wrap-distance-left:0;mso-wrap-distance-right:0" coordorigin="803,1958" coordsize="87,0" path="m803,1958l889,1958e" filled="false" stroked="true" strokeweight=".5pt" strokecolor="#000000">
            <v:path arrowok="t"/>
            <v:stroke dashstyle="solid"/>
            <w10:wrap type="topAndBottom"/>
          </v:shape>
        </w:pict>
      </w:r>
    </w:p>
    <w:p>
      <w:pPr>
        <w:pStyle w:val="BodyText"/>
        <w:spacing w:before="11"/>
        <w:rPr>
          <w:sz w:val="8"/>
        </w:rPr>
      </w:pPr>
    </w:p>
    <w:p>
      <w:pPr>
        <w:pStyle w:val="BodyText"/>
        <w:spacing w:before="11"/>
        <w:rPr>
          <w:sz w:val="8"/>
        </w:rPr>
      </w:pPr>
    </w:p>
    <w:p>
      <w:pPr>
        <w:pStyle w:val="BodyText"/>
        <w:spacing w:before="11"/>
        <w:rPr>
          <w:sz w:val="8"/>
        </w:rPr>
      </w:pPr>
    </w:p>
    <w:p>
      <w:pPr>
        <w:pStyle w:val="BodyText"/>
        <w:spacing w:before="11"/>
        <w:rPr>
          <w:sz w:val="8"/>
        </w:rPr>
      </w:pPr>
    </w:p>
    <w:p>
      <w:pPr>
        <w:pStyle w:val="BodyText"/>
        <w:spacing w:before="11"/>
        <w:rPr>
          <w:sz w:val="8"/>
        </w:rPr>
      </w:pPr>
    </w:p>
    <w:p>
      <w:pPr>
        <w:pStyle w:val="BodyText"/>
        <w:spacing w:before="11"/>
        <w:rPr>
          <w:sz w:val="8"/>
        </w:rPr>
      </w:pPr>
    </w:p>
    <w:p>
      <w:pPr>
        <w:pStyle w:val="BodyText"/>
        <w:spacing w:before="11"/>
        <w:rPr>
          <w:sz w:val="8"/>
        </w:rPr>
      </w:pPr>
    </w:p>
    <w:p>
      <w:pPr>
        <w:pStyle w:val="BodyText"/>
        <w:spacing w:before="11"/>
        <w:rPr>
          <w:sz w:val="8"/>
        </w:rPr>
      </w:pPr>
    </w:p>
    <w:p>
      <w:pPr>
        <w:pStyle w:val="BodyText"/>
        <w:spacing w:before="11"/>
        <w:rPr>
          <w:sz w:val="8"/>
        </w:rPr>
      </w:pPr>
    </w:p>
    <w:p>
      <w:pPr>
        <w:pStyle w:val="BodyText"/>
        <w:spacing w:before="11"/>
        <w:rPr>
          <w:sz w:val="8"/>
        </w:rPr>
      </w:pPr>
    </w:p>
    <w:p>
      <w:pPr>
        <w:spacing w:before="0"/>
        <w:ind w:left="1143" w:right="0" w:firstLine="0"/>
        <w:jc w:val="left"/>
        <w:rPr>
          <w:sz w:val="12"/>
        </w:rPr>
      </w:pPr>
      <w:r>
        <w:rPr>
          <w:sz w:val="12"/>
        </w:rPr>
        <w:t>Net trade</w:t>
      </w:r>
    </w:p>
    <w:p>
      <w:pPr>
        <w:pStyle w:val="BodyText"/>
        <w:spacing w:line="20" w:lineRule="exact"/>
        <w:ind w:left="157"/>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2"/>
        <w:rPr>
          <w:sz w:val="11"/>
        </w:rPr>
      </w:pPr>
      <w:r>
        <w:rPr/>
        <w:pict>
          <v:shape style="position:absolute;margin-left:40.139999pt;margin-top:8.638921pt;width:4.350pt;height:.1pt;mso-position-horizontal-relative:page;mso-position-vertical-relative:paragraph;z-index:-15553024;mso-wrap-distance-left:0;mso-wrap-distance-right:0" coordorigin="803,173" coordsize="87,0" path="m803,173l889,173e" filled="false" stroked="true" strokeweight=".5pt" strokecolor="#000000">
            <v:path arrowok="t"/>
            <v:stroke dashstyle="solid"/>
            <w10:wrap type="topAndBottom"/>
          </v:shape>
        </w:pict>
      </w:r>
      <w:r>
        <w:rPr/>
        <w:pict>
          <v:shape style="position:absolute;margin-left:40.139999pt;margin-top:17.696920pt;width:4.350pt;height:.1pt;mso-position-horizontal-relative:page;mso-position-vertical-relative:paragraph;z-index:-15552512;mso-wrap-distance-left:0;mso-wrap-distance-right:0" coordorigin="803,354" coordsize="87,0" path="m803,354l889,354e" filled="false" stroked="true" strokeweight=".5pt" strokecolor="#000000">
            <v:path arrowok="t"/>
            <v:stroke dashstyle="solid"/>
            <w10:wrap type="topAndBottom"/>
          </v:shape>
        </w:pict>
      </w:r>
    </w:p>
    <w:p>
      <w:pPr>
        <w:pStyle w:val="BodyText"/>
        <w:spacing w:before="11"/>
        <w:rPr>
          <w:sz w:val="8"/>
        </w:rPr>
      </w:pPr>
    </w:p>
    <w:p>
      <w:pPr>
        <w:tabs>
          <w:tab w:pos="1662" w:val="left" w:leader="none"/>
        </w:tabs>
        <w:spacing w:before="95"/>
        <w:ind w:left="667" w:right="0" w:firstLine="0"/>
        <w:jc w:val="left"/>
        <w:rPr>
          <w:sz w:val="12"/>
        </w:rPr>
      </w:pPr>
      <w:r>
        <w:rPr>
          <w:sz w:val="12"/>
        </w:rPr>
        <w:t>1997</w:t>
        <w:tab/>
        <w:t>98</w:t>
      </w:r>
    </w:p>
    <w:p>
      <w:pPr>
        <w:spacing w:before="85"/>
        <w:ind w:left="172" w:right="0" w:firstLine="0"/>
        <w:jc w:val="left"/>
        <w:rPr>
          <w:sz w:val="12"/>
        </w:rPr>
      </w:pPr>
      <w:r>
        <w:rPr>
          <w:sz w:val="12"/>
        </w:rPr>
        <w:t>(a) At constant 1995 market prices.</w:t>
      </w:r>
    </w:p>
    <w:p>
      <w:pPr>
        <w:pStyle w:val="BodyText"/>
        <w:spacing w:before="8"/>
        <w:rPr>
          <w:sz w:val="12"/>
        </w:rPr>
      </w:pPr>
      <w:r>
        <w:rPr/>
        <w:br w:type="column"/>
      </w:r>
      <w:r>
        <w:rPr>
          <w:sz w:val="12"/>
        </w:rPr>
      </w:r>
    </w:p>
    <w:p>
      <w:pPr>
        <w:spacing w:before="0"/>
        <w:ind w:left="172" w:right="0" w:firstLine="0"/>
        <w:jc w:val="left"/>
        <w:rPr>
          <w:sz w:val="12"/>
        </w:rPr>
      </w:pPr>
      <w:r>
        <w:rPr>
          <w:sz w:val="12"/>
        </w:rPr>
        <w:t>GDP</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3"/>
        </w:rPr>
      </w:pPr>
    </w:p>
    <w:p>
      <w:pPr>
        <w:spacing w:before="1"/>
        <w:ind w:left="0" w:right="38" w:firstLine="0"/>
        <w:jc w:val="right"/>
        <w:rPr>
          <w:sz w:val="12"/>
        </w:rPr>
      </w:pPr>
      <w:r>
        <w:rPr>
          <w:sz w:val="12"/>
        </w:rPr>
        <w:t>99</w:t>
      </w:r>
    </w:p>
    <w:p>
      <w:pPr>
        <w:spacing w:before="39"/>
        <w:ind w:left="0" w:right="38" w:firstLine="0"/>
        <w:jc w:val="right"/>
        <w:rPr>
          <w:sz w:val="12"/>
        </w:rPr>
      </w:pPr>
      <w:r>
        <w:rPr/>
        <w:br w:type="column"/>
      </w:r>
      <w:r>
        <w:rPr>
          <w:sz w:val="12"/>
        </w:rPr>
        <w:t>1.6</w:t>
      </w:r>
    </w:p>
    <w:p>
      <w:pPr>
        <w:spacing w:before="44"/>
        <w:ind w:left="0" w:right="38" w:firstLine="0"/>
        <w:jc w:val="right"/>
        <w:rPr>
          <w:sz w:val="12"/>
        </w:rPr>
      </w:pPr>
      <w:r>
        <w:rPr>
          <w:sz w:val="12"/>
        </w:rPr>
        <w:t>1.4</w:t>
      </w:r>
    </w:p>
    <w:p>
      <w:pPr>
        <w:spacing w:before="44"/>
        <w:ind w:left="0" w:right="38" w:firstLine="0"/>
        <w:jc w:val="right"/>
        <w:rPr>
          <w:sz w:val="12"/>
        </w:rPr>
      </w:pPr>
      <w:r>
        <w:rPr>
          <w:sz w:val="12"/>
        </w:rPr>
        <w:t>1.2</w:t>
      </w:r>
    </w:p>
    <w:p>
      <w:pPr>
        <w:spacing w:before="44"/>
        <w:ind w:left="0" w:right="38" w:firstLine="0"/>
        <w:jc w:val="right"/>
        <w:rPr>
          <w:sz w:val="12"/>
        </w:rPr>
      </w:pPr>
      <w:r>
        <w:rPr>
          <w:sz w:val="12"/>
        </w:rPr>
        <w:t>1.0</w:t>
      </w:r>
    </w:p>
    <w:p>
      <w:pPr>
        <w:spacing w:before="44"/>
        <w:ind w:left="0" w:right="38" w:firstLine="0"/>
        <w:jc w:val="right"/>
        <w:rPr>
          <w:sz w:val="12"/>
        </w:rPr>
      </w:pPr>
      <w:r>
        <w:rPr>
          <w:sz w:val="12"/>
        </w:rPr>
        <w:t>0.8</w:t>
      </w:r>
    </w:p>
    <w:p>
      <w:pPr>
        <w:spacing w:before="44"/>
        <w:ind w:left="0" w:right="38" w:firstLine="0"/>
        <w:jc w:val="right"/>
        <w:rPr>
          <w:sz w:val="12"/>
        </w:rPr>
      </w:pPr>
      <w:r>
        <w:rPr>
          <w:sz w:val="12"/>
        </w:rPr>
        <w:t>0.6</w:t>
      </w:r>
    </w:p>
    <w:p>
      <w:pPr>
        <w:spacing w:before="44"/>
        <w:ind w:left="0" w:right="38" w:firstLine="0"/>
        <w:jc w:val="right"/>
        <w:rPr>
          <w:sz w:val="12"/>
        </w:rPr>
      </w:pPr>
      <w:r>
        <w:rPr>
          <w:sz w:val="12"/>
        </w:rPr>
        <w:t>0.4</w:t>
      </w:r>
    </w:p>
    <w:p>
      <w:pPr>
        <w:spacing w:line="102" w:lineRule="exact" w:before="43"/>
        <w:ind w:left="0" w:right="38" w:firstLine="0"/>
        <w:jc w:val="right"/>
        <w:rPr>
          <w:sz w:val="12"/>
        </w:rPr>
      </w:pPr>
      <w:r>
        <w:rPr>
          <w:sz w:val="12"/>
        </w:rPr>
        <w:t>0.2</w:t>
      </w:r>
    </w:p>
    <w:p>
      <w:pPr>
        <w:spacing w:line="110" w:lineRule="exact" w:before="0"/>
        <w:ind w:left="388" w:right="0" w:firstLine="0"/>
        <w:jc w:val="left"/>
        <w:rPr>
          <w:sz w:val="16"/>
        </w:rPr>
      </w:pPr>
      <w:r>
        <w:rPr>
          <w:sz w:val="16"/>
          <w:u w:val="single"/>
        </w:rPr>
        <w:t> +</w:t>
      </w:r>
    </w:p>
    <w:p>
      <w:pPr>
        <w:spacing w:line="146" w:lineRule="exact" w:before="0"/>
        <w:ind w:left="442" w:right="0" w:firstLine="0"/>
        <w:jc w:val="left"/>
        <w:rPr>
          <w:sz w:val="12"/>
        </w:rPr>
      </w:pPr>
      <w:r>
        <w:rPr>
          <w:spacing w:val="-4"/>
          <w:position w:val="-2"/>
          <w:sz w:val="16"/>
        </w:rPr>
        <w:t>_</w:t>
      </w:r>
      <w:r>
        <w:rPr>
          <w:spacing w:val="-4"/>
          <w:sz w:val="12"/>
        </w:rPr>
        <w:t>0.0</w:t>
      </w:r>
    </w:p>
    <w:p>
      <w:pPr>
        <w:spacing w:before="6"/>
        <w:ind w:left="0" w:right="38" w:firstLine="0"/>
        <w:jc w:val="right"/>
        <w:rPr>
          <w:sz w:val="12"/>
        </w:rPr>
      </w:pPr>
      <w:r>
        <w:rPr>
          <w:sz w:val="12"/>
        </w:rPr>
        <w:t>0.2</w:t>
      </w:r>
    </w:p>
    <w:p>
      <w:pPr>
        <w:spacing w:before="43"/>
        <w:ind w:left="0" w:right="38" w:firstLine="0"/>
        <w:jc w:val="right"/>
        <w:rPr>
          <w:sz w:val="12"/>
        </w:rPr>
      </w:pPr>
      <w:r>
        <w:rPr>
          <w:sz w:val="12"/>
        </w:rPr>
        <w:t>0.4</w:t>
      </w:r>
    </w:p>
    <w:p>
      <w:pPr>
        <w:spacing w:before="44"/>
        <w:ind w:left="0" w:right="38" w:firstLine="0"/>
        <w:jc w:val="right"/>
        <w:rPr>
          <w:sz w:val="12"/>
        </w:rPr>
      </w:pPr>
      <w:r>
        <w:rPr>
          <w:sz w:val="12"/>
        </w:rPr>
        <w:t>0.6</w:t>
      </w:r>
    </w:p>
    <w:p>
      <w:pPr>
        <w:spacing w:before="44"/>
        <w:ind w:left="0" w:right="38" w:firstLine="0"/>
        <w:jc w:val="right"/>
        <w:rPr>
          <w:sz w:val="12"/>
        </w:rPr>
      </w:pPr>
      <w:r>
        <w:rPr>
          <w:sz w:val="12"/>
        </w:rPr>
        <w:t>0.8</w:t>
      </w:r>
    </w:p>
    <w:p>
      <w:pPr>
        <w:spacing w:before="44"/>
        <w:ind w:left="0" w:right="38" w:firstLine="0"/>
        <w:jc w:val="right"/>
        <w:rPr>
          <w:sz w:val="12"/>
        </w:rPr>
      </w:pPr>
      <w:r>
        <w:rPr>
          <w:sz w:val="12"/>
        </w:rPr>
        <w:t>1.0</w:t>
      </w:r>
    </w:p>
    <w:p>
      <w:pPr>
        <w:spacing w:before="44"/>
        <w:ind w:left="0" w:right="38" w:firstLine="0"/>
        <w:jc w:val="right"/>
        <w:rPr>
          <w:sz w:val="12"/>
        </w:rPr>
      </w:pPr>
      <w:r>
        <w:rPr>
          <w:sz w:val="12"/>
        </w:rPr>
        <w:t>1.2</w:t>
      </w:r>
    </w:p>
    <w:p>
      <w:pPr>
        <w:spacing w:before="66"/>
        <w:ind w:left="172" w:right="0" w:firstLine="0"/>
        <w:jc w:val="left"/>
        <w:rPr>
          <w:sz w:val="12"/>
        </w:rPr>
      </w:pPr>
      <w:r>
        <w:rPr>
          <w:sz w:val="12"/>
        </w:rPr>
        <w:t>2000</w:t>
      </w:r>
    </w:p>
    <w:p>
      <w:pPr>
        <w:spacing w:line="242" w:lineRule="auto" w:before="9"/>
        <w:ind w:left="172" w:right="121" w:firstLine="0"/>
        <w:jc w:val="left"/>
        <w:rPr>
          <w:sz w:val="24"/>
        </w:rPr>
      </w:pPr>
      <w:r>
        <w:rPr/>
        <w:br w:type="column"/>
      </w:r>
      <w:r>
        <w:rPr>
          <w:sz w:val="24"/>
        </w:rPr>
        <w:t>previously been rising. However, the surprising strength of exports over the past year has meant that the UK share of world trade has fallen somewhat less rapidly than previously. In particular, the UK share of exports to countries outside the EU appears to have stabilised, perhaps suggesting that the fall in sterling over the past year against non-EU currencies, such as the US dollar (see Chart 1.16 in Section 1), has offset competition in these markets from EU producers.</w:t>
      </w:r>
    </w:p>
    <w:p>
      <w:pPr>
        <w:pStyle w:val="BodyText"/>
        <w:spacing w:before="9"/>
        <w:rPr>
          <w:sz w:val="21"/>
        </w:rPr>
      </w:pPr>
    </w:p>
    <w:p>
      <w:pPr>
        <w:spacing w:line="242" w:lineRule="auto" w:before="1"/>
        <w:ind w:left="172" w:right="121" w:firstLine="0"/>
        <w:jc w:val="left"/>
        <w:rPr>
          <w:sz w:val="24"/>
        </w:rPr>
      </w:pPr>
      <w:r>
        <w:rPr>
          <w:sz w:val="24"/>
        </w:rPr>
        <w:t>Import volume growth eased to 1.4% in 2000 Q1, and 8.6% on a year earlier, with weaker investment and industrial production slowing demand for imports of capital goods and intermediate products (see Table 2.A).</w:t>
      </w:r>
    </w:p>
    <w:p>
      <w:pPr>
        <w:spacing w:after="0" w:line="242" w:lineRule="auto"/>
        <w:jc w:val="left"/>
        <w:rPr>
          <w:sz w:val="24"/>
        </w:rPr>
        <w:sectPr>
          <w:type w:val="continuous"/>
          <w:pgSz w:w="11900" w:h="16840"/>
          <w:pgMar w:top="1260" w:bottom="280" w:left="640" w:right="640"/>
          <w:cols w:num="4" w:equalWidth="0">
            <w:col w:w="1981" w:space="238"/>
            <w:col w:w="559" w:space="109"/>
            <w:col w:w="699" w:space="1196"/>
            <w:col w:w="5838"/>
          </w:cols>
        </w:sectPr>
      </w:pPr>
    </w:p>
    <w:p>
      <w:pPr>
        <w:pStyle w:val="BodyText"/>
        <w:rPr>
          <w:sz w:val="20"/>
        </w:rPr>
      </w:pPr>
    </w:p>
    <w:p>
      <w:pPr>
        <w:spacing w:after="0"/>
        <w:rPr>
          <w:sz w:val="20"/>
        </w:rPr>
        <w:sectPr>
          <w:footerReference w:type="default" r:id="rId65"/>
          <w:footerReference w:type="even" r:id="rId66"/>
          <w:pgSz w:w="11900" w:h="16840"/>
          <w:pgMar w:footer="612" w:header="586" w:top="800" w:bottom="800" w:left="640" w:right="640"/>
          <w:pgNumType w:start="15"/>
        </w:sectPr>
      </w:pPr>
    </w:p>
    <w:p>
      <w:pPr>
        <w:pStyle w:val="BodyText"/>
        <w:spacing w:before="7"/>
        <w:rPr>
          <w:sz w:val="19"/>
        </w:rPr>
      </w:pPr>
    </w:p>
    <w:p>
      <w:pPr>
        <w:pStyle w:val="Heading6"/>
        <w:spacing w:before="0"/>
        <w:ind w:left="183"/>
      </w:pPr>
      <w:bookmarkStart w:name="Domestic demand" w:id="31"/>
      <w:bookmarkEnd w:id="31"/>
      <w:r>
        <w:rPr>
          <w:b w:val="0"/>
        </w:rPr>
      </w:r>
      <w:bookmarkStart w:name="Household sector consumption" w:id="32"/>
      <w:bookmarkEnd w:id="32"/>
      <w:r>
        <w:rPr>
          <w:b w:val="0"/>
        </w:rPr>
      </w:r>
      <w:bookmarkStart w:name="_bookmark11" w:id="33"/>
      <w:bookmarkEnd w:id="33"/>
      <w:r>
        <w:rPr>
          <w:b w:val="0"/>
        </w:rPr>
      </w:r>
      <w:r>
        <w:rPr>
          <w:color w:val="0092C7"/>
        </w:rPr>
        <w:t>Table 2.B</w:t>
      </w:r>
    </w:p>
    <w:p>
      <w:pPr>
        <w:pStyle w:val="Heading6"/>
        <w:ind w:left="183"/>
        <w:rPr>
          <w:b w:val="0"/>
          <w:sz w:val="12"/>
        </w:rPr>
      </w:pPr>
      <w:r>
        <w:rPr>
          <w:color w:val="0092C7"/>
        </w:rPr>
        <w:t>UK export outlook</w:t>
      </w:r>
      <w:r>
        <w:rPr>
          <w:b w:val="0"/>
          <w:position w:val="4"/>
          <w:sz w:val="12"/>
        </w:rPr>
        <w:t>(a)</w:t>
      </w:r>
    </w:p>
    <w:p>
      <w:pPr>
        <w:pStyle w:val="BodyText"/>
        <w:spacing w:before="9"/>
        <w:rPr>
          <w:sz w:val="9"/>
        </w:rPr>
      </w:pPr>
    </w:p>
    <w:tbl>
      <w:tblPr>
        <w:tblW w:w="0" w:type="auto"/>
        <w:jc w:val="left"/>
        <w:tblInd w:w="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70"/>
        <w:gridCol w:w="145"/>
        <w:gridCol w:w="399"/>
        <w:gridCol w:w="458"/>
        <w:gridCol w:w="422"/>
        <w:gridCol w:w="414"/>
        <w:gridCol w:w="373"/>
        <w:gridCol w:w="405"/>
      </w:tblGrid>
      <w:tr>
        <w:trPr>
          <w:trHeight w:val="295" w:hRule="atLeast"/>
        </w:trPr>
        <w:tc>
          <w:tcPr>
            <w:tcW w:w="3608" w:type="dxa"/>
            <w:gridSpan w:val="6"/>
          </w:tcPr>
          <w:p>
            <w:pPr>
              <w:pStyle w:val="TableParagraph"/>
              <w:tabs>
                <w:tab w:pos="3546" w:val="right" w:leader="none"/>
              </w:tabs>
              <w:spacing w:line="145" w:lineRule="exact"/>
              <w:ind w:left="1775"/>
              <w:rPr>
                <w:sz w:val="14"/>
              </w:rPr>
            </w:pPr>
            <w:r>
              <w:rPr>
                <w:sz w:val="14"/>
              </w:rPr>
              <w:t>Series</w:t>
              <w:tab/>
            </w:r>
            <w:r>
              <w:rPr>
                <w:sz w:val="14"/>
                <w:u w:val="single"/>
              </w:rPr>
              <w:t>1999</w:t>
              <w:tab/>
            </w:r>
          </w:p>
          <w:p>
            <w:pPr>
              <w:pStyle w:val="TableParagraph"/>
              <w:tabs>
                <w:tab w:pos="2894" w:val="left" w:leader="none"/>
              </w:tabs>
              <w:spacing w:line="130" w:lineRule="exact"/>
              <w:ind w:left="1775"/>
              <w:rPr>
                <w:sz w:val="14"/>
              </w:rPr>
            </w:pPr>
            <w:r>
              <w:rPr>
                <w:sz w:val="14"/>
                <w:u w:val="single"/>
              </w:rPr>
              <w:t>average</w:t>
            </w:r>
            <w:r>
              <w:rPr>
                <w:spacing w:val="-3"/>
                <w:sz w:val="14"/>
                <w:u w:val="single"/>
              </w:rPr>
              <w:t> </w:t>
            </w:r>
            <w:r>
              <w:rPr>
                <w:sz w:val="12"/>
                <w:u w:val="single"/>
              </w:rPr>
              <w:t>(b</w:t>
            </w:r>
            <w:r>
              <w:rPr>
                <w:sz w:val="12"/>
              </w:rPr>
              <w:t>)</w:t>
            </w:r>
            <w:r>
              <w:rPr>
                <w:spacing w:val="16"/>
                <w:sz w:val="12"/>
              </w:rPr>
              <w:t> </w:t>
            </w:r>
            <w:r>
              <w:rPr>
                <w:sz w:val="14"/>
                <w:u w:val="single"/>
              </w:rPr>
              <w:t>Q2</w:t>
            </w:r>
            <w:r>
              <w:rPr>
                <w:sz w:val="14"/>
              </w:rPr>
              <w:tab/>
            </w:r>
            <w:r>
              <w:rPr>
                <w:sz w:val="14"/>
                <w:u w:val="single"/>
              </w:rPr>
              <w:t> Q3</w:t>
            </w:r>
            <w:r>
              <w:rPr>
                <w:spacing w:val="22"/>
                <w:sz w:val="14"/>
              </w:rPr>
              <w:t> </w:t>
            </w:r>
            <w:r>
              <w:rPr>
                <w:sz w:val="14"/>
                <w:u w:val="single"/>
              </w:rPr>
              <w:t>Q4</w:t>
            </w:r>
            <w:r>
              <w:rPr>
                <w:spacing w:val="16"/>
                <w:sz w:val="14"/>
                <w:u w:val="single"/>
              </w:rPr>
              <w:t> </w:t>
            </w:r>
          </w:p>
        </w:tc>
        <w:tc>
          <w:tcPr>
            <w:tcW w:w="778" w:type="dxa"/>
            <w:gridSpan w:val="2"/>
          </w:tcPr>
          <w:p>
            <w:pPr>
              <w:pStyle w:val="TableParagraph"/>
              <w:tabs>
                <w:tab w:pos="722" w:val="left" w:leader="none"/>
              </w:tabs>
              <w:spacing w:line="145" w:lineRule="exact"/>
              <w:ind w:left="83"/>
              <w:rPr>
                <w:sz w:val="14"/>
              </w:rPr>
            </w:pPr>
            <w:r>
              <w:rPr>
                <w:spacing w:val="-17"/>
                <w:sz w:val="14"/>
                <w:u w:val="single"/>
              </w:rPr>
              <w:t> </w:t>
            </w:r>
            <w:r>
              <w:rPr>
                <w:sz w:val="14"/>
                <w:u w:val="single"/>
              </w:rPr>
              <w:t>2000</w:t>
              <w:tab/>
            </w:r>
          </w:p>
          <w:p>
            <w:pPr>
              <w:pStyle w:val="TableParagraph"/>
              <w:spacing w:line="130" w:lineRule="exact"/>
              <w:ind w:left="102"/>
              <w:rPr>
                <w:sz w:val="14"/>
              </w:rPr>
            </w:pPr>
            <w:r>
              <w:rPr>
                <w:sz w:val="14"/>
                <w:u w:val="single"/>
              </w:rPr>
              <w:t>Q1</w:t>
            </w:r>
            <w:r>
              <w:rPr>
                <w:sz w:val="14"/>
              </w:rPr>
              <w:t> </w:t>
            </w:r>
            <w:r>
              <w:rPr>
                <w:sz w:val="14"/>
                <w:u w:val="single"/>
              </w:rPr>
              <w:t>Q2 </w:t>
            </w:r>
          </w:p>
        </w:tc>
      </w:tr>
      <w:tr>
        <w:trPr>
          <w:trHeight w:val="412" w:hRule="atLeast"/>
        </w:trPr>
        <w:tc>
          <w:tcPr>
            <w:tcW w:w="1770" w:type="dxa"/>
          </w:tcPr>
          <w:p>
            <w:pPr>
              <w:pStyle w:val="TableParagraph"/>
              <w:spacing w:line="150" w:lineRule="exact" w:before="119"/>
              <w:ind w:left="50"/>
              <w:rPr>
                <w:sz w:val="14"/>
              </w:rPr>
            </w:pPr>
            <w:r>
              <w:rPr>
                <w:sz w:val="14"/>
              </w:rPr>
              <w:t>BCC export orders</w:t>
            </w:r>
          </w:p>
          <w:p>
            <w:pPr>
              <w:pStyle w:val="TableParagraph"/>
              <w:spacing w:line="123" w:lineRule="exact"/>
              <w:ind w:left="120"/>
              <w:rPr>
                <w:i/>
                <w:sz w:val="14"/>
              </w:rPr>
            </w:pPr>
            <w:r>
              <w:rPr>
                <w:i/>
                <w:sz w:val="14"/>
              </w:rPr>
              <w:t>Services</w:t>
            </w:r>
          </w:p>
        </w:tc>
        <w:tc>
          <w:tcPr>
            <w:tcW w:w="544" w:type="dxa"/>
            <w:gridSpan w:val="2"/>
          </w:tcPr>
          <w:p>
            <w:pPr>
              <w:pStyle w:val="TableParagraph"/>
              <w:spacing w:line="240" w:lineRule="auto" w:before="6"/>
              <w:rPr>
                <w:sz w:val="22"/>
              </w:rPr>
            </w:pPr>
          </w:p>
          <w:p>
            <w:pPr>
              <w:pStyle w:val="TableParagraph"/>
              <w:spacing w:line="133" w:lineRule="exact"/>
              <w:ind w:left="213"/>
              <w:rPr>
                <w:sz w:val="14"/>
              </w:rPr>
            </w:pPr>
            <w:r>
              <w:rPr>
                <w:sz w:val="14"/>
              </w:rPr>
              <w:t>+12</w:t>
            </w:r>
          </w:p>
        </w:tc>
        <w:tc>
          <w:tcPr>
            <w:tcW w:w="458" w:type="dxa"/>
          </w:tcPr>
          <w:p>
            <w:pPr>
              <w:pStyle w:val="TableParagraph"/>
              <w:spacing w:line="240" w:lineRule="auto" w:before="6"/>
              <w:rPr>
                <w:sz w:val="22"/>
              </w:rPr>
            </w:pPr>
          </w:p>
          <w:p>
            <w:pPr>
              <w:pStyle w:val="TableParagraph"/>
              <w:spacing w:line="133" w:lineRule="exact"/>
              <w:ind w:left="116" w:right="12"/>
              <w:jc w:val="center"/>
              <w:rPr>
                <w:sz w:val="14"/>
              </w:rPr>
            </w:pPr>
            <w:r>
              <w:rPr>
                <w:sz w:val="14"/>
              </w:rPr>
              <w:t>+4</w:t>
            </w:r>
          </w:p>
        </w:tc>
        <w:tc>
          <w:tcPr>
            <w:tcW w:w="422" w:type="dxa"/>
          </w:tcPr>
          <w:p>
            <w:pPr>
              <w:pStyle w:val="TableParagraph"/>
              <w:spacing w:line="240" w:lineRule="auto" w:before="6"/>
              <w:rPr>
                <w:sz w:val="22"/>
              </w:rPr>
            </w:pPr>
          </w:p>
          <w:p>
            <w:pPr>
              <w:pStyle w:val="TableParagraph"/>
              <w:spacing w:line="133" w:lineRule="exact"/>
              <w:ind w:right="75"/>
              <w:jc w:val="right"/>
              <w:rPr>
                <w:sz w:val="14"/>
              </w:rPr>
            </w:pPr>
            <w:r>
              <w:rPr>
                <w:sz w:val="14"/>
              </w:rPr>
              <w:t>+15</w:t>
            </w:r>
          </w:p>
        </w:tc>
        <w:tc>
          <w:tcPr>
            <w:tcW w:w="414" w:type="dxa"/>
          </w:tcPr>
          <w:p>
            <w:pPr>
              <w:pStyle w:val="TableParagraph"/>
              <w:spacing w:line="240" w:lineRule="auto" w:before="6"/>
              <w:rPr>
                <w:sz w:val="22"/>
              </w:rPr>
            </w:pPr>
          </w:p>
          <w:p>
            <w:pPr>
              <w:pStyle w:val="TableParagraph"/>
              <w:spacing w:line="133" w:lineRule="exact"/>
              <w:ind w:left="149" w:right="76"/>
              <w:jc w:val="center"/>
              <w:rPr>
                <w:sz w:val="14"/>
              </w:rPr>
            </w:pPr>
            <w:r>
              <w:rPr>
                <w:sz w:val="14"/>
              </w:rPr>
              <w:t>+5</w:t>
            </w:r>
          </w:p>
        </w:tc>
        <w:tc>
          <w:tcPr>
            <w:tcW w:w="373" w:type="dxa"/>
          </w:tcPr>
          <w:p>
            <w:pPr>
              <w:pStyle w:val="TableParagraph"/>
              <w:spacing w:line="240" w:lineRule="auto" w:before="6"/>
              <w:rPr>
                <w:sz w:val="22"/>
              </w:rPr>
            </w:pPr>
          </w:p>
          <w:p>
            <w:pPr>
              <w:pStyle w:val="TableParagraph"/>
              <w:spacing w:line="133" w:lineRule="exact"/>
              <w:ind w:right="71"/>
              <w:jc w:val="right"/>
              <w:rPr>
                <w:sz w:val="14"/>
              </w:rPr>
            </w:pPr>
            <w:r>
              <w:rPr>
                <w:sz w:val="14"/>
              </w:rPr>
              <w:t>+10</w:t>
            </w:r>
          </w:p>
        </w:tc>
        <w:tc>
          <w:tcPr>
            <w:tcW w:w="405" w:type="dxa"/>
          </w:tcPr>
          <w:p>
            <w:pPr>
              <w:pStyle w:val="TableParagraph"/>
              <w:spacing w:line="240" w:lineRule="auto" w:before="6"/>
              <w:rPr>
                <w:sz w:val="22"/>
              </w:rPr>
            </w:pPr>
          </w:p>
          <w:p>
            <w:pPr>
              <w:pStyle w:val="TableParagraph"/>
              <w:spacing w:line="133" w:lineRule="exact"/>
              <w:ind w:right="92"/>
              <w:jc w:val="right"/>
              <w:rPr>
                <w:sz w:val="14"/>
              </w:rPr>
            </w:pPr>
            <w:r>
              <w:rPr>
                <w:sz w:val="14"/>
              </w:rPr>
              <w:t>+14</w:t>
            </w:r>
          </w:p>
        </w:tc>
      </w:tr>
      <w:tr>
        <w:trPr>
          <w:trHeight w:val="420" w:hRule="atLeast"/>
        </w:trPr>
        <w:tc>
          <w:tcPr>
            <w:tcW w:w="1770" w:type="dxa"/>
          </w:tcPr>
          <w:p>
            <w:pPr>
              <w:pStyle w:val="TableParagraph"/>
              <w:spacing w:line="137" w:lineRule="exact"/>
              <w:ind w:left="120"/>
              <w:rPr>
                <w:i/>
                <w:sz w:val="14"/>
              </w:rPr>
            </w:pPr>
            <w:r>
              <w:rPr>
                <w:i/>
                <w:sz w:val="14"/>
              </w:rPr>
              <w:t>Manufacturing</w:t>
            </w:r>
          </w:p>
          <w:p>
            <w:pPr>
              <w:pStyle w:val="TableParagraph"/>
              <w:spacing w:line="140" w:lineRule="exact"/>
              <w:ind w:left="50"/>
              <w:rPr>
                <w:sz w:val="12"/>
              </w:rPr>
            </w:pPr>
            <w:r>
              <w:rPr>
                <w:sz w:val="14"/>
              </w:rPr>
              <w:t>CIPS new export orders </w:t>
            </w:r>
            <w:r>
              <w:rPr>
                <w:sz w:val="12"/>
              </w:rPr>
              <w:t>(c)</w:t>
            </w:r>
          </w:p>
          <w:p>
            <w:pPr>
              <w:pStyle w:val="TableParagraph"/>
              <w:spacing w:line="123" w:lineRule="exact"/>
              <w:ind w:left="120"/>
              <w:rPr>
                <w:i/>
                <w:sz w:val="14"/>
              </w:rPr>
            </w:pPr>
            <w:r>
              <w:rPr>
                <w:i/>
                <w:sz w:val="14"/>
              </w:rPr>
              <w:t>Manufacturing</w:t>
            </w:r>
          </w:p>
        </w:tc>
        <w:tc>
          <w:tcPr>
            <w:tcW w:w="544" w:type="dxa"/>
            <w:gridSpan w:val="2"/>
          </w:tcPr>
          <w:p>
            <w:pPr>
              <w:pStyle w:val="TableParagraph"/>
              <w:spacing w:line="148" w:lineRule="exact"/>
              <w:ind w:left="283"/>
              <w:rPr>
                <w:sz w:val="14"/>
              </w:rPr>
            </w:pPr>
            <w:r>
              <w:rPr>
                <w:sz w:val="14"/>
              </w:rPr>
              <w:t>+9</w:t>
            </w:r>
          </w:p>
          <w:p>
            <w:pPr>
              <w:pStyle w:val="TableParagraph"/>
              <w:spacing w:line="133" w:lineRule="exact" w:before="119"/>
              <w:ind w:left="187"/>
              <w:rPr>
                <w:sz w:val="14"/>
              </w:rPr>
            </w:pPr>
            <w:r>
              <w:rPr>
                <w:sz w:val="14"/>
              </w:rPr>
              <w:t>49.6</w:t>
            </w:r>
          </w:p>
        </w:tc>
        <w:tc>
          <w:tcPr>
            <w:tcW w:w="458" w:type="dxa"/>
          </w:tcPr>
          <w:p>
            <w:pPr>
              <w:pStyle w:val="TableParagraph"/>
              <w:spacing w:line="148" w:lineRule="exact"/>
              <w:ind w:right="100"/>
              <w:jc w:val="right"/>
              <w:rPr>
                <w:sz w:val="14"/>
              </w:rPr>
            </w:pPr>
            <w:r>
              <w:rPr>
                <w:spacing w:val="-1"/>
                <w:sz w:val="14"/>
              </w:rPr>
              <w:t>-3</w:t>
            </w:r>
          </w:p>
          <w:p>
            <w:pPr>
              <w:pStyle w:val="TableParagraph"/>
              <w:spacing w:line="133" w:lineRule="exact" w:before="119"/>
              <w:ind w:right="100"/>
              <w:jc w:val="right"/>
              <w:rPr>
                <w:sz w:val="14"/>
              </w:rPr>
            </w:pPr>
            <w:r>
              <w:rPr>
                <w:sz w:val="14"/>
              </w:rPr>
              <w:t>50.8</w:t>
            </w:r>
          </w:p>
        </w:tc>
        <w:tc>
          <w:tcPr>
            <w:tcW w:w="422" w:type="dxa"/>
          </w:tcPr>
          <w:p>
            <w:pPr>
              <w:pStyle w:val="TableParagraph"/>
              <w:spacing w:line="148" w:lineRule="exact"/>
              <w:ind w:left="125"/>
              <w:rPr>
                <w:sz w:val="14"/>
              </w:rPr>
            </w:pPr>
            <w:r>
              <w:rPr>
                <w:sz w:val="14"/>
              </w:rPr>
              <w:t>+10</w:t>
            </w:r>
          </w:p>
          <w:p>
            <w:pPr>
              <w:pStyle w:val="TableParagraph"/>
              <w:spacing w:line="133" w:lineRule="exact" w:before="119"/>
              <w:ind w:left="99"/>
              <w:rPr>
                <w:sz w:val="14"/>
              </w:rPr>
            </w:pPr>
            <w:r>
              <w:rPr>
                <w:sz w:val="14"/>
              </w:rPr>
              <w:t>54.7</w:t>
            </w:r>
          </w:p>
        </w:tc>
        <w:tc>
          <w:tcPr>
            <w:tcW w:w="414" w:type="dxa"/>
          </w:tcPr>
          <w:p>
            <w:pPr>
              <w:pStyle w:val="TableParagraph"/>
              <w:spacing w:line="148" w:lineRule="exact"/>
              <w:ind w:left="99"/>
              <w:rPr>
                <w:sz w:val="14"/>
              </w:rPr>
            </w:pPr>
            <w:r>
              <w:rPr>
                <w:sz w:val="14"/>
              </w:rPr>
              <w:t>+11</w:t>
            </w:r>
          </w:p>
          <w:p>
            <w:pPr>
              <w:pStyle w:val="TableParagraph"/>
              <w:spacing w:line="133" w:lineRule="exact" w:before="119"/>
              <w:ind w:left="72"/>
              <w:rPr>
                <w:sz w:val="14"/>
              </w:rPr>
            </w:pPr>
            <w:r>
              <w:rPr>
                <w:sz w:val="14"/>
              </w:rPr>
              <w:t>52.9</w:t>
            </w:r>
          </w:p>
        </w:tc>
        <w:tc>
          <w:tcPr>
            <w:tcW w:w="373" w:type="dxa"/>
          </w:tcPr>
          <w:p>
            <w:pPr>
              <w:pStyle w:val="TableParagraph"/>
              <w:spacing w:line="148" w:lineRule="exact"/>
              <w:ind w:left="150"/>
              <w:rPr>
                <w:sz w:val="14"/>
              </w:rPr>
            </w:pPr>
            <w:r>
              <w:rPr>
                <w:sz w:val="14"/>
              </w:rPr>
              <w:t>+8</w:t>
            </w:r>
          </w:p>
          <w:p>
            <w:pPr>
              <w:pStyle w:val="TableParagraph"/>
              <w:spacing w:line="133" w:lineRule="exact" w:before="119"/>
              <w:ind w:left="54"/>
              <w:rPr>
                <w:sz w:val="14"/>
              </w:rPr>
            </w:pPr>
            <w:r>
              <w:rPr>
                <w:sz w:val="14"/>
              </w:rPr>
              <w:t>52.0</w:t>
            </w:r>
          </w:p>
        </w:tc>
        <w:tc>
          <w:tcPr>
            <w:tcW w:w="405" w:type="dxa"/>
          </w:tcPr>
          <w:p>
            <w:pPr>
              <w:pStyle w:val="TableParagraph"/>
              <w:spacing w:line="148" w:lineRule="exact"/>
              <w:ind w:right="92"/>
              <w:jc w:val="right"/>
              <w:rPr>
                <w:sz w:val="14"/>
              </w:rPr>
            </w:pPr>
            <w:r>
              <w:rPr>
                <w:spacing w:val="-1"/>
                <w:sz w:val="14"/>
              </w:rPr>
              <w:t>-7</w:t>
            </w:r>
          </w:p>
          <w:p>
            <w:pPr>
              <w:pStyle w:val="TableParagraph"/>
              <w:spacing w:line="133" w:lineRule="exact" w:before="119"/>
              <w:ind w:right="92"/>
              <w:jc w:val="right"/>
              <w:rPr>
                <w:sz w:val="14"/>
              </w:rPr>
            </w:pPr>
            <w:r>
              <w:rPr>
                <w:sz w:val="14"/>
              </w:rPr>
              <w:t>48.3</w:t>
            </w:r>
          </w:p>
        </w:tc>
      </w:tr>
      <w:tr>
        <w:trPr>
          <w:trHeight w:val="147" w:hRule="atLeast"/>
        </w:trPr>
        <w:tc>
          <w:tcPr>
            <w:tcW w:w="1770" w:type="dxa"/>
          </w:tcPr>
          <w:p>
            <w:pPr>
              <w:pStyle w:val="TableParagraph"/>
              <w:spacing w:line="128" w:lineRule="exact"/>
              <w:ind w:left="50"/>
              <w:rPr>
                <w:sz w:val="14"/>
              </w:rPr>
            </w:pPr>
            <w:r>
              <w:rPr>
                <w:sz w:val="14"/>
              </w:rPr>
              <w:t>CBI quarterly industrial trends</w:t>
            </w:r>
          </w:p>
        </w:tc>
        <w:tc>
          <w:tcPr>
            <w:tcW w:w="544" w:type="dxa"/>
            <w:gridSpan w:val="2"/>
          </w:tcPr>
          <w:p>
            <w:pPr>
              <w:pStyle w:val="TableParagraph"/>
              <w:spacing w:line="240" w:lineRule="auto"/>
              <w:rPr>
                <w:sz w:val="8"/>
              </w:rPr>
            </w:pPr>
          </w:p>
        </w:tc>
        <w:tc>
          <w:tcPr>
            <w:tcW w:w="458" w:type="dxa"/>
          </w:tcPr>
          <w:p>
            <w:pPr>
              <w:pStyle w:val="TableParagraph"/>
              <w:spacing w:line="240" w:lineRule="auto"/>
              <w:rPr>
                <w:sz w:val="8"/>
              </w:rPr>
            </w:pPr>
          </w:p>
        </w:tc>
        <w:tc>
          <w:tcPr>
            <w:tcW w:w="422" w:type="dxa"/>
          </w:tcPr>
          <w:p>
            <w:pPr>
              <w:pStyle w:val="TableParagraph"/>
              <w:spacing w:line="240" w:lineRule="auto"/>
              <w:rPr>
                <w:sz w:val="8"/>
              </w:rPr>
            </w:pPr>
          </w:p>
        </w:tc>
        <w:tc>
          <w:tcPr>
            <w:tcW w:w="414" w:type="dxa"/>
          </w:tcPr>
          <w:p>
            <w:pPr>
              <w:pStyle w:val="TableParagraph"/>
              <w:spacing w:line="240" w:lineRule="auto"/>
              <w:rPr>
                <w:sz w:val="8"/>
              </w:rPr>
            </w:pPr>
          </w:p>
        </w:tc>
        <w:tc>
          <w:tcPr>
            <w:tcW w:w="373" w:type="dxa"/>
          </w:tcPr>
          <w:p>
            <w:pPr>
              <w:pStyle w:val="TableParagraph"/>
              <w:spacing w:line="240" w:lineRule="auto"/>
              <w:rPr>
                <w:sz w:val="8"/>
              </w:rPr>
            </w:pPr>
          </w:p>
        </w:tc>
        <w:tc>
          <w:tcPr>
            <w:tcW w:w="405" w:type="dxa"/>
          </w:tcPr>
          <w:p>
            <w:pPr>
              <w:pStyle w:val="TableParagraph"/>
              <w:spacing w:line="240" w:lineRule="auto"/>
              <w:rPr>
                <w:sz w:val="8"/>
              </w:rPr>
            </w:pPr>
          </w:p>
        </w:tc>
      </w:tr>
      <w:tr>
        <w:trPr>
          <w:trHeight w:val="140" w:hRule="atLeast"/>
        </w:trPr>
        <w:tc>
          <w:tcPr>
            <w:tcW w:w="2314" w:type="dxa"/>
            <w:gridSpan w:val="3"/>
          </w:tcPr>
          <w:p>
            <w:pPr>
              <w:pStyle w:val="TableParagraph"/>
              <w:spacing w:line="135" w:lineRule="exact"/>
              <w:ind w:left="120"/>
              <w:rPr>
                <w:sz w:val="14"/>
              </w:rPr>
            </w:pPr>
            <w:r>
              <w:rPr>
                <w:i/>
                <w:sz w:val="14"/>
              </w:rPr>
              <w:t>Export orders, past four months </w:t>
            </w:r>
            <w:r>
              <w:rPr>
                <w:sz w:val="14"/>
              </w:rPr>
              <w:t>-13</w:t>
            </w:r>
          </w:p>
        </w:tc>
        <w:tc>
          <w:tcPr>
            <w:tcW w:w="458" w:type="dxa"/>
          </w:tcPr>
          <w:p>
            <w:pPr>
              <w:pStyle w:val="TableParagraph"/>
              <w:spacing w:line="135" w:lineRule="exact"/>
              <w:ind w:left="116" w:right="49"/>
              <w:jc w:val="center"/>
              <w:rPr>
                <w:sz w:val="14"/>
              </w:rPr>
            </w:pPr>
            <w:r>
              <w:rPr>
                <w:sz w:val="14"/>
              </w:rPr>
              <w:t>-24</w:t>
            </w:r>
          </w:p>
        </w:tc>
        <w:tc>
          <w:tcPr>
            <w:tcW w:w="422" w:type="dxa"/>
          </w:tcPr>
          <w:p>
            <w:pPr>
              <w:pStyle w:val="TableParagraph"/>
              <w:spacing w:line="135" w:lineRule="exact"/>
              <w:ind w:right="75"/>
              <w:jc w:val="right"/>
              <w:rPr>
                <w:sz w:val="14"/>
              </w:rPr>
            </w:pPr>
            <w:r>
              <w:rPr>
                <w:sz w:val="14"/>
              </w:rPr>
              <w:t>-14</w:t>
            </w:r>
          </w:p>
        </w:tc>
        <w:tc>
          <w:tcPr>
            <w:tcW w:w="414" w:type="dxa"/>
          </w:tcPr>
          <w:p>
            <w:pPr>
              <w:pStyle w:val="TableParagraph"/>
              <w:spacing w:line="135" w:lineRule="exact"/>
              <w:ind w:left="149" w:right="44"/>
              <w:jc w:val="center"/>
              <w:rPr>
                <w:sz w:val="14"/>
              </w:rPr>
            </w:pPr>
            <w:r>
              <w:rPr>
                <w:sz w:val="14"/>
              </w:rPr>
              <w:t>-3</w:t>
            </w:r>
          </w:p>
        </w:tc>
        <w:tc>
          <w:tcPr>
            <w:tcW w:w="373" w:type="dxa"/>
          </w:tcPr>
          <w:p>
            <w:pPr>
              <w:pStyle w:val="TableParagraph"/>
              <w:spacing w:line="135" w:lineRule="exact"/>
              <w:ind w:right="71"/>
              <w:jc w:val="right"/>
              <w:rPr>
                <w:sz w:val="14"/>
              </w:rPr>
            </w:pPr>
            <w:r>
              <w:rPr>
                <w:sz w:val="14"/>
              </w:rPr>
              <w:t>-8</w:t>
            </w:r>
          </w:p>
        </w:tc>
        <w:tc>
          <w:tcPr>
            <w:tcW w:w="405" w:type="dxa"/>
          </w:tcPr>
          <w:p>
            <w:pPr>
              <w:pStyle w:val="TableParagraph"/>
              <w:spacing w:line="135" w:lineRule="exact"/>
              <w:ind w:right="92"/>
              <w:jc w:val="right"/>
              <w:rPr>
                <w:sz w:val="14"/>
              </w:rPr>
            </w:pPr>
            <w:r>
              <w:rPr>
                <w:sz w:val="14"/>
              </w:rPr>
              <w:t>-18</w:t>
            </w:r>
          </w:p>
        </w:tc>
      </w:tr>
      <w:tr>
        <w:trPr>
          <w:trHeight w:val="481" w:hRule="atLeast"/>
        </w:trPr>
        <w:tc>
          <w:tcPr>
            <w:tcW w:w="1915" w:type="dxa"/>
            <w:gridSpan w:val="2"/>
          </w:tcPr>
          <w:p>
            <w:pPr>
              <w:pStyle w:val="TableParagraph"/>
              <w:spacing w:line="208" w:lineRule="auto" w:before="11"/>
              <w:ind w:left="120" w:hanging="70"/>
              <w:rPr>
                <w:i/>
                <w:sz w:val="14"/>
              </w:rPr>
            </w:pPr>
            <w:r>
              <w:rPr>
                <w:sz w:val="14"/>
              </w:rPr>
              <w:t>DHL quarterly export indicator </w:t>
            </w:r>
            <w:r>
              <w:rPr>
                <w:i/>
                <w:sz w:val="14"/>
              </w:rPr>
              <w:t>Export confidence, next three </w:t>
            </w:r>
            <w:r>
              <w:rPr>
                <w:i/>
                <w:sz w:val="14"/>
              </w:rPr>
              <w:t>months</w:t>
            </w:r>
          </w:p>
        </w:tc>
        <w:tc>
          <w:tcPr>
            <w:tcW w:w="399" w:type="dxa"/>
          </w:tcPr>
          <w:p>
            <w:pPr>
              <w:pStyle w:val="TableParagraph"/>
              <w:spacing w:line="240" w:lineRule="auto" w:before="9"/>
              <w:rPr>
                <w:sz w:val="23"/>
              </w:rPr>
            </w:pPr>
          </w:p>
          <w:p>
            <w:pPr>
              <w:pStyle w:val="TableParagraph"/>
              <w:spacing w:line="240" w:lineRule="auto"/>
              <w:ind w:left="68"/>
              <w:rPr>
                <w:sz w:val="14"/>
              </w:rPr>
            </w:pPr>
            <w:r>
              <w:rPr>
                <w:sz w:val="14"/>
              </w:rPr>
              <w:t>+32</w:t>
            </w:r>
          </w:p>
        </w:tc>
        <w:tc>
          <w:tcPr>
            <w:tcW w:w="458" w:type="dxa"/>
          </w:tcPr>
          <w:p>
            <w:pPr>
              <w:pStyle w:val="TableParagraph"/>
              <w:spacing w:line="240" w:lineRule="auto" w:before="9"/>
              <w:rPr>
                <w:sz w:val="23"/>
              </w:rPr>
            </w:pPr>
          </w:p>
          <w:p>
            <w:pPr>
              <w:pStyle w:val="TableParagraph"/>
              <w:spacing w:line="240" w:lineRule="auto"/>
              <w:ind w:left="116" w:right="82"/>
              <w:jc w:val="center"/>
              <w:rPr>
                <w:sz w:val="14"/>
              </w:rPr>
            </w:pPr>
            <w:r>
              <w:rPr>
                <w:sz w:val="14"/>
              </w:rPr>
              <w:t>+26</w:t>
            </w:r>
          </w:p>
        </w:tc>
        <w:tc>
          <w:tcPr>
            <w:tcW w:w="422" w:type="dxa"/>
          </w:tcPr>
          <w:p>
            <w:pPr>
              <w:pStyle w:val="TableParagraph"/>
              <w:spacing w:line="240" w:lineRule="auto" w:before="9"/>
              <w:rPr>
                <w:sz w:val="23"/>
              </w:rPr>
            </w:pPr>
          </w:p>
          <w:p>
            <w:pPr>
              <w:pStyle w:val="TableParagraph"/>
              <w:spacing w:line="240" w:lineRule="auto"/>
              <w:ind w:right="75"/>
              <w:jc w:val="right"/>
              <w:rPr>
                <w:sz w:val="14"/>
              </w:rPr>
            </w:pPr>
            <w:r>
              <w:rPr>
                <w:sz w:val="14"/>
              </w:rPr>
              <w:t>+29</w:t>
            </w:r>
          </w:p>
        </w:tc>
        <w:tc>
          <w:tcPr>
            <w:tcW w:w="414" w:type="dxa"/>
          </w:tcPr>
          <w:p>
            <w:pPr>
              <w:pStyle w:val="TableParagraph"/>
              <w:spacing w:line="240" w:lineRule="auto" w:before="9"/>
              <w:rPr>
                <w:sz w:val="23"/>
              </w:rPr>
            </w:pPr>
          </w:p>
          <w:p>
            <w:pPr>
              <w:pStyle w:val="TableParagraph"/>
              <w:spacing w:line="240" w:lineRule="auto"/>
              <w:ind w:left="78" w:right="76"/>
              <w:jc w:val="center"/>
              <w:rPr>
                <w:sz w:val="14"/>
              </w:rPr>
            </w:pPr>
            <w:r>
              <w:rPr>
                <w:sz w:val="14"/>
              </w:rPr>
              <w:t>+28</w:t>
            </w:r>
          </w:p>
        </w:tc>
        <w:tc>
          <w:tcPr>
            <w:tcW w:w="373" w:type="dxa"/>
          </w:tcPr>
          <w:p>
            <w:pPr>
              <w:pStyle w:val="TableParagraph"/>
              <w:spacing w:line="240" w:lineRule="auto" w:before="9"/>
              <w:rPr>
                <w:sz w:val="23"/>
              </w:rPr>
            </w:pPr>
          </w:p>
          <w:p>
            <w:pPr>
              <w:pStyle w:val="TableParagraph"/>
              <w:spacing w:line="240" w:lineRule="auto"/>
              <w:ind w:right="71"/>
              <w:jc w:val="right"/>
              <w:rPr>
                <w:sz w:val="14"/>
              </w:rPr>
            </w:pPr>
            <w:r>
              <w:rPr>
                <w:sz w:val="14"/>
              </w:rPr>
              <w:t>+38</w:t>
            </w:r>
          </w:p>
        </w:tc>
        <w:tc>
          <w:tcPr>
            <w:tcW w:w="405" w:type="dxa"/>
          </w:tcPr>
          <w:p>
            <w:pPr>
              <w:pStyle w:val="TableParagraph"/>
              <w:spacing w:line="240" w:lineRule="auto" w:before="9"/>
              <w:rPr>
                <w:sz w:val="23"/>
              </w:rPr>
            </w:pPr>
          </w:p>
          <w:p>
            <w:pPr>
              <w:pStyle w:val="TableParagraph"/>
              <w:spacing w:line="240" w:lineRule="auto"/>
              <w:ind w:right="92"/>
              <w:jc w:val="right"/>
              <w:rPr>
                <w:sz w:val="14"/>
              </w:rPr>
            </w:pPr>
            <w:r>
              <w:rPr>
                <w:sz w:val="14"/>
              </w:rPr>
              <w:t>+34</w:t>
            </w:r>
          </w:p>
        </w:tc>
      </w:tr>
      <w:tr>
        <w:trPr>
          <w:trHeight w:val="194" w:hRule="atLeast"/>
        </w:trPr>
        <w:tc>
          <w:tcPr>
            <w:tcW w:w="1915" w:type="dxa"/>
            <w:gridSpan w:val="2"/>
          </w:tcPr>
          <w:p>
            <w:pPr>
              <w:pStyle w:val="TableParagraph"/>
              <w:spacing w:line="118" w:lineRule="exact" w:before="56"/>
              <w:ind w:left="50"/>
              <w:rPr>
                <w:sz w:val="12"/>
              </w:rPr>
            </w:pPr>
            <w:r>
              <w:rPr>
                <w:sz w:val="12"/>
              </w:rPr>
              <w:t>Sources: BCC, CIPS, CBI and DHL.</w:t>
            </w:r>
          </w:p>
        </w:tc>
        <w:tc>
          <w:tcPr>
            <w:tcW w:w="399" w:type="dxa"/>
          </w:tcPr>
          <w:p>
            <w:pPr>
              <w:pStyle w:val="TableParagraph"/>
              <w:spacing w:line="240" w:lineRule="auto"/>
              <w:rPr>
                <w:sz w:val="12"/>
              </w:rPr>
            </w:pPr>
          </w:p>
        </w:tc>
        <w:tc>
          <w:tcPr>
            <w:tcW w:w="458" w:type="dxa"/>
          </w:tcPr>
          <w:p>
            <w:pPr>
              <w:pStyle w:val="TableParagraph"/>
              <w:spacing w:line="240" w:lineRule="auto"/>
              <w:rPr>
                <w:sz w:val="12"/>
              </w:rPr>
            </w:pPr>
          </w:p>
        </w:tc>
        <w:tc>
          <w:tcPr>
            <w:tcW w:w="422" w:type="dxa"/>
          </w:tcPr>
          <w:p>
            <w:pPr>
              <w:pStyle w:val="TableParagraph"/>
              <w:spacing w:line="240" w:lineRule="auto"/>
              <w:rPr>
                <w:sz w:val="12"/>
              </w:rPr>
            </w:pPr>
          </w:p>
        </w:tc>
        <w:tc>
          <w:tcPr>
            <w:tcW w:w="414" w:type="dxa"/>
          </w:tcPr>
          <w:p>
            <w:pPr>
              <w:pStyle w:val="TableParagraph"/>
              <w:spacing w:line="240" w:lineRule="auto"/>
              <w:rPr>
                <w:sz w:val="12"/>
              </w:rPr>
            </w:pPr>
          </w:p>
        </w:tc>
        <w:tc>
          <w:tcPr>
            <w:tcW w:w="373" w:type="dxa"/>
          </w:tcPr>
          <w:p>
            <w:pPr>
              <w:pStyle w:val="TableParagraph"/>
              <w:spacing w:line="240" w:lineRule="auto"/>
              <w:rPr>
                <w:sz w:val="12"/>
              </w:rPr>
            </w:pPr>
          </w:p>
        </w:tc>
        <w:tc>
          <w:tcPr>
            <w:tcW w:w="405" w:type="dxa"/>
          </w:tcPr>
          <w:p>
            <w:pPr>
              <w:pStyle w:val="TableParagraph"/>
              <w:spacing w:line="240" w:lineRule="auto"/>
              <w:rPr>
                <w:sz w:val="12"/>
              </w:rPr>
            </w:pPr>
          </w:p>
        </w:tc>
      </w:tr>
    </w:tbl>
    <w:p>
      <w:pPr>
        <w:pStyle w:val="ListParagraph"/>
        <w:numPr>
          <w:ilvl w:val="0"/>
          <w:numId w:val="13"/>
        </w:numPr>
        <w:tabs>
          <w:tab w:pos="424" w:val="left" w:leader="none"/>
        </w:tabs>
        <w:spacing w:line="208" w:lineRule="auto" w:before="116" w:after="0"/>
        <w:ind w:left="423" w:right="721" w:hanging="240"/>
        <w:jc w:val="left"/>
        <w:rPr>
          <w:sz w:val="12"/>
        </w:rPr>
      </w:pPr>
      <w:r>
        <w:rPr>
          <w:sz w:val="12"/>
        </w:rPr>
        <w:t>Numbers reported are percentage balances of respondents reporting ‘higher’ relative to</w:t>
      </w:r>
      <w:r>
        <w:rPr>
          <w:spacing w:val="-12"/>
          <w:sz w:val="12"/>
        </w:rPr>
        <w:t> </w:t>
      </w:r>
      <w:r>
        <w:rPr>
          <w:sz w:val="12"/>
        </w:rPr>
        <w:t>‘lower’.</w:t>
      </w:r>
    </w:p>
    <w:p>
      <w:pPr>
        <w:pStyle w:val="ListParagraph"/>
        <w:numPr>
          <w:ilvl w:val="0"/>
          <w:numId w:val="13"/>
        </w:numPr>
        <w:tabs>
          <w:tab w:pos="424" w:val="left" w:leader="none"/>
        </w:tabs>
        <w:spacing w:line="114" w:lineRule="exact" w:before="0" w:after="0"/>
        <w:ind w:left="423" w:right="0" w:hanging="241"/>
        <w:jc w:val="left"/>
        <w:rPr>
          <w:sz w:val="12"/>
        </w:rPr>
      </w:pPr>
      <w:r>
        <w:rPr>
          <w:sz w:val="12"/>
        </w:rPr>
        <w:t>BCC since 1989; CIPS since 1996; CBI since 1975;</w:t>
      </w:r>
      <w:r>
        <w:rPr>
          <w:spacing w:val="1"/>
          <w:sz w:val="12"/>
        </w:rPr>
        <w:t> </w:t>
      </w:r>
      <w:r>
        <w:rPr>
          <w:sz w:val="12"/>
        </w:rPr>
        <w:t>DHL since 1993.</w:t>
      </w:r>
    </w:p>
    <w:p>
      <w:pPr>
        <w:pStyle w:val="ListParagraph"/>
        <w:numPr>
          <w:ilvl w:val="0"/>
          <w:numId w:val="13"/>
        </w:numPr>
        <w:tabs>
          <w:tab w:pos="424" w:val="left" w:leader="none"/>
        </w:tabs>
        <w:spacing w:line="208" w:lineRule="auto" w:before="6" w:after="0"/>
        <w:ind w:left="423" w:right="662" w:hanging="240"/>
        <w:jc w:val="left"/>
        <w:rPr>
          <w:sz w:val="12"/>
        </w:rPr>
      </w:pPr>
      <w:r>
        <w:rPr>
          <w:sz w:val="12"/>
        </w:rPr>
        <w:t>A</w:t>
      </w:r>
      <w:r>
        <w:rPr>
          <w:spacing w:val="-6"/>
          <w:sz w:val="12"/>
        </w:rPr>
        <w:t> </w:t>
      </w:r>
      <w:r>
        <w:rPr>
          <w:sz w:val="12"/>
        </w:rPr>
        <w:t>reading</w:t>
      </w:r>
      <w:r>
        <w:rPr>
          <w:spacing w:val="-5"/>
          <w:sz w:val="12"/>
        </w:rPr>
        <w:t> </w:t>
      </w:r>
      <w:r>
        <w:rPr>
          <w:sz w:val="12"/>
        </w:rPr>
        <w:t>above</w:t>
      </w:r>
      <w:r>
        <w:rPr>
          <w:spacing w:val="-4"/>
          <w:sz w:val="12"/>
        </w:rPr>
        <w:t> </w:t>
      </w:r>
      <w:r>
        <w:rPr>
          <w:sz w:val="12"/>
        </w:rPr>
        <w:t>50</w:t>
      </w:r>
      <w:r>
        <w:rPr>
          <w:spacing w:val="-6"/>
          <w:sz w:val="12"/>
        </w:rPr>
        <w:t> </w:t>
      </w:r>
      <w:r>
        <w:rPr>
          <w:sz w:val="12"/>
        </w:rPr>
        <w:t>suggests</w:t>
      </w:r>
      <w:r>
        <w:rPr>
          <w:spacing w:val="-5"/>
          <w:sz w:val="12"/>
        </w:rPr>
        <w:t> </w:t>
      </w:r>
      <w:r>
        <w:rPr>
          <w:sz w:val="12"/>
        </w:rPr>
        <w:t>expansion,</w:t>
      </w:r>
      <w:r>
        <w:rPr>
          <w:spacing w:val="-4"/>
          <w:sz w:val="12"/>
        </w:rPr>
        <w:t> </w:t>
      </w:r>
      <w:r>
        <w:rPr>
          <w:sz w:val="12"/>
        </w:rPr>
        <w:t>a</w:t>
      </w:r>
      <w:r>
        <w:rPr>
          <w:spacing w:val="-6"/>
          <w:sz w:val="12"/>
        </w:rPr>
        <w:t> </w:t>
      </w:r>
      <w:r>
        <w:rPr>
          <w:sz w:val="12"/>
        </w:rPr>
        <w:t>reading</w:t>
      </w:r>
      <w:r>
        <w:rPr>
          <w:spacing w:val="-5"/>
          <w:sz w:val="12"/>
        </w:rPr>
        <w:t> </w:t>
      </w:r>
      <w:r>
        <w:rPr>
          <w:sz w:val="12"/>
        </w:rPr>
        <w:t>below</w:t>
      </w:r>
      <w:r>
        <w:rPr>
          <w:spacing w:val="-5"/>
          <w:sz w:val="12"/>
        </w:rPr>
        <w:t> </w:t>
      </w:r>
      <w:r>
        <w:rPr>
          <w:sz w:val="12"/>
        </w:rPr>
        <w:t>50</w:t>
      </w:r>
      <w:r>
        <w:rPr>
          <w:spacing w:val="-6"/>
          <w:sz w:val="12"/>
        </w:rPr>
        <w:t> </w:t>
      </w:r>
      <w:r>
        <w:rPr>
          <w:sz w:val="12"/>
        </w:rPr>
        <w:t>suggests contraction.</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84"/>
        <w:ind w:left="185"/>
      </w:pPr>
      <w:r>
        <w:rPr>
          <w:color w:val="0092C7"/>
        </w:rPr>
        <w:t>Table 2.C</w:t>
      </w:r>
    </w:p>
    <w:p>
      <w:pPr>
        <w:pStyle w:val="Heading6"/>
        <w:ind w:left="185"/>
        <w:rPr>
          <w:b w:val="0"/>
          <w:sz w:val="12"/>
        </w:rPr>
      </w:pPr>
      <w:r>
        <w:rPr>
          <w:color w:val="0092C7"/>
        </w:rPr>
        <w:t>GDP and expenditure components</w:t>
      </w:r>
      <w:r>
        <w:rPr>
          <w:b w:val="0"/>
          <w:position w:val="4"/>
          <w:sz w:val="12"/>
        </w:rPr>
        <w:t>(a)</w:t>
      </w:r>
    </w:p>
    <w:p>
      <w:pPr>
        <w:spacing w:before="107"/>
        <w:ind w:left="185" w:right="0" w:firstLine="0"/>
        <w:jc w:val="left"/>
        <w:rPr>
          <w:sz w:val="14"/>
        </w:rPr>
      </w:pPr>
      <w:r>
        <w:rPr>
          <w:sz w:val="14"/>
        </w:rPr>
        <w:t>Percentage changes on a quarter earlier</w:t>
      </w:r>
    </w:p>
    <w:p>
      <w:pPr>
        <w:tabs>
          <w:tab w:pos="3804" w:val="left" w:leader="none"/>
        </w:tabs>
        <w:spacing w:before="119"/>
        <w:ind w:left="2536" w:right="0" w:firstLine="0"/>
        <w:jc w:val="left"/>
        <w:rPr>
          <w:sz w:val="14"/>
        </w:rPr>
      </w:pPr>
      <w:r>
        <w:rPr>
          <w:sz w:val="14"/>
          <w:u w:val="single"/>
        </w:rPr>
        <w:t>1999</w:t>
        <w:tab/>
        <w:t>2000</w:t>
      </w:r>
      <w:r>
        <w:rPr>
          <w:spacing w:val="-4"/>
          <w:sz w:val="14"/>
          <w:u w:val="single"/>
        </w:rPr>
        <w:t> </w:t>
      </w:r>
    </w:p>
    <w:tbl>
      <w:tblPr>
        <w:tblW w:w="0" w:type="auto"/>
        <w:jc w:val="left"/>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36"/>
        <w:gridCol w:w="485"/>
        <w:gridCol w:w="489"/>
        <w:gridCol w:w="463"/>
        <w:gridCol w:w="484"/>
      </w:tblGrid>
      <w:tr>
        <w:trPr>
          <w:trHeight w:val="367" w:hRule="atLeast"/>
        </w:trPr>
        <w:tc>
          <w:tcPr>
            <w:tcW w:w="2336" w:type="dxa"/>
          </w:tcPr>
          <w:p>
            <w:pPr>
              <w:pStyle w:val="TableParagraph"/>
              <w:spacing w:line="240" w:lineRule="auto" w:before="7"/>
              <w:rPr>
                <w:sz w:val="18"/>
              </w:rPr>
            </w:pPr>
          </w:p>
          <w:p>
            <w:pPr>
              <w:pStyle w:val="TableParagraph"/>
              <w:spacing w:line="133" w:lineRule="exact"/>
              <w:ind w:left="50"/>
              <w:rPr>
                <w:sz w:val="14"/>
              </w:rPr>
            </w:pPr>
            <w:r>
              <w:rPr>
                <w:sz w:val="14"/>
              </w:rPr>
              <w:t>Consumption:</w:t>
            </w:r>
          </w:p>
        </w:tc>
        <w:tc>
          <w:tcPr>
            <w:tcW w:w="485" w:type="dxa"/>
          </w:tcPr>
          <w:p>
            <w:pPr>
              <w:pStyle w:val="TableParagraph"/>
              <w:spacing w:line="155" w:lineRule="exact"/>
              <w:ind w:left="65"/>
              <w:rPr>
                <w:sz w:val="14"/>
              </w:rPr>
            </w:pPr>
            <w:r>
              <w:rPr>
                <w:sz w:val="14"/>
                <w:u w:val="single"/>
              </w:rPr>
              <w:t>Q2 </w:t>
            </w:r>
          </w:p>
        </w:tc>
        <w:tc>
          <w:tcPr>
            <w:tcW w:w="489" w:type="dxa"/>
          </w:tcPr>
          <w:p>
            <w:pPr>
              <w:pStyle w:val="TableParagraph"/>
              <w:spacing w:line="155" w:lineRule="exact"/>
              <w:ind w:left="45"/>
              <w:jc w:val="center"/>
              <w:rPr>
                <w:sz w:val="14"/>
              </w:rPr>
            </w:pPr>
            <w:r>
              <w:rPr>
                <w:sz w:val="14"/>
                <w:u w:val="single"/>
              </w:rPr>
              <w:t> Q3 </w:t>
            </w:r>
          </w:p>
        </w:tc>
        <w:tc>
          <w:tcPr>
            <w:tcW w:w="463" w:type="dxa"/>
          </w:tcPr>
          <w:p>
            <w:pPr>
              <w:pStyle w:val="TableParagraph"/>
              <w:spacing w:line="155" w:lineRule="exact"/>
              <w:ind w:left="73"/>
              <w:rPr>
                <w:sz w:val="14"/>
              </w:rPr>
            </w:pPr>
            <w:r>
              <w:rPr>
                <w:sz w:val="14"/>
                <w:u w:val="single"/>
              </w:rPr>
              <w:t> Q4 </w:t>
            </w:r>
          </w:p>
        </w:tc>
        <w:tc>
          <w:tcPr>
            <w:tcW w:w="484" w:type="dxa"/>
          </w:tcPr>
          <w:p>
            <w:pPr>
              <w:pStyle w:val="TableParagraph"/>
              <w:spacing w:line="155" w:lineRule="exact"/>
              <w:ind w:left="92" w:right="48"/>
              <w:jc w:val="center"/>
              <w:rPr>
                <w:sz w:val="14"/>
              </w:rPr>
            </w:pPr>
            <w:r>
              <w:rPr>
                <w:sz w:val="14"/>
                <w:u w:val="single"/>
              </w:rPr>
              <w:t>Q1 </w:t>
            </w:r>
          </w:p>
        </w:tc>
      </w:tr>
      <w:tr>
        <w:trPr>
          <w:trHeight w:val="140" w:hRule="atLeast"/>
        </w:trPr>
        <w:tc>
          <w:tcPr>
            <w:tcW w:w="2336" w:type="dxa"/>
          </w:tcPr>
          <w:p>
            <w:pPr>
              <w:pStyle w:val="TableParagraph"/>
              <w:ind w:left="120"/>
              <w:rPr>
                <w:sz w:val="14"/>
              </w:rPr>
            </w:pPr>
            <w:r>
              <w:rPr>
                <w:sz w:val="14"/>
              </w:rPr>
              <w:t>Households</w:t>
            </w:r>
          </w:p>
        </w:tc>
        <w:tc>
          <w:tcPr>
            <w:tcW w:w="485" w:type="dxa"/>
          </w:tcPr>
          <w:p>
            <w:pPr>
              <w:pStyle w:val="TableParagraph"/>
              <w:ind w:left="138"/>
              <w:rPr>
                <w:sz w:val="14"/>
              </w:rPr>
            </w:pPr>
            <w:r>
              <w:rPr>
                <w:sz w:val="14"/>
              </w:rPr>
              <w:t>1.0</w:t>
            </w:r>
          </w:p>
        </w:tc>
        <w:tc>
          <w:tcPr>
            <w:tcW w:w="489" w:type="dxa"/>
          </w:tcPr>
          <w:p>
            <w:pPr>
              <w:pStyle w:val="TableParagraph"/>
              <w:ind w:left="3"/>
              <w:jc w:val="center"/>
              <w:rPr>
                <w:sz w:val="14"/>
              </w:rPr>
            </w:pPr>
            <w:r>
              <w:rPr>
                <w:sz w:val="14"/>
              </w:rPr>
              <w:t>0.8</w:t>
            </w:r>
          </w:p>
        </w:tc>
        <w:tc>
          <w:tcPr>
            <w:tcW w:w="463" w:type="dxa"/>
          </w:tcPr>
          <w:p>
            <w:pPr>
              <w:pStyle w:val="TableParagraph"/>
              <w:ind w:left="141"/>
              <w:rPr>
                <w:sz w:val="14"/>
              </w:rPr>
            </w:pPr>
            <w:r>
              <w:rPr>
                <w:sz w:val="14"/>
              </w:rPr>
              <w:t>1.5</w:t>
            </w:r>
          </w:p>
        </w:tc>
        <w:tc>
          <w:tcPr>
            <w:tcW w:w="484" w:type="dxa"/>
          </w:tcPr>
          <w:p>
            <w:pPr>
              <w:pStyle w:val="TableParagraph"/>
              <w:ind w:left="92" w:right="84"/>
              <w:jc w:val="center"/>
              <w:rPr>
                <w:sz w:val="14"/>
              </w:rPr>
            </w:pPr>
            <w:r>
              <w:rPr>
                <w:sz w:val="14"/>
              </w:rPr>
              <w:t>0.6</w:t>
            </w:r>
          </w:p>
        </w:tc>
      </w:tr>
      <w:tr>
        <w:trPr>
          <w:trHeight w:val="140" w:hRule="atLeast"/>
        </w:trPr>
        <w:tc>
          <w:tcPr>
            <w:tcW w:w="2336" w:type="dxa"/>
          </w:tcPr>
          <w:p>
            <w:pPr>
              <w:pStyle w:val="TableParagraph"/>
              <w:ind w:left="120"/>
              <w:rPr>
                <w:sz w:val="14"/>
              </w:rPr>
            </w:pPr>
            <w:r>
              <w:rPr>
                <w:sz w:val="14"/>
              </w:rPr>
              <w:t>Government</w:t>
            </w:r>
          </w:p>
        </w:tc>
        <w:tc>
          <w:tcPr>
            <w:tcW w:w="485" w:type="dxa"/>
          </w:tcPr>
          <w:p>
            <w:pPr>
              <w:pStyle w:val="TableParagraph"/>
              <w:ind w:left="138"/>
              <w:rPr>
                <w:sz w:val="14"/>
              </w:rPr>
            </w:pPr>
            <w:r>
              <w:rPr>
                <w:sz w:val="14"/>
              </w:rPr>
              <w:t>0.0</w:t>
            </w:r>
          </w:p>
        </w:tc>
        <w:tc>
          <w:tcPr>
            <w:tcW w:w="489" w:type="dxa"/>
          </w:tcPr>
          <w:p>
            <w:pPr>
              <w:pStyle w:val="TableParagraph"/>
              <w:ind w:left="2"/>
              <w:jc w:val="center"/>
              <w:rPr>
                <w:sz w:val="14"/>
              </w:rPr>
            </w:pPr>
            <w:r>
              <w:rPr>
                <w:sz w:val="14"/>
              </w:rPr>
              <w:t>0.2</w:t>
            </w:r>
          </w:p>
        </w:tc>
        <w:tc>
          <w:tcPr>
            <w:tcW w:w="463" w:type="dxa"/>
          </w:tcPr>
          <w:p>
            <w:pPr>
              <w:pStyle w:val="TableParagraph"/>
              <w:ind w:left="141"/>
              <w:rPr>
                <w:sz w:val="14"/>
              </w:rPr>
            </w:pPr>
            <w:r>
              <w:rPr>
                <w:sz w:val="14"/>
              </w:rPr>
              <w:t>0.3</w:t>
            </w:r>
          </w:p>
        </w:tc>
        <w:tc>
          <w:tcPr>
            <w:tcW w:w="484" w:type="dxa"/>
          </w:tcPr>
          <w:p>
            <w:pPr>
              <w:pStyle w:val="TableParagraph"/>
              <w:ind w:left="78" w:right="114"/>
              <w:jc w:val="center"/>
              <w:rPr>
                <w:sz w:val="14"/>
              </w:rPr>
            </w:pPr>
            <w:r>
              <w:rPr>
                <w:sz w:val="14"/>
              </w:rPr>
              <w:t>-0.6</w:t>
            </w:r>
          </w:p>
        </w:tc>
      </w:tr>
      <w:tr>
        <w:trPr>
          <w:trHeight w:val="140" w:hRule="atLeast"/>
        </w:trPr>
        <w:tc>
          <w:tcPr>
            <w:tcW w:w="2336" w:type="dxa"/>
          </w:tcPr>
          <w:p>
            <w:pPr>
              <w:pStyle w:val="TableParagraph"/>
              <w:ind w:left="50"/>
              <w:rPr>
                <w:sz w:val="14"/>
              </w:rPr>
            </w:pPr>
            <w:r>
              <w:rPr>
                <w:sz w:val="14"/>
              </w:rPr>
              <w:t>Investment</w:t>
            </w:r>
          </w:p>
        </w:tc>
        <w:tc>
          <w:tcPr>
            <w:tcW w:w="485" w:type="dxa"/>
          </w:tcPr>
          <w:p>
            <w:pPr>
              <w:pStyle w:val="TableParagraph"/>
              <w:ind w:left="138"/>
              <w:rPr>
                <w:sz w:val="14"/>
              </w:rPr>
            </w:pPr>
            <w:r>
              <w:rPr>
                <w:sz w:val="14"/>
              </w:rPr>
              <w:t>1.2</w:t>
            </w:r>
          </w:p>
        </w:tc>
        <w:tc>
          <w:tcPr>
            <w:tcW w:w="489" w:type="dxa"/>
          </w:tcPr>
          <w:p>
            <w:pPr>
              <w:pStyle w:val="TableParagraph"/>
              <w:ind w:left="2"/>
              <w:jc w:val="center"/>
              <w:rPr>
                <w:sz w:val="14"/>
              </w:rPr>
            </w:pPr>
            <w:r>
              <w:rPr>
                <w:sz w:val="14"/>
              </w:rPr>
              <w:t>0.6</w:t>
            </w:r>
          </w:p>
        </w:tc>
        <w:tc>
          <w:tcPr>
            <w:tcW w:w="463" w:type="dxa"/>
          </w:tcPr>
          <w:p>
            <w:pPr>
              <w:pStyle w:val="TableParagraph"/>
              <w:ind w:left="141"/>
              <w:rPr>
                <w:sz w:val="14"/>
              </w:rPr>
            </w:pPr>
            <w:r>
              <w:rPr>
                <w:sz w:val="14"/>
              </w:rPr>
              <w:t>1.1</w:t>
            </w:r>
          </w:p>
        </w:tc>
        <w:tc>
          <w:tcPr>
            <w:tcW w:w="484" w:type="dxa"/>
          </w:tcPr>
          <w:p>
            <w:pPr>
              <w:pStyle w:val="TableParagraph"/>
              <w:ind w:left="78" w:right="114"/>
              <w:jc w:val="center"/>
              <w:rPr>
                <w:sz w:val="14"/>
              </w:rPr>
            </w:pPr>
            <w:r>
              <w:rPr>
                <w:sz w:val="14"/>
              </w:rPr>
              <w:t>-1.1</w:t>
            </w:r>
          </w:p>
        </w:tc>
      </w:tr>
      <w:tr>
        <w:trPr>
          <w:trHeight w:val="140" w:hRule="atLeast"/>
        </w:trPr>
        <w:tc>
          <w:tcPr>
            <w:tcW w:w="2336" w:type="dxa"/>
          </w:tcPr>
          <w:p>
            <w:pPr>
              <w:pStyle w:val="TableParagraph"/>
              <w:ind w:left="120"/>
              <w:rPr>
                <w:i/>
                <w:sz w:val="14"/>
              </w:rPr>
            </w:pPr>
            <w:r>
              <w:rPr>
                <w:i/>
                <w:sz w:val="14"/>
              </w:rPr>
              <w:t>of which, business investment</w:t>
            </w:r>
          </w:p>
        </w:tc>
        <w:tc>
          <w:tcPr>
            <w:tcW w:w="485" w:type="dxa"/>
          </w:tcPr>
          <w:p>
            <w:pPr>
              <w:pStyle w:val="TableParagraph"/>
              <w:ind w:left="138"/>
              <w:rPr>
                <w:i/>
                <w:sz w:val="14"/>
              </w:rPr>
            </w:pPr>
            <w:r>
              <w:rPr>
                <w:i/>
                <w:sz w:val="14"/>
              </w:rPr>
              <w:t>1.6</w:t>
            </w:r>
          </w:p>
        </w:tc>
        <w:tc>
          <w:tcPr>
            <w:tcW w:w="489" w:type="dxa"/>
          </w:tcPr>
          <w:p>
            <w:pPr>
              <w:pStyle w:val="TableParagraph"/>
              <w:ind w:left="2"/>
              <w:jc w:val="center"/>
              <w:rPr>
                <w:i/>
                <w:sz w:val="14"/>
              </w:rPr>
            </w:pPr>
            <w:r>
              <w:rPr>
                <w:i/>
                <w:sz w:val="14"/>
              </w:rPr>
              <w:t>0.1</w:t>
            </w:r>
          </w:p>
        </w:tc>
        <w:tc>
          <w:tcPr>
            <w:tcW w:w="463" w:type="dxa"/>
          </w:tcPr>
          <w:p>
            <w:pPr>
              <w:pStyle w:val="TableParagraph"/>
              <w:ind w:left="141"/>
              <w:rPr>
                <w:i/>
                <w:sz w:val="14"/>
              </w:rPr>
            </w:pPr>
            <w:r>
              <w:rPr>
                <w:i/>
                <w:sz w:val="14"/>
              </w:rPr>
              <w:t>1.0</w:t>
            </w:r>
          </w:p>
        </w:tc>
        <w:tc>
          <w:tcPr>
            <w:tcW w:w="484" w:type="dxa"/>
          </w:tcPr>
          <w:p>
            <w:pPr>
              <w:pStyle w:val="TableParagraph"/>
              <w:ind w:left="77" w:right="114"/>
              <w:jc w:val="center"/>
              <w:rPr>
                <w:i/>
                <w:sz w:val="14"/>
              </w:rPr>
            </w:pPr>
            <w:r>
              <w:rPr>
                <w:i/>
                <w:sz w:val="14"/>
              </w:rPr>
              <w:t>-0.7</w:t>
            </w:r>
          </w:p>
        </w:tc>
      </w:tr>
      <w:tr>
        <w:trPr>
          <w:trHeight w:val="139" w:hRule="atLeast"/>
        </w:trPr>
        <w:tc>
          <w:tcPr>
            <w:tcW w:w="2336" w:type="dxa"/>
          </w:tcPr>
          <w:p>
            <w:pPr>
              <w:pStyle w:val="TableParagraph"/>
              <w:ind w:left="50"/>
              <w:rPr>
                <w:b/>
                <w:sz w:val="14"/>
              </w:rPr>
            </w:pPr>
            <w:r>
              <w:rPr>
                <w:b/>
                <w:sz w:val="14"/>
              </w:rPr>
              <w:t>Final domestic demand</w:t>
            </w:r>
          </w:p>
        </w:tc>
        <w:tc>
          <w:tcPr>
            <w:tcW w:w="485" w:type="dxa"/>
          </w:tcPr>
          <w:p>
            <w:pPr>
              <w:pStyle w:val="TableParagraph"/>
              <w:ind w:left="138"/>
              <w:rPr>
                <w:b/>
                <w:sz w:val="14"/>
              </w:rPr>
            </w:pPr>
            <w:r>
              <w:rPr>
                <w:b/>
                <w:sz w:val="14"/>
              </w:rPr>
              <w:t>0.9</w:t>
            </w:r>
          </w:p>
        </w:tc>
        <w:tc>
          <w:tcPr>
            <w:tcW w:w="489" w:type="dxa"/>
          </w:tcPr>
          <w:p>
            <w:pPr>
              <w:pStyle w:val="TableParagraph"/>
              <w:ind w:left="2"/>
              <w:jc w:val="center"/>
              <w:rPr>
                <w:b/>
                <w:sz w:val="14"/>
              </w:rPr>
            </w:pPr>
            <w:r>
              <w:rPr>
                <w:b/>
                <w:sz w:val="14"/>
              </w:rPr>
              <w:t>0.5</w:t>
            </w:r>
          </w:p>
        </w:tc>
        <w:tc>
          <w:tcPr>
            <w:tcW w:w="463" w:type="dxa"/>
          </w:tcPr>
          <w:p>
            <w:pPr>
              <w:pStyle w:val="TableParagraph"/>
              <w:ind w:left="141"/>
              <w:rPr>
                <w:b/>
                <w:sz w:val="14"/>
              </w:rPr>
            </w:pPr>
            <w:r>
              <w:rPr>
                <w:b/>
                <w:sz w:val="14"/>
              </w:rPr>
              <w:t>1.3</w:t>
            </w:r>
          </w:p>
        </w:tc>
        <w:tc>
          <w:tcPr>
            <w:tcW w:w="484" w:type="dxa"/>
          </w:tcPr>
          <w:p>
            <w:pPr>
              <w:pStyle w:val="TableParagraph"/>
              <w:ind w:left="92" w:right="85"/>
              <w:jc w:val="center"/>
              <w:rPr>
                <w:b/>
                <w:sz w:val="14"/>
              </w:rPr>
            </w:pPr>
            <w:r>
              <w:rPr>
                <w:b/>
                <w:sz w:val="14"/>
              </w:rPr>
              <w:t>0.1</w:t>
            </w:r>
          </w:p>
        </w:tc>
      </w:tr>
      <w:tr>
        <w:trPr>
          <w:trHeight w:val="140" w:hRule="atLeast"/>
        </w:trPr>
        <w:tc>
          <w:tcPr>
            <w:tcW w:w="2336" w:type="dxa"/>
          </w:tcPr>
          <w:p>
            <w:pPr>
              <w:pStyle w:val="TableParagraph"/>
              <w:ind w:left="50"/>
              <w:rPr>
                <w:sz w:val="12"/>
              </w:rPr>
            </w:pPr>
            <w:r>
              <w:rPr>
                <w:sz w:val="14"/>
              </w:rPr>
              <w:t>Change in inventories </w:t>
            </w:r>
            <w:r>
              <w:rPr>
                <w:sz w:val="12"/>
              </w:rPr>
              <w:t>(b)</w:t>
            </w:r>
          </w:p>
        </w:tc>
        <w:tc>
          <w:tcPr>
            <w:tcW w:w="485" w:type="dxa"/>
          </w:tcPr>
          <w:p>
            <w:pPr>
              <w:pStyle w:val="TableParagraph"/>
              <w:ind w:left="91"/>
              <w:rPr>
                <w:sz w:val="14"/>
              </w:rPr>
            </w:pPr>
            <w:r>
              <w:rPr>
                <w:sz w:val="14"/>
              </w:rPr>
              <w:t>-0.9</w:t>
            </w:r>
          </w:p>
        </w:tc>
        <w:tc>
          <w:tcPr>
            <w:tcW w:w="489" w:type="dxa"/>
          </w:tcPr>
          <w:p>
            <w:pPr>
              <w:pStyle w:val="TableParagraph"/>
              <w:ind w:left="3"/>
              <w:jc w:val="center"/>
              <w:rPr>
                <w:sz w:val="14"/>
              </w:rPr>
            </w:pPr>
            <w:r>
              <w:rPr>
                <w:sz w:val="14"/>
              </w:rPr>
              <w:t>0.4</w:t>
            </w:r>
          </w:p>
        </w:tc>
        <w:tc>
          <w:tcPr>
            <w:tcW w:w="463" w:type="dxa"/>
          </w:tcPr>
          <w:p>
            <w:pPr>
              <w:pStyle w:val="TableParagraph"/>
              <w:ind w:left="141"/>
              <w:rPr>
                <w:sz w:val="14"/>
              </w:rPr>
            </w:pPr>
            <w:r>
              <w:rPr>
                <w:sz w:val="14"/>
              </w:rPr>
              <w:t>0.5</w:t>
            </w:r>
          </w:p>
        </w:tc>
        <w:tc>
          <w:tcPr>
            <w:tcW w:w="484" w:type="dxa"/>
          </w:tcPr>
          <w:p>
            <w:pPr>
              <w:pStyle w:val="TableParagraph"/>
              <w:ind w:left="92" w:right="84"/>
              <w:jc w:val="center"/>
              <w:rPr>
                <w:sz w:val="14"/>
              </w:rPr>
            </w:pPr>
            <w:r>
              <w:rPr>
                <w:sz w:val="14"/>
              </w:rPr>
              <w:t>0.2</w:t>
            </w:r>
          </w:p>
        </w:tc>
      </w:tr>
      <w:tr>
        <w:trPr>
          <w:trHeight w:val="139" w:hRule="atLeast"/>
        </w:trPr>
        <w:tc>
          <w:tcPr>
            <w:tcW w:w="2336" w:type="dxa"/>
          </w:tcPr>
          <w:p>
            <w:pPr>
              <w:pStyle w:val="TableParagraph"/>
              <w:ind w:left="120"/>
              <w:rPr>
                <w:sz w:val="12"/>
              </w:rPr>
            </w:pPr>
            <w:r>
              <w:rPr>
                <w:i/>
                <w:sz w:val="14"/>
              </w:rPr>
              <w:t>excluding alignment adjustment </w:t>
            </w:r>
            <w:r>
              <w:rPr>
                <w:sz w:val="12"/>
              </w:rPr>
              <w:t>(b)</w:t>
            </w:r>
          </w:p>
        </w:tc>
        <w:tc>
          <w:tcPr>
            <w:tcW w:w="485" w:type="dxa"/>
          </w:tcPr>
          <w:p>
            <w:pPr>
              <w:pStyle w:val="TableParagraph"/>
              <w:ind w:left="91"/>
              <w:rPr>
                <w:i/>
                <w:sz w:val="14"/>
              </w:rPr>
            </w:pPr>
            <w:r>
              <w:rPr>
                <w:i/>
                <w:sz w:val="14"/>
              </w:rPr>
              <w:t>-0.1</w:t>
            </w:r>
          </w:p>
        </w:tc>
        <w:tc>
          <w:tcPr>
            <w:tcW w:w="489" w:type="dxa"/>
          </w:tcPr>
          <w:p>
            <w:pPr>
              <w:pStyle w:val="TableParagraph"/>
              <w:ind w:left="2"/>
              <w:jc w:val="center"/>
              <w:rPr>
                <w:i/>
                <w:sz w:val="14"/>
              </w:rPr>
            </w:pPr>
            <w:r>
              <w:rPr>
                <w:i/>
                <w:sz w:val="14"/>
              </w:rPr>
              <w:t>0.5</w:t>
            </w:r>
          </w:p>
        </w:tc>
        <w:tc>
          <w:tcPr>
            <w:tcW w:w="463" w:type="dxa"/>
          </w:tcPr>
          <w:p>
            <w:pPr>
              <w:pStyle w:val="TableParagraph"/>
              <w:ind w:left="94"/>
              <w:rPr>
                <w:i/>
                <w:sz w:val="14"/>
              </w:rPr>
            </w:pPr>
            <w:r>
              <w:rPr>
                <w:i/>
                <w:sz w:val="14"/>
              </w:rPr>
              <w:t>-0.3</w:t>
            </w:r>
          </w:p>
        </w:tc>
        <w:tc>
          <w:tcPr>
            <w:tcW w:w="484" w:type="dxa"/>
          </w:tcPr>
          <w:p>
            <w:pPr>
              <w:pStyle w:val="TableParagraph"/>
              <w:ind w:left="92" w:right="85"/>
              <w:jc w:val="center"/>
              <w:rPr>
                <w:i/>
                <w:sz w:val="14"/>
              </w:rPr>
            </w:pPr>
            <w:r>
              <w:rPr>
                <w:i/>
                <w:sz w:val="14"/>
              </w:rPr>
              <w:t>0.9</w:t>
            </w:r>
          </w:p>
        </w:tc>
      </w:tr>
      <w:tr>
        <w:trPr>
          <w:trHeight w:val="140" w:hRule="atLeast"/>
        </w:trPr>
        <w:tc>
          <w:tcPr>
            <w:tcW w:w="2336" w:type="dxa"/>
          </w:tcPr>
          <w:p>
            <w:pPr>
              <w:pStyle w:val="TableParagraph"/>
              <w:ind w:left="50"/>
              <w:rPr>
                <w:b/>
                <w:sz w:val="14"/>
              </w:rPr>
            </w:pPr>
            <w:r>
              <w:rPr>
                <w:b/>
                <w:sz w:val="14"/>
              </w:rPr>
              <w:t>Domestic demand</w:t>
            </w:r>
          </w:p>
        </w:tc>
        <w:tc>
          <w:tcPr>
            <w:tcW w:w="485" w:type="dxa"/>
          </w:tcPr>
          <w:p>
            <w:pPr>
              <w:pStyle w:val="TableParagraph"/>
              <w:ind w:left="138"/>
              <w:rPr>
                <w:b/>
                <w:sz w:val="14"/>
              </w:rPr>
            </w:pPr>
            <w:r>
              <w:rPr>
                <w:b/>
                <w:sz w:val="14"/>
              </w:rPr>
              <w:t>0.0</w:t>
            </w:r>
          </w:p>
        </w:tc>
        <w:tc>
          <w:tcPr>
            <w:tcW w:w="489" w:type="dxa"/>
          </w:tcPr>
          <w:p>
            <w:pPr>
              <w:pStyle w:val="TableParagraph"/>
              <w:ind w:left="3"/>
              <w:jc w:val="center"/>
              <w:rPr>
                <w:b/>
                <w:sz w:val="14"/>
              </w:rPr>
            </w:pPr>
            <w:r>
              <w:rPr>
                <w:b/>
                <w:sz w:val="14"/>
              </w:rPr>
              <w:t>0.9</w:t>
            </w:r>
          </w:p>
        </w:tc>
        <w:tc>
          <w:tcPr>
            <w:tcW w:w="463" w:type="dxa"/>
          </w:tcPr>
          <w:p>
            <w:pPr>
              <w:pStyle w:val="TableParagraph"/>
              <w:ind w:left="141"/>
              <w:rPr>
                <w:b/>
                <w:sz w:val="14"/>
              </w:rPr>
            </w:pPr>
            <w:r>
              <w:rPr>
                <w:b/>
                <w:sz w:val="14"/>
              </w:rPr>
              <w:t>1.8</w:t>
            </w:r>
          </w:p>
        </w:tc>
        <w:tc>
          <w:tcPr>
            <w:tcW w:w="484" w:type="dxa"/>
          </w:tcPr>
          <w:p>
            <w:pPr>
              <w:pStyle w:val="TableParagraph"/>
              <w:ind w:left="92" w:right="85"/>
              <w:jc w:val="center"/>
              <w:rPr>
                <w:b/>
                <w:sz w:val="14"/>
              </w:rPr>
            </w:pPr>
            <w:r>
              <w:rPr>
                <w:b/>
                <w:sz w:val="14"/>
              </w:rPr>
              <w:t>0.2</w:t>
            </w:r>
          </w:p>
        </w:tc>
      </w:tr>
      <w:tr>
        <w:trPr>
          <w:trHeight w:val="140" w:hRule="atLeast"/>
        </w:trPr>
        <w:tc>
          <w:tcPr>
            <w:tcW w:w="2336" w:type="dxa"/>
          </w:tcPr>
          <w:p>
            <w:pPr>
              <w:pStyle w:val="TableParagraph"/>
              <w:ind w:left="50"/>
              <w:rPr>
                <w:sz w:val="12"/>
              </w:rPr>
            </w:pPr>
            <w:r>
              <w:rPr>
                <w:sz w:val="14"/>
              </w:rPr>
              <w:t>Net trade </w:t>
            </w:r>
            <w:r>
              <w:rPr>
                <w:sz w:val="12"/>
              </w:rPr>
              <w:t>(b)</w:t>
            </w:r>
          </w:p>
        </w:tc>
        <w:tc>
          <w:tcPr>
            <w:tcW w:w="485" w:type="dxa"/>
          </w:tcPr>
          <w:p>
            <w:pPr>
              <w:pStyle w:val="TableParagraph"/>
              <w:ind w:left="138"/>
              <w:rPr>
                <w:sz w:val="14"/>
              </w:rPr>
            </w:pPr>
            <w:r>
              <w:rPr>
                <w:sz w:val="14"/>
              </w:rPr>
              <w:t>0.8</w:t>
            </w:r>
          </w:p>
        </w:tc>
        <w:tc>
          <w:tcPr>
            <w:tcW w:w="489" w:type="dxa"/>
          </w:tcPr>
          <w:p>
            <w:pPr>
              <w:pStyle w:val="TableParagraph"/>
              <w:ind w:left="2"/>
              <w:jc w:val="center"/>
              <w:rPr>
                <w:sz w:val="14"/>
              </w:rPr>
            </w:pPr>
            <w:r>
              <w:rPr>
                <w:sz w:val="14"/>
              </w:rPr>
              <w:t>0.0</w:t>
            </w:r>
          </w:p>
        </w:tc>
        <w:tc>
          <w:tcPr>
            <w:tcW w:w="463" w:type="dxa"/>
          </w:tcPr>
          <w:p>
            <w:pPr>
              <w:pStyle w:val="TableParagraph"/>
              <w:ind w:left="94"/>
              <w:rPr>
                <w:sz w:val="14"/>
              </w:rPr>
            </w:pPr>
            <w:r>
              <w:rPr>
                <w:sz w:val="14"/>
              </w:rPr>
              <w:t>-1.2</w:t>
            </w:r>
          </w:p>
        </w:tc>
        <w:tc>
          <w:tcPr>
            <w:tcW w:w="484" w:type="dxa"/>
          </w:tcPr>
          <w:p>
            <w:pPr>
              <w:pStyle w:val="TableParagraph"/>
              <w:ind w:left="92" w:right="84"/>
              <w:jc w:val="center"/>
              <w:rPr>
                <w:sz w:val="14"/>
              </w:rPr>
            </w:pPr>
            <w:r>
              <w:rPr>
                <w:sz w:val="14"/>
              </w:rPr>
              <w:t>0.2</w:t>
            </w:r>
          </w:p>
        </w:tc>
      </w:tr>
      <w:tr>
        <w:trPr>
          <w:trHeight w:val="208" w:hRule="atLeast"/>
        </w:trPr>
        <w:tc>
          <w:tcPr>
            <w:tcW w:w="2336" w:type="dxa"/>
          </w:tcPr>
          <w:p>
            <w:pPr>
              <w:pStyle w:val="TableParagraph"/>
              <w:spacing w:line="148" w:lineRule="exact"/>
              <w:ind w:left="50"/>
              <w:rPr>
                <w:b/>
                <w:sz w:val="14"/>
              </w:rPr>
            </w:pPr>
            <w:r>
              <w:rPr>
                <w:b/>
                <w:sz w:val="14"/>
              </w:rPr>
              <w:t>GDP at market prices</w:t>
            </w:r>
          </w:p>
        </w:tc>
        <w:tc>
          <w:tcPr>
            <w:tcW w:w="485" w:type="dxa"/>
          </w:tcPr>
          <w:p>
            <w:pPr>
              <w:pStyle w:val="TableParagraph"/>
              <w:spacing w:line="148" w:lineRule="exact"/>
              <w:ind w:left="138"/>
              <w:rPr>
                <w:b/>
                <w:sz w:val="14"/>
              </w:rPr>
            </w:pPr>
            <w:r>
              <w:rPr>
                <w:b/>
                <w:sz w:val="14"/>
              </w:rPr>
              <w:t>0.8</w:t>
            </w:r>
          </w:p>
        </w:tc>
        <w:tc>
          <w:tcPr>
            <w:tcW w:w="489" w:type="dxa"/>
          </w:tcPr>
          <w:p>
            <w:pPr>
              <w:pStyle w:val="TableParagraph"/>
              <w:spacing w:line="148" w:lineRule="exact"/>
              <w:ind w:left="2"/>
              <w:jc w:val="center"/>
              <w:rPr>
                <w:b/>
                <w:sz w:val="14"/>
              </w:rPr>
            </w:pPr>
            <w:r>
              <w:rPr>
                <w:b/>
                <w:sz w:val="14"/>
              </w:rPr>
              <w:t>1.0</w:t>
            </w:r>
          </w:p>
        </w:tc>
        <w:tc>
          <w:tcPr>
            <w:tcW w:w="463" w:type="dxa"/>
          </w:tcPr>
          <w:p>
            <w:pPr>
              <w:pStyle w:val="TableParagraph"/>
              <w:spacing w:line="148" w:lineRule="exact"/>
              <w:ind w:left="141"/>
              <w:rPr>
                <w:b/>
                <w:sz w:val="14"/>
              </w:rPr>
            </w:pPr>
            <w:r>
              <w:rPr>
                <w:b/>
                <w:sz w:val="14"/>
              </w:rPr>
              <w:t>0.7</w:t>
            </w:r>
          </w:p>
        </w:tc>
        <w:tc>
          <w:tcPr>
            <w:tcW w:w="484" w:type="dxa"/>
          </w:tcPr>
          <w:p>
            <w:pPr>
              <w:pStyle w:val="TableParagraph"/>
              <w:spacing w:line="148" w:lineRule="exact"/>
              <w:ind w:left="92" w:right="85"/>
              <w:jc w:val="center"/>
              <w:rPr>
                <w:b/>
                <w:sz w:val="14"/>
              </w:rPr>
            </w:pPr>
            <w:r>
              <w:rPr>
                <w:b/>
                <w:sz w:val="14"/>
              </w:rPr>
              <w:t>0.5</w:t>
            </w:r>
          </w:p>
        </w:tc>
      </w:tr>
      <w:tr>
        <w:trPr>
          <w:trHeight w:val="314" w:hRule="atLeast"/>
        </w:trPr>
        <w:tc>
          <w:tcPr>
            <w:tcW w:w="2336" w:type="dxa"/>
          </w:tcPr>
          <w:p>
            <w:pPr>
              <w:pStyle w:val="TableParagraph"/>
              <w:numPr>
                <w:ilvl w:val="0"/>
                <w:numId w:val="14"/>
              </w:numPr>
              <w:tabs>
                <w:tab w:pos="291" w:val="left" w:leader="none"/>
              </w:tabs>
              <w:spacing w:line="129" w:lineRule="exact" w:before="56" w:after="0"/>
              <w:ind w:left="290" w:right="0" w:hanging="241"/>
              <w:jc w:val="left"/>
              <w:rPr>
                <w:sz w:val="12"/>
              </w:rPr>
            </w:pPr>
            <w:r>
              <w:rPr>
                <w:sz w:val="12"/>
              </w:rPr>
              <w:t>At constant 1995 market</w:t>
            </w:r>
            <w:r>
              <w:rPr>
                <w:spacing w:val="-9"/>
                <w:sz w:val="12"/>
              </w:rPr>
              <w:t> </w:t>
            </w:r>
            <w:r>
              <w:rPr>
                <w:sz w:val="12"/>
              </w:rPr>
              <w:t>prices.</w:t>
            </w:r>
          </w:p>
          <w:p>
            <w:pPr>
              <w:pStyle w:val="TableParagraph"/>
              <w:numPr>
                <w:ilvl w:val="0"/>
                <w:numId w:val="14"/>
              </w:numPr>
              <w:tabs>
                <w:tab w:pos="291" w:val="left" w:leader="none"/>
              </w:tabs>
              <w:spacing w:line="109" w:lineRule="exact" w:before="0" w:after="0"/>
              <w:ind w:left="290" w:right="0" w:hanging="241"/>
              <w:jc w:val="left"/>
              <w:rPr>
                <w:sz w:val="12"/>
              </w:rPr>
            </w:pPr>
            <w:r>
              <w:rPr>
                <w:sz w:val="12"/>
              </w:rPr>
              <w:t>Contribution</w:t>
            </w:r>
            <w:r>
              <w:rPr>
                <w:spacing w:val="-5"/>
                <w:sz w:val="12"/>
              </w:rPr>
              <w:t> </w:t>
            </w:r>
            <w:r>
              <w:rPr>
                <w:sz w:val="12"/>
              </w:rPr>
              <w:t>to</w:t>
            </w:r>
            <w:r>
              <w:rPr>
                <w:spacing w:val="-5"/>
                <w:sz w:val="12"/>
              </w:rPr>
              <w:t> </w:t>
            </w:r>
            <w:r>
              <w:rPr>
                <w:sz w:val="12"/>
              </w:rPr>
              <w:t>quarterly</w:t>
            </w:r>
            <w:r>
              <w:rPr>
                <w:spacing w:val="-4"/>
                <w:sz w:val="12"/>
              </w:rPr>
              <w:t> </w:t>
            </w:r>
            <w:r>
              <w:rPr>
                <w:sz w:val="12"/>
              </w:rPr>
              <w:t>growth</w:t>
            </w:r>
            <w:r>
              <w:rPr>
                <w:spacing w:val="-5"/>
                <w:sz w:val="12"/>
              </w:rPr>
              <w:t> </w:t>
            </w:r>
            <w:r>
              <w:rPr>
                <w:sz w:val="12"/>
              </w:rPr>
              <w:t>of</w:t>
            </w:r>
            <w:r>
              <w:rPr>
                <w:spacing w:val="-4"/>
                <w:sz w:val="12"/>
              </w:rPr>
              <w:t> GDP.</w:t>
            </w:r>
          </w:p>
        </w:tc>
        <w:tc>
          <w:tcPr>
            <w:tcW w:w="485" w:type="dxa"/>
          </w:tcPr>
          <w:p>
            <w:pPr>
              <w:pStyle w:val="TableParagraph"/>
              <w:spacing w:line="240" w:lineRule="auto"/>
              <w:rPr>
                <w:sz w:val="18"/>
              </w:rPr>
            </w:pPr>
          </w:p>
        </w:tc>
        <w:tc>
          <w:tcPr>
            <w:tcW w:w="489" w:type="dxa"/>
          </w:tcPr>
          <w:p>
            <w:pPr>
              <w:pStyle w:val="TableParagraph"/>
              <w:spacing w:line="240" w:lineRule="auto"/>
              <w:rPr>
                <w:sz w:val="18"/>
              </w:rPr>
            </w:pPr>
          </w:p>
        </w:tc>
        <w:tc>
          <w:tcPr>
            <w:tcW w:w="463" w:type="dxa"/>
          </w:tcPr>
          <w:p>
            <w:pPr>
              <w:pStyle w:val="TableParagraph"/>
              <w:spacing w:line="240" w:lineRule="auto"/>
              <w:rPr>
                <w:sz w:val="18"/>
              </w:rPr>
            </w:pPr>
          </w:p>
        </w:tc>
        <w:tc>
          <w:tcPr>
            <w:tcW w:w="484" w:type="dxa"/>
          </w:tcPr>
          <w:p>
            <w:pPr>
              <w:pStyle w:val="TableParagraph"/>
              <w:spacing w:line="240" w:lineRule="auto"/>
              <w:rPr>
                <w:sz w:val="18"/>
              </w:rPr>
            </w:pPr>
          </w:p>
        </w:tc>
      </w:tr>
    </w:tbl>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0"/>
        <w:rPr>
          <w:sz w:val="21"/>
        </w:rPr>
      </w:pPr>
    </w:p>
    <w:p>
      <w:pPr>
        <w:pStyle w:val="Heading6"/>
        <w:spacing w:before="0"/>
        <w:ind w:left="205"/>
      </w:pPr>
      <w:r>
        <w:rPr>
          <w:color w:val="0092C7"/>
        </w:rPr>
        <w:t>Chart 2.4</w:t>
      </w:r>
    </w:p>
    <w:p>
      <w:pPr>
        <w:pStyle w:val="Heading6"/>
        <w:spacing w:line="249" w:lineRule="auto"/>
        <w:ind w:left="205" w:right="325"/>
        <w:rPr>
          <w:b w:val="0"/>
          <w:sz w:val="12"/>
        </w:rPr>
      </w:pPr>
      <w:r>
        <w:rPr>
          <w:color w:val="0092C7"/>
        </w:rPr>
        <w:t>Household consumption expenditure growth</w:t>
      </w:r>
      <w:r>
        <w:rPr>
          <w:b w:val="0"/>
          <w:position w:val="4"/>
          <w:sz w:val="12"/>
        </w:rPr>
        <w:t>(a)</w:t>
      </w:r>
    </w:p>
    <w:p>
      <w:pPr>
        <w:spacing w:line="242" w:lineRule="auto" w:before="222"/>
        <w:ind w:left="183" w:right="208" w:firstLine="0"/>
        <w:jc w:val="left"/>
        <w:rPr>
          <w:sz w:val="24"/>
        </w:rPr>
      </w:pPr>
      <w:r>
        <w:rPr/>
        <w:br w:type="column"/>
      </w:r>
      <w:r>
        <w:rPr>
          <w:sz w:val="24"/>
        </w:rPr>
        <w:t>Lower import growth, combined with stronger export growth,</w:t>
      </w:r>
      <w:r>
        <w:rPr>
          <w:spacing w:val="-7"/>
          <w:sz w:val="24"/>
        </w:rPr>
        <w:t> </w:t>
      </w:r>
      <w:r>
        <w:rPr>
          <w:sz w:val="24"/>
        </w:rPr>
        <w:t>resulted</w:t>
      </w:r>
      <w:r>
        <w:rPr>
          <w:spacing w:val="-8"/>
          <w:sz w:val="24"/>
        </w:rPr>
        <w:t> </w:t>
      </w:r>
      <w:r>
        <w:rPr>
          <w:sz w:val="24"/>
        </w:rPr>
        <w:t>in</w:t>
      </w:r>
      <w:r>
        <w:rPr>
          <w:spacing w:val="-8"/>
          <w:sz w:val="24"/>
        </w:rPr>
        <w:t> </w:t>
      </w:r>
      <w:r>
        <w:rPr>
          <w:sz w:val="24"/>
        </w:rPr>
        <w:t>a</w:t>
      </w:r>
      <w:r>
        <w:rPr>
          <w:spacing w:val="-7"/>
          <w:sz w:val="24"/>
        </w:rPr>
        <w:t> </w:t>
      </w:r>
      <w:r>
        <w:rPr>
          <w:sz w:val="24"/>
        </w:rPr>
        <w:t>positive</w:t>
      </w:r>
      <w:r>
        <w:rPr>
          <w:spacing w:val="-8"/>
          <w:sz w:val="24"/>
        </w:rPr>
        <w:t> </w:t>
      </w:r>
      <w:r>
        <w:rPr>
          <w:sz w:val="24"/>
        </w:rPr>
        <w:t>contribution</w:t>
      </w:r>
      <w:r>
        <w:rPr>
          <w:spacing w:val="-8"/>
          <w:sz w:val="24"/>
        </w:rPr>
        <w:t> </w:t>
      </w:r>
      <w:r>
        <w:rPr>
          <w:sz w:val="24"/>
        </w:rPr>
        <w:t>from</w:t>
      </w:r>
      <w:r>
        <w:rPr>
          <w:spacing w:val="-7"/>
          <w:sz w:val="24"/>
        </w:rPr>
        <w:t> </w:t>
      </w:r>
      <w:r>
        <w:rPr>
          <w:sz w:val="24"/>
        </w:rPr>
        <w:t>net</w:t>
      </w:r>
      <w:r>
        <w:rPr>
          <w:spacing w:val="-8"/>
          <w:sz w:val="24"/>
        </w:rPr>
        <w:t> </w:t>
      </w:r>
      <w:r>
        <w:rPr>
          <w:sz w:val="24"/>
        </w:rPr>
        <w:t>trade to GDP growth in 2000 Q1 of 0.2 percentage points, in contrast to a large </w:t>
      </w:r>
      <w:r>
        <w:rPr>
          <w:spacing w:val="-3"/>
          <w:sz w:val="24"/>
        </w:rPr>
        <w:t>negative </w:t>
      </w:r>
      <w:r>
        <w:rPr>
          <w:sz w:val="24"/>
        </w:rPr>
        <w:t>impact in the previous quarter (see Chart 2.3). But the continuing large trade deficit on goods and services—£4 billion in 2000 Q1 (about 1</w:t>
      </w:r>
      <w:r>
        <w:rPr>
          <w:position w:val="8"/>
          <w:sz w:val="12"/>
        </w:rPr>
        <w:t>3</w:t>
      </w:r>
      <w:r>
        <w:rPr>
          <w:sz w:val="24"/>
        </w:rPr>
        <w:t>/</w:t>
      </w:r>
      <w:r>
        <w:rPr>
          <w:sz w:val="12"/>
        </w:rPr>
        <w:t>4</w:t>
      </w:r>
      <w:r>
        <w:rPr>
          <w:sz w:val="24"/>
        </w:rPr>
        <w:t>% of GDP)—indicates that the underlying external position remains weak. Consistent with that, more timely data suggest that import volumes </w:t>
      </w:r>
      <w:r>
        <w:rPr>
          <w:spacing w:val="-3"/>
          <w:sz w:val="24"/>
        </w:rPr>
        <w:t>have </w:t>
      </w:r>
      <w:r>
        <w:rPr>
          <w:sz w:val="24"/>
        </w:rPr>
        <w:t>picked up in recent months, pointing to a weaker net trade contribution to growth in</w:t>
      </w:r>
      <w:r>
        <w:rPr>
          <w:spacing w:val="-10"/>
          <w:sz w:val="24"/>
        </w:rPr>
        <w:t> </w:t>
      </w:r>
      <w:r>
        <w:rPr>
          <w:sz w:val="24"/>
        </w:rPr>
        <w:t>Q2.</w:t>
      </w:r>
    </w:p>
    <w:p>
      <w:pPr>
        <w:pStyle w:val="BodyText"/>
        <w:spacing w:before="6"/>
        <w:rPr>
          <w:sz w:val="25"/>
        </w:rPr>
      </w:pPr>
    </w:p>
    <w:p>
      <w:pPr>
        <w:spacing w:line="242" w:lineRule="auto" w:before="1"/>
        <w:ind w:left="183" w:right="208" w:firstLine="0"/>
        <w:jc w:val="left"/>
        <w:rPr>
          <w:sz w:val="24"/>
        </w:rPr>
      </w:pPr>
      <w:r>
        <w:rPr>
          <w:sz w:val="24"/>
        </w:rPr>
        <w:t>Looking ahead, the slightly stronger world outlook and the recent depreciation of sterling suggest an improved outlook for UK external demand compared with prospects at the time of the May </w:t>
      </w:r>
      <w:r>
        <w:rPr>
          <w:i/>
          <w:sz w:val="24"/>
        </w:rPr>
        <w:t>Report</w:t>
      </w:r>
      <w:r>
        <w:rPr>
          <w:sz w:val="24"/>
        </w:rPr>
        <w:t>. Surveys in Q2 provided little evidence of any improvement in export demand in the manufacturing sector, with responses pointing to falling export orders (see Table 2.B).</w:t>
      </w:r>
    </w:p>
    <w:p>
      <w:pPr>
        <w:spacing w:line="242" w:lineRule="auto" w:before="8"/>
        <w:ind w:left="183" w:right="208" w:firstLine="0"/>
        <w:jc w:val="left"/>
        <w:rPr>
          <w:sz w:val="24"/>
        </w:rPr>
      </w:pPr>
      <w:r>
        <w:rPr>
          <w:sz w:val="24"/>
        </w:rPr>
        <w:t>However, the July CIPS index reported a modest rise in foreign demand for UK exports, and contacts of the Bank’s regional Agents have recently noted some</w:t>
      </w:r>
    </w:p>
    <w:p>
      <w:pPr>
        <w:spacing w:line="242" w:lineRule="auto" w:before="4"/>
        <w:ind w:left="183" w:right="316" w:firstLine="0"/>
        <w:jc w:val="left"/>
        <w:rPr>
          <w:sz w:val="24"/>
        </w:rPr>
      </w:pPr>
      <w:r>
        <w:rPr>
          <w:sz w:val="24"/>
        </w:rPr>
        <w:t>pick-up in external demand, particularly from Europe. But consistent with the continuing high level of sterling, the MPC expects net trade to make further negative contributions to GDP growth over the next two years.</w:t>
      </w:r>
    </w:p>
    <w:p>
      <w:pPr>
        <w:pStyle w:val="BodyText"/>
        <w:spacing w:before="2"/>
        <w:rPr>
          <w:sz w:val="25"/>
        </w:rPr>
      </w:pPr>
    </w:p>
    <w:p>
      <w:pPr>
        <w:pStyle w:val="ListParagraph"/>
        <w:numPr>
          <w:ilvl w:val="1"/>
          <w:numId w:val="15"/>
        </w:numPr>
        <w:tabs>
          <w:tab w:pos="3325" w:val="left" w:leader="none"/>
          <w:tab w:pos="3326" w:val="left" w:leader="none"/>
        </w:tabs>
        <w:spacing w:line="240" w:lineRule="auto" w:before="0" w:after="0"/>
        <w:ind w:left="3325" w:right="0" w:hanging="3143"/>
        <w:jc w:val="left"/>
        <w:rPr>
          <w:b/>
          <w:sz w:val="28"/>
        </w:rPr>
      </w:pPr>
      <w:r>
        <w:rPr>
          <w:b/>
          <w:color w:val="009391"/>
          <w:sz w:val="28"/>
          <w:u w:val="thick" w:color="0092C7"/>
        </w:rPr>
        <w:t>Domestic</w:t>
      </w:r>
      <w:r>
        <w:rPr>
          <w:b/>
          <w:color w:val="009391"/>
          <w:spacing w:val="-3"/>
          <w:sz w:val="28"/>
          <w:u w:val="thick" w:color="0092C7"/>
        </w:rPr>
        <w:t> </w:t>
      </w:r>
      <w:r>
        <w:rPr>
          <w:b/>
          <w:color w:val="009391"/>
          <w:sz w:val="28"/>
          <w:u w:val="thick" w:color="0092C7"/>
        </w:rPr>
        <w:t>demand</w:t>
      </w:r>
      <w:r>
        <w:rPr>
          <w:b/>
          <w:color w:val="009391"/>
          <w:spacing w:val="-31"/>
          <w:sz w:val="28"/>
          <w:u w:val="thick" w:color="0092C7"/>
        </w:rPr>
        <w:t> </w:t>
      </w:r>
    </w:p>
    <w:p>
      <w:pPr>
        <w:pStyle w:val="BodyText"/>
        <w:spacing w:before="10"/>
        <w:rPr>
          <w:b/>
          <w:sz w:val="23"/>
        </w:rPr>
      </w:pPr>
    </w:p>
    <w:p>
      <w:pPr>
        <w:spacing w:line="242" w:lineRule="auto" w:before="1"/>
        <w:ind w:left="183" w:right="208" w:firstLine="0"/>
        <w:jc w:val="left"/>
        <w:rPr>
          <w:sz w:val="24"/>
        </w:rPr>
      </w:pPr>
      <w:r>
        <w:rPr>
          <w:sz w:val="24"/>
        </w:rPr>
        <w:t>Domestic demand has been volatile in recent quarters, perhaps reflecting unusual factors relating to the millennium. Following rapid growth of 1.8% in</w:t>
      </w:r>
    </w:p>
    <w:p>
      <w:pPr>
        <w:spacing w:line="242" w:lineRule="auto" w:before="3"/>
        <w:ind w:left="183" w:right="208" w:firstLine="0"/>
        <w:jc w:val="left"/>
        <w:rPr>
          <w:sz w:val="24"/>
        </w:rPr>
      </w:pPr>
      <w:r>
        <w:rPr>
          <w:sz w:val="24"/>
        </w:rPr>
        <w:t>1999 Q4, real domestic demand grew by just 0.2% in 2000 Q1 (see Table 2.C). Final domestic demand—</w:t>
      </w:r>
    </w:p>
    <w:p>
      <w:pPr>
        <w:spacing w:after="0" w:line="242" w:lineRule="auto"/>
        <w:jc w:val="left"/>
        <w:rPr>
          <w:sz w:val="24"/>
        </w:rPr>
        <w:sectPr>
          <w:type w:val="continuous"/>
          <w:pgSz w:w="11900" w:h="16840"/>
          <w:pgMar w:top="1260" w:bottom="280" w:left="640" w:right="640"/>
          <w:cols w:num="2" w:equalWidth="0">
            <w:col w:w="4389" w:space="412"/>
            <w:col w:w="5819"/>
          </w:cols>
        </w:sectPr>
      </w:pPr>
    </w:p>
    <w:p>
      <w:pPr>
        <w:spacing w:before="46"/>
        <w:ind w:left="463" w:right="0" w:firstLine="0"/>
        <w:jc w:val="left"/>
        <w:rPr>
          <w:sz w:val="12"/>
        </w:rPr>
      </w:pPr>
      <w:r>
        <w:rPr/>
        <w:drawing>
          <wp:anchor distT="0" distB="0" distL="0" distR="0" allowOverlap="1" layoutInCell="1" locked="0" behindDoc="1" simplePos="0" relativeHeight="479934464">
            <wp:simplePos x="0" y="0"/>
            <wp:positionH relativeFrom="page">
              <wp:posOffset>530733</wp:posOffset>
            </wp:positionH>
            <wp:positionV relativeFrom="paragraph">
              <wp:posOffset>16453</wp:posOffset>
            </wp:positionV>
            <wp:extent cx="127000" cy="251053"/>
            <wp:effectExtent l="0" t="0" r="0" b="0"/>
            <wp:wrapNone/>
            <wp:docPr id="111" name="image29.png"/>
            <wp:cNvGraphicFramePr>
              <a:graphicFrameLocks noChangeAspect="1"/>
            </wp:cNvGraphicFramePr>
            <a:graphic>
              <a:graphicData uri="http://schemas.openxmlformats.org/drawingml/2006/picture">
                <pic:pic>
                  <pic:nvPicPr>
                    <pic:cNvPr id="112" name="image29.png"/>
                    <pic:cNvPicPr/>
                  </pic:nvPicPr>
                  <pic:blipFill>
                    <a:blip r:embed="rId67" cstate="print"/>
                    <a:stretch>
                      <a:fillRect/>
                    </a:stretch>
                  </pic:blipFill>
                  <pic:spPr>
                    <a:xfrm>
                      <a:off x="0" y="0"/>
                      <a:ext cx="127000" cy="251053"/>
                    </a:xfrm>
                    <a:prstGeom prst="rect">
                      <a:avLst/>
                    </a:prstGeom>
                  </pic:spPr>
                </pic:pic>
              </a:graphicData>
            </a:graphic>
          </wp:anchor>
        </w:drawing>
      </w:r>
      <w:r>
        <w:rPr>
          <w:sz w:val="12"/>
        </w:rPr>
        <w:t>Non-durable goods</w:t>
      </w:r>
    </w:p>
    <w:p>
      <w:pPr>
        <w:tabs>
          <w:tab w:pos="444" w:val="left" w:leader="none"/>
        </w:tabs>
        <w:spacing w:line="314" w:lineRule="auto" w:before="63"/>
        <w:ind w:left="463" w:right="38" w:hanging="278"/>
        <w:jc w:val="left"/>
        <w:rPr>
          <w:sz w:val="12"/>
        </w:rPr>
      </w:pPr>
      <w:r>
        <w:rPr>
          <w:sz w:val="12"/>
          <w:u w:val="thick" w:color="DE0035"/>
        </w:rPr>
        <w:t> </w:t>
        <w:tab/>
      </w:r>
      <w:r>
        <w:rPr>
          <w:spacing w:val="-12"/>
          <w:sz w:val="12"/>
        </w:rPr>
        <w:t> </w:t>
      </w:r>
      <w:r>
        <w:rPr>
          <w:sz w:val="12"/>
        </w:rPr>
        <w:t>Non-vehicle </w:t>
      </w:r>
      <w:r>
        <w:rPr>
          <w:spacing w:val="-3"/>
          <w:sz w:val="12"/>
        </w:rPr>
        <w:t>durables </w:t>
      </w:r>
      <w:r>
        <w:rPr>
          <w:sz w:val="12"/>
        </w:rPr>
        <w:t>Total consumption</w:t>
      </w:r>
    </w:p>
    <w:p>
      <w:pPr>
        <w:pStyle w:val="BodyText"/>
        <w:spacing w:before="5"/>
        <w:rPr>
          <w:sz w:val="11"/>
        </w:rPr>
      </w:pPr>
    </w:p>
    <w:p>
      <w:pPr>
        <w:pStyle w:val="BodyText"/>
        <w:spacing w:line="20" w:lineRule="exact"/>
        <w:ind w:left="190"/>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spacing w:line="348" w:lineRule="auto" w:before="46"/>
        <w:ind w:left="185" w:right="1439" w:firstLine="0"/>
        <w:jc w:val="left"/>
        <w:rPr>
          <w:sz w:val="12"/>
        </w:rPr>
      </w:pPr>
      <w:r>
        <w:rPr/>
        <w:br w:type="column"/>
      </w:r>
      <w:r>
        <w:rPr>
          <w:sz w:val="12"/>
        </w:rPr>
        <w:t>Services Vehicles</w:t>
      </w:r>
    </w:p>
    <w:p>
      <w:pPr>
        <w:pStyle w:val="BodyText"/>
        <w:spacing w:before="8"/>
        <w:rPr>
          <w:sz w:val="10"/>
        </w:rPr>
      </w:pPr>
    </w:p>
    <w:p>
      <w:pPr>
        <w:spacing w:line="118" w:lineRule="exact" w:before="0"/>
        <w:ind w:left="221" w:right="0" w:firstLine="0"/>
        <w:jc w:val="left"/>
        <w:rPr>
          <w:sz w:val="12"/>
        </w:rPr>
      </w:pPr>
      <w:r>
        <w:rPr/>
        <w:pict>
          <v:group style="position:absolute;margin-left:111.292pt;margin-top:-27.160576pt;width:10pt;height:19.8pt;mso-position-horizontal-relative:page;mso-position-vertical-relative:paragraph;z-index:15915520" coordorigin="2226,-543" coordsize="200,396">
            <v:rect style="position:absolute;left:2230;top:-539;width:190;height:190" filled="true" fillcolor="#f6bd61" stroked="false">
              <v:fill type="solid"/>
            </v:rect>
            <v:rect style="position:absolute;left:2230;top:-539;width:190;height:190" filled="false" stroked="true" strokeweight=".5pt" strokecolor="#000000">
              <v:stroke dashstyle="solid"/>
            </v:rect>
            <v:rect style="position:absolute;left:2230;top:-343;width:190;height:190" filled="true" fillcolor="#610e7a" stroked="false">
              <v:fill type="solid"/>
            </v:rect>
            <v:rect style="position:absolute;left:2230;top:-343;width:190;height:190" filled="false" stroked="true" strokeweight=".5pt" strokecolor="#000000">
              <v:stroke dashstyle="solid"/>
            </v:rect>
            <w10:wrap type="none"/>
          </v:group>
        </w:pict>
      </w:r>
      <w:r>
        <w:rPr>
          <w:sz w:val="12"/>
        </w:rPr>
        <w:t>Contributions to quarterly growth</w:t>
      </w:r>
    </w:p>
    <w:p>
      <w:pPr>
        <w:spacing w:line="118" w:lineRule="exact" w:before="0"/>
        <w:ind w:left="1873" w:right="0" w:firstLine="0"/>
        <w:jc w:val="left"/>
        <w:rPr>
          <w:sz w:val="12"/>
        </w:rPr>
      </w:pPr>
      <w:r>
        <w:rPr/>
        <w:pict>
          <v:group style="position:absolute;margin-left:49.654999pt;margin-top:20.967789pt;width:148.9pt;height:114.9pt;mso-position-horizontal-relative:page;mso-position-vertical-relative:paragraph;z-index:15915008" coordorigin="993,419" coordsize="2978,2298">
            <v:rect style="position:absolute;left:1083;top:1776;width:78;height:603" filled="true" fillcolor="#f6bd61" stroked="false">
              <v:fill type="solid"/>
            </v:rect>
            <v:rect style="position:absolute;left:1083;top:1776;width:78;height:603" filled="false" stroked="true" strokeweight=".5pt" strokecolor="#000000">
              <v:stroke dashstyle="solid"/>
            </v:rect>
            <v:rect style="position:absolute;left:1083;top:1474;width:78;height:305" filled="true" fillcolor="#c0a2c7" stroked="false">
              <v:fill type="solid"/>
            </v:rect>
            <v:rect style="position:absolute;left:1083;top:1474;width:78;height:305" filled="false" stroked="true" strokeweight=".5pt" strokecolor="#000000">
              <v:stroke dashstyle="solid"/>
            </v:rect>
            <v:rect style="position:absolute;left:1083;top:1206;width:78;height:270" filled="true" fillcolor="#acbc4a" stroked="false">
              <v:fill type="solid"/>
            </v:rect>
            <v:rect style="position:absolute;left:1083;top:1206;width:78;height:270" filled="false" stroked="true" strokeweight=".5pt" strokecolor="#000000">
              <v:stroke dashstyle="solid"/>
            </v:rect>
            <v:rect style="position:absolute;left:1083;top:2376;width:78;height:288" filled="true" fillcolor="#610e7a" stroked="false">
              <v:fill type="solid"/>
            </v:rect>
            <v:rect style="position:absolute;left:1083;top:2376;width:78;height:288" filled="false" stroked="true" strokeweight=".5pt" strokecolor="#000000">
              <v:stroke dashstyle="solid"/>
            </v:rect>
            <v:rect style="position:absolute;left:1315;top:1586;width:78;height:793" filled="true" fillcolor="#f6bd61" stroked="false">
              <v:fill type="solid"/>
            </v:rect>
            <v:rect style="position:absolute;left:1315;top:1586;width:78;height:793" filled="false" stroked="true" strokeweight=".5pt" strokecolor="#000000">
              <v:stroke dashstyle="solid"/>
            </v:rect>
            <v:rect style="position:absolute;left:1315;top:1316;width:78;height:273" filled="true" fillcolor="#c0a2c7" stroked="false">
              <v:fill type="solid"/>
            </v:rect>
            <v:rect style="position:absolute;left:1315;top:1316;width:78;height:273" filled="false" stroked="true" strokeweight=".5pt" strokecolor="#000000">
              <v:stroke dashstyle="solid"/>
            </v:rect>
            <v:rect style="position:absolute;left:1315;top:1159;width:78;height:160" filled="true" fillcolor="#acbc4a" stroked="false">
              <v:fill type="solid"/>
            </v:rect>
            <v:rect style="position:absolute;left:1315;top:1159;width:78;height:160" filled="false" stroked="true" strokeweight=".5pt" strokecolor="#000000">
              <v:stroke dashstyle="solid"/>
            </v:rect>
            <v:rect style="position:absolute;left:1315;top:556;width:78;height:605" filled="true" fillcolor="#610e7a" stroked="false">
              <v:fill type="solid"/>
            </v:rect>
            <v:rect style="position:absolute;left:1315;top:556;width:78;height:605" filled="false" stroked="true" strokeweight=".5pt" strokecolor="#000000">
              <v:stroke dashstyle="solid"/>
            </v:rect>
            <v:line style="position:absolute" from="1126,1507" to="1358,557" stroked="true" strokeweight="1pt" strokecolor="#df2f36">
              <v:stroke dashstyle="solid"/>
            </v:line>
            <v:rect style="position:absolute;left:1550;top:1839;width:75;height:540" filled="true" fillcolor="#f6bd61" stroked="false">
              <v:fill type="solid"/>
            </v:rect>
            <v:rect style="position:absolute;left:1550;top:1839;width:75;height:540" filled="false" stroked="true" strokeweight=".5pt" strokecolor="#000000">
              <v:stroke dashstyle="solid"/>
            </v:rect>
            <v:rect style="position:absolute;left:1550;top:1696;width:75;height:145" filled="true" fillcolor="#c0a2c7" stroked="false">
              <v:fill type="solid"/>
            </v:rect>
            <v:rect style="position:absolute;left:1550;top:1696;width:75;height:145" filled="false" stroked="true" strokeweight=".5pt" strokecolor="#000000">
              <v:stroke dashstyle="solid"/>
            </v:rect>
            <v:rect style="position:absolute;left:1550;top:2376;width:75;height:115" filled="true" fillcolor="#acbc4a" stroked="false">
              <v:fill type="solid"/>
            </v:rect>
            <v:rect style="position:absolute;left:1550;top:2376;width:75;height:115" filled="false" stroked="true" strokeweight=".5pt" strokecolor="#000000">
              <v:stroke dashstyle="solid"/>
            </v:rect>
            <v:rect style="position:absolute;left:1550;top:1269;width:75;height:430" filled="true" fillcolor="#610e7a" stroked="false">
              <v:fill type="solid"/>
            </v:rect>
            <v:rect style="position:absolute;left:1550;top:1269;width:75;height:430" filled="false" stroked="true" strokeweight=".5pt" strokecolor="#000000">
              <v:stroke dashstyle="solid"/>
            </v:rect>
            <v:line style="position:absolute" from="1358,557" to="1581,1397" stroked="true" strokeweight="1pt" strokecolor="#df2f36">
              <v:stroke dashstyle="solid"/>
            </v:line>
            <v:rect style="position:absolute;left:1783;top:2156;width:78;height:223" filled="true" fillcolor="#f6bd61" stroked="false">
              <v:fill type="solid"/>
            </v:rect>
            <v:rect style="position:absolute;left:1783;top:2156;width:78;height:223" filled="false" stroked="true" strokeweight=".5pt" strokecolor="#000000">
              <v:stroke dashstyle="solid"/>
            </v:rect>
            <v:rect style="position:absolute;left:1783;top:1966;width:78;height:193" filled="true" fillcolor="#c0a2c7" stroked="false">
              <v:fill type="solid"/>
            </v:rect>
            <v:rect style="position:absolute;left:1783;top:1966;width:78;height:193" filled="false" stroked="true" strokeweight=".5pt" strokecolor="#000000">
              <v:stroke dashstyle="solid"/>
            </v:rect>
            <v:rect style="position:absolute;left:1783;top:1331;width:78;height:638" filled="true" fillcolor="#acbc4a" stroked="false">
              <v:fill type="solid"/>
            </v:rect>
            <v:rect style="position:absolute;left:1783;top:1331;width:78;height:638" filled="false" stroked="true" strokeweight=".5pt" strokecolor="#000000">
              <v:stroke dashstyle="solid"/>
            </v:rect>
            <v:rect style="position:absolute;left:1783;top:1079;width:78;height:255" filled="true" fillcolor="#610e7a" stroked="false">
              <v:fill type="solid"/>
            </v:rect>
            <v:rect style="position:absolute;left:1783;top:1079;width:78;height:255" filled="false" stroked="true" strokeweight=".5pt" strokecolor="#000000">
              <v:stroke dashstyle="solid"/>
            </v:rect>
            <v:line style="position:absolute" from="1581,1397" to="1816,1079" stroked="true" strokeweight="1pt" strokecolor="#df2f36">
              <v:stroke dashstyle="solid"/>
            </v:line>
            <v:rect style="position:absolute;left:2015;top:1444;width:78;height:935" filled="true" fillcolor="#f6bd61" stroked="false">
              <v:fill type="solid"/>
            </v:rect>
            <v:rect style="position:absolute;left:2015;top:1444;width:78;height:935" filled="false" stroked="true" strokeweight=".5pt" strokecolor="#000000">
              <v:stroke dashstyle="solid"/>
            </v:rect>
            <v:rect style="position:absolute;left:2015;top:1269;width:78;height:178" filled="true" fillcolor="#c0a2c7" stroked="false">
              <v:fill type="solid"/>
            </v:rect>
            <v:rect style="position:absolute;left:2015;top:1269;width:78;height:178" filled="false" stroked="true" strokeweight=".5pt" strokecolor="#000000">
              <v:stroke dashstyle="solid"/>
            </v:rect>
            <v:rect style="position:absolute;left:2015;top:1111;width:78;height:160" filled="true" fillcolor="#acbc4a" stroked="false">
              <v:fill type="solid"/>
            </v:rect>
            <v:rect style="position:absolute;left:2015;top:1111;width:78;height:160" filled="false" stroked="true" strokeweight=".5pt" strokecolor="#000000">
              <v:stroke dashstyle="solid"/>
            </v:rect>
            <v:line style="position:absolute" from="1816,1079" to="2048,1127" stroked="true" strokeweight="1pt" strokecolor="#df2f36">
              <v:stroke dashstyle="solid"/>
            </v:line>
            <v:rect style="position:absolute;left:2238;top:1696;width:88;height:683" filled="true" fillcolor="#f6bd61" stroked="false">
              <v:fill type="solid"/>
            </v:rect>
            <v:rect style="position:absolute;left:2238;top:1696;width:88;height:683" filled="false" stroked="true" strokeweight=".5pt" strokecolor="#000000">
              <v:stroke dashstyle="solid"/>
            </v:rect>
            <v:rect style="position:absolute;left:2238;top:1524;width:88;height:175" filled="true" fillcolor="#c0a2c7" stroked="false">
              <v:fill type="solid"/>
            </v:rect>
            <v:rect style="position:absolute;left:2238;top:1521;width:88;height:178" filled="false" stroked="true" strokeweight=".5pt" strokecolor="#000000">
              <v:stroke dashstyle="solid"/>
            </v:rect>
            <v:rect style="position:absolute;left:2238;top:984;width:88;height:540" filled="true" fillcolor="#acbc4a" stroked="false">
              <v:fill type="solid"/>
            </v:rect>
            <v:rect style="position:absolute;left:2238;top:984;width:88;height:540" filled="false" stroked="true" strokeweight=".5pt" strokecolor="#000000">
              <v:stroke dashstyle="solid"/>
            </v:rect>
            <v:rect style="position:absolute;left:2238;top:2376;width:88;height:335" filled="true" fillcolor="#610e7a" stroked="false">
              <v:fill type="solid"/>
            </v:rect>
            <v:rect style="position:absolute;left:2238;top:2376;width:88;height:335" filled="false" stroked="true" strokeweight=".5pt" strokecolor="#000000">
              <v:stroke dashstyle="solid"/>
            </v:rect>
            <v:line style="position:absolute" from="2048,1127" to="2281,1317" stroked="true" strokeweight="1pt" strokecolor="#df2f36">
              <v:stroke dashstyle="solid"/>
            </v:line>
            <v:rect style="position:absolute;left:2473;top:1696;width:85;height:683" filled="true" fillcolor="#f6bd61" stroked="false">
              <v:fill type="solid"/>
            </v:rect>
            <v:rect style="position:absolute;left:2473;top:1696;width:85;height:683" filled="false" stroked="true" strokeweight=".5pt" strokecolor="#000000">
              <v:stroke dashstyle="solid"/>
            </v:rect>
            <v:rect style="position:absolute;left:2473;top:1539;width:85;height:160" filled="true" fillcolor="#c0a2c7" stroked="false">
              <v:fill type="solid"/>
            </v:rect>
            <v:rect style="position:absolute;left:2473;top:1539;width:85;height:160" filled="false" stroked="true" strokeweight=".5pt" strokecolor="#000000">
              <v:stroke dashstyle="solid"/>
            </v:rect>
            <v:rect style="position:absolute;left:2473;top:2376;width:85;height:48" filled="true" fillcolor="#acbc4a" stroked="false">
              <v:fill type="solid"/>
            </v:rect>
            <v:rect style="position:absolute;left:2473;top:2376;width:85;height:50" filled="false" stroked="true" strokeweight=".5pt" strokecolor="#000000">
              <v:stroke dashstyle="solid"/>
            </v:rect>
            <v:rect style="position:absolute;left:2473;top:2424;width:85;height:115" filled="true" fillcolor="#610e7a" stroked="false">
              <v:fill type="solid"/>
            </v:rect>
            <v:rect style="position:absolute;left:2473;top:2424;width:85;height:115" filled="false" stroked="true" strokeweight=".5pt" strokecolor="#000000">
              <v:stroke dashstyle="solid"/>
            </v:rect>
            <v:line style="position:absolute" from="2281,1317" to="2513,1697" stroked="true" strokeweight="1pt" strokecolor="#df2f36">
              <v:stroke dashstyle="solid"/>
            </v:line>
            <v:rect style="position:absolute;left:2705;top:1744;width:88;height:635" filled="true" fillcolor="#f6bd61" stroked="false">
              <v:fill type="solid"/>
            </v:rect>
            <v:rect style="position:absolute;left:2705;top:1744;width:88;height:635" filled="false" stroked="true" strokeweight=".5pt" strokecolor="#000000">
              <v:stroke dashstyle="solid"/>
            </v:rect>
            <v:rect style="position:absolute;left:2705;top:1601;width:88;height:145" filled="true" fillcolor="#c0a2c7" stroked="false">
              <v:fill type="solid"/>
            </v:rect>
            <v:rect style="position:absolute;left:2705;top:1601;width:88;height:145" filled="false" stroked="true" strokeweight=".5pt" strokecolor="#000000">
              <v:stroke dashstyle="solid"/>
            </v:rect>
            <v:rect style="position:absolute;left:2705;top:1554;width:88;height:50" filled="true" fillcolor="#acbc4a" stroked="false">
              <v:fill type="solid"/>
            </v:rect>
            <v:rect style="position:absolute;left:2705;top:1554;width:88;height:50" filled="false" stroked="true" strokeweight=".5pt" strokecolor="#000000">
              <v:stroke dashstyle="solid"/>
            </v:rect>
            <v:rect style="position:absolute;left:2705;top:1491;width:88;height:65" filled="true" fillcolor="#610e7a" stroked="false">
              <v:fill type="solid"/>
            </v:rect>
            <v:rect style="position:absolute;left:2705;top:1491;width:88;height:65" filled="false" stroked="true" strokeweight=".5pt" strokecolor="#000000">
              <v:stroke dashstyle="solid"/>
            </v:rect>
            <v:line style="position:absolute" from="2513,1697" to="2748,1492" stroked="true" strokeweight="1pt" strokecolor="#df2f36">
              <v:stroke dashstyle="solid"/>
            </v:line>
            <v:rect style="position:absolute;left:2938;top:1601;width:78;height:778" filled="true" fillcolor="#f6bd61" stroked="false">
              <v:fill type="solid"/>
            </v:rect>
            <v:rect style="position:absolute;left:2938;top:1601;width:78;height:778" filled="false" stroked="true" strokeweight=".5pt" strokecolor="#000000">
              <v:stroke dashstyle="solid"/>
            </v:rect>
            <v:rect style="position:absolute;left:2938;top:1349;width:78;height:255" filled="true" fillcolor="#c0a2c7" stroked="false">
              <v:fill type="solid"/>
            </v:rect>
            <v:rect style="position:absolute;left:2938;top:1349;width:78;height:255" filled="false" stroked="true" strokeweight=".5pt" strokecolor="#000000">
              <v:stroke dashstyle="solid"/>
            </v:rect>
            <v:rect style="position:absolute;left:2938;top:556;width:78;height:795" filled="true" fillcolor="#acbc4a" stroked="false">
              <v:fill type="solid"/>
            </v:rect>
            <v:rect style="position:absolute;left:2938;top:556;width:78;height:795" filled="false" stroked="true" strokeweight=".5pt" strokecolor="#000000">
              <v:stroke dashstyle="solid"/>
            </v:rect>
            <v:rect style="position:absolute;left:2938;top:429;width:78;height:130" filled="true" fillcolor="#610e7a" stroked="false">
              <v:fill type="solid"/>
            </v:rect>
            <v:rect style="position:absolute;left:2938;top:429;width:78;height:130" filled="false" stroked="true" strokeweight=".5pt" strokecolor="#000000">
              <v:stroke dashstyle="solid"/>
            </v:rect>
            <v:line style="position:absolute" from="2748,1492" to="2981,429" stroked="true" strokeweight="1pt" strokecolor="#df2f36">
              <v:stroke dashstyle="solid"/>
            </v:line>
            <v:rect style="position:absolute;left:3170;top:2251;width:78;height:128" filled="true" fillcolor="#f6bd61" stroked="false">
              <v:fill type="solid"/>
            </v:rect>
            <v:rect style="position:absolute;left:3170;top:2251;width:78;height:128" filled="false" stroked="true" strokeweight=".5pt" strokecolor="#000000">
              <v:stroke dashstyle="solid"/>
            </v:rect>
            <v:rect style="position:absolute;left:3170;top:2029;width:78;height:225" filled="true" fillcolor="#c0a2c7" stroked="false">
              <v:fill type="solid"/>
            </v:rect>
            <v:rect style="position:absolute;left:3170;top:2029;width:78;height:225" filled="false" stroked="true" strokeweight=".5pt" strokecolor="#000000">
              <v:stroke dashstyle="solid"/>
            </v:rect>
            <v:rect style="position:absolute;left:3170;top:1189;width:78;height:843" filled="true" fillcolor="#acbc4a" stroked="false">
              <v:fill type="solid"/>
            </v:rect>
            <v:rect style="position:absolute;left:3170;top:1189;width:78;height:843" filled="false" stroked="true" strokeweight=".5pt" strokecolor="#000000">
              <v:stroke dashstyle="solid"/>
            </v:rect>
            <v:line style="position:absolute" from="2981,429" to="3213,1189" stroked="true" strokeweight="1pt" strokecolor="#df2f36">
              <v:stroke dashstyle="solid"/>
            </v:line>
            <v:rect style="position:absolute;left:3405;top:1996;width:75;height:383" filled="true" fillcolor="#f6bd61" stroked="false">
              <v:fill type="solid"/>
            </v:rect>
            <v:rect style="position:absolute;left:3405;top:1996;width:75;height:383" filled="false" stroked="true" strokeweight=".5pt" strokecolor="#000000">
              <v:stroke dashstyle="solid"/>
            </v:rect>
            <v:rect style="position:absolute;left:3405;top:1711;width:75;height:288" filled="true" fillcolor="#c0a2c7" stroked="false">
              <v:fill type="solid"/>
            </v:rect>
            <v:rect style="position:absolute;left:3405;top:1711;width:75;height:288" filled="false" stroked="true" strokeweight=".5pt" strokecolor="#000000">
              <v:stroke dashstyle="solid"/>
            </v:rect>
            <v:rect style="position:absolute;left:3405;top:1396;width:75;height:318" filled="true" fillcolor="#acbc4a" stroked="false">
              <v:fill type="solid"/>
            </v:rect>
            <v:rect style="position:absolute;left:3405;top:1396;width:75;height:318" filled="false" stroked="true" strokeweight=".5pt" strokecolor="#000000">
              <v:stroke dashstyle="solid"/>
            </v:rect>
            <v:rect style="position:absolute;left:3405;top:2376;width:75;height:98" filled="true" fillcolor="#610e7a" stroked="false">
              <v:fill type="solid"/>
            </v:rect>
            <v:rect style="position:absolute;left:3405;top:2376;width:75;height:98" filled="false" stroked="true" strokeweight=".5pt" strokecolor="#000000">
              <v:stroke dashstyle="solid"/>
            </v:rect>
            <v:line style="position:absolute" from="3213,1189" to="3448,1492" stroked="true" strokeweight="1pt" strokecolor="#df2f36">
              <v:stroke dashstyle="solid"/>
            </v:line>
            <v:rect style="position:absolute;left:3638;top:1254;width:78;height:1125" filled="true" fillcolor="#f6bd61" stroked="false">
              <v:fill type="solid"/>
            </v:rect>
            <v:rect style="position:absolute;left:3638;top:1254;width:78;height:1125" filled="false" stroked="true" strokeweight=".5pt" strokecolor="#000000">
              <v:stroke dashstyle="solid"/>
            </v:rect>
            <v:rect style="position:absolute;left:3638;top:1094;width:78;height:163" filled="true" fillcolor="#c0a2c7" stroked="false">
              <v:fill type="solid"/>
            </v:rect>
            <v:rect style="position:absolute;left:3638;top:1094;width:78;height:163" filled="false" stroked="true" strokeweight=".5pt" strokecolor="#000000">
              <v:stroke dashstyle="solid"/>
            </v:rect>
            <v:rect style="position:absolute;left:3638;top:684;width:78;height:413" filled="true" fillcolor="#acbc4a" stroked="false">
              <v:fill type="solid"/>
            </v:rect>
            <v:rect style="position:absolute;left:3638;top:684;width:78;height:413" filled="false" stroked="true" strokeweight=".5pt" strokecolor="#000000">
              <v:stroke dashstyle="solid"/>
            </v:rect>
            <v:rect style="position:absolute;left:3638;top:636;width:78;height:50" filled="true" fillcolor="#610e7a" stroked="false">
              <v:fill type="solid"/>
            </v:rect>
            <v:rect style="position:absolute;left:3638;top:636;width:78;height:50" filled="false" stroked="true" strokeweight=".5pt" strokecolor="#000000">
              <v:stroke dashstyle="solid"/>
            </v:rect>
            <v:line style="position:absolute" from="3448,1492" to="3671,637" stroked="true" strokeweight="1pt" strokecolor="#df2f36">
              <v:stroke dashstyle="solid"/>
            </v:line>
            <v:rect style="position:absolute;left:3870;top:2346;width:78;height:33" filled="true" fillcolor="#f6bd61" stroked="false">
              <v:fill type="solid"/>
            </v:rect>
            <v:rect style="position:absolute;left:3870;top:2346;width:78;height:33" filled="false" stroked="true" strokeweight=".5pt" strokecolor="#000000">
              <v:stroke dashstyle="solid"/>
            </v:rect>
            <v:rect style="position:absolute;left:3870;top:2014;width:78;height:335" filled="true" fillcolor="#c0a2c7" stroked="false">
              <v:fill type="solid"/>
            </v:rect>
            <v:rect style="position:absolute;left:3870;top:2014;width:78;height:335" filled="false" stroked="true" strokeweight=".5pt" strokecolor="#000000">
              <v:stroke dashstyle="solid"/>
            </v:rect>
            <v:rect style="position:absolute;left:3870;top:1711;width:78;height:305" filled="true" fillcolor="#acbc4a" stroked="false">
              <v:fill type="solid"/>
            </v:rect>
            <v:rect style="position:absolute;left:3870;top:1711;width:78;height:305" filled="false" stroked="true" strokeweight=".5pt" strokecolor="#000000">
              <v:stroke dashstyle="solid"/>
            </v:rect>
            <v:rect style="position:absolute;left:3870;top:1634;width:78;height:80" filled="true" fillcolor="#610e7a" stroked="false">
              <v:fill type="solid"/>
            </v:rect>
            <v:rect style="position:absolute;left:3870;top:1634;width:78;height:80" filled="false" stroked="true" strokeweight=".5pt" strokecolor="#000000">
              <v:stroke dashstyle="solid"/>
            </v:rect>
            <v:line style="position:absolute" from="3671,637" to="3903,1634" stroked="true" strokeweight="1pt" strokecolor="#df2f36">
              <v:stroke dashstyle="solid"/>
            </v:line>
            <v:line style="position:absolute" from="3966,2377" to="998,2379" stroked="true" strokeweight=".5pt" strokecolor="#000000">
              <v:stroke dashstyle="solid"/>
            </v:line>
            <w10:wrap type="none"/>
          </v:group>
        </w:pict>
      </w:r>
      <w:r>
        <w:rPr/>
        <w:pict>
          <v:line style="position:absolute;mso-position-horizontal-relative:page;mso-position-vertical-relative:paragraph;z-index:15917056" from="207.277pt,3.040788pt" to="202.944pt,3.040788pt" stroked="true" strokeweight=".5pt" strokecolor="#000000">
            <v:stroke dashstyle="solid"/>
            <w10:wrap type="none"/>
          </v:line>
        </w:pict>
      </w:r>
      <w:r>
        <w:rPr>
          <w:sz w:val="12"/>
        </w:rPr>
        <w:t>2.0</w:t>
      </w:r>
    </w:p>
    <w:p>
      <w:pPr>
        <w:spacing w:line="242" w:lineRule="auto" w:before="3"/>
        <w:ind w:left="185" w:right="22" w:firstLine="0"/>
        <w:jc w:val="left"/>
        <w:rPr>
          <w:sz w:val="24"/>
        </w:rPr>
      </w:pPr>
      <w:r>
        <w:rPr/>
        <w:br w:type="column"/>
      </w:r>
      <w:r>
        <w:rPr>
          <w:sz w:val="24"/>
        </w:rPr>
        <w:t>which excludes investment in inventories—also grew slowly in Q1, reflecting lower consumption growth and falls in fixed investment and government consumption.</w:t>
      </w:r>
    </w:p>
    <w:p>
      <w:pPr>
        <w:spacing w:after="0" w:line="242" w:lineRule="auto"/>
        <w:jc w:val="left"/>
        <w:rPr>
          <w:sz w:val="24"/>
        </w:rPr>
        <w:sectPr>
          <w:type w:val="continuous"/>
          <w:pgSz w:w="11900" w:h="16840"/>
          <w:pgMar w:top="1260" w:bottom="280" w:left="640" w:right="640"/>
          <w:cols w:num="3" w:equalWidth="0">
            <w:col w:w="1533" w:space="134"/>
            <w:col w:w="2064" w:space="1068"/>
            <w:col w:w="5821"/>
          </w:cols>
        </w:sectPr>
      </w:pPr>
    </w:p>
    <w:p>
      <w:pPr>
        <w:pStyle w:val="BodyText"/>
        <w:spacing w:before="4"/>
        <w:rPr>
          <w:sz w:val="20"/>
        </w:rPr>
      </w:pPr>
    </w:p>
    <w:p>
      <w:pPr>
        <w:spacing w:after="0"/>
        <w:rPr>
          <w:sz w:val="20"/>
        </w:rPr>
        <w:sectPr>
          <w:type w:val="continuous"/>
          <w:pgSz w:w="11900" w:h="16840"/>
          <w:pgMar w:top="1260" w:bottom="280" w:left="640" w:right="640"/>
        </w:sectPr>
      </w:pPr>
    </w:p>
    <w:p>
      <w:pPr>
        <w:pStyle w:val="BodyText"/>
        <w:spacing w:before="11"/>
        <w:rPr>
          <w:sz w:val="20"/>
        </w:rPr>
      </w:pPr>
    </w:p>
    <w:p>
      <w:pPr>
        <w:pStyle w:val="BodyText"/>
        <w:spacing w:line="20" w:lineRule="exact"/>
        <w:ind w:left="190"/>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20"/>
        </w:rPr>
      </w:pPr>
    </w:p>
    <w:p>
      <w:pPr>
        <w:pStyle w:val="BodyText"/>
        <w:spacing w:before="11"/>
        <w:rPr>
          <w:sz w:val="26"/>
        </w:rPr>
      </w:pPr>
      <w:r>
        <w:rPr/>
        <w:pict>
          <v:shape style="position:absolute;margin-left:41.789001pt;margin-top:17.708977pt;width:4.350pt;height:.1pt;mso-position-horizontal-relative:page;mso-position-vertical-relative:paragraph;z-index:-15544320;mso-wrap-distance-left:0;mso-wrap-distance-right:0" coordorigin="836,354" coordsize="87,0" path="m922,354l836,354e" filled="false" stroked="true" strokeweight=".5pt" strokecolor="#000000">
            <v:path arrowok="t"/>
            <v:stroke dashstyle="solid"/>
            <w10:wrap type="topAndBottom"/>
          </v:shape>
        </w:pict>
      </w:r>
    </w:p>
    <w:p>
      <w:pPr>
        <w:pStyle w:val="BodyText"/>
        <w:rPr>
          <w:sz w:val="20"/>
        </w:rPr>
      </w:pPr>
    </w:p>
    <w:p>
      <w:pPr>
        <w:pStyle w:val="BodyText"/>
        <w:spacing w:before="4"/>
        <w:rPr>
          <w:sz w:val="21"/>
        </w:rPr>
      </w:pPr>
      <w:r>
        <w:rPr/>
        <w:pict>
          <v:shape style="position:absolute;margin-left:41.789001pt;margin-top:14.509976pt;width:4.350pt;height:.1pt;mso-position-horizontal-relative:page;mso-position-vertical-relative:paragraph;z-index:-15543808;mso-wrap-distance-left:0;mso-wrap-distance-right:0" coordorigin="836,290" coordsize="87,0" path="m922,290l836,290e" filled="false" stroked="true" strokeweight=".5pt" strokecolor="#000000">
            <v:path arrowok="t"/>
            <v:stroke dashstyle="solid"/>
            <w10:wrap type="topAndBottom"/>
          </v:shape>
        </w:pict>
      </w:r>
    </w:p>
    <w:p>
      <w:pPr>
        <w:pStyle w:val="BodyText"/>
        <w:rPr>
          <w:sz w:val="20"/>
        </w:rPr>
      </w:pPr>
    </w:p>
    <w:p>
      <w:pPr>
        <w:pStyle w:val="BodyText"/>
        <w:spacing w:before="10"/>
        <w:rPr>
          <w:sz w:val="24"/>
        </w:rPr>
      </w:pPr>
      <w:r>
        <w:rPr/>
        <w:pict>
          <v:shape style="position:absolute;margin-left:41.789001pt;margin-top:16.508976pt;width:4.350pt;height:.1pt;mso-position-horizontal-relative:page;mso-position-vertical-relative:paragraph;z-index:-15543296;mso-wrap-distance-left:0;mso-wrap-distance-right:0" coordorigin="836,330" coordsize="87,0" path="m922,330l836,330e" filled="false" stroked="true" strokeweight=".5pt" strokecolor="#000000">
            <v:path arrowok="t"/>
            <v:stroke dashstyle="solid"/>
            <w10:wrap type="topAndBottom"/>
          </v:shape>
        </w:pict>
      </w:r>
    </w:p>
    <w:p>
      <w:pPr>
        <w:pStyle w:val="BodyText"/>
        <w:rPr>
          <w:sz w:val="20"/>
        </w:rPr>
      </w:pPr>
    </w:p>
    <w:p>
      <w:pPr>
        <w:pStyle w:val="BodyText"/>
        <w:spacing w:before="10"/>
        <w:rPr>
          <w:sz w:val="21"/>
        </w:rPr>
      </w:pPr>
      <w:r>
        <w:rPr/>
        <w:pict>
          <v:shape style="position:absolute;margin-left:41.789001pt;margin-top:14.800977pt;width:4.350pt;height:.1pt;mso-position-horizontal-relative:page;mso-position-vertical-relative:paragraph;z-index:-15542784;mso-wrap-distance-left:0;mso-wrap-distance-right:0" coordorigin="836,296" coordsize="87,0" path="m922,296l836,296e" filled="false" stroked="true" strokeweight=".5pt" strokecolor="#000000">
            <v:path arrowok="t"/>
            <v:stroke dashstyle="solid"/>
            <w10:wrap type="topAndBottom"/>
          </v:shape>
        </w:pict>
      </w:r>
    </w:p>
    <w:p>
      <w:pPr>
        <w:tabs>
          <w:tab w:pos="1773" w:val="left" w:leader="none"/>
        </w:tabs>
        <w:spacing w:before="0"/>
        <w:ind w:left="743" w:right="0" w:firstLine="0"/>
        <w:jc w:val="left"/>
        <w:rPr>
          <w:sz w:val="12"/>
        </w:rPr>
      </w:pPr>
      <w:r>
        <w:rPr>
          <w:sz w:val="12"/>
        </w:rPr>
        <w:t>1997</w:t>
        <w:tab/>
        <w:t>98</w:t>
      </w:r>
    </w:p>
    <w:p>
      <w:pPr>
        <w:pStyle w:val="BodyText"/>
        <w:spacing w:before="10"/>
        <w:rPr>
          <w:sz w:val="9"/>
        </w:rPr>
      </w:pPr>
    </w:p>
    <w:p>
      <w:pPr>
        <w:spacing w:before="0"/>
        <w:ind w:left="185" w:right="0" w:firstLine="0"/>
        <w:jc w:val="left"/>
        <w:rPr>
          <w:sz w:val="12"/>
        </w:rPr>
      </w:pPr>
      <w:r>
        <w:rPr/>
        <w:pict>
          <v:shape style="position:absolute;margin-left:53.279999pt;margin-top:-19.705734pt;width:144pt;height:5.5pt;mso-position-horizontal-relative:page;mso-position-vertical-relative:paragraph;z-index:15916544" coordorigin="1066,-394" coordsize="2880,110" path="m1076,-347l1076,-294m2016,-347l2016,-294m2936,-347l2936,-294m3866,-394l3866,-294m1066,-284l3946,-284e" filled="false" stroked="true" strokeweight=".5pt" strokecolor="#000000">
            <v:path arrowok="t"/>
            <v:stroke dashstyle="solid"/>
            <w10:wrap type="none"/>
          </v:shape>
        </w:pict>
      </w:r>
      <w:r>
        <w:rPr>
          <w:sz w:val="12"/>
        </w:rPr>
        <w:t>(a)   At constant 1995 market</w:t>
      </w:r>
      <w:r>
        <w:rPr>
          <w:spacing w:val="-14"/>
          <w:sz w:val="12"/>
        </w:rPr>
        <w:t> </w:t>
      </w:r>
      <w:r>
        <w:rPr>
          <w:sz w:val="12"/>
        </w:rPr>
        <w:t>prices.</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694" w:val="left" w:leader="none"/>
        </w:tabs>
        <w:spacing w:before="102"/>
        <w:ind w:left="185" w:right="0" w:firstLine="0"/>
        <w:jc w:val="left"/>
        <w:rPr>
          <w:sz w:val="12"/>
        </w:rPr>
      </w:pPr>
      <w:r>
        <w:rPr>
          <w:sz w:val="12"/>
        </w:rPr>
        <w:t>99</w:t>
        <w:tab/>
      </w:r>
      <w:r>
        <w:rPr>
          <w:spacing w:val="-5"/>
          <w:sz w:val="12"/>
        </w:rPr>
        <w:t>2000</w:t>
      </w:r>
    </w:p>
    <w:p>
      <w:pPr>
        <w:pStyle w:val="BodyText"/>
        <w:spacing w:before="9"/>
        <w:rPr>
          <w:sz w:val="14"/>
        </w:rPr>
      </w:pPr>
      <w:r>
        <w:rPr/>
        <w:br w:type="column"/>
      </w:r>
      <w:r>
        <w:rPr>
          <w:sz w:val="14"/>
        </w:rPr>
      </w:r>
    </w:p>
    <w:p>
      <w:pPr>
        <w:spacing w:before="0"/>
        <w:ind w:left="53" w:right="0" w:firstLine="0"/>
        <w:jc w:val="left"/>
        <w:rPr>
          <w:sz w:val="12"/>
        </w:rPr>
      </w:pPr>
      <w:r>
        <w:rPr>
          <w:sz w:val="12"/>
        </w:rPr>
        <w:t>1.5</w:t>
      </w:r>
    </w:p>
    <w:p>
      <w:pPr>
        <w:pStyle w:val="BodyText"/>
        <w:rPr>
          <w:sz w:val="12"/>
        </w:rPr>
      </w:pPr>
    </w:p>
    <w:p>
      <w:pPr>
        <w:pStyle w:val="BodyText"/>
        <w:rPr>
          <w:sz w:val="12"/>
        </w:rPr>
      </w:pPr>
    </w:p>
    <w:p>
      <w:pPr>
        <w:pStyle w:val="BodyText"/>
        <w:spacing w:before="2"/>
        <w:rPr>
          <w:sz w:val="14"/>
        </w:rPr>
      </w:pPr>
    </w:p>
    <w:p>
      <w:pPr>
        <w:spacing w:before="0"/>
        <w:ind w:left="53" w:right="0" w:firstLine="0"/>
        <w:jc w:val="left"/>
        <w:rPr>
          <w:sz w:val="12"/>
        </w:rPr>
      </w:pPr>
      <w:r>
        <w:rPr/>
        <w:pict>
          <v:line style="position:absolute;mso-position-horizontal-relative:page;mso-position-vertical-relative:paragraph;z-index:15917568" from="207.277pt,-24.899839pt" to="202.944pt,-24.899839pt" stroked="true" strokeweight=".5pt" strokecolor="#000000">
            <v:stroke dashstyle="solid"/>
            <w10:wrap type="none"/>
          </v:line>
        </w:pict>
      </w:r>
      <w:r>
        <w:rPr/>
        <w:pict>
          <v:line style="position:absolute;mso-position-horizontal-relative:page;mso-position-vertical-relative:paragraph;z-index:15918080" from="207.277pt,5.05816pt" to="202.944pt,5.05816pt" stroked="true" strokeweight=".5pt" strokecolor="#000000">
            <v:stroke dashstyle="solid"/>
            <w10:wrap type="none"/>
          </v:line>
        </w:pict>
      </w:r>
      <w:r>
        <w:rPr>
          <w:sz w:val="12"/>
        </w:rPr>
        <w:t>1.0</w:t>
      </w:r>
    </w:p>
    <w:p>
      <w:pPr>
        <w:pStyle w:val="BodyText"/>
        <w:rPr>
          <w:sz w:val="12"/>
        </w:rPr>
      </w:pPr>
    </w:p>
    <w:p>
      <w:pPr>
        <w:pStyle w:val="BodyText"/>
        <w:rPr>
          <w:sz w:val="12"/>
        </w:rPr>
      </w:pPr>
    </w:p>
    <w:p>
      <w:pPr>
        <w:pStyle w:val="BodyText"/>
        <w:spacing w:before="1"/>
        <w:rPr>
          <w:sz w:val="14"/>
        </w:rPr>
      </w:pPr>
    </w:p>
    <w:p>
      <w:pPr>
        <w:spacing w:before="1"/>
        <w:ind w:left="53" w:right="0" w:firstLine="0"/>
        <w:jc w:val="left"/>
        <w:rPr>
          <w:sz w:val="12"/>
        </w:rPr>
      </w:pPr>
      <w:r>
        <w:rPr/>
        <w:pict>
          <v:line style="position:absolute;mso-position-horizontal-relative:page;mso-position-vertical-relative:paragraph;z-index:15918592" from="207.277pt,3.990965pt" to="202.944pt,3.990965pt" stroked="true" strokeweight=".5pt" strokecolor="#000000">
            <v:stroke dashstyle="solid"/>
            <w10:wrap type="none"/>
          </v:line>
        </w:pict>
      </w:r>
      <w:r>
        <w:rPr>
          <w:sz w:val="12"/>
        </w:rPr>
        <w:t>0.5</w:t>
      </w:r>
    </w:p>
    <w:p>
      <w:pPr>
        <w:pStyle w:val="BodyText"/>
        <w:spacing w:before="1"/>
        <w:rPr>
          <w:sz w:val="16"/>
        </w:rPr>
      </w:pPr>
    </w:p>
    <w:p>
      <w:pPr>
        <w:spacing w:before="0"/>
        <w:ind w:left="0" w:right="0" w:firstLine="0"/>
        <w:jc w:val="left"/>
        <w:rPr>
          <w:sz w:val="16"/>
        </w:rPr>
      </w:pPr>
      <w:r>
        <w:rPr>
          <w:sz w:val="16"/>
        </w:rPr>
        <w:t>+</w:t>
      </w:r>
    </w:p>
    <w:p>
      <w:pPr>
        <w:spacing w:line="136" w:lineRule="exact" w:before="69"/>
        <w:ind w:left="53" w:right="0" w:firstLine="0"/>
        <w:jc w:val="left"/>
        <w:rPr>
          <w:sz w:val="12"/>
        </w:rPr>
      </w:pPr>
      <w:r>
        <w:rPr/>
        <w:pict>
          <v:line style="position:absolute;mso-position-horizontal-relative:page;mso-position-vertical-relative:paragraph;z-index:15919104" from="207.277pt,8.11777pt" to="202.944pt,8.11777pt" stroked="true" strokeweight=".5pt" strokecolor="#000000">
            <v:stroke dashstyle="solid"/>
            <w10:wrap type="none"/>
          </v:line>
        </w:pict>
      </w:r>
      <w:r>
        <w:rPr>
          <w:sz w:val="12"/>
        </w:rPr>
        <w:t>0.0</w:t>
      </w:r>
    </w:p>
    <w:p>
      <w:pPr>
        <w:spacing w:line="182" w:lineRule="exact" w:before="0"/>
        <w:ind w:left="0" w:right="0" w:firstLine="0"/>
        <w:jc w:val="left"/>
        <w:rPr>
          <w:sz w:val="16"/>
        </w:rPr>
      </w:pPr>
      <w:r>
        <w:rPr>
          <w:sz w:val="16"/>
        </w:rPr>
        <w:t>_</w:t>
      </w:r>
    </w:p>
    <w:p>
      <w:pPr>
        <w:pStyle w:val="BodyText"/>
        <w:spacing w:before="5"/>
        <w:rPr>
          <w:sz w:val="22"/>
        </w:rPr>
      </w:pPr>
    </w:p>
    <w:p>
      <w:pPr>
        <w:spacing w:before="0"/>
        <w:ind w:left="53" w:right="0" w:firstLine="0"/>
        <w:jc w:val="left"/>
        <w:rPr>
          <w:sz w:val="12"/>
        </w:rPr>
      </w:pPr>
      <w:r>
        <w:rPr/>
        <w:pict>
          <v:line style="position:absolute;mso-position-horizontal-relative:page;mso-position-vertical-relative:paragraph;z-index:15919616" from="207.277pt,3.842559pt" to="202.944pt,3.842559pt" stroked="true" strokeweight=".5pt" strokecolor="#000000">
            <v:stroke dashstyle="solid"/>
            <w10:wrap type="none"/>
          </v:line>
        </w:pict>
      </w:r>
      <w:r>
        <w:rPr>
          <w:sz w:val="12"/>
        </w:rPr>
        <w:t>0.5</w:t>
      </w:r>
    </w:p>
    <w:p>
      <w:pPr>
        <w:spacing w:before="90"/>
        <w:ind w:left="185" w:right="0" w:firstLine="0"/>
        <w:jc w:val="left"/>
        <w:rPr>
          <w:i/>
          <w:sz w:val="24"/>
        </w:rPr>
      </w:pPr>
      <w:r>
        <w:rPr/>
        <w:br w:type="column"/>
      </w:r>
      <w:r>
        <w:rPr>
          <w:i/>
          <w:color w:val="009391"/>
          <w:sz w:val="24"/>
        </w:rPr>
        <w:t>Household sector consumption</w:t>
      </w:r>
    </w:p>
    <w:p>
      <w:pPr>
        <w:spacing w:line="242" w:lineRule="auto" w:before="164"/>
        <w:ind w:left="185" w:right="201" w:firstLine="0"/>
        <w:jc w:val="left"/>
        <w:rPr>
          <w:sz w:val="24"/>
        </w:rPr>
      </w:pPr>
      <w:r>
        <w:rPr>
          <w:sz w:val="24"/>
        </w:rPr>
        <w:t>Consumer spending volumes rose by 0.6% in 2000 Q1, following robust growth of 1.5% in 1994 Q4 (see</w:t>
      </w:r>
    </w:p>
    <w:p>
      <w:pPr>
        <w:spacing w:line="242" w:lineRule="auto" w:before="2"/>
        <w:ind w:left="185" w:right="201" w:firstLine="0"/>
        <w:jc w:val="left"/>
        <w:rPr>
          <w:sz w:val="24"/>
        </w:rPr>
      </w:pPr>
      <w:r>
        <w:rPr>
          <w:sz w:val="24"/>
        </w:rPr>
        <w:t>Chart 2.4). Spending on services accounted for much of the fall in household consumption growth in Q1, rising by only 0.1%, following abnormally high growth of 2.1% in 1999 Q4. Non-durable goods spending growth was steady at 0.6% but durable goods consumption growth increased to 3.2% in Q1, partly due to a pick-up in spending on high-technology goods, such as computers and digital televisions.</w:t>
      </w:r>
    </w:p>
    <w:p>
      <w:pPr>
        <w:spacing w:after="0" w:line="242" w:lineRule="auto"/>
        <w:jc w:val="left"/>
        <w:rPr>
          <w:sz w:val="24"/>
        </w:rPr>
        <w:sectPr>
          <w:type w:val="continuous"/>
          <w:pgSz w:w="11900" w:h="16840"/>
          <w:pgMar w:top="1260" w:bottom="280" w:left="640" w:right="640"/>
          <w:cols w:num="4" w:equalWidth="0">
            <w:col w:w="1994" w:space="520"/>
            <w:col w:w="935" w:space="39"/>
            <w:col w:w="244" w:space="1068"/>
            <w:col w:w="5820"/>
          </w:cols>
        </w:sectPr>
      </w:pPr>
    </w:p>
    <w:p>
      <w:pPr>
        <w:pStyle w:val="BodyText"/>
        <w:rPr>
          <w:sz w:val="20"/>
        </w:rPr>
      </w:pPr>
    </w:p>
    <w:p>
      <w:pPr>
        <w:spacing w:after="0"/>
        <w:rPr>
          <w:sz w:val="20"/>
        </w:rPr>
        <w:sectPr>
          <w:headerReference w:type="default" r:id="rId68"/>
          <w:headerReference w:type="even" r:id="rId69"/>
          <w:pgSz w:w="11900" w:h="16840"/>
          <w:pgMar w:header="586" w:footer="612" w:top="780" w:bottom="780" w:left="640" w:right="640"/>
        </w:sectPr>
      </w:pPr>
    </w:p>
    <w:p>
      <w:pPr>
        <w:pStyle w:val="BodyText"/>
        <w:spacing w:before="2"/>
        <w:rPr>
          <w:sz w:val="23"/>
        </w:rPr>
      </w:pPr>
    </w:p>
    <w:p>
      <w:pPr>
        <w:pStyle w:val="Heading6"/>
        <w:spacing w:before="0"/>
      </w:pPr>
      <w:r>
        <w:rPr>
          <w:color w:val="0092C7"/>
        </w:rPr>
        <w:t>Chart 2.5</w:t>
      </w:r>
    </w:p>
    <w:p>
      <w:pPr>
        <w:pStyle w:val="Heading6"/>
      </w:pPr>
      <w:r>
        <w:rPr/>
        <w:pict>
          <v:group style="position:absolute;margin-left:40.945pt;margin-top:26.220947pt;width:153.450pt;height:109.8pt;mso-position-horizontal-relative:page;mso-position-vertical-relative:paragraph;z-index:-23372800" coordorigin="819,524" coordsize="3069,2196">
            <v:rect style="position:absolute;left:3257;top:2286;width:63;height:376" filled="true" fillcolor="#cee7e8" stroked="false">
              <v:fill type="solid"/>
            </v:rect>
            <v:rect style="position:absolute;left:3257;top:2286;width:63;height:376" filled="false" stroked="true" strokeweight=".5pt" strokecolor="#000000">
              <v:stroke dashstyle="solid"/>
            </v:rect>
            <v:rect style="position:absolute;left:3808;top:2571;width:63;height:91" filled="true" fillcolor="#cee7e8" stroked="false">
              <v:fill type="solid"/>
            </v:rect>
            <v:rect style="position:absolute;left:3808;top:2571;width:63;height:91" filled="false" stroked="true" strokeweight=".5pt" strokecolor="#000000">
              <v:stroke dashstyle="solid"/>
            </v:rect>
            <v:rect style="position:absolute;left:3739;top:2596;width:63;height:66" filled="true" fillcolor="#cee7e8" stroked="false">
              <v:fill type="solid"/>
            </v:rect>
            <v:rect style="position:absolute;left:3739;top:2596;width:63;height:66" filled="false" stroked="true" strokeweight=".5pt" strokecolor="#000000">
              <v:stroke dashstyle="solid"/>
            </v:rect>
            <v:rect style="position:absolute;left:3670;top:2559;width:63;height:103" filled="true" fillcolor="#cee7e8" stroked="false">
              <v:fill type="solid"/>
            </v:rect>
            <v:rect style="position:absolute;left:3670;top:2559;width:63;height:103" filled="false" stroked="true" strokeweight=".5pt" strokecolor="#000000">
              <v:stroke dashstyle="solid"/>
            </v:rect>
            <v:rect style="position:absolute;left:3601;top:2156;width:63;height:506" filled="true" fillcolor="#cee7e8" stroked="false">
              <v:fill type="solid"/>
            </v:rect>
            <v:rect style="position:absolute;left:3601;top:2156;width:63;height:506" filled="false" stroked="true" strokeweight=".5pt" strokecolor="#000000">
              <v:stroke dashstyle="solid"/>
            </v:rect>
            <v:rect style="position:absolute;left:3532;top:2041;width:63;height:620" filled="true" fillcolor="#cee7e8" stroked="false">
              <v:fill type="solid"/>
            </v:rect>
            <v:rect style="position:absolute;left:3532;top:2041;width:63;height:620" filled="false" stroked="true" strokeweight=".5pt" strokecolor="#000000">
              <v:stroke dashstyle="solid"/>
            </v:rect>
            <v:rect style="position:absolute;left:3464;top:2014;width:63;height:648" filled="true" fillcolor="#cee7e8" stroked="false">
              <v:fill type="solid"/>
            </v:rect>
            <v:rect style="position:absolute;left:3464;top:2014;width:63;height:648" filled="false" stroked="true" strokeweight=".5pt" strokecolor="#000000">
              <v:stroke dashstyle="solid"/>
            </v:rect>
            <v:rect style="position:absolute;left:3395;top:2157;width:63;height:505" filled="true" fillcolor="#cee7e8" stroked="false">
              <v:fill type="solid"/>
            </v:rect>
            <v:rect style="position:absolute;left:3395;top:2157;width:63;height:505" filled="false" stroked="true" strokeweight=".5pt" strokecolor="#000000">
              <v:stroke dashstyle="solid"/>
            </v:rect>
            <v:rect style="position:absolute;left:3326;top:2234;width:63;height:428" filled="true" fillcolor="#cee7e8" stroked="false">
              <v:fill type="solid"/>
            </v:rect>
            <v:rect style="position:absolute;left:3326;top:2234;width:63;height:428" filled="false" stroked="true" strokeweight=".5pt" strokecolor="#000000">
              <v:stroke dashstyle="solid"/>
            </v:rect>
            <v:rect style="position:absolute;left:3188;top:2274;width:63;height:388" filled="true" fillcolor="#cee7e8" stroked="false">
              <v:fill type="solid"/>
            </v:rect>
            <v:rect style="position:absolute;left:3188;top:2274;width:63;height:388" filled="false" stroked="true" strokeweight=".5pt" strokecolor="#000000">
              <v:stroke dashstyle="solid"/>
            </v:rect>
            <v:rect style="position:absolute;left:3119;top:2286;width:63;height:376" filled="true" fillcolor="#cee7e8" stroked="false">
              <v:fill type="solid"/>
            </v:rect>
            <v:rect style="position:absolute;left:3119;top:2286;width:63;height:376" filled="false" stroked="true" strokeweight=".5pt" strokecolor="#000000">
              <v:stroke dashstyle="solid"/>
            </v:rect>
            <v:rect style="position:absolute;left:3050;top:2156;width:63;height:506" filled="true" fillcolor="#cee7e8" stroked="false">
              <v:fill type="solid"/>
            </v:rect>
            <v:rect style="position:absolute;left:3050;top:2156;width:63;height:506" filled="false" stroked="true" strokeweight=".5pt" strokecolor="#000000">
              <v:stroke dashstyle="solid"/>
            </v:rect>
            <v:rect style="position:absolute;left:2981;top:2286;width:63;height:376" filled="true" fillcolor="#cee7e8" stroked="false">
              <v:fill type="solid"/>
            </v:rect>
            <v:rect style="position:absolute;left:2981;top:2286;width:63;height:376" filled="false" stroked="true" strokeweight=".5pt" strokecolor="#000000">
              <v:stroke dashstyle="solid"/>
            </v:rect>
            <v:rect style="position:absolute;left:2912;top:2184;width:63;height:478" filled="true" fillcolor="#cee7e8" stroked="false">
              <v:fill type="solid"/>
            </v:rect>
            <v:rect style="position:absolute;left:2912;top:2184;width:63;height:478" filled="false" stroked="true" strokeweight=".5pt" strokecolor="#000000">
              <v:stroke dashstyle="solid"/>
            </v:rect>
            <v:rect style="position:absolute;left:2844;top:2326;width:63;height:335" filled="true" fillcolor="#cee7e8" stroked="false">
              <v:fill type="solid"/>
            </v:rect>
            <v:rect style="position:absolute;left:2844;top:2326;width:63;height:335" filled="false" stroked="true" strokeweight=".5pt" strokecolor="#000000">
              <v:stroke dashstyle="solid"/>
            </v:rect>
            <v:rect style="position:absolute;left:2775;top:2249;width:63;height:413" filled="true" fillcolor="#cee7e8" stroked="false">
              <v:fill type="solid"/>
            </v:rect>
            <v:rect style="position:absolute;left:2775;top:2249;width:63;height:413" filled="false" stroked="true" strokeweight=".5pt" strokecolor="#000000">
              <v:stroke dashstyle="solid"/>
            </v:rect>
            <v:rect style="position:absolute;left:2706;top:2481;width:63;height:180" filled="true" fillcolor="#cee7e8" stroked="false">
              <v:fill type="solid"/>
            </v:rect>
            <v:rect style="position:absolute;left:2706;top:2481;width:63;height:180" filled="false" stroked="true" strokeweight=".5pt" strokecolor="#000000">
              <v:stroke dashstyle="solid"/>
            </v:rect>
            <v:rect style="position:absolute;left:2637;top:2494;width:63;height:168" filled="true" fillcolor="#cee7e8" stroked="false">
              <v:fill type="solid"/>
            </v:rect>
            <v:rect style="position:absolute;left:2637;top:2494;width:63;height:168" filled="false" stroked="true" strokeweight=".5pt" strokecolor="#000000">
              <v:stroke dashstyle="solid"/>
            </v:rect>
            <v:rect style="position:absolute;left:2568;top:2666;width:63;height:13" filled="true" fillcolor="#cee7e8" stroked="false">
              <v:fill type="solid"/>
            </v:rect>
            <v:rect style="position:absolute;left:2568;top:2666;width:63;height:13" filled="false" stroked="true" strokeweight=".5pt" strokecolor="#000000">
              <v:stroke dashstyle="solid"/>
            </v:rect>
            <v:rect style="position:absolute;left:2499;top:2494;width:63;height:168" filled="true" fillcolor="#cee7e8" stroked="false">
              <v:fill type="solid"/>
            </v:rect>
            <v:rect style="position:absolute;left:2499;top:2494;width:63;height:168" filled="false" stroked="true" strokeweight=".5pt" strokecolor="#000000">
              <v:stroke dashstyle="solid"/>
            </v:rect>
            <v:rect style="position:absolute;left:2430;top:2596;width:63;height:66" filled="true" fillcolor="#cee7e8" stroked="false">
              <v:fill type="solid"/>
            </v:rect>
            <v:rect style="position:absolute;left:2430;top:2596;width:63;height:66" filled="false" stroked="true" strokeweight=".5pt" strokecolor="#000000">
              <v:stroke dashstyle="solid"/>
            </v:rect>
            <v:rect style="position:absolute;left:2361;top:2466;width:63;height:196" filled="true" fillcolor="#cee7e8" stroked="false">
              <v:fill type="solid"/>
            </v:rect>
            <v:rect style="position:absolute;left:2361;top:2466;width:63;height:196" filled="false" stroked="true" strokeweight=".5pt" strokecolor="#000000">
              <v:stroke dashstyle="solid"/>
            </v:rect>
            <v:rect style="position:absolute;left:2292;top:2662;width:63;height:53" filled="true" fillcolor="#cee7e8" stroked="false">
              <v:fill type="solid"/>
            </v:rect>
            <v:rect style="position:absolute;left:2292;top:2662;width:63;height:53" filled="false" stroked="true" strokeweight=".5pt" strokecolor="#000000">
              <v:stroke dashstyle="solid"/>
            </v:rect>
            <v:rect style="position:absolute;left:2223;top:2506;width:63;height:155" filled="true" fillcolor="#cee7e8" stroked="false">
              <v:fill type="solid"/>
            </v:rect>
            <v:rect style="position:absolute;left:2223;top:2506;width:63;height:155" filled="false" stroked="true" strokeweight=".5pt" strokecolor="#000000">
              <v:stroke dashstyle="solid"/>
            </v:rect>
            <v:rect style="position:absolute;left:2155;top:2663;width:63;height:13" filled="true" fillcolor="#cee7e8" stroked="false">
              <v:fill type="solid"/>
            </v:rect>
            <v:rect style="position:absolute;left:2155;top:2663;width:63;height:13" filled="false" stroked="true" strokeweight=".5pt" strokecolor="#000000">
              <v:stroke dashstyle="solid"/>
            </v:rect>
            <v:rect style="position:absolute;left:2086;top:2544;width:63;height:118" filled="true" fillcolor="#cee7e8" stroked="false">
              <v:fill type="solid"/>
            </v:rect>
            <v:rect style="position:absolute;left:2086;top:2544;width:63;height:118" filled="false" stroked="true" strokeweight=".5pt" strokecolor="#000000">
              <v:stroke dashstyle="solid"/>
            </v:rect>
            <v:rect style="position:absolute;left:2017;top:2571;width:63;height:90" filled="true" fillcolor="#cee7e8" stroked="false">
              <v:fill type="solid"/>
            </v:rect>
            <v:rect style="position:absolute;left:2017;top:2571;width:63;height:90" filled="false" stroked="true" strokeweight=".5pt" strokecolor="#000000">
              <v:stroke dashstyle="solid"/>
            </v:rect>
            <v:rect style="position:absolute;left:1948;top:2339;width:63;height:323" filled="true" fillcolor="#cee7e8" stroked="false">
              <v:fill type="solid"/>
            </v:rect>
            <v:rect style="position:absolute;left:1948;top:2339;width:63;height:323" filled="false" stroked="true" strokeweight=".5pt" strokecolor="#000000">
              <v:stroke dashstyle="solid"/>
            </v:rect>
            <v:rect style="position:absolute;left:1879;top:2079;width:63;height:583" filled="true" fillcolor="#cee7e8" stroked="false">
              <v:fill type="solid"/>
            </v:rect>
            <v:rect style="position:absolute;left:1879;top:2079;width:63;height:583" filled="false" stroked="true" strokeweight=".5pt" strokecolor="#000000">
              <v:stroke dashstyle="solid"/>
            </v:rect>
            <v:rect style="position:absolute;left:1810;top:2171;width:63;height:490" filled="true" fillcolor="#cee7e8" stroked="false">
              <v:fill type="solid"/>
            </v:rect>
            <v:rect style="position:absolute;left:1810;top:2171;width:63;height:490" filled="false" stroked="true" strokeweight=".5pt" strokecolor="#000000">
              <v:stroke dashstyle="solid"/>
            </v:rect>
            <v:rect style="position:absolute;left:1738;top:2184;width:63;height:478" filled="true" fillcolor="#cee7e8" stroked="false">
              <v:fill type="solid"/>
            </v:rect>
            <v:rect style="position:absolute;left:1738;top:2184;width:63;height:478" filled="false" stroked="true" strokeweight=".5pt" strokecolor="#000000">
              <v:stroke dashstyle="solid"/>
            </v:rect>
            <v:rect style="position:absolute;left:1669;top:2571;width:63;height:90" filled="true" fillcolor="#cee7e8" stroked="false">
              <v:fill type="solid"/>
            </v:rect>
            <v:rect style="position:absolute;left:1669;top:2571;width:63;height:90" filled="false" stroked="true" strokeweight=".5pt" strokecolor="#000000">
              <v:stroke dashstyle="solid"/>
            </v:rect>
            <v:rect style="position:absolute;left:1600;top:2454;width:63;height:208" filled="true" fillcolor="#cee7e8" stroked="false">
              <v:fill type="solid"/>
            </v:rect>
            <v:rect style="position:absolute;left:1600;top:2454;width:63;height:208" filled="false" stroked="true" strokeweight=".5pt" strokecolor="#000000">
              <v:stroke dashstyle="solid"/>
            </v:rect>
            <v:rect style="position:absolute;left:1531;top:2389;width:63;height:273" filled="true" fillcolor="#cee7e8" stroked="false">
              <v:fill type="solid"/>
            </v:rect>
            <v:rect style="position:absolute;left:1531;top:2389;width:63;height:273" filled="false" stroked="true" strokeweight=".5pt" strokecolor="#000000">
              <v:stroke dashstyle="solid"/>
            </v:rect>
            <v:rect style="position:absolute;left:1462;top:2144;width:63;height:518" filled="true" fillcolor="#cee7e8" stroked="false">
              <v:fill type="solid"/>
            </v:rect>
            <v:rect style="position:absolute;left:1462;top:2144;width:63;height:518" filled="false" stroked="true" strokeweight=".5pt" strokecolor="#000000">
              <v:stroke dashstyle="solid"/>
            </v:rect>
            <v:rect style="position:absolute;left:1393;top:2094;width:63;height:568" filled="true" fillcolor="#cee7e8" stroked="false">
              <v:fill type="solid"/>
            </v:rect>
            <v:rect style="position:absolute;left:1393;top:2094;width:63;height:568" filled="false" stroked="true" strokeweight=".5pt" strokecolor="#000000">
              <v:stroke dashstyle="solid"/>
            </v:rect>
            <v:rect style="position:absolute;left:1324;top:2066;width:63;height:595" filled="true" fillcolor="#cee7e8" stroked="false">
              <v:fill type="solid"/>
            </v:rect>
            <v:rect style="position:absolute;left:1324;top:2066;width:63;height:595" filled="false" stroked="true" strokeweight=".5pt" strokecolor="#000000">
              <v:stroke dashstyle="solid"/>
            </v:rect>
            <v:rect style="position:absolute;left:1186;top:2014;width:63;height:648" filled="true" fillcolor="#cee7e8" stroked="false">
              <v:fill type="solid"/>
            </v:rect>
            <v:rect style="position:absolute;left:1186;top:2014;width:63;height:648" filled="false" stroked="true" strokeweight=".5pt" strokecolor="#000000">
              <v:stroke dashstyle="solid"/>
            </v:rect>
            <v:rect style="position:absolute;left:1255;top:1941;width:63;height:720" filled="true" fillcolor="#cee7e8" stroked="false">
              <v:fill type="solid"/>
            </v:rect>
            <v:rect style="position:absolute;left:1255;top:1941;width:63;height:720" filled="false" stroked="true" strokeweight=".5pt" strokecolor="#000000">
              <v:stroke dashstyle="solid"/>
            </v:rect>
            <v:rect style="position:absolute;left:1117;top:2196;width:63;height:465" filled="true" fillcolor="#cee7e8" stroked="false">
              <v:fill type="solid"/>
            </v:rect>
            <v:rect style="position:absolute;left:1117;top:2196;width:63;height:465" filled="false" stroked="true" strokeweight=".5pt" strokecolor="#000000">
              <v:stroke dashstyle="solid"/>
            </v:rect>
            <v:rect style="position:absolute;left:1048;top:2376;width:63;height:285" filled="true" fillcolor="#cee7e8" stroked="false">
              <v:fill type="solid"/>
            </v:rect>
            <v:rect style="position:absolute;left:1048;top:2376;width:63;height:285" filled="false" stroked="true" strokeweight=".5pt" strokecolor="#000000">
              <v:stroke dashstyle="solid"/>
            </v:rect>
            <v:rect style="position:absolute;left:979;top:2311;width:63;height:351" filled="true" fillcolor="#cee7e8" stroked="false">
              <v:fill type="solid"/>
            </v:rect>
            <v:rect style="position:absolute;left:979;top:2311;width:63;height:351" filled="false" stroked="true" strokeweight=".5pt" strokecolor="#000000">
              <v:stroke dashstyle="solid"/>
            </v:rect>
            <v:line style="position:absolute" from="1260,2657" to="1320,2657" stroked="true" strokeweight=".2504pt" strokecolor="#7f7f7f">
              <v:stroke dashstyle="solid"/>
            </v:line>
            <v:line style="position:absolute" from="983,2659" to="3883,2662" stroked="true" strokeweight=".5pt" strokecolor="#000000">
              <v:stroke dashstyle="solid"/>
            </v:line>
            <v:shape style="position:absolute;left:1012;top:746;width:215;height:180" coordorigin="1013,747" coordsize="215,180" path="m1013,927l1085,902m1085,902l1158,747m1158,747l1228,784e" filled="false" stroked="true" strokeweight="1pt" strokecolor="#006caa">
              <v:path arrowok="t"/>
              <v:stroke dashstyle="solid"/>
            </v:shape>
            <v:line style="position:absolute" from="1218,786" to="1300,786" stroked="true" strokeweight="1.125pt" strokecolor="#006caa">
              <v:stroke dashstyle="solid"/>
            </v:line>
            <v:shape style="position:absolute;left:1290;top:551;width:2560;height:1695" coordorigin="1290,552" coordsize="2560,1695" path="m1290,784l1363,812m1363,812l1433,617m1433,617l1505,552m1505,552l1568,759m1568,759l1638,862m1638,862l1710,1017m1710,1017l1770,812m1770,812l1843,719m1843,719l1915,707m1915,707l1988,954m1988,954l2048,1289m2048,1289l2120,1342m2120,1342l2190,1587m2190,1587l2263,1717m2263,1717l2325,1922m2325,1922l2395,1677m2395,1677l2468,1857m2468,1857l2540,1832m2540,1832l2600,2169m2600,2169l2673,2182m2673,2182l2745,2247m2745,2247l2815,2077m2815,2077l2878,1934m2878,1934l2950,1872m2950,1872l3020,1677m3020,1677l3093,1574m3093,1574l3155,1444m3155,1444l3225,1469m3225,1469l3298,1264m3298,1264l3360,1187m3360,1187l3430,954m3430,954l3503,772m3503,772l3575,719m3575,719l3635,849m3635,849l3708,1017m3708,1017l3780,1159m3780,1159l3850,1134e" filled="false" stroked="true" strokeweight="1pt" strokecolor="#006caa">
              <v:path arrowok="t"/>
              <v:stroke dashstyle="solid"/>
            </v:shape>
            <v:shape style="position:absolute;left:818;top:529;width:87;height:2133" coordorigin="819,529" coordsize="87,2133" path="m819,885l906,885m819,1240l906,1240m819,1596l906,1596m819,1951l906,1951m819,2307l906,2307m819,2662l906,2662m819,529l906,529e" filled="false" stroked="true" strokeweight=".5pt" strokecolor="#000000">
              <v:path arrowok="t"/>
              <v:stroke dashstyle="solid"/>
            </v:shape>
            <v:shape style="position:absolute;left:1997;top:723;width:1117;height:254" type="#_x0000_t202" filled="false" stroked="false">
              <v:textbox inset="0,0,0,0">
                <w:txbxContent>
                  <w:p>
                    <w:pPr>
                      <w:spacing w:line="208" w:lineRule="auto" w:before="9"/>
                      <w:ind w:left="60" w:right="0" w:hanging="60"/>
                      <w:jc w:val="left"/>
                      <w:rPr>
                        <w:sz w:val="12"/>
                      </w:rPr>
                    </w:pPr>
                    <w:r>
                      <w:rPr>
                        <w:sz w:val="12"/>
                      </w:rPr>
                      <w:t>Latest three months on previous year</w:t>
                    </w:r>
                  </w:p>
                </w:txbxContent>
              </v:textbox>
              <w10:wrap type="none"/>
            </v:shape>
            <w10:wrap type="none"/>
          </v:group>
        </w:pict>
      </w:r>
      <w:r>
        <w:rPr>
          <w:color w:val="0092C7"/>
          <w:spacing w:val="-4"/>
        </w:rPr>
        <w:t>Volume </w:t>
      </w:r>
      <w:r>
        <w:rPr>
          <w:color w:val="0092C7"/>
        </w:rPr>
        <w:t>of retail</w:t>
      </w:r>
      <w:r>
        <w:rPr>
          <w:color w:val="0092C7"/>
          <w:spacing w:val="-13"/>
        </w:rPr>
        <w:t> </w:t>
      </w:r>
      <w:r>
        <w:rPr>
          <w:color w:val="0092C7"/>
        </w:rPr>
        <w:t>sales</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
        <w:rPr>
          <w:b/>
          <w:sz w:val="21"/>
        </w:rPr>
      </w:pPr>
    </w:p>
    <w:p>
      <w:pPr>
        <w:spacing w:line="208" w:lineRule="auto" w:before="0"/>
        <w:ind w:left="961" w:right="0" w:hanging="60"/>
        <w:jc w:val="left"/>
        <w:rPr>
          <w:sz w:val="12"/>
        </w:rPr>
      </w:pPr>
      <w:r>
        <w:rPr>
          <w:sz w:val="12"/>
        </w:rPr>
        <w:t>Latest three months on previous three </w:t>
      </w:r>
      <w:r>
        <w:rPr>
          <w:spacing w:val="-3"/>
          <w:sz w:val="12"/>
        </w:rPr>
        <w:t>months</w:t>
      </w:r>
    </w:p>
    <w:p>
      <w:pPr>
        <w:pStyle w:val="BodyText"/>
        <w:spacing w:line="20" w:lineRule="exact"/>
        <w:ind w:left="173"/>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r>
        <w:rPr/>
        <w:br w:type="column"/>
      </w:r>
      <w:r>
        <w:rPr>
          <w:sz w:val="20"/>
        </w:rPr>
      </w:r>
    </w:p>
    <w:p>
      <w:pPr>
        <w:pStyle w:val="BodyText"/>
        <w:rPr>
          <w:sz w:val="20"/>
        </w:rPr>
      </w:pPr>
    </w:p>
    <w:p>
      <w:pPr>
        <w:pStyle w:val="BodyText"/>
        <w:rPr>
          <w:sz w:val="20"/>
        </w:rPr>
      </w:pPr>
    </w:p>
    <w:p>
      <w:pPr>
        <w:spacing w:before="173"/>
        <w:ind w:left="180" w:right="0" w:firstLine="0"/>
        <w:jc w:val="left"/>
        <w:rPr>
          <w:sz w:val="12"/>
        </w:rPr>
      </w:pPr>
      <w:r>
        <w:rPr>
          <w:sz w:val="12"/>
        </w:rPr>
        <w:t>Percentage changes</w:t>
      </w:r>
      <w:r>
        <w:rPr>
          <w:spacing w:val="25"/>
          <w:sz w:val="12"/>
        </w:rPr>
        <w:t> </w:t>
      </w:r>
      <w:r>
        <w:rPr>
          <w:position w:val="-7"/>
          <w:sz w:val="12"/>
        </w:rPr>
        <w:t>6</w:t>
      </w:r>
    </w:p>
    <w:p>
      <w:pPr>
        <w:pStyle w:val="BodyText"/>
        <w:spacing w:before="6"/>
      </w:pPr>
    </w:p>
    <w:p>
      <w:pPr>
        <w:spacing w:before="0"/>
        <w:ind w:left="0" w:right="38" w:firstLine="0"/>
        <w:jc w:val="right"/>
        <w:rPr>
          <w:sz w:val="12"/>
        </w:rPr>
      </w:pPr>
      <w:r>
        <w:rPr/>
        <w:pict>
          <v:line style="position:absolute;mso-position-horizontal-relative:page;mso-position-vertical-relative:paragraph;z-index:15926272" from="198.460999pt,4.353351pt" to="202.794999pt,4.353351pt" stroked="true" strokeweight=".5pt" strokecolor="#000000">
            <v:stroke dashstyle="solid"/>
            <w10:wrap type="none"/>
          </v:line>
        </w:pict>
      </w:r>
      <w:r>
        <w:rPr/>
        <w:pict>
          <v:line style="position:absolute;mso-position-horizontal-relative:page;mso-position-vertical-relative:paragraph;z-index:-23368192" from="198.460999pt,-13.42065pt" to="202.794999pt,-13.42065pt" stroked="true" strokeweight=".5pt" strokecolor="#000000">
            <v:stroke dashstyle="solid"/>
            <w10:wrap type="none"/>
          </v:line>
        </w:pict>
      </w:r>
      <w:r>
        <w:rPr>
          <w:sz w:val="12"/>
        </w:rPr>
        <w:t>5</w:t>
      </w:r>
    </w:p>
    <w:p>
      <w:pPr>
        <w:pStyle w:val="BodyText"/>
        <w:rPr>
          <w:sz w:val="12"/>
        </w:rPr>
      </w:pPr>
    </w:p>
    <w:p>
      <w:pPr>
        <w:spacing w:before="80"/>
        <w:ind w:left="0" w:right="38" w:firstLine="0"/>
        <w:jc w:val="right"/>
        <w:rPr>
          <w:sz w:val="12"/>
        </w:rPr>
      </w:pPr>
      <w:r>
        <w:rPr/>
        <w:pict>
          <v:line style="position:absolute;mso-position-horizontal-relative:page;mso-position-vertical-relative:paragraph;z-index:15926784" from="198.460999pt,8.36197pt" to="202.794999pt,8.36197pt" stroked="true" strokeweight=".5pt" strokecolor="#000000">
            <v:stroke dashstyle="solid"/>
            <w10:wrap type="none"/>
          </v:line>
        </w:pict>
      </w:r>
      <w:r>
        <w:rPr>
          <w:sz w:val="12"/>
        </w:rPr>
        <w:t>4</w:t>
      </w:r>
    </w:p>
    <w:p>
      <w:pPr>
        <w:pStyle w:val="BodyText"/>
        <w:rPr>
          <w:sz w:val="12"/>
        </w:rPr>
      </w:pPr>
    </w:p>
    <w:p>
      <w:pPr>
        <w:spacing w:before="79"/>
        <w:ind w:left="0" w:right="38" w:firstLine="0"/>
        <w:jc w:val="right"/>
        <w:rPr>
          <w:sz w:val="12"/>
        </w:rPr>
      </w:pPr>
      <w:r>
        <w:rPr/>
        <w:pict>
          <v:line style="position:absolute;mso-position-horizontal-relative:page;mso-position-vertical-relative:paragraph;z-index:15927296" from="198.460999pt,8.320589pt" to="202.794999pt,8.320589pt" stroked="true" strokeweight=".5pt" strokecolor="#000000">
            <v:stroke dashstyle="solid"/>
            <w10:wrap type="none"/>
          </v:line>
        </w:pict>
      </w:r>
      <w:r>
        <w:rPr>
          <w:sz w:val="12"/>
        </w:rPr>
        <w:t>3</w:t>
      </w:r>
    </w:p>
    <w:p>
      <w:pPr>
        <w:pStyle w:val="BodyText"/>
        <w:rPr>
          <w:sz w:val="12"/>
        </w:rPr>
      </w:pPr>
    </w:p>
    <w:p>
      <w:pPr>
        <w:spacing w:before="79"/>
        <w:ind w:left="0" w:right="38" w:firstLine="0"/>
        <w:jc w:val="right"/>
        <w:rPr>
          <w:sz w:val="12"/>
        </w:rPr>
      </w:pPr>
      <w:r>
        <w:rPr/>
        <w:pict>
          <v:line style="position:absolute;mso-position-horizontal-relative:page;mso-position-vertical-relative:paragraph;z-index:15927808" from="198.460999pt,8.329147pt" to="202.794999pt,8.329147pt" stroked="true" strokeweight=".5pt" strokecolor="#000000">
            <v:stroke dashstyle="solid"/>
            <w10:wrap type="none"/>
          </v:line>
        </w:pict>
      </w:r>
      <w:r>
        <w:rPr>
          <w:sz w:val="12"/>
        </w:rPr>
        <w:t>2</w:t>
      </w:r>
    </w:p>
    <w:p>
      <w:pPr>
        <w:pStyle w:val="BodyText"/>
        <w:rPr>
          <w:sz w:val="12"/>
        </w:rPr>
      </w:pPr>
    </w:p>
    <w:p>
      <w:pPr>
        <w:spacing w:before="79"/>
        <w:ind w:left="0" w:right="38" w:firstLine="0"/>
        <w:jc w:val="right"/>
        <w:rPr>
          <w:sz w:val="12"/>
        </w:rPr>
      </w:pPr>
      <w:r>
        <w:rPr/>
        <w:pict>
          <v:line style="position:absolute;mso-position-horizontal-relative:page;mso-position-vertical-relative:paragraph;z-index:15928320" from="198.460999pt,8.337766pt" to="202.794999pt,8.337766pt" stroked="true" strokeweight=".5pt" strokecolor="#000000">
            <v:stroke dashstyle="solid"/>
            <w10:wrap type="none"/>
          </v:line>
        </w:pict>
      </w:r>
      <w:r>
        <w:rPr>
          <w:sz w:val="12"/>
        </w:rPr>
        <w:t>1</w:t>
      </w:r>
    </w:p>
    <w:p>
      <w:pPr>
        <w:spacing w:line="171" w:lineRule="exact" w:before="60"/>
        <w:ind w:left="1099" w:right="0" w:firstLine="0"/>
        <w:jc w:val="left"/>
        <w:rPr>
          <w:sz w:val="16"/>
        </w:rPr>
      </w:pPr>
      <w:r>
        <w:rPr>
          <w:sz w:val="16"/>
        </w:rPr>
        <w:t>+</w:t>
      </w:r>
    </w:p>
    <w:p>
      <w:pPr>
        <w:spacing w:line="158" w:lineRule="auto" w:before="10"/>
        <w:ind w:left="1111" w:right="0" w:firstLine="0"/>
        <w:jc w:val="left"/>
        <w:rPr>
          <w:sz w:val="12"/>
        </w:rPr>
      </w:pPr>
      <w:r>
        <w:rPr/>
        <w:pict>
          <v:line style="position:absolute;mso-position-horizontal-relative:page;mso-position-vertical-relative:paragraph;z-index:15929344" from="198.460999pt,3.71701pt" to="202.794999pt,3.71701pt" stroked="true" strokeweight=".5pt" strokecolor="#000000">
            <v:stroke dashstyle="solid"/>
            <w10:wrap type="none"/>
          </v:line>
        </w:pict>
      </w:r>
      <w:r>
        <w:rPr>
          <w:spacing w:val="-7"/>
          <w:position w:val="-7"/>
          <w:sz w:val="16"/>
        </w:rPr>
        <w:t>_</w:t>
      </w:r>
      <w:r>
        <w:rPr>
          <w:spacing w:val="-7"/>
          <w:sz w:val="12"/>
        </w:rPr>
        <w:t>0</w:t>
      </w:r>
    </w:p>
    <w:p>
      <w:pPr>
        <w:spacing w:before="168"/>
        <w:ind w:left="0" w:right="38" w:firstLine="0"/>
        <w:jc w:val="right"/>
        <w:rPr>
          <w:sz w:val="12"/>
        </w:rPr>
      </w:pPr>
      <w:r>
        <w:rPr/>
        <w:pict>
          <v:line style="position:absolute;mso-position-horizontal-relative:page;mso-position-vertical-relative:paragraph;z-index:15928832" from="198.460999pt,12.804943pt" to="202.794999pt,12.804943pt" stroked="true" strokeweight=".5pt" strokecolor="#000000">
            <v:stroke dashstyle="solid"/>
            <w10:wrap type="none"/>
          </v:line>
        </w:pict>
      </w:r>
      <w:r>
        <w:rPr>
          <w:sz w:val="12"/>
        </w:rPr>
        <w:t>1</w:t>
      </w:r>
    </w:p>
    <w:p>
      <w:pPr>
        <w:pStyle w:val="BodyText"/>
        <w:rPr>
          <w:sz w:val="12"/>
        </w:rPr>
      </w:pPr>
    </w:p>
    <w:p>
      <w:pPr>
        <w:spacing w:line="102" w:lineRule="exact" w:before="79"/>
        <w:ind w:left="1178" w:right="0" w:firstLine="0"/>
        <w:jc w:val="left"/>
        <w:rPr>
          <w:sz w:val="12"/>
        </w:rPr>
      </w:pPr>
      <w:r>
        <w:rPr/>
        <w:pict>
          <v:shape style="position:absolute;margin-left:40.945pt;margin-top:5.055562pt;width:153.6pt;height:3.4pt;mso-position-horizontal-relative:page;mso-position-vertical-relative:paragraph;z-index:15925760" coordorigin="819,101" coordsize="3072,68" path="m981,168l3891,168m979,101l979,168m1810,101l1810,168m2641,101l2641,168m3471,101l3471,168m819,167l906,167e" filled="false" stroked="true" strokeweight=".5pt" strokecolor="#000000">
            <v:path arrowok="t"/>
            <v:stroke dashstyle="solid"/>
            <w10:wrap type="none"/>
          </v:shape>
        </w:pict>
      </w:r>
      <w:r>
        <w:rPr>
          <w:sz w:val="12"/>
        </w:rPr>
        <w:t>2</w:t>
      </w:r>
    </w:p>
    <w:p>
      <w:pPr>
        <w:pStyle w:val="BodyText"/>
        <w:spacing w:line="20" w:lineRule="exact"/>
        <w:ind w:left="1031"/>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7"/>
        <w:rPr>
          <w:sz w:val="20"/>
        </w:rPr>
      </w:pPr>
      <w:r>
        <w:rPr/>
        <w:br w:type="column"/>
      </w:r>
      <w:r>
        <w:rPr>
          <w:sz w:val="20"/>
        </w:rPr>
      </w:r>
    </w:p>
    <w:p>
      <w:pPr>
        <w:spacing w:line="242" w:lineRule="auto" w:before="0"/>
        <w:ind w:left="180" w:right="375" w:firstLine="0"/>
        <w:jc w:val="left"/>
        <w:rPr>
          <w:sz w:val="24"/>
        </w:rPr>
      </w:pPr>
      <w:r>
        <w:rPr>
          <w:sz w:val="24"/>
        </w:rPr>
        <w:t>In the second quarter, spending on services is likely to have picked up from erratically weak growth in Q1, but that may have been offset by weaker growth in</w:t>
      </w:r>
    </w:p>
    <w:p>
      <w:pPr>
        <w:spacing w:line="242" w:lineRule="auto" w:before="4"/>
        <w:ind w:left="180" w:right="277" w:firstLine="0"/>
        <w:jc w:val="left"/>
        <w:rPr>
          <w:sz w:val="24"/>
        </w:rPr>
      </w:pPr>
      <w:r>
        <w:rPr>
          <w:sz w:val="24"/>
        </w:rPr>
        <w:t>goods spending. Following unusually high sales </w:t>
      </w:r>
      <w:r>
        <w:rPr>
          <w:spacing w:val="-3"/>
          <w:sz w:val="24"/>
        </w:rPr>
        <w:t>around </w:t>
      </w:r>
      <w:r>
        <w:rPr>
          <w:sz w:val="24"/>
        </w:rPr>
        <w:t>the </w:t>
      </w:r>
      <w:r>
        <w:rPr>
          <w:spacing w:val="-3"/>
          <w:sz w:val="24"/>
        </w:rPr>
        <w:t>new </w:t>
      </w:r>
      <w:r>
        <w:rPr>
          <w:sz w:val="24"/>
        </w:rPr>
        <w:t>millennium period, retail sales volumes grew by only 0.3% in 2000 Q2 (see Chart 2.5), consistent with some weakening in growth of other indicators of spending, such as notes and coin and</w:t>
      </w:r>
      <w:r>
        <w:rPr>
          <w:spacing w:val="-17"/>
          <w:sz w:val="24"/>
        </w:rPr>
        <w:t> </w:t>
      </w:r>
      <w:r>
        <w:rPr>
          <w:sz w:val="24"/>
        </w:rPr>
        <w:t>household</w:t>
      </w:r>
    </w:p>
    <w:p>
      <w:pPr>
        <w:spacing w:line="242" w:lineRule="auto" w:before="6"/>
        <w:ind w:left="180" w:right="455" w:firstLine="0"/>
        <w:jc w:val="left"/>
        <w:rPr>
          <w:sz w:val="24"/>
        </w:rPr>
      </w:pPr>
      <w:r>
        <w:rPr>
          <w:sz w:val="24"/>
        </w:rPr>
        <w:t>Divisia money </w:t>
      </w:r>
      <w:hyperlink w:history="true" w:anchor="_bookmark1">
        <w:r>
          <w:rPr>
            <w:sz w:val="24"/>
          </w:rPr>
          <w:t>(</w:t>
        </w:r>
        <w:r>
          <w:rPr>
            <w:color w:val="FF0000"/>
            <w:sz w:val="24"/>
          </w:rPr>
          <w:t>see Section 1</w:t>
        </w:r>
        <w:r>
          <w:rPr>
            <w:sz w:val="24"/>
          </w:rPr>
          <w:t>).</w:t>
        </w:r>
      </w:hyperlink>
      <w:r>
        <w:rPr>
          <w:sz w:val="24"/>
        </w:rPr>
        <w:t> Recent survey evidence on consumer spending has been somewhat mixed, but overall perhaps pointed to a slight slowdown in consumption growth further ahead. The July CBI distributive trades survey reported a fall in</w:t>
      </w:r>
    </w:p>
    <w:p>
      <w:pPr>
        <w:spacing w:after="0" w:line="242" w:lineRule="auto"/>
        <w:jc w:val="left"/>
        <w:rPr>
          <w:sz w:val="24"/>
        </w:rPr>
        <w:sectPr>
          <w:type w:val="continuous"/>
          <w:pgSz w:w="11900" w:h="16840"/>
          <w:pgMar w:top="1260" w:bottom="280" w:left="640" w:right="640"/>
          <w:cols w:num="3" w:equalWidth="0">
            <w:col w:w="2069" w:space="224"/>
            <w:col w:w="1279" w:space="1228"/>
            <w:col w:w="5820"/>
          </w:cols>
        </w:sectPr>
      </w:pPr>
    </w:p>
    <w:p>
      <w:pPr>
        <w:tabs>
          <w:tab w:pos="1524" w:val="left" w:leader="none"/>
          <w:tab w:pos="2382" w:val="left" w:leader="none"/>
        </w:tabs>
        <w:spacing w:line="114" w:lineRule="exact" w:before="0"/>
        <w:ind w:left="600" w:right="0" w:firstLine="0"/>
        <w:jc w:val="left"/>
        <w:rPr>
          <w:sz w:val="12"/>
        </w:rPr>
      </w:pPr>
      <w:r>
        <w:rPr>
          <w:sz w:val="12"/>
        </w:rPr>
        <w:t>1997</w:t>
        <w:tab/>
        <w:t>98</w:t>
        <w:tab/>
        <w:t>99</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2"/>
        </w:rPr>
      </w:pPr>
    </w:p>
    <w:p>
      <w:pPr>
        <w:pStyle w:val="Heading6"/>
        <w:spacing w:line="159" w:lineRule="exact" w:before="0"/>
      </w:pPr>
      <w:r>
        <w:rPr>
          <w:color w:val="0092C7"/>
        </w:rPr>
        <w:t>Chart 2.6</w:t>
      </w:r>
    </w:p>
    <w:p>
      <w:pPr>
        <w:spacing w:line="114" w:lineRule="exact" w:before="0"/>
        <w:ind w:left="180" w:right="0" w:firstLine="0"/>
        <w:jc w:val="left"/>
        <w:rPr>
          <w:sz w:val="12"/>
        </w:rPr>
      </w:pPr>
      <w:r>
        <w:rPr/>
        <w:br w:type="column"/>
      </w:r>
      <w:r>
        <w:rPr>
          <w:sz w:val="12"/>
        </w:rPr>
        <w:t>2000</w:t>
      </w:r>
    </w:p>
    <w:p>
      <w:pPr>
        <w:spacing w:line="251" w:lineRule="exact" w:before="0"/>
        <w:ind w:left="180" w:right="0" w:firstLine="0"/>
        <w:jc w:val="left"/>
        <w:rPr>
          <w:sz w:val="24"/>
        </w:rPr>
      </w:pPr>
      <w:r>
        <w:rPr/>
        <w:br w:type="column"/>
      </w:r>
      <w:r>
        <w:rPr>
          <w:sz w:val="24"/>
        </w:rPr>
        <w:t>retailers’ expectations of future sales growth and the</w:t>
      </w:r>
    </w:p>
    <w:p>
      <w:pPr>
        <w:spacing w:line="242" w:lineRule="auto" w:before="4"/>
        <w:ind w:left="180" w:right="455" w:firstLine="0"/>
        <w:jc w:val="left"/>
        <w:rPr>
          <w:sz w:val="24"/>
        </w:rPr>
      </w:pPr>
      <w:r>
        <w:rPr>
          <w:sz w:val="24"/>
        </w:rPr>
        <w:t>GfK index of consumer confidence has fallen in recent months, reflecting lower optimism about the general economic situation. By contrast, the latest</w:t>
      </w:r>
    </w:p>
    <w:p>
      <w:pPr>
        <w:spacing w:after="0" w:line="242" w:lineRule="auto"/>
        <w:jc w:val="left"/>
        <w:rPr>
          <w:sz w:val="24"/>
        </w:rPr>
        <w:sectPr>
          <w:type w:val="continuous"/>
          <w:pgSz w:w="11900" w:h="16840"/>
          <w:pgMar w:top="1260" w:bottom="280" w:left="640" w:right="640"/>
          <w:cols w:num="3" w:equalWidth="0">
            <w:col w:w="2543" w:space="217"/>
            <w:col w:w="461" w:space="1579"/>
            <w:col w:w="5820"/>
          </w:cols>
        </w:sectPr>
      </w:pPr>
    </w:p>
    <w:p>
      <w:pPr>
        <w:pStyle w:val="Heading6"/>
        <w:spacing w:line="249" w:lineRule="auto" w:before="81"/>
        <w:ind w:right="16"/>
        <w:rPr>
          <w:b w:val="0"/>
          <w:sz w:val="12"/>
        </w:rPr>
      </w:pPr>
      <w:r>
        <w:rPr>
          <w:color w:val="0092C7"/>
        </w:rPr>
        <w:t>Revisions to household consumption expenditure growth</w:t>
      </w:r>
      <w:r>
        <w:rPr>
          <w:b w:val="0"/>
          <w:position w:val="4"/>
          <w:sz w:val="12"/>
        </w:rPr>
        <w:t>(a)</w:t>
      </w:r>
    </w:p>
    <w:p>
      <w:pPr>
        <w:spacing w:line="242" w:lineRule="auto" w:before="0"/>
        <w:ind w:left="180" w:right="520" w:firstLine="0"/>
        <w:jc w:val="left"/>
        <w:rPr>
          <w:sz w:val="24"/>
        </w:rPr>
      </w:pPr>
      <w:r>
        <w:rPr/>
        <w:br w:type="column"/>
      </w:r>
      <w:r>
        <w:rPr>
          <w:sz w:val="24"/>
        </w:rPr>
        <w:t>MORI and Consumers’ Association surveys reported modest improvements in consumer sentiment. And a</w:t>
      </w:r>
    </w:p>
    <w:p>
      <w:pPr>
        <w:spacing w:after="0" w:line="242" w:lineRule="auto"/>
        <w:jc w:val="left"/>
        <w:rPr>
          <w:sz w:val="24"/>
        </w:rPr>
        <w:sectPr>
          <w:type w:val="continuous"/>
          <w:pgSz w:w="11900" w:h="16840"/>
          <w:pgMar w:top="1260" w:bottom="280" w:left="640" w:right="640"/>
          <w:cols w:num="2" w:equalWidth="0">
            <w:col w:w="3312" w:space="1488"/>
            <w:col w:w="5820"/>
          </w:cols>
        </w:sectPr>
      </w:pPr>
    </w:p>
    <w:p>
      <w:pPr>
        <w:spacing w:before="36"/>
        <w:ind w:left="165" w:right="0" w:firstLine="0"/>
        <w:jc w:val="left"/>
        <w:rPr>
          <w:sz w:val="12"/>
        </w:rPr>
      </w:pPr>
      <w:r>
        <w:rPr>
          <w:sz w:val="12"/>
        </w:rPr>
        <w:t>Year on previous year</w:t>
      </w:r>
    </w:p>
    <w:p>
      <w:pPr>
        <w:pStyle w:val="BodyText"/>
        <w:spacing w:line="20" w:lineRule="exact"/>
        <w:ind w:left="16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8"/>
        <w:rPr>
          <w:sz w:val="13"/>
        </w:rPr>
      </w:pPr>
    </w:p>
    <w:p>
      <w:pPr>
        <w:spacing w:line="208" w:lineRule="auto" w:before="1"/>
        <w:ind w:left="564" w:right="0" w:hanging="60"/>
        <w:jc w:val="left"/>
        <w:rPr>
          <w:sz w:val="12"/>
        </w:rPr>
      </w:pPr>
      <w:r>
        <w:rPr>
          <w:sz w:val="12"/>
        </w:rPr>
        <w:t>Average annual </w:t>
      </w:r>
      <w:r>
        <w:rPr>
          <w:spacing w:val="-3"/>
          <w:sz w:val="12"/>
        </w:rPr>
        <w:t>growth </w:t>
      </w:r>
      <w:r>
        <w:rPr>
          <w:sz w:val="12"/>
        </w:rPr>
        <w:t>rate (1955–99)</w:t>
      </w:r>
    </w:p>
    <w:p>
      <w:pPr>
        <w:pStyle w:val="BodyText"/>
        <w:spacing w:before="7"/>
        <w:rPr>
          <w:sz w:val="6"/>
        </w:rPr>
      </w:pPr>
    </w:p>
    <w:p>
      <w:pPr>
        <w:pStyle w:val="BodyText"/>
        <w:spacing w:line="20" w:lineRule="exact"/>
        <w:ind w:left="16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before="36"/>
        <w:ind w:left="165" w:right="0" w:firstLine="0"/>
        <w:jc w:val="left"/>
        <w:rPr>
          <w:sz w:val="12"/>
        </w:rPr>
      </w:pPr>
      <w:r>
        <w:rPr/>
        <w:br w:type="column"/>
      </w:r>
      <w:r>
        <w:rPr>
          <w:sz w:val="12"/>
        </w:rPr>
        <w:t>Percentage changes </w:t>
      </w:r>
      <w:r>
        <w:rPr>
          <w:position w:val="-7"/>
          <w:sz w:val="12"/>
        </w:rPr>
        <w:t>6</w:t>
      </w:r>
    </w:p>
    <w:p>
      <w:pPr>
        <w:pStyle w:val="BodyText"/>
        <w:spacing w:before="5"/>
        <w:rPr>
          <w:sz w:val="29"/>
        </w:rPr>
      </w:pPr>
    </w:p>
    <w:p>
      <w:pPr>
        <w:spacing w:before="0"/>
        <w:ind w:left="0" w:right="38" w:firstLine="0"/>
        <w:jc w:val="right"/>
        <w:rPr>
          <w:sz w:val="12"/>
        </w:rPr>
      </w:pPr>
      <w:r>
        <w:rPr/>
        <w:pict>
          <v:group style="position:absolute;margin-left:49.533001pt;margin-top:1.99929pt;width:145.25pt;height:66.95pt;mso-position-horizontal-relative:page;mso-position-vertical-relative:paragraph;z-index:-23366144" coordorigin="991,40" coordsize="2905,1339">
            <v:shape style="position:absolute;left:1100;top:61;width:2685;height:890" coordorigin="1101,61" coordsize="2685,890" path="m1101,951l1318,551m1318,551l1546,424m1546,424l1776,389m1776,389l1993,224m1993,224l2221,551m2221,551l2448,679m2448,679l2666,841m2666,841l2896,551m2896,551l3113,496m3113,496l3341,406m3341,406l3568,61m3568,61l3786,569e" filled="false" stroked="true" strokeweight="1pt" strokecolor="#00a2a0">
              <v:path arrowok="t"/>
              <v:stroke dashstyle="solid"/>
            </v:shape>
            <v:shape style="position:absolute;left:1775;top:316;width:2010;height:1053" coordorigin="1776,316" coordsize="2010,1053" path="m1776,389l1993,514m1993,514l2221,914m2221,914l2448,1079m2448,1079l2666,1369m2666,1369l2896,734m2896,734l3113,661m3113,661l3341,624m3341,624l3568,316m3568,316l3786,896e" filled="false" stroked="true" strokeweight="1pt" strokecolor="#006caa">
              <v:path arrowok="t"/>
              <v:stroke dashstyle="solid"/>
            </v:shape>
            <v:line style="position:absolute" from="3891,1172" to="996,1174" stroked="true" strokeweight=".5pt" strokecolor="#000000">
              <v:stroke dashstyle="solid"/>
            </v:line>
            <v:line style="position:absolute" from="1412,40" to="1412,1073" stroked="true" strokeweight=".5pt" strokecolor="#000000">
              <v:stroke dashstyle="solid"/>
            </v:line>
            <v:shape style="position:absolute;left:1386;top:1056;width:51;height:85" coordorigin="1387,1056" coordsize="51,85" path="m1437,1056l1387,1056,1393,1072,1398,1084,1412,1141,1413,1132,1416,1121,1419,1109,1422,1097,1426,1085,1437,1056xe" filled="true" fillcolor="#000000" stroked="false">
              <v:path arrowok="t"/>
              <v:fill type="solid"/>
            </v:shape>
            <v:shape style="position:absolute;left:2092;top:193;width:477;height:133" type="#_x0000_t202" filled="false" stroked="false">
              <v:textbox inset="0,0,0,0">
                <w:txbxContent>
                  <w:p>
                    <w:pPr>
                      <w:spacing w:line="133" w:lineRule="exact" w:before="0"/>
                      <w:ind w:left="0" w:right="0" w:firstLine="0"/>
                      <w:jc w:val="left"/>
                      <w:rPr>
                        <w:sz w:val="12"/>
                      </w:rPr>
                    </w:pPr>
                    <w:r>
                      <w:rPr>
                        <w:sz w:val="12"/>
                      </w:rPr>
                      <w:t>New data</w:t>
                    </w:r>
                  </w:p>
                </w:txbxContent>
              </v:textbox>
              <w10:wrap type="none"/>
            </v:shape>
            <v:shape style="position:absolute;left:3050;top:682;width:430;height:133" type="#_x0000_t202" filled="false" stroked="false">
              <v:textbox inset="0,0,0,0">
                <w:txbxContent>
                  <w:p>
                    <w:pPr>
                      <w:spacing w:line="133" w:lineRule="exact" w:before="0"/>
                      <w:ind w:left="0" w:right="0" w:firstLine="0"/>
                      <w:jc w:val="left"/>
                      <w:rPr>
                        <w:sz w:val="12"/>
                      </w:rPr>
                    </w:pPr>
                    <w:r>
                      <w:rPr>
                        <w:sz w:val="12"/>
                      </w:rPr>
                      <w:t>Old data</w:t>
                    </w:r>
                  </w:p>
                </w:txbxContent>
              </v:textbox>
              <w10:wrap type="none"/>
            </v:shape>
            <w10:wrap type="none"/>
          </v:group>
        </w:pict>
      </w:r>
      <w:r>
        <w:rPr/>
        <w:pict>
          <v:line style="position:absolute;mso-position-horizontal-relative:page;mso-position-vertical-relative:paragraph;z-index:-23363072" from="199.384995pt,-19.96171pt" to="203.716995pt,-19.96171pt" stroked="true" strokeweight=".5pt" strokecolor="#000000">
            <v:stroke dashstyle="solid"/>
            <w10:wrap type="none"/>
          </v:line>
        </w:pict>
      </w:r>
      <w:r>
        <w:rPr/>
        <w:pict>
          <v:line style="position:absolute;mso-position-horizontal-relative:page;mso-position-vertical-relative:paragraph;z-index:15935488" from="199.384995pt,3.82129pt" to="203.716995pt,3.82129pt" stroked="true" strokeweight=".5pt" strokecolor="#000000">
            <v:stroke dashstyle="solid"/>
            <w10:wrap type="none"/>
          </v:line>
        </w:pict>
      </w:r>
      <w:r>
        <w:rPr>
          <w:sz w:val="12"/>
        </w:rPr>
        <w:t>5</w:t>
      </w:r>
    </w:p>
    <w:p>
      <w:pPr>
        <w:spacing w:line="242" w:lineRule="auto" w:before="0"/>
        <w:ind w:left="165" w:right="0" w:firstLine="0"/>
        <w:jc w:val="left"/>
        <w:rPr>
          <w:sz w:val="24"/>
        </w:rPr>
      </w:pPr>
      <w:r>
        <w:rPr/>
        <w:br w:type="column"/>
      </w:r>
      <w:r>
        <w:rPr>
          <w:sz w:val="24"/>
        </w:rPr>
        <w:t>survey by the Bank’s regional Agents showed a small recovery in retailers’ expectations of sales in coming months.</w:t>
      </w:r>
    </w:p>
    <w:p>
      <w:pPr>
        <w:spacing w:after="0" w:line="242" w:lineRule="auto"/>
        <w:jc w:val="left"/>
        <w:rPr>
          <w:sz w:val="24"/>
        </w:rPr>
        <w:sectPr>
          <w:type w:val="continuous"/>
          <w:pgSz w:w="11900" w:h="16840"/>
          <w:pgMar w:top="1260" w:bottom="280" w:left="640" w:right="640"/>
          <w:cols w:num="3" w:equalWidth="0">
            <w:col w:w="1672" w:space="654"/>
            <w:col w:w="1266" w:space="1222"/>
            <w:col w:w="5806"/>
          </w:cols>
        </w:sectPr>
      </w:pPr>
    </w:p>
    <w:p>
      <w:pPr>
        <w:pStyle w:val="BodyText"/>
        <w:spacing w:before="10"/>
        <w:rPr>
          <w:sz w:val="11"/>
        </w:rPr>
      </w:pPr>
    </w:p>
    <w:p>
      <w:pPr>
        <w:spacing w:after="0"/>
        <w:rPr>
          <w:sz w:val="11"/>
        </w:rPr>
        <w:sectPr>
          <w:type w:val="continuous"/>
          <w:pgSz w:w="11900" w:h="16840"/>
          <w:pgMar w:top="1260" w:bottom="280" w:left="640" w:right="640"/>
        </w:sectPr>
      </w:pPr>
    </w:p>
    <w:p>
      <w:pPr>
        <w:pStyle w:val="BodyText"/>
        <w:rPr>
          <w:sz w:val="15"/>
        </w:rPr>
      </w:pPr>
    </w:p>
    <w:p>
      <w:pPr>
        <w:pStyle w:val="BodyText"/>
        <w:spacing w:line="20" w:lineRule="exact"/>
        <w:ind w:left="16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spacing w:before="2"/>
        <w:rPr>
          <w:sz w:val="16"/>
        </w:rPr>
      </w:pPr>
      <w:r>
        <w:rPr/>
        <w:pict>
          <v:shape style="position:absolute;margin-left:40.266998pt;margin-top:11.533977pt;width:4.350pt;height:.1pt;mso-position-horizontal-relative:page;mso-position-vertical-relative:paragraph;z-index:-15534592;mso-wrap-distance-left:0;mso-wrap-distance-right:0" coordorigin="805,231" coordsize="87,0" path="m805,231l892,231e" filled="false" stroked="true" strokeweight=".5pt" strokecolor="#000000">
            <v:path arrowok="t"/>
            <v:stroke dashstyle="solid"/>
            <w10:wrap type="topAndBottom"/>
          </v:shape>
        </w:pict>
      </w:r>
    </w:p>
    <w:p>
      <w:pPr>
        <w:pStyle w:val="BodyText"/>
        <w:rPr>
          <w:sz w:val="12"/>
        </w:rPr>
      </w:pPr>
    </w:p>
    <w:p>
      <w:pPr>
        <w:pStyle w:val="BodyText"/>
        <w:spacing w:before="10"/>
        <w:rPr>
          <w:sz w:val="10"/>
        </w:rPr>
      </w:pPr>
    </w:p>
    <w:p>
      <w:pPr>
        <w:spacing w:before="1"/>
        <w:ind w:left="165" w:right="0" w:firstLine="0"/>
        <w:jc w:val="left"/>
        <w:rPr>
          <w:sz w:val="12"/>
        </w:rPr>
      </w:pPr>
      <w:r>
        <w:rPr>
          <w:sz w:val="12"/>
        </w:rPr>
        <w:t>Quarter on previous quarter</w:t>
      </w:r>
    </w:p>
    <w:p>
      <w:pPr>
        <w:pStyle w:val="BodyText"/>
        <w:rPr>
          <w:sz w:val="3"/>
        </w:rPr>
      </w:pPr>
    </w:p>
    <w:p>
      <w:pPr>
        <w:pStyle w:val="BodyText"/>
        <w:spacing w:line="20" w:lineRule="exact"/>
        <w:ind w:left="16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spacing w:before="2"/>
        <w:rPr>
          <w:sz w:val="16"/>
        </w:rPr>
      </w:pPr>
      <w:r>
        <w:rPr/>
        <w:pict>
          <v:shape style="position:absolute;margin-left:40.266998pt;margin-top:11.545783pt;width:4.350pt;height:.1pt;mso-position-horizontal-relative:page;mso-position-vertical-relative:paragraph;z-index:-15533568;mso-wrap-distance-left:0;mso-wrap-distance-right:0" coordorigin="805,231" coordsize="87,0" path="m805,231l892,231e" filled="false" stroked="true" strokeweight=".5pt" strokecolor="#000000">
            <v:path arrowok="t"/>
            <v:stroke dashstyle="solid"/>
            <w10:wrap type="topAndBottom"/>
          </v:shape>
        </w:pict>
      </w:r>
    </w:p>
    <w:p>
      <w:pPr>
        <w:pStyle w:val="BodyText"/>
        <w:rPr>
          <w:sz w:val="20"/>
        </w:rPr>
      </w:pPr>
    </w:p>
    <w:p>
      <w:pPr>
        <w:pStyle w:val="BodyText"/>
        <w:spacing w:before="6"/>
        <w:rPr>
          <w:sz w:val="14"/>
        </w:rPr>
      </w:pPr>
      <w:r>
        <w:rPr/>
        <w:pict>
          <v:shape style="position:absolute;margin-left:40.266998pt;margin-top:10.583977pt;width:4.350pt;height:.1pt;mso-position-horizontal-relative:page;mso-position-vertical-relative:paragraph;z-index:-15533056;mso-wrap-distance-left:0;mso-wrap-distance-right:0" coordorigin="805,212" coordsize="87,0" path="m805,212l892,212e" filled="false" stroked="true" strokeweight=".5pt" strokecolor="#000000">
            <v:path arrowok="t"/>
            <v:stroke dashstyle="solid"/>
            <w10:wrap type="topAndBottom"/>
          </v:shape>
        </w:pic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6"/>
        </w:rPr>
      </w:pPr>
    </w:p>
    <w:p>
      <w:pPr>
        <w:spacing w:before="0"/>
        <w:ind w:left="165" w:right="0" w:firstLine="0"/>
        <w:jc w:val="left"/>
        <w:rPr>
          <w:sz w:val="12"/>
        </w:rPr>
      </w:pPr>
      <w:r>
        <w:rPr>
          <w:sz w:val="12"/>
        </w:rPr>
        <w:t>Old data</w:t>
      </w:r>
    </w:p>
    <w:p>
      <w:pPr>
        <w:spacing w:before="95"/>
        <w:ind w:left="1191" w:right="0" w:firstLine="0"/>
        <w:jc w:val="left"/>
        <w:rPr>
          <w:sz w:val="12"/>
        </w:rPr>
      </w:pPr>
      <w:r>
        <w:rPr/>
        <w:br w:type="column"/>
      </w:r>
      <w:r>
        <w:rPr>
          <w:sz w:val="12"/>
        </w:rPr>
        <w:t>4</w:t>
      </w:r>
    </w:p>
    <w:p>
      <w:pPr>
        <w:pStyle w:val="BodyText"/>
        <w:rPr>
          <w:sz w:val="12"/>
        </w:rPr>
      </w:pPr>
    </w:p>
    <w:p>
      <w:pPr>
        <w:pStyle w:val="BodyText"/>
        <w:spacing w:before="4"/>
        <w:rPr>
          <w:sz w:val="17"/>
        </w:rPr>
      </w:pPr>
    </w:p>
    <w:p>
      <w:pPr>
        <w:spacing w:before="0"/>
        <w:ind w:left="1191" w:right="0" w:firstLine="0"/>
        <w:jc w:val="left"/>
        <w:rPr>
          <w:sz w:val="12"/>
        </w:rPr>
      </w:pPr>
      <w:r>
        <w:rPr/>
        <w:pict>
          <v:line style="position:absolute;mso-position-horizontal-relative:page;mso-position-vertical-relative:paragraph;z-index:15932416" from="199.384995pt,-19.935116pt" to="203.716995pt,-19.935116pt" stroked="true" strokeweight=".5pt" strokecolor="#000000">
            <v:stroke dashstyle="solid"/>
            <w10:wrap type="none"/>
          </v:line>
        </w:pict>
      </w:r>
      <w:r>
        <w:rPr/>
        <w:pict>
          <v:line style="position:absolute;mso-position-horizontal-relative:page;mso-position-vertical-relative:paragraph;z-index:15932928" from="199.384995pt,3.847884pt" to="203.716995pt,3.847884pt" stroked="true" strokeweight=".5pt" strokecolor="#000000">
            <v:stroke dashstyle="solid"/>
            <w10:wrap type="none"/>
          </v:line>
        </w:pict>
      </w:r>
      <w:r>
        <w:rPr>
          <w:sz w:val="12"/>
        </w:rPr>
        <w:t>3</w:t>
      </w:r>
    </w:p>
    <w:p>
      <w:pPr>
        <w:pStyle w:val="BodyText"/>
        <w:rPr>
          <w:sz w:val="12"/>
        </w:rPr>
      </w:pPr>
    </w:p>
    <w:p>
      <w:pPr>
        <w:pStyle w:val="BodyText"/>
        <w:spacing w:before="4"/>
        <w:rPr>
          <w:sz w:val="17"/>
        </w:rPr>
      </w:pPr>
    </w:p>
    <w:p>
      <w:pPr>
        <w:spacing w:before="0"/>
        <w:ind w:left="1191" w:right="0" w:firstLine="0"/>
        <w:jc w:val="left"/>
        <w:rPr>
          <w:sz w:val="12"/>
        </w:rPr>
      </w:pPr>
      <w:r>
        <w:rPr/>
        <w:pict>
          <v:line style="position:absolute;mso-position-horizontal-relative:page;mso-position-vertical-relative:paragraph;z-index:15933952" from="199.384995pt,3.860682pt" to="203.716995pt,3.860682pt" stroked="true" strokeweight=".5pt" strokecolor="#000000">
            <v:stroke dashstyle="solid"/>
            <w10:wrap type="none"/>
          </v:line>
        </w:pict>
      </w:r>
      <w:r>
        <w:rPr>
          <w:sz w:val="12"/>
        </w:rPr>
        <w:t>2</w:t>
      </w:r>
    </w:p>
    <w:p>
      <w:pPr>
        <w:spacing w:before="43"/>
        <w:ind w:left="165" w:right="0" w:firstLine="0"/>
        <w:jc w:val="left"/>
        <w:rPr>
          <w:sz w:val="12"/>
        </w:rPr>
      </w:pPr>
      <w:r>
        <w:rPr/>
        <w:pict>
          <v:group style="position:absolute;margin-left:48.969002pt;margin-top:1.851891pt;width:146pt;height:43.25pt;mso-position-horizontal-relative:page;mso-position-vertical-relative:paragraph;z-index:-23367680" coordorigin="979,37" coordsize="2920,865">
            <v:rect style="position:absolute;left:1015;top:532;width:73;height:365" filled="true" fillcolor="#006caa" stroked="false">
              <v:fill type="solid"/>
            </v:rect>
            <v:rect style="position:absolute;left:1015;top:532;width:75;height:365" filled="false" stroked="true" strokeweight=".5pt" strokecolor="#000000">
              <v:stroke dashstyle="solid"/>
            </v:rect>
            <v:rect style="position:absolute;left:1087;top:532;width:88;height:365" filled="true" fillcolor="#00a2a0" stroked="false">
              <v:fill type="solid"/>
            </v:rect>
            <v:rect style="position:absolute;left:1087;top:532;width:88;height:365" filled="false" stroked="true" strokeweight=".5pt" strokecolor="#000000">
              <v:stroke dashstyle="solid"/>
            </v:rect>
            <v:rect style="position:absolute;left:1245;top:149;width:75;height:748" filled="true" fillcolor="#006caa" stroked="false">
              <v:fill type="solid"/>
            </v:rect>
            <v:rect style="position:absolute;left:1245;top:149;width:75;height:748" filled="false" stroked="true" strokeweight=".5pt" strokecolor="#000000">
              <v:stroke dashstyle="solid"/>
            </v:rect>
            <v:rect style="position:absolute;left:1318;top:149;width:75;height:748" filled="true" fillcolor="#00a2a0" stroked="false">
              <v:fill type="solid"/>
            </v:rect>
            <v:rect style="position:absolute;left:1318;top:149;width:75;height:748" filled="false" stroked="true" strokeweight=".5pt" strokecolor="#000000">
              <v:stroke dashstyle="solid"/>
            </v:rect>
            <v:rect style="position:absolute;left:1465;top:494;width:73;height:403" filled="true" fillcolor="#006caa" stroked="false">
              <v:fill type="solid"/>
            </v:rect>
            <v:rect style="position:absolute;left:1465;top:494;width:75;height:403" filled="false" stroked="true" strokeweight=".5pt" strokecolor="#000000">
              <v:stroke dashstyle="solid"/>
            </v:rect>
            <v:rect style="position:absolute;left:1537;top:494;width:85;height:403" filled="true" fillcolor="#00a2a0" stroked="false">
              <v:fill type="solid"/>
            </v:rect>
            <v:rect style="position:absolute;left:1537;top:494;width:85;height:403" filled="false" stroked="true" strokeweight=".5pt" strokecolor="#000000">
              <v:stroke dashstyle="solid"/>
            </v:rect>
            <v:rect style="position:absolute;left:1694;top:369;width:75;height:528" filled="true" fillcolor="#006caa" stroked="false">
              <v:fill type="solid"/>
            </v:rect>
            <v:rect style="position:absolute;left:1694;top:369;width:75;height:528" filled="false" stroked="true" strokeweight=".5pt" strokecolor="#000000">
              <v:stroke dashstyle="solid"/>
            </v:rect>
            <v:rect style="position:absolute;left:1767;top:369;width:75;height:528" filled="true" fillcolor="#00a2a0" stroked="false">
              <v:fill type="solid"/>
            </v:rect>
            <v:rect style="position:absolute;left:1767;top:369;width:75;height:528" filled="false" stroked="true" strokeweight=".5pt" strokecolor="#000000">
              <v:stroke dashstyle="solid"/>
            </v:rect>
            <v:rect style="position:absolute;left:1914;top:659;width:73;height:238" filled="true" fillcolor="#006caa" stroked="false">
              <v:fill type="solid"/>
            </v:rect>
            <v:rect style="position:absolute;left:1914;top:659;width:75;height:238" filled="false" stroked="true" strokeweight=".5pt" strokecolor="#000000">
              <v:stroke dashstyle="solid"/>
            </v:rect>
            <v:rect style="position:absolute;left:1986;top:387;width:85;height:510" filled="true" fillcolor="#00a2a0" stroked="false">
              <v:fill type="solid"/>
            </v:rect>
            <v:rect style="position:absolute;left:1986;top:387;width:85;height:510" filled="false" stroked="true" strokeweight=".5pt" strokecolor="#000000">
              <v:stroke dashstyle="solid"/>
            </v:rect>
            <v:rect style="position:absolute;left:2137;top:532;width:73;height:365" filled="true" fillcolor="#006caa" stroked="false">
              <v:fill type="solid"/>
            </v:rect>
            <v:rect style="position:absolute;left:2137;top:532;width:75;height:365" filled="false" stroked="true" strokeweight=".5pt" strokecolor="#000000">
              <v:stroke dashstyle="solid"/>
            </v:rect>
            <v:rect style="position:absolute;left:2209;top:459;width:88;height:438" filled="true" fillcolor="#00a2a0" stroked="false">
              <v:fill type="solid"/>
            </v:rect>
            <v:rect style="position:absolute;left:2209;top:459;width:88;height:438" filled="false" stroked="true" strokeweight=".5pt" strokecolor="#000000">
              <v:stroke dashstyle="solid"/>
            </v:rect>
            <v:rect style="position:absolute;left:2368;top:659;width:75;height:238" filled="true" fillcolor="#006caa" stroked="false">
              <v:fill type="solid"/>
            </v:rect>
            <v:rect style="position:absolute;left:2368;top:659;width:75;height:238" filled="false" stroked="true" strokeweight=".5pt" strokecolor="#000000">
              <v:stroke dashstyle="solid"/>
            </v:rect>
            <v:rect style="position:absolute;left:2440;top:622;width:75;height:275" filled="true" fillcolor="#00a2a0" stroked="false">
              <v:fill type="solid"/>
            </v:rect>
            <v:rect style="position:absolute;left:2440;top:622;width:75;height:275" filled="false" stroked="true" strokeweight=".5pt" strokecolor="#000000">
              <v:stroke dashstyle="solid"/>
            </v:rect>
            <v:rect style="position:absolute;left:2587;top:659;width:73;height:238" filled="true" fillcolor="#006caa" stroked="false">
              <v:fill type="solid"/>
            </v:rect>
            <v:rect style="position:absolute;left:2587;top:659;width:75;height:238" filled="false" stroked="true" strokeweight=".5pt" strokecolor="#000000">
              <v:stroke dashstyle="solid"/>
            </v:rect>
            <v:rect style="position:absolute;left:2660;top:532;width:85;height:365" filled="true" fillcolor="#00a2a0" stroked="false">
              <v:fill type="solid"/>
            </v:rect>
            <v:rect style="position:absolute;left:2660;top:532;width:85;height:365" filled="false" stroked="true" strokeweight=".5pt" strokecolor="#000000">
              <v:stroke dashstyle="solid"/>
            </v:rect>
            <v:rect style="position:absolute;left:2812;top:42;width:75;height:855" filled="true" fillcolor="#006caa" stroked="false">
              <v:fill type="solid"/>
            </v:rect>
            <v:rect style="position:absolute;left:2812;top:42;width:75;height:855" filled="false" stroked="true" strokeweight=".5pt" strokecolor="#000000">
              <v:stroke dashstyle="solid"/>
            </v:rect>
            <v:rect style="position:absolute;left:2884;top:97;width:85;height:800" filled="true" fillcolor="#00a2a0" stroked="false">
              <v:fill type="solid"/>
            </v:rect>
            <v:rect style="position:absolute;left:2884;top:97;width:85;height:800" filled="false" stroked="true" strokeweight=".5pt" strokecolor="#000000">
              <v:stroke dashstyle="solid"/>
            </v:rect>
            <v:rect style="position:absolute;left:3041;top:442;width:75;height:455" filled="true" fillcolor="#006caa" stroked="false">
              <v:fill type="solid"/>
            </v:rect>
            <v:rect style="position:absolute;left:3041;top:442;width:75;height:455" filled="false" stroked="true" strokeweight=".5pt" strokecolor="#000000">
              <v:stroke dashstyle="solid"/>
            </v:rect>
            <v:rect style="position:absolute;left:3113;top:404;width:75;height:493" filled="true" fillcolor="#00a2a0" stroked="false">
              <v:fill type="solid"/>
            </v:rect>
            <v:rect style="position:absolute;left:3113;top:404;width:75;height:493" filled="false" stroked="true" strokeweight=".5pt" strokecolor="#000000">
              <v:stroke dashstyle="solid"/>
            </v:rect>
            <v:rect style="position:absolute;left:3259;top:622;width:73;height:275" filled="true" fillcolor="#006caa" stroked="false">
              <v:fill type="solid"/>
            </v:rect>
            <v:rect style="position:absolute;left:3259;top:622;width:75;height:275" filled="false" stroked="true" strokeweight=".5pt" strokecolor="#000000">
              <v:stroke dashstyle="solid"/>
            </v:rect>
            <v:rect style="position:absolute;left:3332;top:532;width:88;height:365" filled="true" fillcolor="#00a2a0" stroked="false">
              <v:fill type="solid"/>
            </v:rect>
            <v:rect style="position:absolute;left:3332;top:532;width:88;height:365" filled="false" stroked="true" strokeweight=".5pt" strokecolor="#000000">
              <v:stroke dashstyle="solid"/>
            </v:rect>
            <v:rect style="position:absolute;left:3490;top:349;width:75;height:548" filled="true" fillcolor="#006caa" stroked="false">
              <v:fill type="solid"/>
            </v:rect>
            <v:rect style="position:absolute;left:3490;top:349;width:75;height:548" filled="false" stroked="true" strokeweight=".5pt" strokecolor="#000000">
              <v:stroke dashstyle="solid"/>
            </v:rect>
            <v:rect style="position:absolute;left:3562;top:187;width:75;height:710" filled="true" fillcolor="#00a2a0" stroked="false">
              <v:fill type="solid"/>
            </v:rect>
            <v:rect style="position:absolute;left:3562;top:187;width:75;height:710" filled="false" stroked="true" strokeweight=".5pt" strokecolor="#000000">
              <v:stroke dashstyle="solid"/>
            </v:rect>
            <v:rect style="position:absolute;left:3709;top:604;width:73;height:293" filled="true" fillcolor="#006caa" stroked="false">
              <v:fill type="solid"/>
            </v:rect>
            <v:rect style="position:absolute;left:3709;top:604;width:75;height:293" filled="false" stroked="true" strokeweight=".5pt" strokecolor="#000000">
              <v:stroke dashstyle="solid"/>
            </v:rect>
            <v:rect style="position:absolute;left:3782;top:604;width:85;height:293" filled="true" fillcolor="#00a2a0" stroked="false">
              <v:fill type="solid"/>
            </v:rect>
            <v:shape style="position:absolute;left:983;top:604;width:2912;height:293" coordorigin="983,605" coordsize="2912,293" path="m3782,605l3867,605,3867,897,3782,897,3782,605xm983,896l3895,896m984,780l984,896m1208,849l1208,896m1432,849l1432,896m1656,849l1656,896m1880,780l1880,896m2103,849l2103,896m2327,849l2327,896m2551,849l2551,896m2775,780l2775,896m2998,849l2998,896m3222,849l3222,896m3446,849l3446,896m3670,780l3670,896m3894,849l3894,896e" filled="false" stroked="true" strokeweight=".5pt" strokecolor="#000000">
              <v:path arrowok="t"/>
              <v:stroke dashstyle="solid"/>
            </v:shape>
            <w10:wrap type="none"/>
          </v:group>
        </w:pict>
      </w:r>
      <w:r>
        <w:rPr>
          <w:sz w:val="12"/>
        </w:rPr>
        <w:t>New data</w:t>
      </w:r>
    </w:p>
    <w:p>
      <w:pPr>
        <w:pStyle w:val="BodyText"/>
        <w:spacing w:before="7"/>
        <w:rPr>
          <w:sz w:val="13"/>
        </w:rPr>
      </w:pPr>
    </w:p>
    <w:p>
      <w:pPr>
        <w:spacing w:before="0"/>
        <w:ind w:left="1191" w:right="0" w:firstLine="0"/>
        <w:jc w:val="left"/>
        <w:rPr>
          <w:sz w:val="12"/>
        </w:rPr>
      </w:pPr>
      <w:r>
        <w:rPr/>
        <w:pict>
          <v:line style="position:absolute;mso-position-horizontal-relative:page;mso-position-vertical-relative:paragraph;z-index:15933440" from="199.384995pt,3.875479pt" to="203.716995pt,3.875479pt" stroked="true" strokeweight=".5pt" strokecolor="#000000">
            <v:stroke dashstyle="solid"/>
            <w10:wrap type="none"/>
          </v:line>
        </w:pict>
      </w:r>
      <w:r>
        <w:rPr>
          <w:sz w:val="12"/>
        </w:rPr>
        <w:t>1</w:t>
      </w:r>
    </w:p>
    <w:p>
      <w:pPr>
        <w:pStyle w:val="BodyText"/>
        <w:rPr>
          <w:sz w:val="12"/>
        </w:rPr>
      </w:pPr>
    </w:p>
    <w:p>
      <w:pPr>
        <w:pStyle w:val="BodyText"/>
        <w:spacing w:before="4"/>
        <w:rPr>
          <w:sz w:val="17"/>
        </w:rPr>
      </w:pPr>
    </w:p>
    <w:p>
      <w:pPr>
        <w:spacing w:line="111" w:lineRule="exact" w:before="0"/>
        <w:ind w:left="1191" w:right="0" w:firstLine="0"/>
        <w:jc w:val="left"/>
        <w:rPr>
          <w:sz w:val="12"/>
        </w:rPr>
      </w:pPr>
      <w:r>
        <w:rPr/>
        <w:pict>
          <v:line style="position:absolute;mso-position-horizontal-relative:page;mso-position-vertical-relative:paragraph;z-index:15934464" from="199.384995pt,4.159307pt" to="203.716995pt,4.159307pt" stroked="true" strokeweight=".5pt" strokecolor="#000000">
            <v:stroke dashstyle="solid"/>
            <w10:wrap type="none"/>
          </v:line>
        </w:pict>
      </w:r>
      <w:r>
        <w:rPr>
          <w:sz w:val="12"/>
        </w:rPr>
        <w:t>0</w:t>
      </w:r>
    </w:p>
    <w:p>
      <w:pPr>
        <w:spacing w:line="242" w:lineRule="auto" w:before="138"/>
        <w:ind w:left="165" w:right="501" w:firstLine="0"/>
        <w:jc w:val="left"/>
        <w:rPr>
          <w:sz w:val="24"/>
        </w:rPr>
      </w:pPr>
      <w:r>
        <w:rPr/>
        <w:br w:type="column"/>
      </w:r>
      <w:r>
        <w:rPr>
          <w:sz w:val="24"/>
        </w:rPr>
        <w:t>Despite slower growth in the first quarter than in 1999 Q4, upward revisions in the National Accounts</w:t>
      </w:r>
    </w:p>
    <w:p>
      <w:pPr>
        <w:spacing w:line="242" w:lineRule="auto" w:before="2"/>
        <w:ind w:left="165" w:right="161" w:firstLine="0"/>
        <w:jc w:val="left"/>
        <w:rPr>
          <w:sz w:val="24"/>
        </w:rPr>
      </w:pPr>
      <w:r>
        <w:rPr>
          <w:sz w:val="24"/>
        </w:rPr>
        <w:t>mean that household consumption has risen more</w:t>
      </w:r>
      <w:r>
        <w:rPr>
          <w:spacing w:val="-43"/>
          <w:sz w:val="24"/>
        </w:rPr>
        <w:t> </w:t>
      </w:r>
      <w:r>
        <w:rPr>
          <w:sz w:val="24"/>
        </w:rPr>
        <w:t>rapidly </w:t>
      </w:r>
      <w:r>
        <w:rPr>
          <w:spacing w:val="-3"/>
          <w:sz w:val="24"/>
        </w:rPr>
        <w:t>over </w:t>
      </w:r>
      <w:r>
        <w:rPr>
          <w:sz w:val="24"/>
        </w:rPr>
        <w:t>the past two years than previously thought (see Chart 2.6).  Over this period, spending growth has tended to outpace growth of household real incomes. In 2000</w:t>
      </w:r>
      <w:r>
        <w:rPr>
          <w:spacing w:val="-6"/>
          <w:sz w:val="24"/>
        </w:rPr>
        <w:t> </w:t>
      </w:r>
      <w:r>
        <w:rPr>
          <w:sz w:val="24"/>
        </w:rPr>
        <w:t>Q1</w:t>
      </w:r>
      <w:r>
        <w:rPr>
          <w:spacing w:val="-6"/>
          <w:sz w:val="24"/>
        </w:rPr>
        <w:t> </w:t>
      </w:r>
      <w:r>
        <w:rPr>
          <w:sz w:val="24"/>
        </w:rPr>
        <w:t>annual</w:t>
      </w:r>
      <w:r>
        <w:rPr>
          <w:spacing w:val="-6"/>
          <w:sz w:val="24"/>
        </w:rPr>
        <w:t> </w:t>
      </w:r>
      <w:r>
        <w:rPr>
          <w:sz w:val="24"/>
        </w:rPr>
        <w:t>growth</w:t>
      </w:r>
      <w:r>
        <w:rPr>
          <w:spacing w:val="-6"/>
          <w:sz w:val="24"/>
        </w:rPr>
        <w:t> </w:t>
      </w:r>
      <w:r>
        <w:rPr>
          <w:sz w:val="24"/>
        </w:rPr>
        <w:t>in</w:t>
      </w:r>
      <w:r>
        <w:rPr>
          <w:spacing w:val="-6"/>
          <w:sz w:val="24"/>
        </w:rPr>
        <w:t> </w:t>
      </w:r>
      <w:r>
        <w:rPr>
          <w:sz w:val="24"/>
        </w:rPr>
        <w:t>real</w:t>
      </w:r>
      <w:r>
        <w:rPr>
          <w:spacing w:val="-6"/>
          <w:sz w:val="24"/>
        </w:rPr>
        <w:t> </w:t>
      </w:r>
      <w:r>
        <w:rPr>
          <w:sz w:val="24"/>
        </w:rPr>
        <w:t>post-tax</w:t>
      </w:r>
      <w:r>
        <w:rPr>
          <w:spacing w:val="-6"/>
          <w:sz w:val="24"/>
        </w:rPr>
        <w:t> </w:t>
      </w:r>
      <w:r>
        <w:rPr>
          <w:sz w:val="24"/>
        </w:rPr>
        <w:t>income</w:t>
      </w:r>
      <w:r>
        <w:rPr>
          <w:spacing w:val="-6"/>
          <w:sz w:val="24"/>
        </w:rPr>
        <w:t> </w:t>
      </w:r>
      <w:r>
        <w:rPr>
          <w:sz w:val="24"/>
        </w:rPr>
        <w:t>remained</w:t>
      </w:r>
    </w:p>
    <w:p>
      <w:pPr>
        <w:spacing w:after="0" w:line="242" w:lineRule="auto"/>
        <w:jc w:val="left"/>
        <w:rPr>
          <w:sz w:val="24"/>
        </w:rPr>
        <w:sectPr>
          <w:type w:val="continuous"/>
          <w:pgSz w:w="11900" w:h="16840"/>
          <w:pgMar w:top="1260" w:bottom="280" w:left="640" w:right="640"/>
          <w:cols w:num="4" w:equalWidth="0">
            <w:col w:w="1495" w:space="68"/>
            <w:col w:w="616" w:space="122"/>
            <w:col w:w="1292" w:space="1222"/>
            <w:col w:w="5805"/>
          </w:cols>
        </w:sectPr>
      </w:pPr>
    </w:p>
    <w:p>
      <w:pPr>
        <w:tabs>
          <w:tab w:pos="1637" w:val="left" w:leader="none"/>
          <w:tab w:pos="2525" w:val="left" w:leader="none"/>
          <w:tab w:pos="3048" w:val="left" w:leader="none"/>
        </w:tabs>
        <w:spacing w:before="19"/>
        <w:ind w:left="678" w:right="0" w:firstLine="0"/>
        <w:jc w:val="left"/>
        <w:rPr>
          <w:sz w:val="12"/>
        </w:rPr>
      </w:pPr>
      <w:r>
        <w:rPr>
          <w:sz w:val="12"/>
        </w:rPr>
        <w:t>1997</w:t>
        <w:tab/>
        <w:t>98</w:t>
        <w:tab/>
        <w:t>99</w:t>
        <w:tab/>
        <w:t>2000</w:t>
      </w:r>
    </w:p>
    <w:p>
      <w:pPr>
        <w:spacing w:before="74"/>
        <w:ind w:left="171" w:right="0" w:firstLine="0"/>
        <w:jc w:val="left"/>
        <w:rPr>
          <w:sz w:val="12"/>
        </w:rPr>
      </w:pPr>
      <w:r>
        <w:rPr>
          <w:sz w:val="12"/>
        </w:rPr>
        <w:t>(a) At constant 1995 market prices.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2"/>
        </w:rPr>
      </w:pPr>
    </w:p>
    <w:p>
      <w:pPr>
        <w:pStyle w:val="Heading6"/>
        <w:spacing w:before="1"/>
        <w:ind w:left="200"/>
      </w:pPr>
      <w:r>
        <w:rPr>
          <w:color w:val="0092C7"/>
        </w:rPr>
        <w:t>Chart 2.7</w:t>
      </w:r>
    </w:p>
    <w:p>
      <w:pPr>
        <w:pStyle w:val="Heading6"/>
        <w:spacing w:line="249" w:lineRule="auto"/>
        <w:ind w:left="200"/>
      </w:pPr>
      <w:r>
        <w:rPr>
          <w:color w:val="0092C7"/>
        </w:rPr>
        <w:t>Saving ratio and household financial balance</w:t>
      </w:r>
    </w:p>
    <w:p>
      <w:pPr>
        <w:spacing w:line="114" w:lineRule="exact" w:before="67"/>
        <w:ind w:left="1533" w:right="0" w:firstLine="0"/>
        <w:jc w:val="left"/>
        <w:rPr>
          <w:sz w:val="12"/>
        </w:rPr>
      </w:pPr>
      <w:r>
        <w:rPr>
          <w:sz w:val="12"/>
        </w:rPr>
        <w:t>Percentage of household post-tax income</w:t>
      </w:r>
    </w:p>
    <w:p>
      <w:pPr>
        <w:spacing w:line="114" w:lineRule="exact" w:before="0"/>
        <w:ind w:left="3557" w:right="0" w:firstLine="0"/>
        <w:jc w:val="left"/>
        <w:rPr>
          <w:sz w:val="12"/>
        </w:rPr>
      </w:pPr>
      <w:r>
        <w:rPr/>
        <w:pict>
          <v:group style="position:absolute;margin-left:50pt;margin-top:5.899742pt;width:149pt;height:139.7pt;mso-position-horizontal-relative:page;mso-position-vertical-relative:paragraph;z-index:15937024" coordorigin="1000,118" coordsize="2980,2794">
            <v:shape style="position:absolute;left:1062;top:1318;width:78;height:408" coordorigin="1063,1318" coordsize="78,408" path="m1063,1725l1085,1318m1085,1318l1118,1600m1118,1600l1140,1615e" filled="false" stroked="true" strokeweight="1pt" strokecolor="#006caa">
              <v:path arrowok="t"/>
              <v:stroke dashstyle="solid"/>
            </v:shape>
            <v:line style="position:absolute" from="1151,1605" to="1151,1908" stroked="true" strokeweight="2.125pt" strokecolor="#006caa">
              <v:stroke dashstyle="solid"/>
            </v:line>
            <v:line style="position:absolute" from="1163,1898" to="1185,1945" stroked="true" strokeweight="1pt" strokecolor="#006caa">
              <v:stroke dashstyle="solid"/>
            </v:line>
            <v:line style="position:absolute" from="1196,1935" to="1196,2220" stroked="true" strokeweight="2.125pt" strokecolor="#006caa">
              <v:stroke dashstyle="solid"/>
            </v:line>
            <v:line style="position:absolute" from="1208,2210" to="1230,2148" stroked="true" strokeweight="1pt" strokecolor="#006caa">
              <v:stroke dashstyle="solid"/>
            </v:line>
            <v:line style="position:absolute" from="1241,1918" to="1241,2158" stroked="true" strokeweight="2.125pt" strokecolor="#006caa">
              <v:stroke dashstyle="solid"/>
            </v:line>
            <v:line style="position:absolute" from="1269,1513" to="1269,1938" stroked="true" strokeweight="2.625pt" strokecolor="#006caa">
              <v:stroke dashstyle="solid"/>
            </v:line>
            <v:line style="position:absolute" from="1285,1523" to="1308,1975" stroked="true" strokeweight="1pt" strokecolor="#006caa">
              <v:stroke dashstyle="solid"/>
            </v:line>
            <v:shape style="position:absolute;left:1297;top:1385;width:188;height:600" type="#_x0000_t75" stroked="false">
              <v:imagedata r:id="rId70" o:title=""/>
            </v:shape>
            <v:shape style="position:absolute;left:1475;top:800;width:168;height:955" coordorigin="1475,800" coordsize="168,955" path="m1475,1755l1498,1225m1498,1225l1520,1255m1520,1255l1543,800m1543,800l1565,1600m1565,1600l1588,1178m1588,1178l1608,1303m1608,1303l1643,1115e" filled="false" stroked="true" strokeweight="1pt" strokecolor="#006caa">
              <v:path arrowok="t"/>
              <v:stroke dashstyle="solid"/>
            </v:shape>
            <v:shape style="position:absolute;left:1632;top:1105;width:65;height:395" coordorigin="1633,1105" coordsize="65,395" path="m1698,1120l1675,1120,1675,1105,1633,1105,1633,1500,1655,1500,1675,1500,1698,1500,1698,1120xe" filled="true" fillcolor="#006caa" stroked="false">
              <v:path arrowok="t"/>
              <v:fill type="solid"/>
            </v:shape>
            <v:line style="position:absolute" from="1688,1130" to="1710,1630" stroked="true" strokeweight="1pt" strokecolor="#006caa">
              <v:stroke dashstyle="solid"/>
            </v:line>
            <v:shape style="position:absolute;left:1700;top:1120;width:230;height:755" type="#_x0000_t75" stroked="false">
              <v:imagedata r:id="rId71" o:title=""/>
            </v:shape>
            <v:shape style="position:absolute;left:1920;top:818;width:145;height:1110" coordorigin="1920,818" coordsize="145,1110" path="m1920,1130l1943,1928m1943,1928l1978,1270m1978,1270l2000,818m2000,818l2023,1333m2023,1333l2043,943m2043,943l2065,910e" filled="false" stroked="true" strokeweight="1pt" strokecolor="#006caa">
              <v:path arrowok="t"/>
              <v:stroke dashstyle="solid"/>
            </v:shape>
            <v:line style="position:absolute" from="2076,635" to="2076,920" stroked="true" strokeweight="2.125pt" strokecolor="#006caa">
              <v:stroke dashstyle="solid"/>
            </v:line>
            <v:line style="position:absolute" from="2088,645" to="2110,738" stroked="true" strokeweight="1pt" strokecolor="#006caa">
              <v:stroke dashstyle="solid"/>
            </v:line>
            <v:line style="position:absolute" from="2121,728" to="2121,1078" stroked="true" strokeweight="2.125pt" strokecolor="#006caa">
              <v:stroke dashstyle="solid"/>
            </v:line>
            <v:shape style="position:absolute;left:2132;top:1068;width:100;height:158" coordorigin="2133,1068" coordsize="100,158" path="m2133,1068l2168,1225m2168,1225l2188,1068m2188,1068l2210,1178m2210,1178l2233,1068e" filled="false" stroked="true" strokeweight="1pt" strokecolor="#006caa">
              <v:path arrowok="t"/>
              <v:stroke dashstyle="solid"/>
            </v:shape>
            <v:line style="position:absolute" from="2244,1058" to="2244,1405" stroked="true" strokeweight="2.125pt" strokecolor="#006caa">
              <v:stroke dashstyle="solid"/>
            </v:line>
            <v:shape style="position:absolute;left:2255;top:1303;width:190;height:375" coordorigin="2255,1303" coordsize="190,375" path="m2255,1395l2278,1568m2278,1568l2300,1615m2300,1615l2333,1490m2333,1490l2355,1678m2355,1678l2378,1585m2378,1585l2400,1475m2400,1475l2423,1490m2423,1490l2445,1303e" filled="false" stroked="true" strokeweight="1pt" strokecolor="#006caa">
              <v:path arrowok="t"/>
              <v:stroke dashstyle="solid"/>
            </v:shape>
            <v:line style="position:absolute" from="2456,1073" to="2456,1313" stroked="true" strokeweight="2.125pt" strokecolor="#006caa">
              <v:stroke dashstyle="solid"/>
            </v:line>
            <v:line style="position:absolute" from="2484,1073" to="2484,1468" stroked="true" strokeweight="2.625pt" strokecolor="#006caa">
              <v:stroke dashstyle="solid"/>
            </v:line>
            <v:line style="position:absolute" from="2500,1458" to="2523,1270" stroked="true" strokeweight="1pt" strokecolor="#006caa">
              <v:stroke dashstyle="solid"/>
            </v:line>
            <v:line style="position:absolute" from="2534,1260" to="2534,1563" stroked="true" strokeweight="2.125pt" strokecolor="#006caa">
              <v:stroke dashstyle="solid"/>
            </v:line>
            <v:shape style="position:absolute;left:2545;top:1490;width:168;height:705" coordorigin="2545,1490" coordsize="168,705" path="m2545,1553l2568,1490m2568,1490l2590,1693m2590,1693l2613,1600m2613,1600l2635,2008m2635,2008l2658,2118m2658,2118l2690,2180m2690,2180l2713,2195e" filled="false" stroked="true" strokeweight="1pt" strokecolor="#006caa">
              <v:path arrowok="t"/>
              <v:stroke dashstyle="solid"/>
            </v:shape>
            <v:line style="position:absolute" from="2724,2185" to="2724,2425" stroked="true" strokeweight="2.125pt" strokecolor="#006caa">
              <v:stroke dashstyle="solid"/>
            </v:line>
            <v:line style="position:absolute" from="2735,2415" to="2758,2273" stroked="true" strokeweight="1pt" strokecolor="#006caa">
              <v:stroke dashstyle="solid"/>
            </v:line>
            <v:line style="position:absolute" from="2769,2263" to="2769,2675" stroked="true" strokeweight="2.125pt" strokecolor="#006caa">
              <v:stroke dashstyle="solid"/>
            </v:line>
            <v:line style="position:absolute" from="2780,2665" to="2803,2555" stroked="true" strokeweight="1pt" strokecolor="#006caa">
              <v:stroke dashstyle="solid"/>
            </v:line>
            <v:line style="position:absolute" from="2814,2545" to="2814,2830" stroked="true" strokeweight="2.125pt" strokecolor="#006caa">
              <v:stroke dashstyle="solid"/>
            </v:line>
            <v:shape style="position:absolute;left:2825;top:1678;width:223;height:1143" coordorigin="2825,1678" coordsize="223,1143" path="m2825,2820l2858,2648m2858,2648l2880,2743m2880,2743l2903,2555m2903,2555l2925,1975m2925,1975l2948,1928m2948,1928l2970,1898m2970,1898l2993,1913m2993,1913l3015,1820m3015,1820l3048,1678e" filled="false" stroked="true" strokeweight="1pt" strokecolor="#006caa">
              <v:path arrowok="t"/>
              <v:stroke dashstyle="solid"/>
            </v:shape>
            <v:line style="position:absolute" from="3059,1418" to="3059,1688" stroked="true" strokeweight="2.125pt" strokecolor="#006caa">
              <v:stroke dashstyle="solid"/>
            </v:line>
            <v:shape style="position:absolute;left:3070;top:928;width:278;height:515" coordorigin="3070,928" coordsize="278,515" path="m3070,1428l3093,1443m3093,1443l3115,1270m3115,1270l3138,1288m3138,1288l3183,973m3183,973l3215,928m3215,928l3238,973m3238,973l3260,990m3260,990l3283,1083m3283,1083l3305,1240m3305,1240l3328,1053m3328,1053l3348,1443e" filled="false" stroked="true" strokeweight="1pt" strokecolor="#006caa">
              <v:path arrowok="t"/>
              <v:stroke dashstyle="solid"/>
            </v:shape>
            <v:shape style="position:absolute;left:3337;top:1198;width:413;height:568" type="#_x0000_t75" stroked="false">
              <v:imagedata r:id="rId72" o:title=""/>
            </v:shape>
            <v:line style="position:absolute" from="3740,1710" to="3763,2148" stroked="true" strokeweight="1pt" strokecolor="#006caa">
              <v:stroke dashstyle="solid"/>
            </v:line>
            <v:shape style="position:absolute;left:3752;top:1918;width:185;height:428" type="#_x0000_t75" stroked="false">
              <v:imagedata r:id="rId73" o:title=""/>
            </v:shape>
            <v:shape style="position:absolute;left:1052;top:1043;width:210;height:520" type="#_x0000_t75" stroked="false">
              <v:imagedata r:id="rId74" o:title=""/>
            </v:shape>
            <v:line style="position:absolute" from="1253,1365" to="1285,785" stroked="true" strokeweight="1pt" strokecolor="#de0035">
              <v:stroke dashstyle="solid"/>
            </v:line>
            <v:line style="position:absolute" from="1296,775" to="1296,1188" stroked="true" strokeweight="2.125pt" strokecolor="#de0035">
              <v:stroke dashstyle="solid"/>
            </v:line>
            <v:shape style="position:absolute;left:1297;top:603;width:255;height:710" type="#_x0000_t75" stroked="false">
              <v:imagedata r:id="rId75" o:title=""/>
            </v:shape>
            <v:line style="position:absolute" from="1543,613" to="1565,1068" stroked="true" strokeweight="1pt" strokecolor="#de0035">
              <v:stroke dashstyle="solid"/>
            </v:line>
            <v:line style="position:absolute" from="1576,760" to="1576,1078" stroked="true" strokeweight="2.125pt" strokecolor="#de0035">
              <v:stroke dashstyle="solid"/>
            </v:line>
            <v:shape style="position:absolute;left:1587;top:770;width:55;height:110" coordorigin="1588,770" coordsize="55,110" path="m1588,770l1608,880m1608,880l1643,770e" filled="false" stroked="true" strokeweight="1pt" strokecolor="#de0035">
              <v:path arrowok="t"/>
              <v:stroke dashstyle="solid"/>
            </v:shape>
            <v:shape style="position:absolute;left:1653;top:665;width:23;height:365" coordorigin="1654,665" coordsize="23,365" path="m1654,760l1654,1030m1676,665l1676,1030e" filled="false" stroked="true" strokeweight="2.125pt" strokecolor="#de0035">
              <v:path arrowok="t"/>
              <v:stroke dashstyle="solid"/>
            </v:shape>
            <v:shape style="position:absolute;left:1687;top:675;width:123;height:550" coordorigin="1688,675" coordsize="123,550" path="m1688,675l1710,1098m1710,1098l1733,1163m1733,1163l1753,1225m1753,1225l1775,1083m1775,1083l1810,785e" filled="false" stroked="true" strokeweight="1pt" strokecolor="#de0035">
              <v:path arrowok="t"/>
              <v:stroke dashstyle="solid"/>
            </v:shape>
            <v:line style="position:absolute" from="1821,775" to="1821,1173" stroked="true" strokeweight="2.125pt" strokecolor="#de0035">
              <v:stroke dashstyle="solid"/>
            </v:line>
            <v:shape style="position:absolute;left:1832;top:128;width:400;height:1035" coordorigin="1833,128" coordsize="400,1035" path="m1833,1163l1855,755m1855,755l1878,738m1878,738l1898,583m1898,583l1920,585m1920,583l1943,1130m1943,1130l1978,583m1978,583l2000,128m2000,128l2023,785m2023,785l2043,348m2043,348l2065,238m2065,238l2088,143m2088,143l2110,285m2110,285l2133,440m2133,440l2168,503m2168,503l2188,440m2188,440l2210,503m2210,503l2233,395e" filled="false" stroked="true" strokeweight="1pt" strokecolor="#de0035">
              <v:path arrowok="t"/>
              <v:stroke dashstyle="solid"/>
            </v:shape>
            <v:line style="position:absolute" from="2244,385" to="2244,670" stroked="true" strokeweight="2.125pt" strokecolor="#de0035">
              <v:stroke dashstyle="solid"/>
            </v:line>
            <v:shape style="position:absolute;left:2255;top:660;width:78;height:188" coordorigin="2255,660" coordsize="78,188" path="m2255,660l2278,785m2278,785l2300,848m2300,848l2333,770e" filled="false" stroked="true" strokeweight="1pt" strokecolor="#de0035">
              <v:path arrowok="t"/>
              <v:stroke dashstyle="solid"/>
            </v:shape>
            <v:shape style="position:absolute;left:2343;top:760;width:23;height:285" coordorigin="2344,760" coordsize="23,285" path="m2344,760l2344,1045m2366,808l2366,1045e" filled="false" stroked="true" strokeweight="2.125pt" strokecolor="#de0035">
              <v:path arrowok="t"/>
              <v:stroke dashstyle="solid"/>
            </v:shape>
            <v:shape style="position:absolute;left:2377;top:645;width:68;height:203" coordorigin="2378,645" coordsize="68,203" path="m2378,818l2400,755m2400,755l2423,848m2423,848l2445,645e" filled="false" stroked="true" strokeweight="1pt" strokecolor="#de0035">
              <v:path arrowok="t"/>
              <v:stroke dashstyle="solid"/>
            </v:shape>
            <v:line style="position:absolute" from="2456,430" to="2456,655" stroked="true" strokeweight="2.125pt" strokecolor="#de0035">
              <v:stroke dashstyle="solid"/>
            </v:line>
            <v:line style="position:absolute" from="2484,430" to="2484,795" stroked="true" strokeweight="2.625pt" strokecolor="#de0035">
              <v:stroke dashstyle="solid"/>
            </v:line>
            <v:shape style="position:absolute;left:2511;top:525;width:23;height:333" coordorigin="2511,525" coordsize="23,333" path="m2511,525l2511,795m2534,525l2534,858e" filled="false" stroked="true" strokeweight="2.125pt" strokecolor="#de0035">
              <v:path arrowok="t"/>
              <v:stroke dashstyle="solid"/>
            </v:shape>
            <v:shape style="position:absolute;left:2545;top:785;width:213;height:548" coordorigin="2545,785" coordsize="213,548" path="m2545,848l2568,785m2568,785l2590,958m2590,958l2613,880m2613,880l2635,1053m2635,1053l2658,1035m2658,1035l2690,1255m2690,1255l2713,1163m2713,1163l2735,1333m2735,1333l2758,1255e" filled="false" stroked="true" strokeweight="1pt" strokecolor="#de0035">
              <v:path arrowok="t"/>
              <v:stroke dashstyle="solid"/>
            </v:shape>
            <v:line style="position:absolute" from="2769,1245" to="2769,1533" stroked="true" strokeweight="2.125pt" strokecolor="#de0035">
              <v:stroke dashstyle="solid"/>
            </v:line>
            <v:line style="position:absolute" from="2780,1523" to="2803,1365" stroked="true" strokeweight="1pt" strokecolor="#de0035">
              <v:stroke dashstyle="solid"/>
            </v:line>
            <v:line style="position:absolute" from="2814,1355" to="2814,1625" stroked="true" strokeweight="2.125pt" strokecolor="#de0035">
              <v:stroke dashstyle="solid"/>
            </v:line>
            <v:shape style="position:absolute;left:2825;top:1443;width:78;height:173" coordorigin="2825,1443" coordsize="78,173" path="m2825,1615l2858,1443m2858,1443l2880,1475m2880,1475l2903,1443e" filled="false" stroked="true" strokeweight="1pt" strokecolor="#de0035">
              <v:path arrowok="t"/>
              <v:stroke dashstyle="solid"/>
            </v:shape>
            <v:line style="position:absolute" from="2914,1043" to="2914,1453" stroked="true" strokeweight="2.125pt" strokecolor="#de0035">
              <v:stroke dashstyle="solid"/>
            </v:line>
            <v:shape style="position:absolute;left:2925;top:333;width:403;height:750" coordorigin="2925,333" coordsize="403,750" path="m2925,1053l2948,1068m2948,1068l2970,1035m2970,1035l2993,1083m2993,1083l3015,958m3015,958l3048,895m3048,895l3070,738m3070,738l3093,785m3093,785l3115,630m3115,630l3138,693m3138,693l3160,568m3160,568l3183,410m3183,410l3215,333m3215,333l3238,363m3238,363l3260,503m3260,503l3283,440m3283,440l3305,568m3305,568l3328,458e" filled="false" stroked="true" strokeweight="1pt" strokecolor="#de0035">
              <v:path arrowok="t"/>
              <v:stroke dashstyle="solid"/>
            </v:shape>
            <v:line style="position:absolute" from="3338,448" to="3338,748" stroked="true" strokeweight="2pt" strokecolor="#de0035">
              <v:stroke dashstyle="solid"/>
            </v:line>
            <v:shape style="position:absolute;left:3347;top:520;width:335;height:298" coordorigin="3348,520" coordsize="335,298" path="m3348,738l3383,800m3383,800l3405,675m3405,675l3428,613m3428,613l3450,520m3450,520l3473,630m3473,630l3493,583m3493,583l3515,585m3515,583l3538,520m3538,520l3573,675m3573,675l3595,770m3595,770l3618,818m3618,818l3638,675m3638,675l3660,535m3660,535l3683,708e" filled="false" stroked="true" strokeweight="1pt" strokecolor="#de0035">
              <v:path arrowok="t"/>
              <v:stroke dashstyle="solid"/>
            </v:shape>
            <v:line style="position:absolute" from="3694,698" to="3694,938" stroked="true" strokeweight="2.125pt" strokecolor="#de0035">
              <v:stroke dashstyle="solid"/>
            </v:line>
            <v:line style="position:absolute" from="3705,928" to="3740,943" stroked="true" strokeweight="1pt" strokecolor="#de0035">
              <v:stroke dashstyle="solid"/>
            </v:line>
            <v:line style="position:absolute" from="3751,933" to="3751,1313" stroked="true" strokeweight="2.125pt" strokecolor="#de0035">
              <v:stroke dashstyle="solid"/>
            </v:line>
            <v:shape style="position:absolute;left:3762;top:1288;width:65;height:125" coordorigin="3763,1288" coordsize="65,125" path="m3763,1303l3783,1333m3783,1333l3805,1288m3805,1288l3828,1413e" filled="false" stroked="true" strokeweight="1pt" strokecolor="#de0035">
              <v:path arrowok="t"/>
              <v:stroke dashstyle="solid"/>
            </v:shape>
            <v:shape style="position:absolute;left:3838;top:1088;width:23;height:380" coordorigin="3839,1088" coordsize="23,380" path="m3839,1088l3839,1423m3861,1088l3861,1468e" filled="false" stroked="true" strokeweight="2.125pt" strokecolor="#de0035">
              <v:path arrowok="t"/>
              <v:stroke dashstyle="solid"/>
            </v:shape>
            <v:shape style="position:absolute;left:3872;top:1333;width:55;height:173" coordorigin="3873,1333" coordsize="55,173" path="m3873,1458l3908,1333m3908,1333l3928,1505e" filled="false" stroked="true" strokeweight="1pt" strokecolor="#de0035">
              <v:path arrowok="t"/>
              <v:stroke dashstyle="solid"/>
            </v:shape>
            <v:shape style="position:absolute;left:1000;top:2042;width:2980;height:865" coordorigin="1000,2042" coordsize="2980,865" path="m3980,2042l1000,2042m1070,2855l1070,2906m1250,2853l1250,2906m1450,2853l1450,2906m1640,2853l1640,2906m2010,2855l2010,2906m1830,2853l1830,2906m2790,2855l2790,2906m2970,2853l2970,2906m3170,2853l3170,2906m3360,2853l3360,2906m3730,2855l3730,2906m3550,2853l3550,2906m2210,2853l2210,2906m2410,2853l2410,2906m2600,2853l2600,2906m3920,2906l3920,2853m1072,2907l3950,2907e" filled="false" stroked="true" strokeweight=".5pt" strokecolor="#000000">
              <v:path arrowok="t"/>
              <v:stroke dashstyle="solid"/>
            </v:shape>
            <v:shape style="position:absolute;left:2152;top:185;width:604;height:133" type="#_x0000_t202" filled="false" stroked="false">
              <v:textbox inset="0,0,0,0">
                <w:txbxContent>
                  <w:p>
                    <w:pPr>
                      <w:spacing w:line="133" w:lineRule="exact" w:before="0"/>
                      <w:ind w:left="0" w:right="0" w:firstLine="0"/>
                      <w:jc w:val="left"/>
                      <w:rPr>
                        <w:sz w:val="12"/>
                      </w:rPr>
                    </w:pPr>
                    <w:r>
                      <w:rPr>
                        <w:sz w:val="12"/>
                      </w:rPr>
                      <w:t>Saving ratio</w:t>
                    </w:r>
                  </w:p>
                </w:txbxContent>
              </v:textbox>
              <w10:wrap type="none"/>
            </v:shape>
            <v:shape style="position:absolute;left:1884;top:2508;width:863;height:134" type="#_x0000_t202" filled="false" stroked="false">
              <v:textbox inset="0,0,0,0">
                <w:txbxContent>
                  <w:p>
                    <w:pPr>
                      <w:spacing w:line="133" w:lineRule="exact" w:before="0"/>
                      <w:ind w:left="0" w:right="0" w:firstLine="0"/>
                      <w:jc w:val="left"/>
                      <w:rPr>
                        <w:sz w:val="12"/>
                      </w:rPr>
                    </w:pPr>
                    <w:r>
                      <w:rPr>
                        <w:sz w:val="12"/>
                      </w:rPr>
                      <w:t>Financial balance</w:t>
                    </w:r>
                  </w:p>
                </w:txbxContent>
              </v:textbox>
              <w10:wrap type="none"/>
            </v:shape>
            <w10:wrap type="none"/>
          </v:group>
        </w:pict>
      </w:r>
      <w:r>
        <w:rPr/>
        <w:pict>
          <v:line style="position:absolute;mso-position-horizontal-relative:page;mso-position-vertical-relative:paragraph;z-index:15937536" from="45.833pt,2.816742pt" to="41.5pt,2.816742pt" stroked="true" strokeweight=".5pt" strokecolor="#000000">
            <v:stroke dashstyle="solid"/>
            <w10:wrap type="none"/>
          </v:line>
        </w:pict>
      </w:r>
      <w:r>
        <w:rPr/>
        <w:pict>
          <v:line style="position:absolute;mso-position-horizontal-relative:page;mso-position-vertical-relative:paragraph;z-index:15943168" from="207.665993pt,2.972742pt" to="203.332993pt,2.972742pt" stroked="true" strokeweight=".5pt" strokecolor="#000000">
            <v:stroke dashstyle="solid"/>
            <w10:wrap type="none"/>
          </v:line>
        </w:pict>
      </w:r>
      <w:r>
        <w:rPr>
          <w:sz w:val="12"/>
        </w:rPr>
        <w:t>14</w:t>
      </w:r>
    </w:p>
    <w:p>
      <w:pPr>
        <w:pStyle w:val="BodyText"/>
        <w:spacing w:before="6"/>
        <w:rPr>
          <w:sz w:val="12"/>
        </w:rPr>
      </w:pPr>
    </w:p>
    <w:p>
      <w:pPr>
        <w:spacing w:before="1"/>
        <w:ind w:left="0" w:right="38" w:firstLine="0"/>
        <w:jc w:val="right"/>
        <w:rPr>
          <w:sz w:val="12"/>
        </w:rPr>
      </w:pPr>
      <w:r>
        <w:rPr/>
        <w:pict>
          <v:line style="position:absolute;mso-position-horizontal-relative:page;mso-position-vertical-relative:paragraph;z-index:15940608" from="45.833pt,3.30947pt" to="41.5pt,3.30947pt" stroked="true" strokeweight=".5pt" strokecolor="#000000">
            <v:stroke dashstyle="solid"/>
            <w10:wrap type="none"/>
          </v:line>
        </w:pict>
      </w:r>
      <w:r>
        <w:rPr/>
        <w:pict>
          <v:line style="position:absolute;mso-position-horizontal-relative:page;mso-position-vertical-relative:paragraph;z-index:15946240" from="207.666pt,3.46547pt" to="203.334pt,3.46547pt" stroked="true" strokeweight=".5pt" strokecolor="#000000">
            <v:stroke dashstyle="solid"/>
            <w10:wrap type="none"/>
          </v:line>
        </w:pict>
      </w:r>
      <w:r>
        <w:rPr>
          <w:sz w:val="12"/>
        </w:rPr>
        <w:t>12</w:t>
      </w:r>
    </w:p>
    <w:p>
      <w:pPr>
        <w:pStyle w:val="BodyText"/>
        <w:spacing w:before="3"/>
        <w:rPr>
          <w:sz w:val="12"/>
        </w:rPr>
      </w:pPr>
    </w:p>
    <w:p>
      <w:pPr>
        <w:spacing w:before="1"/>
        <w:ind w:left="0" w:right="38" w:firstLine="0"/>
        <w:jc w:val="right"/>
        <w:rPr>
          <w:sz w:val="12"/>
        </w:rPr>
      </w:pPr>
      <w:r>
        <w:rPr/>
        <w:pict>
          <v:line style="position:absolute;mso-position-horizontal-relative:page;mso-position-vertical-relative:paragraph;z-index:15938048" from="45.833pt,3.653668pt" to="41.5pt,3.653668pt" stroked="true" strokeweight=".5pt" strokecolor="#000000">
            <v:stroke dashstyle="solid"/>
            <w10:wrap type="none"/>
          </v:line>
        </w:pict>
      </w:r>
      <w:r>
        <w:rPr/>
        <w:pict>
          <v:line style="position:absolute;mso-position-horizontal-relative:page;mso-position-vertical-relative:paragraph;z-index:15943680" from="207.665993pt,3.809669pt" to="203.332993pt,3.809669pt" stroked="true" strokeweight=".5pt" strokecolor="#000000">
            <v:stroke dashstyle="solid"/>
            <w10:wrap type="none"/>
          </v:line>
        </w:pict>
      </w:r>
      <w:r>
        <w:rPr>
          <w:sz w:val="12"/>
        </w:rPr>
        <w:t>10</w:t>
      </w:r>
    </w:p>
    <w:p>
      <w:pPr>
        <w:pStyle w:val="BodyText"/>
        <w:spacing w:before="10"/>
        <w:rPr>
          <w:sz w:val="13"/>
        </w:rPr>
      </w:pPr>
    </w:p>
    <w:p>
      <w:pPr>
        <w:spacing w:before="0"/>
        <w:ind w:left="0" w:right="38" w:firstLine="0"/>
        <w:jc w:val="right"/>
        <w:rPr>
          <w:sz w:val="12"/>
        </w:rPr>
      </w:pPr>
      <w:r>
        <w:rPr/>
        <w:pict>
          <v:line style="position:absolute;mso-position-horizontal-relative:page;mso-position-vertical-relative:paragraph;z-index:15941120" from="45.833pt,3.34247pt" to="41.5pt,3.34247pt" stroked="true" strokeweight=".5pt" strokecolor="#000000">
            <v:stroke dashstyle="solid"/>
            <w10:wrap type="none"/>
          </v:line>
        </w:pict>
      </w:r>
      <w:r>
        <w:rPr/>
        <w:pict>
          <v:line style="position:absolute;mso-position-horizontal-relative:page;mso-position-vertical-relative:paragraph;z-index:15946752" from="207.666pt,3.49947pt" to="203.334pt,3.49947pt" stroked="true" strokeweight=".5pt" strokecolor="#000000">
            <v:stroke dashstyle="solid"/>
            <w10:wrap type="none"/>
          </v:line>
        </w:pict>
      </w:r>
      <w:r>
        <w:rPr>
          <w:sz w:val="12"/>
        </w:rPr>
        <w:t>8</w:t>
      </w:r>
    </w:p>
    <w:p>
      <w:pPr>
        <w:pStyle w:val="BodyText"/>
        <w:spacing w:before="6"/>
        <w:rPr>
          <w:sz w:val="12"/>
        </w:rPr>
      </w:pPr>
    </w:p>
    <w:p>
      <w:pPr>
        <w:spacing w:before="0"/>
        <w:ind w:left="0" w:right="38" w:firstLine="0"/>
        <w:jc w:val="right"/>
        <w:rPr>
          <w:sz w:val="12"/>
        </w:rPr>
      </w:pPr>
      <w:r>
        <w:rPr/>
        <w:pict>
          <v:line style="position:absolute;mso-position-horizontal-relative:page;mso-position-vertical-relative:paragraph;z-index:15938560" from="45.833pt,3.561256pt" to="41.5pt,3.561256pt" stroked="true" strokeweight=".5pt" strokecolor="#000000">
            <v:stroke dashstyle="solid"/>
            <w10:wrap type="none"/>
          </v:line>
        </w:pict>
      </w:r>
      <w:r>
        <w:rPr/>
        <w:pict>
          <v:line style="position:absolute;mso-position-horizontal-relative:page;mso-position-vertical-relative:paragraph;z-index:15944192" from="207.665993pt,3.717257pt" to="203.332993pt,3.717257pt" stroked="true" strokeweight=".5pt" strokecolor="#000000">
            <v:stroke dashstyle="solid"/>
            <w10:wrap type="none"/>
          </v:line>
        </w:pict>
      </w:r>
      <w:r>
        <w:rPr>
          <w:sz w:val="12"/>
        </w:rPr>
        <w:t>6</w:t>
      </w:r>
    </w:p>
    <w:p>
      <w:pPr>
        <w:pStyle w:val="BodyText"/>
        <w:spacing w:before="7"/>
        <w:rPr>
          <w:sz w:val="12"/>
        </w:rPr>
      </w:pPr>
    </w:p>
    <w:p>
      <w:pPr>
        <w:spacing w:before="0"/>
        <w:ind w:left="0" w:right="38" w:firstLine="0"/>
        <w:jc w:val="right"/>
        <w:rPr>
          <w:sz w:val="12"/>
        </w:rPr>
      </w:pPr>
      <w:r>
        <w:rPr/>
        <w:pict>
          <v:line style="position:absolute;mso-position-horizontal-relative:page;mso-position-vertical-relative:paragraph;z-index:15941632" from="45.833pt,3.800058pt" to="41.5pt,3.800058pt" stroked="true" strokeweight=".5pt" strokecolor="#000000">
            <v:stroke dashstyle="solid"/>
            <w10:wrap type="none"/>
          </v:line>
        </w:pict>
      </w:r>
      <w:r>
        <w:rPr/>
        <w:pict>
          <v:line style="position:absolute;mso-position-horizontal-relative:page;mso-position-vertical-relative:paragraph;z-index:15947264" from="207.666pt,3.957058pt" to="203.334pt,3.957058pt" stroked="true" strokeweight=".5pt" strokecolor="#000000">
            <v:stroke dashstyle="solid"/>
            <w10:wrap type="none"/>
          </v:line>
        </w:pict>
      </w:r>
      <w:r>
        <w:rPr>
          <w:sz w:val="12"/>
        </w:rPr>
        <w:t>4</w:t>
      </w:r>
    </w:p>
    <w:p>
      <w:pPr>
        <w:pStyle w:val="BodyText"/>
        <w:spacing w:before="6"/>
        <w:rPr>
          <w:sz w:val="12"/>
        </w:rPr>
      </w:pPr>
    </w:p>
    <w:p>
      <w:pPr>
        <w:spacing w:line="133" w:lineRule="exact" w:before="0"/>
        <w:ind w:left="3617" w:right="0" w:firstLine="0"/>
        <w:jc w:val="left"/>
        <w:rPr>
          <w:sz w:val="12"/>
        </w:rPr>
      </w:pPr>
      <w:r>
        <w:rPr/>
        <w:pict>
          <v:line style="position:absolute;mso-position-horizontal-relative:page;mso-position-vertical-relative:paragraph;z-index:15939072" from="45.833pt,3.01886pt" to="41.5pt,3.01886pt" stroked="true" strokeweight=".5pt" strokecolor="#000000">
            <v:stroke dashstyle="solid"/>
            <w10:wrap type="none"/>
          </v:line>
        </w:pict>
      </w:r>
      <w:r>
        <w:rPr/>
        <w:pict>
          <v:line style="position:absolute;mso-position-horizontal-relative:page;mso-position-vertical-relative:paragraph;z-index:15944704" from="207.665993pt,3.17486pt" to="203.332993pt,3.17486pt" stroked="true" strokeweight=".5pt" strokecolor="#000000">
            <v:stroke dashstyle="solid"/>
            <w10:wrap type="none"/>
          </v:line>
        </w:pict>
      </w:r>
      <w:r>
        <w:rPr>
          <w:sz w:val="12"/>
        </w:rPr>
        <w:t>2</w:t>
      </w:r>
    </w:p>
    <w:p>
      <w:pPr>
        <w:spacing w:line="163" w:lineRule="exact" w:before="0"/>
        <w:ind w:left="3519" w:right="0" w:firstLine="0"/>
        <w:jc w:val="left"/>
        <w:rPr>
          <w:sz w:val="16"/>
        </w:rPr>
      </w:pPr>
      <w:r>
        <w:rPr>
          <w:sz w:val="16"/>
        </w:rPr>
        <w:t>+</w:t>
      </w:r>
    </w:p>
    <w:p>
      <w:pPr>
        <w:spacing w:line="153" w:lineRule="auto" w:before="9"/>
        <w:ind w:left="3527" w:right="0" w:firstLine="0"/>
        <w:jc w:val="left"/>
        <w:rPr>
          <w:sz w:val="12"/>
        </w:rPr>
      </w:pPr>
      <w:r>
        <w:rPr/>
        <w:pict>
          <v:line style="position:absolute;mso-position-horizontal-relative:page;mso-position-vertical-relative:paragraph;z-index:15942144" from="45.833pt,3.181996pt" to="41.5pt,3.181996pt" stroked="true" strokeweight=".5pt" strokecolor="#000000">
            <v:stroke dashstyle="solid"/>
            <w10:wrap type="none"/>
          </v:line>
        </w:pict>
      </w:r>
      <w:r>
        <w:rPr/>
        <w:pict>
          <v:line style="position:absolute;mso-position-horizontal-relative:page;mso-position-vertical-relative:paragraph;z-index:15947776" from="207.666pt,3.181996pt" to="203.334pt,3.181996pt" stroked="true" strokeweight=".5pt" strokecolor="#000000">
            <v:stroke dashstyle="solid"/>
            <w10:wrap type="none"/>
          </v:line>
        </w:pict>
      </w:r>
      <w:r>
        <w:rPr>
          <w:spacing w:val="4"/>
          <w:position w:val="-7"/>
          <w:sz w:val="16"/>
        </w:rPr>
        <w:t>_</w:t>
      </w:r>
      <w:r>
        <w:rPr>
          <w:spacing w:val="4"/>
          <w:sz w:val="12"/>
        </w:rPr>
        <w:t>0</w:t>
      </w:r>
    </w:p>
    <w:p>
      <w:pPr>
        <w:spacing w:before="111"/>
        <w:ind w:left="0" w:right="38" w:firstLine="0"/>
        <w:jc w:val="right"/>
        <w:rPr>
          <w:sz w:val="12"/>
        </w:rPr>
      </w:pPr>
      <w:r>
        <w:rPr/>
        <w:pict>
          <v:line style="position:absolute;mso-position-horizontal-relative:page;mso-position-vertical-relative:paragraph;z-index:15939584" from="45.833pt,8.96386pt" to="41.5pt,8.96386pt" stroked="true" strokeweight=".5pt" strokecolor="#000000">
            <v:stroke dashstyle="solid"/>
            <w10:wrap type="none"/>
          </v:line>
        </w:pict>
      </w:r>
      <w:r>
        <w:rPr/>
        <w:pict>
          <v:line style="position:absolute;mso-position-horizontal-relative:page;mso-position-vertical-relative:paragraph;z-index:15945216" from="207.665993pt,9.12086pt" to="203.332993pt,9.12086pt" stroked="true" strokeweight=".5pt" strokecolor="#000000">
            <v:stroke dashstyle="solid"/>
            <w10:wrap type="none"/>
          </v:line>
        </w:pict>
      </w:r>
      <w:r>
        <w:rPr>
          <w:sz w:val="12"/>
        </w:rPr>
        <w:t>2</w:t>
      </w:r>
    </w:p>
    <w:p>
      <w:pPr>
        <w:pStyle w:val="BodyText"/>
        <w:spacing w:before="6"/>
        <w:rPr>
          <w:sz w:val="12"/>
        </w:rPr>
      </w:pPr>
    </w:p>
    <w:p>
      <w:pPr>
        <w:spacing w:before="0"/>
        <w:ind w:left="0" w:right="38" w:firstLine="0"/>
        <w:jc w:val="right"/>
        <w:rPr>
          <w:sz w:val="12"/>
        </w:rPr>
      </w:pPr>
      <w:r>
        <w:rPr/>
        <w:pict>
          <v:line style="position:absolute;mso-position-horizontal-relative:page;mso-position-vertical-relative:paragraph;z-index:15942656" from="45.833pt,3.653661pt" to="41.5pt,3.653661pt" stroked="true" strokeweight=".5pt" strokecolor="#000000">
            <v:stroke dashstyle="solid"/>
            <w10:wrap type="none"/>
          </v:line>
        </w:pict>
      </w:r>
      <w:r>
        <w:rPr/>
        <w:pict>
          <v:line style="position:absolute;mso-position-horizontal-relative:page;mso-position-vertical-relative:paragraph;z-index:15948288" from="207.666pt,3.809661pt" to="203.334pt,3.809661pt" stroked="true" strokeweight=".5pt" strokecolor="#000000">
            <v:stroke dashstyle="solid"/>
            <w10:wrap type="none"/>
          </v:line>
        </w:pict>
      </w:r>
      <w:r>
        <w:rPr>
          <w:sz w:val="12"/>
        </w:rPr>
        <w:t>4</w:t>
      </w:r>
    </w:p>
    <w:p>
      <w:pPr>
        <w:pStyle w:val="BodyText"/>
        <w:spacing w:before="7"/>
        <w:rPr>
          <w:sz w:val="12"/>
        </w:rPr>
      </w:pPr>
    </w:p>
    <w:p>
      <w:pPr>
        <w:spacing w:line="129" w:lineRule="exact" w:before="0"/>
        <w:ind w:left="3617" w:right="0" w:firstLine="0"/>
        <w:jc w:val="left"/>
        <w:rPr>
          <w:sz w:val="12"/>
        </w:rPr>
      </w:pPr>
      <w:r>
        <w:rPr/>
        <w:pict>
          <v:line style="position:absolute;mso-position-horizontal-relative:page;mso-position-vertical-relative:paragraph;z-index:15940096" from="45.833pt,3.872463pt" to="41.5pt,3.872463pt" stroked="true" strokeweight=".5pt" strokecolor="#000000">
            <v:stroke dashstyle="solid"/>
            <w10:wrap type="none"/>
          </v:line>
        </w:pict>
      </w:r>
      <w:r>
        <w:rPr/>
        <w:pict>
          <v:line style="position:absolute;mso-position-horizontal-relative:page;mso-position-vertical-relative:paragraph;z-index:15945728" from="207.665993pt,4.028463pt" to="203.332993pt,4.028463pt" stroked="true" strokeweight=".5pt" strokecolor="#000000">
            <v:stroke dashstyle="solid"/>
            <w10:wrap type="none"/>
          </v:line>
        </w:pict>
      </w:r>
      <w:r>
        <w:rPr>
          <w:sz w:val="12"/>
        </w:rPr>
        <w:t>6</w:t>
      </w:r>
    </w:p>
    <w:p>
      <w:pPr>
        <w:spacing w:line="129" w:lineRule="exact" w:before="0"/>
        <w:ind w:left="257" w:right="0" w:firstLine="0"/>
        <w:jc w:val="left"/>
        <w:rPr>
          <w:sz w:val="12"/>
        </w:rPr>
      </w:pPr>
      <w:r>
        <w:rPr>
          <w:sz w:val="12"/>
        </w:rPr>
        <w:t>1970 72 74 76 78 80 82 84 86 88 90 92 94 96 98 2000</w:t>
      </w:r>
    </w:p>
    <w:p>
      <w:pPr>
        <w:spacing w:line="260" w:lineRule="exact" w:before="0"/>
        <w:ind w:left="171" w:right="0" w:firstLine="0"/>
        <w:jc w:val="left"/>
        <w:rPr>
          <w:sz w:val="24"/>
        </w:rPr>
      </w:pPr>
      <w:r>
        <w:rPr/>
        <w:br w:type="column"/>
      </w:r>
      <w:r>
        <w:rPr>
          <w:sz w:val="24"/>
        </w:rPr>
        <w:t>firm at 3.3%, but fell by 0.6% on a quarter earlier as</w:t>
      </w:r>
    </w:p>
    <w:p>
      <w:pPr>
        <w:spacing w:line="242" w:lineRule="auto" w:before="4"/>
        <w:ind w:left="171" w:right="0" w:firstLine="0"/>
        <w:jc w:val="left"/>
        <w:rPr>
          <w:sz w:val="24"/>
        </w:rPr>
      </w:pPr>
      <w:r>
        <w:rPr>
          <w:sz w:val="24"/>
        </w:rPr>
        <w:t>weaker dividend receipts more than offset strong labour income growth. As a result, the saving ratio fell further, reaching its lowest level since 1988 (see Chart 2.7). And taking into account spending on housing investment, the household sector was a net borrower in 1999 for the first time since the late 1980s.</w:t>
      </w:r>
    </w:p>
    <w:p>
      <w:pPr>
        <w:pStyle w:val="BodyText"/>
        <w:rPr>
          <w:sz w:val="25"/>
        </w:rPr>
      </w:pPr>
    </w:p>
    <w:p>
      <w:pPr>
        <w:spacing w:line="242" w:lineRule="auto" w:before="0"/>
        <w:ind w:left="171" w:right="167" w:firstLine="0"/>
        <w:jc w:val="left"/>
        <w:rPr>
          <w:sz w:val="24"/>
        </w:rPr>
      </w:pPr>
      <w:r>
        <w:rPr>
          <w:sz w:val="24"/>
        </w:rPr>
        <w:t>In recent years, declining saving out of income has been more than compensated for by sharp rises in household wealth, underpinning strong consumption growth. In the year to 2000 Q1, household financial wealth has remained broadly stable as a share of income. Housing wealth has increased strongly, reflecting rising house prices, and has more than offset slightly higher household debt (see Chart 2.8). But recent data point to more moderate future increases in wealth. Equity prices are little changed so far this year. And house price inflation and housing market activity appear to have moderated in recent months, as discussed in the box on the housing market on </w:t>
      </w:r>
      <w:hyperlink w:history="true" w:anchor="_bookmark13">
        <w:r>
          <w:rPr>
            <w:color w:val="FF0000"/>
            <w:sz w:val="24"/>
          </w:rPr>
          <w:t>pages 18–19</w:t>
        </w:r>
        <w:r>
          <w:rPr>
            <w:sz w:val="24"/>
          </w:rPr>
          <w:t>.</w:t>
        </w:r>
      </w:hyperlink>
    </w:p>
    <w:p>
      <w:pPr>
        <w:spacing w:after="0" w:line="242" w:lineRule="auto"/>
        <w:jc w:val="left"/>
        <w:rPr>
          <w:sz w:val="24"/>
        </w:rPr>
        <w:sectPr>
          <w:type w:val="continuous"/>
          <w:pgSz w:w="11900" w:h="16840"/>
          <w:pgMar w:top="1260" w:bottom="280" w:left="640" w:right="640"/>
          <w:cols w:num="2" w:equalWidth="0">
            <w:col w:w="3718" w:space="1091"/>
            <w:col w:w="5811"/>
          </w:cols>
        </w:sectPr>
      </w:pPr>
    </w:p>
    <w:p>
      <w:pPr>
        <w:pStyle w:val="BodyText"/>
        <w:rPr>
          <w:sz w:val="20"/>
        </w:rPr>
      </w:pPr>
    </w:p>
    <w:p>
      <w:pPr>
        <w:spacing w:after="0"/>
        <w:rPr>
          <w:sz w:val="20"/>
        </w:rPr>
        <w:sectPr>
          <w:pgSz w:w="11900" w:h="16840"/>
          <w:pgMar w:header="601" w:footer="592" w:top="800" w:bottom="800" w:left="640" w:right="640"/>
        </w:sectPr>
      </w:pPr>
    </w:p>
    <w:p>
      <w:pPr>
        <w:pStyle w:val="BodyText"/>
        <w:spacing w:before="2"/>
        <w:rPr>
          <w:sz w:val="25"/>
        </w:rPr>
      </w:pPr>
    </w:p>
    <w:p>
      <w:pPr>
        <w:pStyle w:val="Heading6"/>
        <w:spacing w:before="0"/>
        <w:ind w:left="205"/>
      </w:pPr>
      <w:bookmarkStart w:name="Investment demand" w:id="34"/>
      <w:bookmarkEnd w:id="34"/>
      <w:r>
        <w:rPr>
          <w:b w:val="0"/>
        </w:rPr>
      </w:r>
      <w:bookmarkStart w:name="_bookmark12" w:id="35"/>
      <w:bookmarkEnd w:id="35"/>
      <w:r>
        <w:rPr>
          <w:b w:val="0"/>
        </w:rPr>
      </w:r>
      <w:r>
        <w:rPr>
          <w:color w:val="0092C7"/>
        </w:rPr>
        <w:t>Chart 2.8</w:t>
      </w:r>
    </w:p>
    <w:p>
      <w:pPr>
        <w:pStyle w:val="Heading6"/>
        <w:ind w:left="205"/>
      </w:pPr>
      <w:r>
        <w:rPr>
          <w:color w:val="0092C7"/>
        </w:rPr>
        <w:t>Household assets and liabilities</w:t>
      </w:r>
    </w:p>
    <w:p>
      <w:pPr>
        <w:spacing w:line="118" w:lineRule="exact" w:before="86"/>
        <w:ind w:left="1603" w:right="0" w:firstLine="0"/>
        <w:jc w:val="left"/>
        <w:rPr>
          <w:sz w:val="12"/>
        </w:rPr>
      </w:pPr>
      <w:r>
        <w:rPr>
          <w:sz w:val="12"/>
        </w:rPr>
        <w:t>Percentage of annual post-tax income</w:t>
      </w:r>
    </w:p>
    <w:p>
      <w:pPr>
        <w:spacing w:line="118" w:lineRule="exact" w:before="0"/>
        <w:ind w:left="3442" w:right="0" w:firstLine="0"/>
        <w:jc w:val="left"/>
        <w:rPr>
          <w:sz w:val="12"/>
        </w:rPr>
      </w:pPr>
      <w:r>
        <w:rPr/>
        <w:pict>
          <v:line style="position:absolute;mso-position-horizontal-relative:page;mso-position-vertical-relative:paragraph;z-index:15956480" from="41.362pt,3.099854pt" to="45.695pt,3.099854pt" stroked="true" strokeweight=".5pt" strokecolor="#000000">
            <v:stroke dashstyle="solid"/>
            <w10:wrap type="none"/>
          </v:line>
        </w:pict>
      </w:r>
      <w:r>
        <w:rPr/>
        <w:pict>
          <v:line style="position:absolute;mso-position-horizontal-relative:page;mso-position-vertical-relative:paragraph;z-index:15958016" from="198.151993pt,3.081854pt" to="202.483993pt,3.081854pt" stroked="true" strokeweight=".5pt" strokecolor="#000000">
            <v:stroke dashstyle="solid"/>
            <w10:wrap type="none"/>
          </v:line>
        </w:pict>
      </w:r>
      <w:r>
        <w:rPr>
          <w:sz w:val="12"/>
        </w:rPr>
        <w:t>500</w:t>
      </w:r>
    </w:p>
    <w:p>
      <w:pPr>
        <w:pStyle w:val="BodyText"/>
        <w:spacing w:before="4"/>
        <w:rPr>
          <w:sz w:val="12"/>
        </w:rPr>
      </w:pPr>
    </w:p>
    <w:p>
      <w:pPr>
        <w:spacing w:before="0"/>
        <w:ind w:left="0" w:right="38" w:firstLine="0"/>
        <w:jc w:val="right"/>
        <w:rPr>
          <w:sz w:val="12"/>
        </w:rPr>
      </w:pPr>
      <w:r>
        <w:rPr/>
        <w:pict>
          <v:group style="position:absolute;margin-left:49.779999pt;margin-top:-2.797058pt;width:152.75pt;height:81.4pt;mso-position-horizontal-relative:page;mso-position-vertical-relative:paragraph;z-index:15951360" coordorigin="996,-56" coordsize="3055,1628">
            <v:shape style="position:absolute;left:1005;top:576;width:2880;height:985" coordorigin="1006,577" coordsize="2880,985" path="m1006,1544l1051,1559,1083,1562,1083,1560,1090,1555,1104,1543,1119,1532,1126,1527,1168,1482,1201,1467,1246,1434,1331,1404,1363,1387,1408,1372,1451,1357,1483,1359,1483,1358,1490,1357,1504,1358,1519,1358,1526,1358,1532,1355,1547,1349,1561,1344,1568,1342,1601,1294,1646,1279,1688,1247,1731,1232,1763,1202,1808,1154,1851,1122,1883,1059,1926,999,1971,937,2003,812,2046,672,2088,624,2121,592,2166,577,2208,609,2251,687,2283,764,2328,812,2371,842,2403,889,2446,952,2491,967,2523,999,2566,1029,2608,1107,2641,1169,2683,1217,2728,1232,2771,1247,2803,1249,2803,1248,2810,1249,2891,1279,2923,1294,2948,1295,2960,1296,2965,1296,2966,1295,2972,1297,2987,1302,3001,1307,3008,1309,3041,1342,3086,1357,3128,1372,3171,1404,3203,1407,3203,1405,3210,1405,3226,1405,3241,1406,3248,1405,3255,1405,3269,1405,3284,1406,3291,1405,3291,1404,3323,1387,3366,1357,3392,1358,3405,1359,3410,1358,3411,1358,3411,1357,3443,1342,3468,1343,3480,1344,3485,1343,3486,1343,3492,1342,3507,1343,3521,1343,3528,1343,3533,1332,3544,1310,3606,1217,3691,1169,3723,1139,3766,1107,3811,1059,3843,1029,3886,1014e" filled="false" stroked="true" strokeweight="1pt" strokecolor="#efa900">
              <v:path arrowok="t"/>
              <v:stroke dashstyle="solid"/>
            </v:shape>
            <v:shape style="position:absolute;left:1005;top:-46;width:2880;height:1543" coordorigin="1006,-46" coordsize="2880,1543" path="m1006,1497l1051,1482,1083,1434,1126,1387,1168,1342,1201,1279,1246,1294,1288,1279,1331,1217,1363,1279,1408,1232,1451,1154,1483,1157,1483,1155,1490,1159,1504,1169,1519,1179,1526,1184,1568,1169,1601,1092,1646,967,1670,968,1683,969,1687,968,1688,968,1695,979,1709,1005,1724,1032,1731,1044,1763,937,1808,794,1851,654,1883,609,1926,889,1971,794,2003,764,2046,794,2088,857,2121,639,2147,640,2160,641,2165,641,2166,640,2172,645,2251,717,2283,764,2328,717,2371,889,2403,874,2446,734,2491,764,2523,717,2566,794,2608,842,2641,857,2683,827,2728,749,2771,717,2803,687,2846,609,2891,499,2923,592,2966,639,2990,640,3003,641,3007,641,3008,640,3008,639,3041,624,3086,609,3128,592,3171,514,3203,469,3229,470,3242,471,3247,471,3248,470,3255,467,3269,460,3284,454,3291,452,3323,422,3348,423,3360,424,3365,423,3366,423,3373,410,3388,383,3404,356,3411,344,3443,249,3486,124,3528,157,3561,17,3606,2,3648,249,3691,62,3723,-46,3766,-16,3811,124,3843,-46,3886,2e" filled="false" stroked="true" strokeweight="1pt" strokecolor="#94352c">
              <v:path arrowok="t"/>
              <v:stroke dashstyle="solid"/>
            </v:shape>
            <v:shape style="position:absolute;left:3963;top:81;width:87;height:1433" coordorigin="3963,81" coordsize="87,1433" path="m3963,376l4050,376m3963,656l4050,656m3963,954l4050,954m3963,1234l4050,1234m3963,1514l4050,1514m3963,81l4050,81e" filled="false" stroked="true" strokeweight=".5pt" strokecolor="#000000">
              <v:path arrowok="t"/>
              <v:stroke dashstyle="solid"/>
            </v:shape>
            <v:shape style="position:absolute;left:2356;top:53;width:1100;height:134" type="#_x0000_t202" filled="false" stroked="false">
              <v:textbox inset="0,0,0,0">
                <w:txbxContent>
                  <w:p>
                    <w:pPr>
                      <w:spacing w:line="133" w:lineRule="exact" w:before="0"/>
                      <w:ind w:left="0" w:right="0" w:firstLine="0"/>
                      <w:jc w:val="left"/>
                      <w:rPr>
                        <w:sz w:val="12"/>
                      </w:rPr>
                    </w:pPr>
                    <w:r>
                      <w:rPr>
                        <w:sz w:val="12"/>
                      </w:rPr>
                      <w:t>Gross financial wealth</w:t>
                    </w:r>
                  </w:p>
                </w:txbxContent>
              </v:textbox>
              <w10:wrap type="none"/>
            </v:shape>
            <v:shape style="position:absolute;left:2028;top:1339;width:1060;height:134" type="#_x0000_t202" filled="false" stroked="false">
              <v:textbox inset="0,0,0,0">
                <w:txbxContent>
                  <w:p>
                    <w:pPr>
                      <w:spacing w:line="133" w:lineRule="exact" w:before="0"/>
                      <w:ind w:left="0" w:right="0" w:firstLine="0"/>
                      <w:jc w:val="left"/>
                      <w:rPr>
                        <w:sz w:val="12"/>
                      </w:rPr>
                    </w:pPr>
                    <w:r>
                      <w:rPr>
                        <w:sz w:val="12"/>
                      </w:rPr>
                      <w:t>Gross housing wealth</w:t>
                    </w:r>
                  </w:p>
                </w:txbxContent>
              </v:textbox>
              <w10:wrap type="none"/>
            </v:shape>
            <w10:wrap type="none"/>
          </v:group>
        </w:pict>
      </w:r>
      <w:r>
        <w:rPr/>
        <w:pict>
          <v:line style="position:absolute;mso-position-horizontal-relative:page;mso-position-vertical-relative:paragraph;z-index:15955968" from="41.362pt,4.077942pt" to="45.695pt,4.077942pt" stroked="true" strokeweight=".5pt" strokecolor="#000000">
            <v:stroke dashstyle="solid"/>
            <w10:wrap type="none"/>
          </v:line>
        </w:pict>
      </w:r>
      <w:r>
        <w:rPr>
          <w:sz w:val="12"/>
        </w:rPr>
        <w:t>450</w:t>
      </w:r>
    </w:p>
    <w:p>
      <w:pPr>
        <w:pStyle w:val="BodyText"/>
        <w:spacing w:before="10"/>
        <w:rPr>
          <w:sz w:val="13"/>
        </w:rPr>
      </w:pPr>
    </w:p>
    <w:p>
      <w:pPr>
        <w:spacing w:before="0"/>
        <w:ind w:left="0" w:right="38" w:firstLine="0"/>
        <w:jc w:val="right"/>
        <w:rPr>
          <w:sz w:val="12"/>
        </w:rPr>
      </w:pPr>
      <w:r>
        <w:rPr/>
        <w:pict>
          <v:line style="position:absolute;mso-position-horizontal-relative:page;mso-position-vertical-relative:paragraph;z-index:15952896" from="41.362pt,3.952759pt" to="45.695pt,3.952759pt" stroked="true" strokeweight=".5pt" strokecolor="#000000">
            <v:stroke dashstyle="solid"/>
            <w10:wrap type="none"/>
          </v:line>
        </w:pict>
      </w:r>
      <w:r>
        <w:rPr>
          <w:sz w:val="12"/>
        </w:rPr>
        <w:t>400</w:t>
      </w:r>
    </w:p>
    <w:p>
      <w:pPr>
        <w:pStyle w:val="BodyText"/>
        <w:spacing w:before="4"/>
        <w:rPr>
          <w:sz w:val="12"/>
        </w:rPr>
      </w:pPr>
    </w:p>
    <w:p>
      <w:pPr>
        <w:spacing w:before="0"/>
        <w:ind w:left="0" w:right="38" w:firstLine="0"/>
        <w:jc w:val="right"/>
        <w:rPr>
          <w:sz w:val="12"/>
        </w:rPr>
      </w:pPr>
      <w:r>
        <w:rPr/>
        <w:pict>
          <v:line style="position:absolute;mso-position-horizontal-relative:page;mso-position-vertical-relative:paragraph;z-index:15953408" from="41.362pt,3.952942pt" to="45.695pt,3.952942pt" stroked="true" strokeweight=".5pt" strokecolor="#000000">
            <v:stroke dashstyle="solid"/>
            <w10:wrap type="none"/>
          </v:line>
        </w:pict>
      </w:r>
      <w:r>
        <w:rPr>
          <w:sz w:val="12"/>
        </w:rPr>
        <w:t>350</w:t>
      </w:r>
    </w:p>
    <w:p>
      <w:pPr>
        <w:pStyle w:val="BodyText"/>
        <w:spacing w:before="8"/>
        <w:rPr>
          <w:sz w:val="13"/>
        </w:rPr>
      </w:pPr>
    </w:p>
    <w:p>
      <w:pPr>
        <w:spacing w:before="0"/>
        <w:ind w:left="0" w:right="38" w:firstLine="0"/>
        <w:jc w:val="right"/>
        <w:rPr>
          <w:sz w:val="12"/>
        </w:rPr>
      </w:pPr>
      <w:r>
        <w:rPr/>
        <w:pict>
          <v:line style="position:absolute;mso-position-horizontal-relative:page;mso-position-vertical-relative:paragraph;z-index:15953920" from="41.362pt,4.078186pt" to="45.695pt,4.078186pt" stroked="true" strokeweight=".5pt" strokecolor="#000000">
            <v:stroke dashstyle="solid"/>
            <w10:wrap type="none"/>
          </v:line>
        </w:pict>
      </w:r>
      <w:r>
        <w:rPr>
          <w:sz w:val="12"/>
        </w:rPr>
        <w:t>300</w:t>
      </w:r>
    </w:p>
    <w:p>
      <w:pPr>
        <w:pStyle w:val="BodyText"/>
        <w:spacing w:before="4"/>
        <w:rPr>
          <w:sz w:val="12"/>
        </w:rPr>
      </w:pPr>
    </w:p>
    <w:p>
      <w:pPr>
        <w:spacing w:before="0"/>
        <w:ind w:left="0" w:right="38" w:firstLine="0"/>
        <w:jc w:val="right"/>
        <w:rPr>
          <w:sz w:val="12"/>
        </w:rPr>
      </w:pPr>
      <w:r>
        <w:rPr/>
        <w:pict>
          <v:line style="position:absolute;mso-position-horizontal-relative:page;mso-position-vertical-relative:paragraph;z-index:15954432" from="41.362pt,4.078369pt" to="45.695pt,4.078369pt" stroked="true" strokeweight=".5pt" strokecolor="#000000">
            <v:stroke dashstyle="solid"/>
            <w10:wrap type="none"/>
          </v:line>
        </w:pict>
      </w:r>
      <w:r>
        <w:rPr>
          <w:sz w:val="12"/>
        </w:rPr>
        <w:t>250</w:t>
      </w:r>
    </w:p>
    <w:p>
      <w:pPr>
        <w:pStyle w:val="BodyText"/>
        <w:spacing w:before="6"/>
        <w:rPr>
          <w:sz w:val="12"/>
        </w:rPr>
      </w:pPr>
    </w:p>
    <w:p>
      <w:pPr>
        <w:spacing w:before="0"/>
        <w:ind w:left="0" w:right="38" w:firstLine="0"/>
        <w:jc w:val="right"/>
        <w:rPr>
          <w:sz w:val="12"/>
        </w:rPr>
      </w:pPr>
      <w:r>
        <w:rPr/>
        <w:pict>
          <v:line style="position:absolute;mso-position-horizontal-relative:page;mso-position-vertical-relative:paragraph;z-index:15954944" from="41.362pt,3.953186pt" to="45.695pt,3.953186pt" stroked="true" strokeweight=".5pt" strokecolor="#000000">
            <v:stroke dashstyle="solid"/>
            <w10:wrap type="none"/>
          </v:line>
        </w:pict>
      </w:r>
      <w:r>
        <w:rPr>
          <w:sz w:val="12"/>
        </w:rPr>
        <w:t>200</w:t>
      </w:r>
    </w:p>
    <w:p>
      <w:pPr>
        <w:pStyle w:val="BodyText"/>
        <w:spacing w:before="8"/>
        <w:rPr>
          <w:sz w:val="13"/>
        </w:rPr>
      </w:pPr>
    </w:p>
    <w:p>
      <w:pPr>
        <w:spacing w:before="0"/>
        <w:ind w:left="0" w:right="38" w:firstLine="0"/>
        <w:jc w:val="right"/>
        <w:rPr>
          <w:sz w:val="12"/>
        </w:rPr>
      </w:pPr>
      <w:r>
        <w:rPr/>
        <w:pict>
          <v:line style="position:absolute;mso-position-horizontal-relative:page;mso-position-vertical-relative:paragraph;z-index:15955456" from="41.362pt,4.078369pt" to="45.695pt,4.078369pt" stroked="true" strokeweight=".5pt" strokecolor="#000000">
            <v:stroke dashstyle="solid"/>
            <w10:wrap type="none"/>
          </v:line>
        </w:pict>
      </w:r>
      <w:r>
        <w:rPr/>
        <w:pict>
          <v:line style="position:absolute;mso-position-horizontal-relative:page;mso-position-vertical-relative:paragraph;z-index:15956992" from="198.151993pt,4.060369pt" to="202.483993pt,4.060369pt" stroked="true" strokeweight=".5pt" strokecolor="#000000">
            <v:stroke dashstyle="solid"/>
            <w10:wrap type="none"/>
          </v:line>
        </w:pict>
      </w:r>
      <w:r>
        <w:rPr>
          <w:sz w:val="12"/>
        </w:rPr>
        <w:t>150</w:t>
      </w:r>
    </w:p>
    <w:p>
      <w:pPr>
        <w:spacing w:line="242" w:lineRule="auto" w:before="222"/>
        <w:ind w:left="205" w:right="159" w:firstLine="0"/>
        <w:jc w:val="left"/>
        <w:rPr>
          <w:sz w:val="24"/>
        </w:rPr>
      </w:pPr>
      <w:r>
        <w:rPr/>
        <w:br w:type="column"/>
      </w:r>
      <w:r>
        <w:rPr>
          <w:sz w:val="24"/>
        </w:rPr>
        <w:t>As in the May central projection, the MPC expects consumption growth to moderate from its high </w:t>
      </w:r>
      <w:r>
        <w:rPr>
          <w:spacing w:val="-3"/>
          <w:sz w:val="24"/>
        </w:rPr>
        <w:t>levels </w:t>
      </w:r>
      <w:r>
        <w:rPr>
          <w:sz w:val="24"/>
        </w:rPr>
        <w:t>in recent years, reflecting the continued effects of past increases in interest rates and the impact of sterling strength on output and employment. In addition, slower growth in household wealth, if sustained, might prompt some rebuilding of the saving ratio from its current </w:t>
      </w:r>
      <w:r>
        <w:rPr>
          <w:spacing w:val="-3"/>
          <w:sz w:val="24"/>
        </w:rPr>
        <w:t>low level. </w:t>
      </w:r>
      <w:r>
        <w:rPr>
          <w:sz w:val="24"/>
        </w:rPr>
        <w:t>As such, the Committee anticipates slightly weaker</w:t>
      </w:r>
      <w:r>
        <w:rPr>
          <w:spacing w:val="-7"/>
          <w:sz w:val="24"/>
        </w:rPr>
        <w:t> </w:t>
      </w:r>
      <w:r>
        <w:rPr>
          <w:sz w:val="24"/>
        </w:rPr>
        <w:t>consumption</w:t>
      </w:r>
      <w:r>
        <w:rPr>
          <w:spacing w:val="-6"/>
          <w:sz w:val="24"/>
        </w:rPr>
        <w:t> </w:t>
      </w:r>
      <w:r>
        <w:rPr>
          <w:sz w:val="24"/>
        </w:rPr>
        <w:t>growth</w:t>
      </w:r>
      <w:r>
        <w:rPr>
          <w:spacing w:val="-6"/>
          <w:sz w:val="24"/>
        </w:rPr>
        <w:t> </w:t>
      </w:r>
      <w:r>
        <w:rPr>
          <w:spacing w:val="-3"/>
          <w:sz w:val="24"/>
        </w:rPr>
        <w:t>over</w:t>
      </w:r>
      <w:r>
        <w:rPr>
          <w:spacing w:val="-6"/>
          <w:sz w:val="24"/>
        </w:rPr>
        <w:t> </w:t>
      </w:r>
      <w:r>
        <w:rPr>
          <w:sz w:val="24"/>
        </w:rPr>
        <w:t>the</w:t>
      </w:r>
      <w:r>
        <w:rPr>
          <w:spacing w:val="-6"/>
          <w:sz w:val="24"/>
        </w:rPr>
        <w:t> </w:t>
      </w:r>
      <w:r>
        <w:rPr>
          <w:sz w:val="24"/>
        </w:rPr>
        <w:t>next</w:t>
      </w:r>
      <w:r>
        <w:rPr>
          <w:spacing w:val="-6"/>
          <w:sz w:val="24"/>
        </w:rPr>
        <w:t> </w:t>
      </w:r>
      <w:r>
        <w:rPr>
          <w:sz w:val="24"/>
        </w:rPr>
        <w:t>two</w:t>
      </w:r>
      <w:r>
        <w:rPr>
          <w:spacing w:val="-6"/>
          <w:sz w:val="24"/>
        </w:rPr>
        <w:t> </w:t>
      </w:r>
      <w:r>
        <w:rPr>
          <w:sz w:val="24"/>
        </w:rPr>
        <w:t>years</w:t>
      </w:r>
      <w:r>
        <w:rPr>
          <w:spacing w:val="-6"/>
          <w:sz w:val="24"/>
        </w:rPr>
        <w:t> </w:t>
      </w:r>
      <w:r>
        <w:rPr>
          <w:sz w:val="24"/>
        </w:rPr>
        <w:t>than in the May</w:t>
      </w:r>
      <w:r>
        <w:rPr>
          <w:spacing w:val="-3"/>
          <w:sz w:val="24"/>
        </w:rPr>
        <w:t> </w:t>
      </w:r>
      <w:r>
        <w:rPr>
          <w:i/>
          <w:sz w:val="24"/>
        </w:rPr>
        <w:t>Report</w:t>
      </w:r>
      <w:r>
        <w:rPr>
          <w:sz w:val="24"/>
        </w:rPr>
        <w:t>.</w:t>
      </w:r>
    </w:p>
    <w:p>
      <w:pPr>
        <w:spacing w:after="0" w:line="242" w:lineRule="auto"/>
        <w:jc w:val="left"/>
        <w:rPr>
          <w:sz w:val="24"/>
        </w:rPr>
        <w:sectPr>
          <w:type w:val="continuous"/>
          <w:pgSz w:w="11900" w:h="16840"/>
          <w:pgMar w:top="1260" w:bottom="280" w:left="640" w:right="640"/>
          <w:cols w:num="2" w:equalWidth="0">
            <w:col w:w="3663" w:space="1107"/>
            <w:col w:w="5850"/>
          </w:cols>
        </w:sectPr>
      </w:pPr>
    </w:p>
    <w:p>
      <w:pPr>
        <w:pStyle w:val="BodyText"/>
        <w:rPr>
          <w:sz w:val="19"/>
        </w:rPr>
      </w:pPr>
    </w:p>
    <w:p>
      <w:pPr>
        <w:pStyle w:val="BodyText"/>
        <w:spacing w:line="20" w:lineRule="exact"/>
        <w:ind w:left="18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6"/>
        <w:rPr>
          <w:sz w:val="20"/>
        </w:rPr>
      </w:pPr>
      <w:r>
        <w:rPr/>
        <w:pict>
          <v:shape style="position:absolute;margin-left:41.362pt;margin-top:14pt;width:4.350pt;height:.1pt;mso-position-horizontal-relative:page;mso-position-vertical-relative:paragraph;z-index:-15507968;mso-wrap-distance-left:0;mso-wrap-distance-right:0" coordorigin="827,280" coordsize="87,0" path="m827,280l914,280e" filled="false" stroked="true" strokeweight=".5pt" strokecolor="#000000">
            <v:path arrowok="t"/>
            <v:stroke dashstyle="solid"/>
            <w10:wrap type="topAndBottom"/>
          </v:shape>
        </w:pict>
      </w:r>
      <w:r>
        <w:rPr/>
        <w:pict>
          <v:shape style="position:absolute;margin-left:41.362pt;margin-top:27.982pt;width:4.350pt;height:.1pt;mso-position-horizontal-relative:page;mso-position-vertical-relative:paragraph;z-index:-15507456;mso-wrap-distance-left:0;mso-wrap-distance-right:0" coordorigin="827,560" coordsize="87,0" path="m827,560l914,560e" filled="false" stroked="true" strokeweight=".5pt" strokecolor="#000000">
            <v:path arrowok="t"/>
            <v:stroke dashstyle="solid"/>
            <w10:wrap type="topAndBottom"/>
          </v:shape>
        </w:pict>
      </w:r>
    </w:p>
    <w:p>
      <w:pPr>
        <w:pStyle w:val="BodyText"/>
        <w:spacing w:before="6"/>
        <w:rPr>
          <w:sz w:val="17"/>
        </w:rPr>
      </w:pPr>
    </w:p>
    <w:p>
      <w:pPr>
        <w:tabs>
          <w:tab w:pos="1285" w:val="left" w:leader="none"/>
          <w:tab w:pos="1923" w:val="left" w:leader="none"/>
          <w:tab w:pos="2542" w:val="left" w:leader="none"/>
          <w:tab w:pos="2875" w:val="left" w:leader="none"/>
        </w:tabs>
        <w:spacing w:before="0"/>
        <w:ind w:left="240" w:right="0" w:firstLine="0"/>
        <w:jc w:val="left"/>
        <w:rPr>
          <w:sz w:val="12"/>
        </w:rPr>
      </w:pPr>
      <w:r>
        <w:rPr>
          <w:sz w:val="12"/>
        </w:rPr>
        <w:t>1982   </w:t>
      </w:r>
      <w:r>
        <w:rPr>
          <w:spacing w:val="25"/>
          <w:sz w:val="12"/>
        </w:rPr>
        <w:t> </w:t>
      </w:r>
      <w:r>
        <w:rPr>
          <w:sz w:val="12"/>
        </w:rPr>
        <w:t>84     </w:t>
      </w:r>
      <w:r>
        <w:rPr>
          <w:spacing w:val="15"/>
          <w:sz w:val="12"/>
        </w:rPr>
        <w:t> </w:t>
      </w:r>
      <w:r>
        <w:rPr>
          <w:sz w:val="12"/>
        </w:rPr>
        <w:t>86</w:t>
        <w:tab/>
        <w:t>88    </w:t>
      </w:r>
      <w:r>
        <w:rPr>
          <w:spacing w:val="22"/>
          <w:sz w:val="12"/>
        </w:rPr>
        <w:t> </w:t>
      </w:r>
      <w:r>
        <w:rPr>
          <w:sz w:val="12"/>
        </w:rPr>
        <w:t>90</w:t>
        <w:tab/>
        <w:t>92    </w:t>
      </w:r>
      <w:r>
        <w:rPr>
          <w:spacing w:val="25"/>
          <w:sz w:val="12"/>
        </w:rPr>
        <w:t> </w:t>
      </w:r>
      <w:r>
        <w:rPr>
          <w:sz w:val="12"/>
        </w:rPr>
        <w:t>94</w:t>
        <w:tab/>
        <w:t>96</w:t>
        <w:tab/>
        <w:t>98</w:t>
      </w:r>
      <w:r>
        <w:rPr>
          <w:spacing w:val="5"/>
          <w:sz w:val="12"/>
        </w:rPr>
        <w:t> </w:t>
      </w:r>
      <w:r>
        <w:rPr>
          <w:spacing w:val="-5"/>
          <w:sz w:val="12"/>
        </w:rPr>
        <w:t>2000</w:t>
      </w:r>
    </w:p>
    <w:p>
      <w:pPr>
        <w:spacing w:before="107"/>
        <w:ind w:left="194" w:right="0" w:firstLine="0"/>
        <w:jc w:val="left"/>
        <w:rPr>
          <w:sz w:val="12"/>
        </w:rPr>
      </w:pPr>
      <w:r>
        <w:rPr>
          <w:sz w:val="12"/>
        </w:rPr>
        <w:t>Sources: ONS and Bank of England.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3"/>
        </w:rPr>
      </w:pPr>
    </w:p>
    <w:p>
      <w:pPr>
        <w:pStyle w:val="Heading6"/>
        <w:spacing w:line="191" w:lineRule="exact" w:before="0"/>
        <w:ind w:left="205"/>
      </w:pPr>
      <w:r>
        <w:rPr>
          <w:color w:val="0092C7"/>
        </w:rPr>
        <w:t>Chart 2.9</w:t>
      </w:r>
    </w:p>
    <w:p>
      <w:pPr>
        <w:pStyle w:val="BodyText"/>
        <w:spacing w:before="4"/>
        <w:rPr>
          <w:b/>
          <w:sz w:val="12"/>
        </w:rPr>
      </w:pPr>
      <w:r>
        <w:rPr/>
        <w:br w:type="column"/>
      </w:r>
      <w:r>
        <w:rPr>
          <w:b/>
          <w:sz w:val="12"/>
        </w:rPr>
      </w:r>
    </w:p>
    <w:p>
      <w:pPr>
        <w:spacing w:before="0"/>
        <w:ind w:left="0" w:right="38" w:firstLine="0"/>
        <w:jc w:val="right"/>
        <w:rPr>
          <w:sz w:val="12"/>
        </w:rPr>
      </w:pPr>
      <w:r>
        <w:rPr>
          <w:sz w:val="12"/>
        </w:rPr>
        <w:t>100</w:t>
      </w:r>
    </w:p>
    <w:p>
      <w:pPr>
        <w:pStyle w:val="BodyText"/>
        <w:spacing w:before="10"/>
        <w:rPr>
          <w:sz w:val="13"/>
        </w:rPr>
      </w:pPr>
    </w:p>
    <w:p>
      <w:pPr>
        <w:spacing w:before="0"/>
        <w:ind w:left="0" w:right="38" w:firstLine="0"/>
        <w:jc w:val="right"/>
        <w:rPr>
          <w:sz w:val="12"/>
        </w:rPr>
      </w:pPr>
      <w:r>
        <w:rPr/>
        <w:pict>
          <v:group style="position:absolute;margin-left:49.779999pt;margin-top:-14.546631pt;width:152.75pt;height:18.75pt;mso-position-horizontal-relative:page;mso-position-vertical-relative:paragraph;z-index:15952384" coordorigin="996,-291" coordsize="3055,375">
            <v:shape style="position:absolute;left:1005;top:-281;width:2880;height:295" coordorigin="1006,-281" coordsize="2880,295" path="m1006,14l1051,-1,1083,-16,1108,-15,1120,-14,1125,-14,1126,-15,1132,-18,1147,-23,1161,-29,1168,-31,1201,-48,1227,-47,1240,-46,1245,-47,1246,-47,1252,-50,1267,-56,1281,-61,1288,-63,1313,-62,1325,-61,1330,-61,1331,-62,1331,-63,1363,-78,1389,-77,1402,-76,1407,-76,1408,-77,1415,-80,1429,-86,1444,-91,1451,-93,1483,-91,1483,-92,1490,-95,1504,-101,1519,-106,1526,-108,1550,-107,1563,-106,1567,-106,1568,-107,1568,-108,1601,-126,1627,-125,1640,-124,1645,-124,1646,-125,1652,-128,1667,-133,1681,-139,1688,-141,1713,-140,1725,-139,1730,-139,1731,-140,1731,-141,1763,-156,1808,-171,1851,-188,1883,-203,1908,-202,1920,-201,1925,-201,1926,-202,1933,-205,1948,-211,1964,-216,1971,-218,2003,-233,2046,-251,2070,-250,2083,-249,2087,-249,2088,-250,2088,-251,2121,-248,2121,-250,2128,-253,2143,-258,2159,-264,2166,-266,2190,-265,2203,-264,2207,-264,2208,-265,2215,-265,2229,-265,2244,-264,2251,-265,2251,-266,2283,-263,2283,-265,2290,-268,2306,-273,2321,-279,2328,-281,2353,-280,2365,-279,2370,-279,2371,-280,2371,-281,2403,-278,2403,-280,2410,-280,2424,-280,2439,-279,2446,-280,2453,-280,2468,-280,2484,-279,2491,-280,2491,-281,2523,-278,2523,-280,2530,-280,2544,-280,2559,-279,2566,-280,2572,-278,2587,-273,2601,-268,2608,-266,2641,-263,2641,-265,2647,-265,2662,-265,2676,-264,2683,-265,2690,-263,2706,-258,2721,-253,2728,-251,2753,-250,2765,-249,2770,-249,2771,-250,2771,-251,2803,-248,2803,-250,2810,-250,2824,-250,2839,-249,2846,-250,2853,-248,2868,-242,2884,-236,2891,-233,2923,-231,2923,-232,2930,-236,2944,-242,2959,-248,2966,-251,2990,-250,3003,-249,3007,-249,3008,-250,3008,-251,3041,-248,3041,-250,3048,-250,3063,-250,3079,-249,3086,-250,3092,-250,3107,-250,3121,-249,3128,-250,3135,-250,3149,-250,3164,-249,3171,-250,3171,-251,3203,-248,3203,-250,3210,-248,3226,-242,3241,-236,3248,-233,3273,-232,3285,-231,3290,-231,3291,-232,3291,-233,3323,-231,3323,-232,3330,-233,3344,-232,3359,-232,3366,-232,3373,-233,3388,-232,3404,-232,3411,-232,3411,-233,3443,-231,3443,-232,3450,-233,3464,-232,3479,-232,3486,-232,3492,-233,3507,-232,3521,-232,3528,-232,3528,-233,3561,-231,3561,-232,3568,-236,3583,-242,3599,-248,3606,-251,3630,-250,3643,-249,3647,-249,3648,-250,3655,-250,3669,-250,3684,-249,3691,-250,3691,-251,3723,-266,3748,-265,3760,-264,3765,-264,3766,-265,3773,-265,3788,-265,3804,-264,3811,-265,3811,-266,3843,-281,3886,-278e" filled="false" stroked="true" strokeweight="1pt" strokecolor="#006caa">
              <v:path arrowok="t"/>
              <v:stroke dashstyle="solid"/>
            </v:shape>
            <v:shape style="position:absolute;left:3963;top:-217;width:87;height:295" coordorigin="3963,-216" coordsize="87,295" path="m3963,79l4050,79m3963,-216l4050,-216e" filled="false" stroked="true" strokeweight=".5pt" strokecolor="#000000">
              <v:path arrowok="t"/>
              <v:stroke dashstyle="solid"/>
            </v:shape>
            <v:shape style="position:absolute;left:995;top:-291;width:3055;height:375" type="#_x0000_t202" filled="false" stroked="false">
              <v:textbox inset="0,0,0,0">
                <w:txbxContent>
                  <w:p>
                    <w:pPr>
                      <w:spacing w:line="240" w:lineRule="auto" w:before="1"/>
                      <w:rPr>
                        <w:sz w:val="15"/>
                      </w:rPr>
                    </w:pPr>
                  </w:p>
                  <w:p>
                    <w:pPr>
                      <w:spacing w:before="0"/>
                      <w:ind w:left="735" w:right="0" w:firstLine="0"/>
                      <w:jc w:val="left"/>
                      <w:rPr>
                        <w:sz w:val="12"/>
                      </w:rPr>
                    </w:pPr>
                    <w:r>
                      <w:rPr>
                        <w:sz w:val="12"/>
                      </w:rPr>
                      <w:t>Household debt</w:t>
                    </w:r>
                  </w:p>
                </w:txbxContent>
              </v:textbox>
              <w10:wrap type="none"/>
            </v:shape>
            <w10:wrap type="none"/>
          </v:group>
        </w:pict>
      </w:r>
      <w:r>
        <w:rPr>
          <w:sz w:val="12"/>
        </w:rPr>
        <w:t>50</w:t>
      </w:r>
    </w:p>
    <w:p>
      <w:pPr>
        <w:pStyle w:val="BodyText"/>
        <w:spacing w:before="4"/>
        <w:rPr>
          <w:sz w:val="12"/>
        </w:rPr>
      </w:pPr>
    </w:p>
    <w:p>
      <w:pPr>
        <w:spacing w:before="0"/>
        <w:ind w:left="0" w:right="38" w:firstLine="0"/>
        <w:jc w:val="right"/>
        <w:rPr>
          <w:sz w:val="12"/>
        </w:rPr>
      </w:pPr>
      <w:r>
        <w:rPr/>
        <w:pict>
          <v:group style="position:absolute;margin-left:50.029999pt;margin-top:.872552pt;width:152.5pt;height:3.35pt;mso-position-horizontal-relative:page;mso-position-vertical-relative:paragraph;z-index:15957504" coordorigin="1001,17" coordsize="3050,67">
            <v:line style="position:absolute" from="3963,79" to="4050,79" stroked="true" strokeweight=".5pt" strokecolor="#000000">
              <v:stroke dashstyle="solid"/>
            </v:line>
            <v:line style="position:absolute" from="1008,79" to="3888,79" stroked="true" strokeweight=".5pt" strokecolor="#000000">
              <v:stroke dashstyle="solid"/>
            </v:line>
            <v:shape style="position:absolute;left:1005;top:17;width:2883;height:67" coordorigin="1006,17" coordsize="2883,67" path="m1168,37l1168,84m1483,37l1483,84m1646,17l1646,84m1811,37l1811,84m1971,17l1971,84m2121,37l2121,84m2283,17l2283,84m1006,17l1006,84m1331,17l1331,84m2611,17l2611,84m2771,37l2771,84m2926,17l2926,84m3088,37l3088,84m3251,17l3251,84m3563,17l3563,84m3413,37l3413,84m3726,37l3726,84m3888,17l3888,84m2446,37l2446,84e" filled="false" stroked="true" strokeweight=".5pt" strokecolor="#000000">
              <v:path arrowok="t"/>
              <v:stroke dashstyle="solid"/>
            </v:shape>
            <w10:wrap type="none"/>
          </v:group>
        </w:pict>
      </w:r>
      <w:r>
        <w:rPr>
          <w:sz w:val="12"/>
        </w:rPr>
        <w:t>0</w:t>
      </w:r>
    </w:p>
    <w:p>
      <w:pPr>
        <w:pStyle w:val="BodyText"/>
        <w:spacing w:before="8"/>
        <w:rPr>
          <w:sz w:val="21"/>
        </w:rPr>
      </w:pPr>
      <w:r>
        <w:rPr/>
        <w:br w:type="column"/>
      </w:r>
      <w:r>
        <w:rPr>
          <w:sz w:val="21"/>
        </w:rPr>
      </w:r>
    </w:p>
    <w:p>
      <w:pPr>
        <w:spacing w:before="0"/>
        <w:ind w:left="194" w:right="0" w:firstLine="0"/>
        <w:jc w:val="left"/>
        <w:rPr>
          <w:i/>
          <w:sz w:val="24"/>
        </w:rPr>
      </w:pPr>
      <w:r>
        <w:rPr>
          <w:i/>
          <w:color w:val="009391"/>
          <w:sz w:val="24"/>
        </w:rPr>
        <w:t>Investment demand</w:t>
      </w:r>
    </w:p>
    <w:p>
      <w:pPr>
        <w:spacing w:line="242" w:lineRule="auto" w:before="164"/>
        <w:ind w:left="194" w:right="116" w:firstLine="0"/>
        <w:jc w:val="left"/>
        <w:rPr>
          <w:sz w:val="24"/>
        </w:rPr>
      </w:pPr>
      <w:r>
        <w:rPr>
          <w:sz w:val="24"/>
        </w:rPr>
        <w:t>Investment growth has weakened over the past year and in 2000 Q1 whole-economy investment fell by 1.1%, the first quarterly decline in the aggregate series since 1995 (see Chart 2.9). Across the sectors, business investment fell by 0.7%; general government investment, which is</w:t>
      </w:r>
    </w:p>
    <w:p>
      <w:pPr>
        <w:spacing w:after="0" w:line="242" w:lineRule="auto"/>
        <w:jc w:val="left"/>
        <w:rPr>
          <w:sz w:val="24"/>
        </w:rPr>
        <w:sectPr>
          <w:type w:val="continuous"/>
          <w:pgSz w:w="11900" w:h="16840"/>
          <w:pgMar w:top="1260" w:bottom="280" w:left="640" w:right="640"/>
          <w:cols w:num="3" w:equalWidth="0">
            <w:col w:w="3361" w:space="40"/>
            <w:col w:w="262" w:space="1117"/>
            <w:col w:w="5840"/>
          </w:cols>
        </w:sectPr>
      </w:pPr>
    </w:p>
    <w:p>
      <w:pPr>
        <w:pStyle w:val="Heading6"/>
        <w:spacing w:before="49"/>
        <w:ind w:left="205"/>
      </w:pPr>
      <w:r>
        <w:rPr>
          <w:color w:val="0092C7"/>
        </w:rPr>
        <w:t>Gross</w:t>
      </w:r>
      <w:r>
        <w:rPr>
          <w:color w:val="0092C7"/>
          <w:spacing w:val="-12"/>
        </w:rPr>
        <w:t> </w:t>
      </w:r>
      <w:r>
        <w:rPr>
          <w:color w:val="0092C7"/>
        </w:rPr>
        <w:t>domestic</w:t>
      </w:r>
      <w:r>
        <w:rPr>
          <w:color w:val="0092C7"/>
          <w:spacing w:val="-11"/>
        </w:rPr>
        <w:t> </w:t>
      </w:r>
      <w:r>
        <w:rPr>
          <w:color w:val="0092C7"/>
        </w:rPr>
        <w:t>fixed</w:t>
      </w:r>
      <w:r>
        <w:rPr>
          <w:color w:val="0092C7"/>
          <w:spacing w:val="-11"/>
        </w:rPr>
        <w:t> </w:t>
      </w:r>
      <w:r>
        <w:rPr>
          <w:color w:val="0092C7"/>
        </w:rPr>
        <w:t>capital</w:t>
      </w:r>
      <w:r>
        <w:rPr>
          <w:color w:val="0092C7"/>
          <w:spacing w:val="-11"/>
        </w:rPr>
        <w:t> </w:t>
      </w:r>
      <w:r>
        <w:rPr>
          <w:color w:val="0092C7"/>
        </w:rPr>
        <w:t>formation</w:t>
      </w:r>
    </w:p>
    <w:p>
      <w:pPr>
        <w:spacing w:line="118" w:lineRule="exact" w:before="133"/>
        <w:ind w:left="1579" w:right="0" w:firstLine="0"/>
        <w:jc w:val="left"/>
        <w:rPr>
          <w:sz w:val="12"/>
        </w:rPr>
      </w:pPr>
      <w:r>
        <w:rPr>
          <w:sz w:val="12"/>
        </w:rPr>
        <w:t>Percentage changes on a quarter earlier</w:t>
      </w:r>
    </w:p>
    <w:p>
      <w:pPr>
        <w:spacing w:line="118" w:lineRule="exact" w:before="0"/>
        <w:ind w:left="3506" w:right="0" w:firstLine="0"/>
        <w:jc w:val="left"/>
        <w:rPr>
          <w:sz w:val="12"/>
        </w:rPr>
      </w:pPr>
      <w:r>
        <w:rPr/>
        <w:pict>
          <v:line style="position:absolute;mso-position-horizontal-relative:page;mso-position-vertical-relative:paragraph;z-index:15964160" from="42.175999pt,3.195816pt" to="46.508999pt,3.195816pt" stroked="true" strokeweight=".5pt" strokecolor="#000000">
            <v:stroke dashstyle="solid"/>
            <w10:wrap type="none"/>
          </v:line>
        </w:pict>
      </w:r>
      <w:r>
        <w:rPr/>
        <w:pict>
          <v:line style="position:absolute;mso-position-horizontal-relative:page;mso-position-vertical-relative:paragraph;z-index:15970304" from="200.778pt,3.237816pt" to="205.111pt,3.237816pt" stroked="true" strokeweight=".5pt" strokecolor="#000000">
            <v:stroke dashstyle="solid"/>
            <w10:wrap type="none"/>
          </v:line>
        </w:pict>
      </w:r>
      <w:r>
        <w:rPr>
          <w:sz w:val="12"/>
        </w:rPr>
        <w:t>8</w:t>
      </w:r>
    </w:p>
    <w:p>
      <w:pPr>
        <w:spacing w:before="105"/>
        <w:ind w:left="0" w:right="38" w:firstLine="0"/>
        <w:jc w:val="right"/>
        <w:rPr>
          <w:sz w:val="12"/>
        </w:rPr>
      </w:pPr>
      <w:r>
        <w:rPr/>
        <w:pict>
          <v:line style="position:absolute;mso-position-horizontal-relative:page;mso-position-vertical-relative:paragraph;z-index:15959552" from="42.175999pt,9.468166pt" to="46.508999pt,9.468166pt" stroked="true" strokeweight=".5pt" strokecolor="#000000">
            <v:stroke dashstyle="solid"/>
            <w10:wrap type="none"/>
          </v:line>
        </w:pict>
      </w:r>
      <w:r>
        <w:rPr/>
        <w:pict>
          <v:line style="position:absolute;mso-position-horizontal-relative:page;mso-position-vertical-relative:paragraph;z-index:15966208" from="200.778pt,9.510166pt" to="205.111pt,9.510166pt" stroked="true" strokeweight=".5pt" strokecolor="#000000">
            <v:stroke dashstyle="solid"/>
            <w10:wrap type="none"/>
          </v:line>
        </w:pict>
      </w:r>
      <w:r>
        <w:rPr>
          <w:sz w:val="12"/>
        </w:rPr>
        <w:t>7</w:t>
      </w:r>
    </w:p>
    <w:p>
      <w:pPr>
        <w:tabs>
          <w:tab w:pos="3566" w:val="right" w:leader="none"/>
        </w:tabs>
        <w:spacing w:before="43"/>
        <w:ind w:left="2010" w:right="0" w:firstLine="0"/>
        <w:jc w:val="left"/>
        <w:rPr>
          <w:sz w:val="12"/>
        </w:rPr>
      </w:pPr>
      <w:r>
        <w:rPr/>
        <w:pict>
          <v:group style="position:absolute;margin-left:50.742001pt;margin-top:5.549811pt;width:146.2pt;height:125.2pt;mso-position-horizontal-relative:page;mso-position-vertical-relative:paragraph;z-index:-23339008" coordorigin="1015,111" coordsize="2924,2504">
            <v:shape style="position:absolute;left:1025;top:433;width:2060;height:2033" coordorigin="1026,433" coordsize="2060,2033" path="m1026,1038l1148,2466m1148,2466l1273,946m1273,946l1386,1363m1386,1363l1508,1473m1508,1473l1633,1643m1633,1643l1756,1146m1756,1146l1868,1768m1868,1768l1993,883m1993,883l2116,1488m2116,1488l2241,1363m2241,1363l2353,1596m2353,1596l2476,1318m2476,1318l2601,433m2601,433l2726,1301m2726,1301l2836,976m2836,976l2961,758m2961,758l3086,1411e" filled="false" stroked="true" strokeweight="1pt" strokecolor="#de0035">
              <v:path arrowok="t"/>
              <v:stroke dashstyle="solid"/>
            </v:shape>
            <v:shape style="position:absolute;left:3075;top:1028;width:740;height:485" type="#_x0000_t75" stroked="false">
              <v:imagedata r:id="rId76" o:title=""/>
            </v:shape>
            <v:line style="position:absolute" from="3806,1363" to="3928,1908" stroked="true" strokeweight="1pt" strokecolor="#de0035">
              <v:stroke dashstyle="solid"/>
            </v:line>
            <v:shape style="position:absolute;left:1025;top:121;width:2060;height:2113" coordorigin="1026,121" coordsize="2060,2113" path="m1026,1131l1148,2233m1148,2233l1273,651m1273,651l1386,1163m1386,1163l1508,1831m1508,1831l1633,773m1633,773l1756,293m1756,293l1868,1643m1868,1643l1993,278m1993,278l2116,2031m2116,2031l2241,1271m2241,1271l2353,1676m2353,1676l2476,556m2476,556l2601,121m2601,121l2726,1086m2726,1086l2836,898m2836,898l2961,416m2961,416l3086,1178e" filled="false" stroked="true" strokeweight="1pt" strokecolor="#0099d9">
              <v:path arrowok="t"/>
              <v:stroke dashstyle="solid"/>
            </v:shape>
            <v:shape style="position:absolute;left:3075;top:1028;width:740;height:595" type="#_x0000_t75" stroked="false">
              <v:imagedata r:id="rId77" o:title=""/>
            </v:shape>
            <v:line style="position:absolute" from="3806,1381" to="3928,1813" stroked="true" strokeweight="1pt" strokecolor="#0099d9">
              <v:stroke dashstyle="solid"/>
            </v:line>
            <v:shape style="position:absolute;left:1018;top:2488;width:2916;height:121" coordorigin="1019,2488" coordsize="2916,121" path="m1019,2609l3934,2609m1020,2488l1020,2604m1141,2558l1141,2604m1262,2558l1262,2604m1383,2558l1383,2604m1504,2488l1504,2604m1625,2558l1625,2604m1746,2558l1746,2604m1867,2558l1867,2604m1988,2488l1988,2604m2109,2558l2109,2604m2230,2558l2230,2604m2351,2558l2351,2604m2472,2488l2472,2604m2593,2558l2593,2604m2714,2558l2714,2604m2835,2558l2835,2604m2956,2488l2956,2604m3077,2558l3077,2604m3198,2558l3198,2604m3319,2558l3319,2604m3441,2488l3441,2604m3562,2558l3562,2604m3683,2558l3683,2604m3804,2558l3804,2604m3925,2488l3925,2604e" filled="false" stroked="true" strokeweight=".5pt" strokecolor="#000000">
              <v:path arrowok="t"/>
              <v:stroke dashstyle="solid"/>
            </v:shape>
            <v:shape style="position:absolute;left:1014;top:111;width:2924;height:2504" type="#_x0000_t202"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3"/>
                      <w:rPr>
                        <w:sz w:val="16"/>
                      </w:rPr>
                    </w:pPr>
                  </w:p>
                  <w:p>
                    <w:pPr>
                      <w:spacing w:before="0"/>
                      <w:ind w:left="1424" w:right="0" w:firstLine="0"/>
                      <w:jc w:val="left"/>
                      <w:rPr>
                        <w:sz w:val="12"/>
                      </w:rPr>
                    </w:pPr>
                    <w:r>
                      <w:rPr>
                        <w:sz w:val="12"/>
                      </w:rPr>
                      <w:t>Whole-economy (a)</w:t>
                    </w:r>
                  </w:p>
                  <w:p>
                    <w:pPr>
                      <w:tabs>
                        <w:tab w:pos="2904" w:val="left" w:leader="none"/>
                      </w:tabs>
                      <w:spacing w:before="16"/>
                      <w:ind w:left="-7" w:right="0" w:firstLine="0"/>
                      <w:jc w:val="left"/>
                      <w:rPr>
                        <w:sz w:val="12"/>
                      </w:rPr>
                    </w:pPr>
                    <w:r>
                      <w:rPr>
                        <w:sz w:val="12"/>
                        <w:u w:val="single"/>
                      </w:rPr>
                      <w:t> </w:t>
                      <w:tab/>
                    </w:r>
                  </w:p>
                </w:txbxContent>
              </v:textbox>
              <w10:wrap type="none"/>
            </v:shape>
            <w10:wrap type="none"/>
          </v:group>
        </w:pict>
      </w:r>
      <w:r>
        <w:rPr/>
        <w:pict>
          <v:line style="position:absolute;mso-position-horizontal-relative:page;mso-position-vertical-relative:paragraph;z-index:15960064" from="42.175999pt,9.382811pt" to="46.508999pt,9.382811pt" stroked="true" strokeweight=".5pt" strokecolor="#000000">
            <v:stroke dashstyle="solid"/>
            <w10:wrap type="none"/>
          </v:line>
        </w:pict>
      </w:r>
      <w:r>
        <w:rPr/>
        <w:pict>
          <v:line style="position:absolute;mso-position-horizontal-relative:page;mso-position-vertical-relative:paragraph;z-index:-23331328" from="200.778pt,9.425811pt" to="205.111pt,9.425811pt" stroked="true" strokeweight=".5pt" strokecolor="#000000">
            <v:stroke dashstyle="solid"/>
            <w10:wrap type="none"/>
          </v:line>
        </w:pict>
      </w:r>
      <w:r>
        <w:rPr>
          <w:sz w:val="12"/>
        </w:rPr>
        <w:t>Business investment</w:t>
        <w:tab/>
      </w:r>
      <w:r>
        <w:rPr>
          <w:position w:val="-5"/>
          <w:sz w:val="12"/>
        </w:rPr>
        <w:t>6</w:t>
      </w:r>
    </w:p>
    <w:p>
      <w:pPr>
        <w:spacing w:before="105"/>
        <w:ind w:left="0" w:right="38" w:firstLine="0"/>
        <w:jc w:val="right"/>
        <w:rPr>
          <w:sz w:val="12"/>
        </w:rPr>
      </w:pPr>
      <w:r>
        <w:rPr/>
        <w:pict>
          <v:line style="position:absolute;mso-position-horizontal-relative:page;mso-position-vertical-relative:paragraph;z-index:15960576" from="42.175999pt,9.467365pt" to="46.508999pt,9.467365pt" stroked="true" strokeweight=".5pt" strokecolor="#000000">
            <v:stroke dashstyle="solid"/>
            <w10:wrap type="none"/>
          </v:line>
        </w:pict>
      </w:r>
      <w:r>
        <w:rPr/>
        <w:pict>
          <v:line style="position:absolute;mso-position-horizontal-relative:page;mso-position-vertical-relative:paragraph;z-index:15967232" from="200.778pt,9.510365pt" to="205.111pt,9.510365pt" stroked="true" strokeweight=".5pt" strokecolor="#000000">
            <v:stroke dashstyle="solid"/>
            <w10:wrap type="none"/>
          </v:line>
        </w:pict>
      </w:r>
      <w:r>
        <w:rPr>
          <w:sz w:val="12"/>
        </w:rPr>
        <w:t>5</w:t>
      </w:r>
    </w:p>
    <w:p>
      <w:pPr>
        <w:spacing w:before="104"/>
        <w:ind w:left="0" w:right="38" w:firstLine="0"/>
        <w:jc w:val="right"/>
        <w:rPr>
          <w:sz w:val="12"/>
        </w:rPr>
      </w:pPr>
      <w:r>
        <w:rPr/>
        <w:pict>
          <v:line style="position:absolute;mso-position-horizontal-relative:page;mso-position-vertical-relative:paragraph;z-index:15961088" from="42.175999pt,9.417964pt" to="46.508999pt,9.417964pt" stroked="true" strokeweight=".5pt" strokecolor="#000000">
            <v:stroke dashstyle="solid"/>
            <w10:wrap type="none"/>
          </v:line>
        </w:pict>
      </w:r>
      <w:r>
        <w:rPr/>
        <w:pict>
          <v:line style="position:absolute;mso-position-horizontal-relative:page;mso-position-vertical-relative:paragraph;z-index:15967744" from="200.778pt,9.459965pt" to="205.111pt,9.459965pt" stroked="true" strokeweight=".5pt" strokecolor="#000000">
            <v:stroke dashstyle="solid"/>
            <w10:wrap type="none"/>
          </v:line>
        </w:pict>
      </w:r>
      <w:r>
        <w:rPr>
          <w:sz w:val="12"/>
        </w:rPr>
        <w:t>4</w:t>
      </w:r>
    </w:p>
    <w:p>
      <w:pPr>
        <w:spacing w:before="104"/>
        <w:ind w:left="0" w:right="38" w:firstLine="0"/>
        <w:jc w:val="right"/>
        <w:rPr>
          <w:sz w:val="12"/>
        </w:rPr>
      </w:pPr>
      <w:r>
        <w:rPr/>
        <w:pict>
          <v:line style="position:absolute;mso-position-horizontal-relative:page;mso-position-vertical-relative:paragraph;z-index:15964672" from="42.174999pt,9.417563pt" to="46.508999pt,9.417563pt" stroked="true" strokeweight=".5pt" strokecolor="#000000">
            <v:stroke dashstyle="solid"/>
            <w10:wrap type="none"/>
          </v:line>
        </w:pict>
      </w:r>
      <w:r>
        <w:rPr/>
        <w:pict>
          <v:line style="position:absolute;mso-position-horizontal-relative:page;mso-position-vertical-relative:paragraph;z-index:15970816" from="200.776993pt,9.459563pt" to="205.110993pt,9.459563pt" stroked="true" strokeweight=".5pt" strokecolor="#000000">
            <v:stroke dashstyle="solid"/>
            <w10:wrap type="none"/>
          </v:line>
        </w:pict>
      </w:r>
      <w:r>
        <w:rPr>
          <w:sz w:val="12"/>
        </w:rPr>
        <w:t>3</w:t>
      </w:r>
    </w:p>
    <w:p>
      <w:pPr>
        <w:spacing w:before="104"/>
        <w:ind w:left="0" w:right="38" w:firstLine="0"/>
        <w:jc w:val="right"/>
        <w:rPr>
          <w:sz w:val="12"/>
        </w:rPr>
      </w:pPr>
      <w:r>
        <w:rPr/>
        <w:pict>
          <v:line style="position:absolute;mso-position-horizontal-relative:page;mso-position-vertical-relative:paragraph;z-index:15961600" from="42.175999pt,9.417163pt" to="46.508999pt,9.417163pt" stroked="true" strokeweight=".5pt" strokecolor="#000000">
            <v:stroke dashstyle="solid"/>
            <w10:wrap type="none"/>
          </v:line>
        </w:pict>
      </w:r>
      <w:r>
        <w:rPr/>
        <w:pict>
          <v:line style="position:absolute;mso-position-horizontal-relative:page;mso-position-vertical-relative:paragraph;z-index:15968256" from="200.778pt,9.459163pt" to="205.111pt,9.459163pt" stroked="true" strokeweight=".5pt" strokecolor="#000000">
            <v:stroke dashstyle="solid"/>
            <w10:wrap type="none"/>
          </v:line>
        </w:pict>
      </w:r>
      <w:r>
        <w:rPr>
          <w:sz w:val="12"/>
        </w:rPr>
        <w:t>2</w:t>
      </w:r>
    </w:p>
    <w:p>
      <w:pPr>
        <w:spacing w:line="112" w:lineRule="exact" w:before="104"/>
        <w:ind w:left="3506" w:right="0" w:firstLine="0"/>
        <w:jc w:val="left"/>
        <w:rPr>
          <w:sz w:val="12"/>
        </w:rPr>
      </w:pPr>
      <w:r>
        <w:rPr/>
        <w:pict>
          <v:line style="position:absolute;mso-position-horizontal-relative:page;mso-position-vertical-relative:paragraph;z-index:15965184" from="42.174999pt,9.416762pt" to="46.508999pt,9.416762pt" stroked="true" strokeweight=".5pt" strokecolor="#000000">
            <v:stroke dashstyle="solid"/>
            <w10:wrap type="none"/>
          </v:line>
        </w:pict>
      </w:r>
      <w:r>
        <w:rPr/>
        <w:pict>
          <v:line style="position:absolute;mso-position-horizontal-relative:page;mso-position-vertical-relative:paragraph;z-index:15971328" from="200.776993pt,9.458762pt" to="205.110993pt,9.458762pt" stroked="true" strokeweight=".5pt" strokecolor="#000000">
            <v:stroke dashstyle="solid"/>
            <w10:wrap type="none"/>
          </v:line>
        </w:pict>
      </w:r>
      <w:r>
        <w:rPr>
          <w:sz w:val="12"/>
        </w:rPr>
        <w:t>1</w:t>
      </w:r>
    </w:p>
    <w:p>
      <w:pPr>
        <w:spacing w:line="144" w:lineRule="exact" w:before="0"/>
        <w:ind w:left="3433" w:right="0" w:firstLine="0"/>
        <w:jc w:val="left"/>
        <w:rPr>
          <w:sz w:val="16"/>
        </w:rPr>
      </w:pPr>
      <w:r>
        <w:rPr>
          <w:sz w:val="16"/>
        </w:rPr>
        <w:t>+</w:t>
      </w:r>
    </w:p>
    <w:p>
      <w:pPr>
        <w:spacing w:line="100" w:lineRule="exact" w:before="0"/>
        <w:ind w:left="3375" w:right="0" w:firstLine="0"/>
        <w:jc w:val="left"/>
        <w:rPr>
          <w:sz w:val="12"/>
        </w:rPr>
      </w:pPr>
      <w:r>
        <w:rPr/>
        <w:pict>
          <v:line style="position:absolute;mso-position-horizontal-relative:page;mso-position-vertical-relative:paragraph;z-index:15962112" from="42.175999pt,3.496445pt" to="46.508999pt,3.496445pt" stroked="true" strokeweight=".5pt" strokecolor="#000000">
            <v:stroke dashstyle="solid"/>
            <w10:wrap type="none"/>
          </v:line>
        </w:pict>
      </w:r>
      <w:r>
        <w:rPr>
          <w:sz w:val="12"/>
          <w:u w:val="single"/>
        </w:rPr>
        <w:t>  </w:t>
      </w:r>
      <w:r>
        <w:rPr>
          <w:spacing w:val="-4"/>
          <w:sz w:val="12"/>
          <w:u w:val="single"/>
        </w:rPr>
        <w:t> </w:t>
      </w:r>
      <w:r>
        <w:rPr>
          <w:spacing w:val="14"/>
          <w:sz w:val="12"/>
        </w:rPr>
        <w:t> </w:t>
      </w:r>
      <w:r>
        <w:rPr>
          <w:sz w:val="12"/>
        </w:rPr>
        <w:t>0</w:t>
      </w:r>
    </w:p>
    <w:p>
      <w:pPr>
        <w:spacing w:line="144" w:lineRule="exact" w:before="0"/>
        <w:ind w:left="3443" w:right="0" w:firstLine="0"/>
        <w:jc w:val="left"/>
        <w:rPr>
          <w:sz w:val="16"/>
        </w:rPr>
      </w:pPr>
      <w:r>
        <w:rPr>
          <w:sz w:val="16"/>
        </w:rPr>
        <w:t>–</w:t>
      </w:r>
    </w:p>
    <w:p>
      <w:pPr>
        <w:spacing w:line="121" w:lineRule="exact" w:before="0"/>
        <w:ind w:left="3506" w:right="0" w:firstLine="0"/>
        <w:jc w:val="left"/>
        <w:rPr>
          <w:sz w:val="12"/>
        </w:rPr>
      </w:pPr>
      <w:r>
        <w:rPr/>
        <w:pict>
          <v:line style="position:absolute;mso-position-horizontal-relative:page;mso-position-vertical-relative:paragraph;z-index:15965696" from="42.174999pt,3.384594pt" to="46.508999pt,3.384594pt" stroked="true" strokeweight=".5pt" strokecolor="#000000">
            <v:stroke dashstyle="solid"/>
            <w10:wrap type="none"/>
          </v:line>
        </w:pict>
      </w:r>
      <w:r>
        <w:rPr/>
        <w:pict>
          <v:line style="position:absolute;mso-position-horizontal-relative:page;mso-position-vertical-relative:paragraph;z-index:15971840" from="200.776993pt,3.426594pt" to="205.110993pt,3.426594pt" stroked="true" strokeweight=".5pt" strokecolor="#000000">
            <v:stroke dashstyle="solid"/>
            <w10:wrap type="none"/>
          </v:line>
        </w:pict>
      </w:r>
      <w:r>
        <w:rPr>
          <w:sz w:val="12"/>
        </w:rPr>
        <w:t>1</w:t>
      </w:r>
    </w:p>
    <w:p>
      <w:pPr>
        <w:spacing w:before="104"/>
        <w:ind w:left="0" w:right="38" w:firstLine="0"/>
        <w:jc w:val="right"/>
        <w:rPr>
          <w:sz w:val="12"/>
        </w:rPr>
      </w:pPr>
      <w:r>
        <w:rPr/>
        <w:pict>
          <v:line style="position:absolute;mso-position-horizontal-relative:page;mso-position-vertical-relative:paragraph;z-index:15962624" from="42.175999pt,9.417171pt" to="46.508999pt,9.417171pt" stroked="true" strokeweight=".5pt" strokecolor="#000000">
            <v:stroke dashstyle="solid"/>
            <w10:wrap type="none"/>
          </v:line>
        </w:pict>
      </w:r>
      <w:r>
        <w:rPr/>
        <w:pict>
          <v:line style="position:absolute;mso-position-horizontal-relative:page;mso-position-vertical-relative:paragraph;z-index:15968768" from="200.778pt,9.459171pt" to="205.111pt,9.459171pt" stroked="true" strokeweight=".5pt" strokecolor="#000000">
            <v:stroke dashstyle="solid"/>
            <w10:wrap type="none"/>
          </v:line>
        </w:pict>
      </w:r>
      <w:r>
        <w:rPr>
          <w:sz w:val="12"/>
        </w:rPr>
        <w:t>2</w:t>
      </w:r>
    </w:p>
    <w:p>
      <w:pPr>
        <w:spacing w:before="104"/>
        <w:ind w:left="0" w:right="38" w:firstLine="0"/>
        <w:jc w:val="right"/>
        <w:rPr>
          <w:sz w:val="12"/>
        </w:rPr>
      </w:pPr>
      <w:r>
        <w:rPr/>
        <w:pict>
          <v:line style="position:absolute;mso-position-horizontal-relative:page;mso-position-vertical-relative:paragraph;z-index:15963136" from="42.175999pt,9.417960pt" to="46.508999pt,9.417960pt" stroked="true" strokeweight=".5pt" strokecolor="#000000">
            <v:stroke dashstyle="solid"/>
            <w10:wrap type="none"/>
          </v:line>
        </w:pict>
      </w:r>
      <w:r>
        <w:rPr/>
        <w:pict>
          <v:line style="position:absolute;mso-position-horizontal-relative:page;mso-position-vertical-relative:paragraph;z-index:15969280" from="200.778pt,9.459960pt" to="205.111pt,9.459960pt" stroked="true" strokeweight=".5pt" strokecolor="#000000">
            <v:stroke dashstyle="solid"/>
            <w10:wrap type="none"/>
          </v:line>
        </w:pict>
      </w:r>
      <w:r>
        <w:rPr>
          <w:sz w:val="12"/>
        </w:rPr>
        <w:t>3</w:t>
      </w:r>
    </w:p>
    <w:p>
      <w:pPr>
        <w:spacing w:before="104"/>
        <w:ind w:left="0" w:right="38" w:firstLine="0"/>
        <w:jc w:val="right"/>
        <w:rPr>
          <w:sz w:val="12"/>
        </w:rPr>
      </w:pPr>
      <w:r>
        <w:rPr/>
        <w:pict>
          <v:line style="position:absolute;mso-position-horizontal-relative:page;mso-position-vertical-relative:paragraph;z-index:15963648" from="42.175999pt,9.41756pt" to="46.508999pt,9.41756pt" stroked="true" strokeweight=".5pt" strokecolor="#000000">
            <v:stroke dashstyle="solid"/>
            <w10:wrap type="none"/>
          </v:line>
        </w:pict>
      </w:r>
      <w:r>
        <w:rPr/>
        <w:pict>
          <v:line style="position:absolute;mso-position-horizontal-relative:page;mso-position-vertical-relative:paragraph;z-index:15969792" from="200.778pt,9.459559pt" to="205.111pt,9.459559pt" stroked="true" strokeweight=".5pt" strokecolor="#000000">
            <v:stroke dashstyle="solid"/>
            <w10:wrap type="none"/>
          </v:line>
        </w:pict>
      </w:r>
      <w:r>
        <w:rPr>
          <w:sz w:val="12"/>
        </w:rPr>
        <w:t>4</w:t>
      </w:r>
    </w:p>
    <w:p>
      <w:pPr>
        <w:spacing w:line="242" w:lineRule="auto" w:before="0"/>
        <w:ind w:left="205" w:right="159" w:firstLine="0"/>
        <w:jc w:val="left"/>
        <w:rPr>
          <w:sz w:val="24"/>
        </w:rPr>
      </w:pPr>
      <w:r>
        <w:rPr/>
        <w:br w:type="column"/>
      </w:r>
      <w:r>
        <w:rPr>
          <w:sz w:val="24"/>
        </w:rPr>
        <w:t>particularly erratic, was 4.2% lower; and private sector investment in dwellings declined by 1.5%.</w:t>
      </w:r>
    </w:p>
    <w:p>
      <w:pPr>
        <w:pStyle w:val="BodyText"/>
        <w:spacing w:before="4"/>
        <w:rPr>
          <w:sz w:val="23"/>
        </w:rPr>
      </w:pPr>
    </w:p>
    <w:p>
      <w:pPr>
        <w:spacing w:line="280" w:lineRule="atLeast" w:before="0"/>
        <w:ind w:left="205" w:right="293" w:firstLine="0"/>
        <w:jc w:val="left"/>
        <w:rPr>
          <w:sz w:val="24"/>
        </w:rPr>
      </w:pPr>
      <w:r>
        <w:rPr>
          <w:sz w:val="24"/>
        </w:rPr>
        <w:t>The fall in business investment in the first quarter reflected weaker service sector investment more than offsetting higher manufacturing investment. In recent years, the ratio of investment to output in the service sector has risen sharply (see Chart 2.10), perhaps partly due to higher investment in short-lived assets such as computers. The ratio was particularly high in 1998 and 1999, possibly as service sector companies invested heavily to ensure Y2K compliance. Recent falls may reflect some unwinding of that effect. Over the past</w:t>
      </w:r>
    </w:p>
    <w:p>
      <w:pPr>
        <w:spacing w:after="0" w:line="280" w:lineRule="atLeast"/>
        <w:jc w:val="left"/>
        <w:rPr>
          <w:sz w:val="24"/>
        </w:rPr>
        <w:sectPr>
          <w:type w:val="continuous"/>
          <w:pgSz w:w="11900" w:h="16840"/>
          <w:pgMar w:top="1260" w:bottom="280" w:left="640" w:right="640"/>
          <w:cols w:num="2" w:equalWidth="0">
            <w:col w:w="3607" w:space="1163"/>
            <w:col w:w="5850"/>
          </w:cols>
        </w:sectPr>
      </w:pPr>
    </w:p>
    <w:p>
      <w:pPr>
        <w:tabs>
          <w:tab w:pos="1040" w:val="left" w:leader="none"/>
          <w:tab w:pos="1533" w:val="left" w:leader="none"/>
          <w:tab w:pos="2006" w:val="left" w:leader="none"/>
          <w:tab w:pos="2497" w:val="left" w:leader="none"/>
          <w:tab w:pos="2986" w:val="left" w:leader="none"/>
        </w:tabs>
        <w:spacing w:line="60" w:lineRule="exact" w:before="0"/>
        <w:ind w:left="494" w:right="0" w:firstLine="0"/>
        <w:jc w:val="left"/>
        <w:rPr>
          <w:sz w:val="12"/>
        </w:rPr>
      </w:pPr>
      <w:r>
        <w:rPr>
          <w:sz w:val="12"/>
        </w:rPr>
        <w:t>1994</w:t>
        <w:tab/>
        <w:t>95</w:t>
        <w:tab/>
        <w:t>96</w:t>
        <w:tab/>
        <w:t>97</w:t>
        <w:tab/>
        <w:t>98</w:t>
        <w:tab/>
        <w:t>99</w:t>
      </w:r>
    </w:p>
    <w:p>
      <w:pPr>
        <w:pStyle w:val="BodyText"/>
        <w:spacing w:before="1"/>
        <w:rPr>
          <w:sz w:val="10"/>
        </w:rPr>
      </w:pPr>
    </w:p>
    <w:p>
      <w:pPr>
        <w:spacing w:line="208" w:lineRule="auto" w:before="0"/>
        <w:ind w:left="425" w:right="0" w:hanging="240"/>
        <w:jc w:val="left"/>
        <w:rPr>
          <w:sz w:val="12"/>
        </w:rPr>
      </w:pPr>
      <w:r>
        <w:rPr>
          <w:sz w:val="12"/>
        </w:rPr>
        <w:t>(a) Includes business investment, investment by government, private dwelling investment and transfer costs.</w:t>
      </w:r>
    </w:p>
    <w:p>
      <w:pPr>
        <w:spacing w:line="60" w:lineRule="exact" w:before="0"/>
        <w:ind w:left="24" w:right="0" w:firstLine="0"/>
        <w:jc w:val="left"/>
        <w:rPr>
          <w:sz w:val="12"/>
        </w:rPr>
      </w:pPr>
      <w:r>
        <w:rPr/>
        <w:br w:type="column"/>
      </w:r>
      <w:r>
        <w:rPr>
          <w:sz w:val="12"/>
        </w:rPr>
        <w:t>2000</w:t>
      </w:r>
    </w:p>
    <w:p>
      <w:pPr>
        <w:spacing w:line="242" w:lineRule="auto" w:before="4"/>
        <w:ind w:left="185" w:right="0" w:firstLine="0"/>
        <w:jc w:val="left"/>
        <w:rPr>
          <w:sz w:val="24"/>
        </w:rPr>
      </w:pPr>
      <w:r>
        <w:rPr/>
        <w:br w:type="column"/>
      </w:r>
      <w:r>
        <w:rPr>
          <w:sz w:val="24"/>
        </w:rPr>
        <w:t>year, manufacturing investment intensity has recovered somewhat but remains well below levels in the service sector.</w:t>
      </w:r>
    </w:p>
    <w:p>
      <w:pPr>
        <w:spacing w:after="0" w:line="242" w:lineRule="auto"/>
        <w:jc w:val="left"/>
        <w:rPr>
          <w:sz w:val="24"/>
        </w:rPr>
        <w:sectPr>
          <w:type w:val="continuous"/>
          <w:pgSz w:w="11900" w:h="16840"/>
          <w:pgMar w:top="1260" w:bottom="280" w:left="640" w:right="640"/>
          <w:cols w:num="3" w:equalWidth="0">
            <w:col w:w="3176" w:space="40"/>
            <w:col w:w="305" w:space="1269"/>
            <w:col w:w="5830"/>
          </w:cols>
        </w:sectPr>
      </w:pPr>
    </w:p>
    <w:p>
      <w:pPr>
        <w:pStyle w:val="BodyText"/>
        <w:spacing w:before="10"/>
        <w:rPr>
          <w:sz w:val="16"/>
        </w:rPr>
      </w:pPr>
    </w:p>
    <w:p>
      <w:pPr>
        <w:spacing w:after="0"/>
        <w:rPr>
          <w:sz w:val="16"/>
        </w:rPr>
        <w:sectPr>
          <w:type w:val="continuous"/>
          <w:pgSz w:w="11900" w:h="16840"/>
          <w:pgMar w:top="1260" w:bottom="280" w:left="640" w:right="640"/>
        </w:sectPr>
      </w:pPr>
    </w:p>
    <w:p>
      <w:pPr>
        <w:pStyle w:val="Heading6"/>
        <w:spacing w:before="149"/>
        <w:ind w:left="205"/>
      </w:pPr>
      <w:r>
        <w:rPr>
          <w:color w:val="0092C7"/>
        </w:rPr>
        <w:t>Chart 2.10</w:t>
      </w:r>
    </w:p>
    <w:p>
      <w:pPr>
        <w:pStyle w:val="Heading6"/>
        <w:ind w:left="205"/>
        <w:rPr>
          <w:b w:val="0"/>
          <w:sz w:val="12"/>
        </w:rPr>
      </w:pPr>
      <w:r>
        <w:rPr>
          <w:color w:val="0092C7"/>
        </w:rPr>
        <w:t>Business investment by sector</w:t>
      </w:r>
      <w:r>
        <w:rPr>
          <w:b w:val="0"/>
          <w:position w:val="4"/>
          <w:sz w:val="12"/>
        </w:rPr>
        <w:t>(a)</w:t>
      </w:r>
    </w:p>
    <w:p>
      <w:pPr>
        <w:spacing w:line="117" w:lineRule="exact" w:before="132"/>
        <w:ind w:left="1839" w:right="0" w:firstLine="0"/>
        <w:jc w:val="left"/>
        <w:rPr>
          <w:sz w:val="12"/>
        </w:rPr>
      </w:pPr>
      <w:r>
        <w:rPr>
          <w:sz w:val="12"/>
        </w:rPr>
        <w:t>Percentage of GDP in each sector</w:t>
      </w:r>
    </w:p>
    <w:p>
      <w:pPr>
        <w:spacing w:line="117" w:lineRule="exact" w:before="0"/>
        <w:ind w:left="3509" w:right="0" w:firstLine="0"/>
        <w:jc w:val="left"/>
        <w:rPr>
          <w:sz w:val="12"/>
        </w:rPr>
      </w:pPr>
      <w:r>
        <w:rPr/>
        <w:pict>
          <v:line style="position:absolute;mso-position-horizontal-relative:page;mso-position-vertical-relative:paragraph;z-index:15979008" from="42.061001pt,3.039604pt" to="46.394001pt,3.039604pt" stroked="true" strokeweight=".5pt" strokecolor="#000000">
            <v:stroke dashstyle="solid"/>
            <w10:wrap type="none"/>
          </v:line>
        </w:pict>
      </w:r>
      <w:r>
        <w:rPr/>
        <w:pict>
          <v:line style="position:absolute;mso-position-horizontal-relative:page;mso-position-vertical-relative:paragraph;z-index:15984128" from="200.464005pt,3.197604pt" to="204.796005pt,3.197604pt" stroked="true" strokeweight=".5pt" strokecolor="#000000">
            <v:stroke dashstyle="solid"/>
            <w10:wrap type="none"/>
          </v:line>
        </w:pict>
      </w:r>
      <w:r>
        <w:rPr>
          <w:sz w:val="12"/>
        </w:rPr>
        <w:t>18</w:t>
      </w:r>
    </w:p>
    <w:p>
      <w:pPr>
        <w:pStyle w:val="BodyText"/>
        <w:spacing w:before="9"/>
        <w:rPr>
          <w:sz w:val="12"/>
        </w:rPr>
      </w:pPr>
    </w:p>
    <w:p>
      <w:pPr>
        <w:spacing w:before="0"/>
        <w:ind w:left="3509" w:right="0" w:firstLine="0"/>
        <w:jc w:val="left"/>
        <w:rPr>
          <w:sz w:val="12"/>
        </w:rPr>
      </w:pPr>
      <w:r>
        <w:rPr/>
        <w:pict>
          <v:group style="position:absolute;margin-left:50.404999pt;margin-top:1.34256pt;width:146.4pt;height:126.15pt;mso-position-horizontal-relative:page;mso-position-vertical-relative:paragraph;z-index:15973376" coordorigin="1008,27" coordsize="2928,2523">
            <v:shape style="position:absolute;left:1018;top:1106;width:1138;height:800" coordorigin="1018,1107" coordsize="1138,800" path="m1018,1832l1126,1847m1126,1847l1223,1907m1223,1907l1331,1892m1331,1892l1438,1814m1438,1814l1533,1832m1533,1832l1641,1769m1641,1769l1748,1574m1748,1574l1843,1469m1843,1469l1951,1242m1951,1242l2058,1107m2058,1107l2156,1182e" filled="false" stroked="true" strokeweight="1pt" strokecolor="#006caa">
              <v:path arrowok="t"/>
              <v:stroke dashstyle="solid"/>
            </v:shape>
            <v:line style="position:absolute" from="2146,1183" to="2273,1183" stroked="true" strokeweight="1.125pt" strokecolor="#006caa">
              <v:stroke dashstyle="solid"/>
            </v:line>
            <v:shape style="position:absolute;left:2263;top:624;width:525;height:845" coordorigin="2263,624" coordsize="525,845" path="m2263,1182l2371,1469m2371,1469l2478,1197m2478,1197l2573,1047m2573,1047l2681,1062m2681,1062l2788,624e" filled="false" stroked="true" strokeweight="1pt" strokecolor="#006caa">
              <v:path arrowok="t"/>
              <v:stroke dashstyle="solid"/>
            </v:shape>
            <v:shape style="position:absolute;left:2778;top:569;width:643;height:323" type="#_x0000_t75" stroked="false">
              <v:imagedata r:id="rId78" o:title=""/>
            </v:shape>
            <v:shape style="position:absolute;left:3410;top:759;width:515;height:695" coordorigin="3411,759" coordsize="515,695" path="m3411,759l3506,1167m3506,1167l3613,1349m3613,1349l3721,1454m3721,1454l3818,1317m3818,1317l3926,1107e" filled="false" stroked="true" strokeweight="1pt" strokecolor="#006caa">
              <v:path arrowok="t"/>
              <v:stroke dashstyle="solid"/>
            </v:shape>
            <v:shape style="position:absolute;left:1018;top:2464;width:205;height:75" coordorigin="1018,2464" coordsize="205,75" path="m1018,2539l1126,2494m1126,2494l1223,2464e" filled="false" stroked="true" strokeweight="1pt" strokecolor="#f6bd61">
              <v:path arrowok="t"/>
              <v:stroke dashstyle="solid"/>
            </v:shape>
            <v:line style="position:absolute" from="1213,2466" to="1341,2466" stroked="true" strokeweight="1.125pt" strokecolor="#f6bd61">
              <v:stroke dashstyle="solid"/>
            </v:line>
            <v:shape style="position:absolute;left:1330;top:36;width:2595;height:2428" coordorigin="1331,37" coordsize="2595,2428" path="m1331,2464l1438,2162m1438,2162l1533,2419m1533,2419l1641,2237m1641,2237l1748,2177m1748,2177l1843,2297m1843,2297l1951,2147m1951,2147l2058,1967m2058,1967l2156,2012m2156,2012l2263,1709m2263,1709l2371,1634m2371,1634l2478,1619m2478,1619l2573,1769m2573,1769l2681,1589m2681,1589l2788,1514m2788,1514l2886,1349m2886,1349l2993,1107m2993,1107l3101,987m3101,987l3196,849m3196,849l3303,714m3303,714l3411,654m3411,654l3506,187m3506,187l3613,37m3613,37l3721,97m3721,97l3818,82m3818,82l3926,172e" filled="false" stroked="true" strokeweight="1pt" strokecolor="#f6bd61">
              <v:path arrowok="t"/>
              <v:stroke dashstyle="solid"/>
            </v:shape>
            <v:shape style="position:absolute;left:3049;top:151;width:427;height:133" type="#_x0000_t202" filled="false" stroked="false">
              <v:textbox inset="0,0,0,0">
                <w:txbxContent>
                  <w:p>
                    <w:pPr>
                      <w:spacing w:line="133" w:lineRule="exact" w:before="0"/>
                      <w:ind w:left="0" w:right="0" w:firstLine="0"/>
                      <w:jc w:val="left"/>
                      <w:rPr>
                        <w:sz w:val="12"/>
                      </w:rPr>
                    </w:pPr>
                    <w:r>
                      <w:rPr>
                        <w:sz w:val="12"/>
                      </w:rPr>
                      <w:t>Services</w:t>
                    </w:r>
                  </w:p>
                </w:txbxContent>
              </v:textbox>
              <w10:wrap type="none"/>
            </v:shape>
            <v:shape style="position:absolute;left:1962;top:775;width:734;height:134" type="#_x0000_t202" filled="false" stroked="false">
              <v:textbox inset="0,0,0,0">
                <w:txbxContent>
                  <w:p>
                    <w:pPr>
                      <w:spacing w:line="133" w:lineRule="exact" w:before="0"/>
                      <w:ind w:left="0" w:right="0" w:firstLine="0"/>
                      <w:jc w:val="left"/>
                      <w:rPr>
                        <w:sz w:val="12"/>
                      </w:rPr>
                    </w:pPr>
                    <w:r>
                      <w:rPr>
                        <w:sz w:val="12"/>
                      </w:rPr>
                      <w:t>Manufacturing</w:t>
                    </w:r>
                  </w:p>
                </w:txbxContent>
              </v:textbox>
              <w10:wrap type="none"/>
            </v:shape>
            <w10:wrap type="none"/>
          </v:group>
        </w:pict>
      </w:r>
      <w:r>
        <w:rPr/>
        <w:pict>
          <v:line style="position:absolute;mso-position-horizontal-relative:page;mso-position-vertical-relative:paragraph;z-index:15974400" from="42.061001pt,4.099560pt" to="46.394001pt,4.099560pt" stroked="true" strokeweight=".5pt" strokecolor="#000000">
            <v:stroke dashstyle="solid"/>
            <w10:wrap type="none"/>
          </v:line>
        </w:pict>
      </w:r>
      <w:r>
        <w:rPr/>
        <w:pict>
          <v:line style="position:absolute;mso-position-horizontal-relative:page;mso-position-vertical-relative:paragraph;z-index:15979520" from="200.464005pt,4.25756pt" to="204.796005pt,4.25756pt" stroked="true" strokeweight=".5pt" strokecolor="#000000">
            <v:stroke dashstyle="solid"/>
            <w10:wrap type="none"/>
          </v:line>
        </w:pict>
      </w:r>
      <w:r>
        <w:rPr>
          <w:sz w:val="12"/>
        </w:rPr>
        <w:t>17</w:t>
      </w:r>
    </w:p>
    <w:p>
      <w:pPr>
        <w:pStyle w:val="BodyText"/>
        <w:spacing w:before="9"/>
        <w:rPr>
          <w:sz w:val="12"/>
        </w:rPr>
      </w:pPr>
    </w:p>
    <w:p>
      <w:pPr>
        <w:spacing w:before="0"/>
        <w:ind w:left="3509" w:right="0" w:firstLine="0"/>
        <w:jc w:val="left"/>
        <w:rPr>
          <w:sz w:val="12"/>
        </w:rPr>
      </w:pPr>
      <w:r>
        <w:rPr/>
        <w:pict>
          <v:line style="position:absolute;mso-position-horizontal-relative:page;mso-position-vertical-relative:paragraph;z-index:15974912" from="42.061001pt,4.10656pt" to="46.394001pt,4.10656pt" stroked="true" strokeweight=".5pt" strokecolor="#000000">
            <v:stroke dashstyle="solid"/>
            <w10:wrap type="none"/>
          </v:line>
        </w:pict>
      </w:r>
      <w:r>
        <w:rPr/>
        <w:pict>
          <v:line style="position:absolute;mso-position-horizontal-relative:page;mso-position-vertical-relative:paragraph;z-index:15980032" from="200.464005pt,4.264560pt" to="204.796005pt,4.264560pt" stroked="true" strokeweight=".5pt" strokecolor="#000000">
            <v:stroke dashstyle="solid"/>
            <w10:wrap type="none"/>
          </v:line>
        </w:pict>
      </w:r>
      <w:r>
        <w:rPr>
          <w:sz w:val="12"/>
        </w:rPr>
        <w:t>16</w:t>
      </w:r>
    </w:p>
    <w:p>
      <w:pPr>
        <w:pStyle w:val="BodyText"/>
        <w:spacing w:before="9"/>
        <w:rPr>
          <w:sz w:val="12"/>
        </w:rPr>
      </w:pPr>
    </w:p>
    <w:p>
      <w:pPr>
        <w:spacing w:before="0"/>
        <w:ind w:left="3509" w:right="0" w:firstLine="0"/>
        <w:jc w:val="left"/>
        <w:rPr>
          <w:sz w:val="12"/>
        </w:rPr>
      </w:pPr>
      <w:r>
        <w:rPr/>
        <w:pict>
          <v:line style="position:absolute;mso-position-horizontal-relative:page;mso-position-vertical-relative:paragraph;z-index:15975424" from="42.061001pt,4.113560pt" to="46.394001pt,4.113560pt" stroked="true" strokeweight=".5pt" strokecolor="#000000">
            <v:stroke dashstyle="solid"/>
            <w10:wrap type="none"/>
          </v:line>
        </w:pict>
      </w:r>
      <w:r>
        <w:rPr/>
        <w:pict>
          <v:line style="position:absolute;mso-position-horizontal-relative:page;mso-position-vertical-relative:paragraph;z-index:15980544" from="200.464005pt,4.27156pt" to="204.796005pt,4.27156pt" stroked="true" strokeweight=".5pt" strokecolor="#000000">
            <v:stroke dashstyle="solid"/>
            <w10:wrap type="none"/>
          </v:line>
        </w:pict>
      </w:r>
      <w:r>
        <w:rPr>
          <w:sz w:val="12"/>
        </w:rPr>
        <w:t>15</w:t>
      </w:r>
    </w:p>
    <w:p>
      <w:pPr>
        <w:pStyle w:val="BodyText"/>
        <w:spacing w:before="9"/>
        <w:rPr>
          <w:sz w:val="12"/>
        </w:rPr>
      </w:pPr>
    </w:p>
    <w:p>
      <w:pPr>
        <w:spacing w:before="0"/>
        <w:ind w:left="3509" w:right="0" w:firstLine="0"/>
        <w:jc w:val="left"/>
        <w:rPr>
          <w:sz w:val="12"/>
        </w:rPr>
      </w:pPr>
      <w:r>
        <w:rPr/>
        <w:pict>
          <v:line style="position:absolute;mso-position-horizontal-relative:page;mso-position-vertical-relative:paragraph;z-index:15975936" from="42.061001pt,4.12056pt" to="46.394001pt,4.12056pt" stroked="true" strokeweight=".5pt" strokecolor="#000000">
            <v:stroke dashstyle="solid"/>
            <w10:wrap type="none"/>
          </v:line>
        </w:pict>
      </w:r>
      <w:r>
        <w:rPr/>
        <w:pict>
          <v:line style="position:absolute;mso-position-horizontal-relative:page;mso-position-vertical-relative:paragraph;z-index:15981056" from="200.464005pt,4.278560pt" to="204.796005pt,4.278560pt" stroked="true" strokeweight=".5pt" strokecolor="#000000">
            <v:stroke dashstyle="solid"/>
            <w10:wrap type="none"/>
          </v:line>
        </w:pict>
      </w:r>
      <w:r>
        <w:rPr>
          <w:sz w:val="12"/>
        </w:rPr>
        <w:t>14</w:t>
      </w:r>
    </w:p>
    <w:p>
      <w:pPr>
        <w:pStyle w:val="BodyText"/>
        <w:spacing w:before="9"/>
        <w:rPr>
          <w:sz w:val="12"/>
        </w:rPr>
      </w:pPr>
    </w:p>
    <w:p>
      <w:pPr>
        <w:spacing w:before="0"/>
        <w:ind w:left="3509" w:right="0" w:firstLine="0"/>
        <w:jc w:val="left"/>
        <w:rPr>
          <w:sz w:val="12"/>
        </w:rPr>
      </w:pPr>
      <w:r>
        <w:rPr/>
        <w:pict>
          <v:line style="position:absolute;mso-position-horizontal-relative:page;mso-position-vertical-relative:paragraph;z-index:15976448" from="42.061001pt,4.12756pt" to="46.394001pt,4.12756pt" stroked="true" strokeweight=".5pt" strokecolor="#000000">
            <v:stroke dashstyle="solid"/>
            <w10:wrap type="none"/>
          </v:line>
        </w:pict>
      </w:r>
      <w:r>
        <w:rPr/>
        <w:pict>
          <v:line style="position:absolute;mso-position-horizontal-relative:page;mso-position-vertical-relative:paragraph;z-index:15981568" from="200.464005pt,4.28556pt" to="204.796005pt,4.28556pt" stroked="true" strokeweight=".5pt" strokecolor="#000000">
            <v:stroke dashstyle="solid"/>
            <w10:wrap type="none"/>
          </v:line>
        </w:pict>
      </w:r>
      <w:r>
        <w:rPr>
          <w:sz w:val="12"/>
        </w:rPr>
        <w:t>13</w:t>
      </w:r>
    </w:p>
    <w:p>
      <w:pPr>
        <w:pStyle w:val="BodyText"/>
        <w:spacing w:before="9"/>
        <w:rPr>
          <w:sz w:val="12"/>
        </w:rPr>
      </w:pPr>
    </w:p>
    <w:p>
      <w:pPr>
        <w:spacing w:before="0"/>
        <w:ind w:left="3509" w:right="0" w:firstLine="0"/>
        <w:jc w:val="left"/>
        <w:rPr>
          <w:sz w:val="12"/>
        </w:rPr>
      </w:pPr>
      <w:r>
        <w:rPr/>
        <w:pict>
          <v:line style="position:absolute;mso-position-horizontal-relative:page;mso-position-vertical-relative:paragraph;z-index:15976960" from="42.061001pt,4.134560pt" to="46.394001pt,4.134560pt" stroked="true" strokeweight=".5pt" strokecolor="#000000">
            <v:stroke dashstyle="solid"/>
            <w10:wrap type="none"/>
          </v:line>
        </w:pict>
      </w:r>
      <w:r>
        <w:rPr/>
        <w:pict>
          <v:line style="position:absolute;mso-position-horizontal-relative:page;mso-position-vertical-relative:paragraph;z-index:15982080" from="200.464005pt,4.29256pt" to="204.796005pt,4.29256pt" stroked="true" strokeweight=".5pt" strokecolor="#000000">
            <v:stroke dashstyle="solid"/>
            <w10:wrap type="none"/>
          </v:line>
        </w:pict>
      </w:r>
      <w:r>
        <w:rPr>
          <w:sz w:val="12"/>
        </w:rPr>
        <w:t>12</w:t>
      </w:r>
    </w:p>
    <w:p>
      <w:pPr>
        <w:pStyle w:val="BodyText"/>
        <w:spacing w:before="9"/>
        <w:rPr>
          <w:sz w:val="12"/>
        </w:rPr>
      </w:pPr>
    </w:p>
    <w:p>
      <w:pPr>
        <w:spacing w:before="0"/>
        <w:ind w:left="3509" w:right="0" w:firstLine="0"/>
        <w:jc w:val="left"/>
        <w:rPr>
          <w:sz w:val="12"/>
        </w:rPr>
      </w:pPr>
      <w:r>
        <w:rPr/>
        <w:pict>
          <v:line style="position:absolute;mso-position-horizontal-relative:page;mso-position-vertical-relative:paragraph;z-index:15977472" from="42.061001pt,4.14156pt" to="46.394001pt,4.14156pt" stroked="true" strokeweight=".5pt" strokecolor="#000000">
            <v:stroke dashstyle="solid"/>
            <w10:wrap type="none"/>
          </v:line>
        </w:pict>
      </w:r>
      <w:r>
        <w:rPr/>
        <w:pict>
          <v:line style="position:absolute;mso-position-horizontal-relative:page;mso-position-vertical-relative:paragraph;z-index:15982592" from="200.464005pt,4.299560pt" to="204.796005pt,4.299560pt" stroked="true" strokeweight=".5pt" strokecolor="#000000">
            <v:stroke dashstyle="solid"/>
            <w10:wrap type="none"/>
          </v:line>
        </w:pict>
      </w:r>
      <w:r>
        <w:rPr>
          <w:sz w:val="12"/>
        </w:rPr>
        <w:t>11</w:t>
      </w:r>
    </w:p>
    <w:p>
      <w:pPr>
        <w:pStyle w:val="BodyText"/>
        <w:spacing w:before="9"/>
        <w:rPr>
          <w:sz w:val="12"/>
        </w:rPr>
      </w:pPr>
    </w:p>
    <w:p>
      <w:pPr>
        <w:spacing w:before="0"/>
        <w:ind w:left="3509" w:right="0" w:firstLine="0"/>
        <w:jc w:val="left"/>
        <w:rPr>
          <w:sz w:val="12"/>
        </w:rPr>
      </w:pPr>
      <w:r>
        <w:rPr/>
        <w:pict>
          <v:line style="position:absolute;mso-position-horizontal-relative:page;mso-position-vertical-relative:paragraph;z-index:15978496" from="42.061001pt,4.14837pt" to="46.394001pt,4.14837pt" stroked="true" strokeweight=".5pt" strokecolor="#000000">
            <v:stroke dashstyle="solid"/>
            <w10:wrap type="none"/>
          </v:line>
        </w:pict>
      </w:r>
      <w:r>
        <w:rPr/>
        <w:pict>
          <v:line style="position:absolute;mso-position-horizontal-relative:page;mso-position-vertical-relative:paragraph;z-index:15983616" from="200.464005pt,4.30637pt" to="204.796005pt,4.30637pt" stroked="true" strokeweight=".5pt" strokecolor="#000000">
            <v:stroke dashstyle="solid"/>
            <w10:wrap type="none"/>
          </v:line>
        </w:pict>
      </w:r>
      <w:r>
        <w:rPr>
          <w:sz w:val="12"/>
        </w:rPr>
        <w:t>10</w:t>
      </w:r>
    </w:p>
    <w:p>
      <w:pPr>
        <w:pStyle w:val="BodyText"/>
        <w:spacing w:before="9"/>
        <w:rPr>
          <w:sz w:val="12"/>
        </w:rPr>
      </w:pPr>
    </w:p>
    <w:p>
      <w:pPr>
        <w:spacing w:before="0"/>
        <w:ind w:left="3569" w:right="0" w:firstLine="0"/>
        <w:jc w:val="left"/>
        <w:rPr>
          <w:sz w:val="12"/>
        </w:rPr>
      </w:pPr>
      <w:r>
        <w:rPr/>
        <w:pict>
          <v:line style="position:absolute;mso-position-horizontal-relative:page;mso-position-vertical-relative:paragraph;z-index:15977984" from="42.061001pt,4.155560pt" to="46.394001pt,4.155560pt" stroked="true" strokeweight=".5pt" strokecolor="#000000">
            <v:stroke dashstyle="solid"/>
            <w10:wrap type="none"/>
          </v:line>
        </w:pict>
      </w:r>
      <w:r>
        <w:rPr/>
        <w:pict>
          <v:line style="position:absolute;mso-position-horizontal-relative:page;mso-position-vertical-relative:paragraph;z-index:15983104" from="200.464005pt,4.31456pt" to="204.796005pt,4.31456pt" stroked="true" strokeweight=".5pt" strokecolor="#000000">
            <v:stroke dashstyle="solid"/>
            <w10:wrap type="none"/>
          </v:line>
        </w:pict>
      </w:r>
      <w:r>
        <w:rPr>
          <w:sz w:val="12"/>
        </w:rPr>
        <w:t>9</w:t>
      </w:r>
    </w:p>
    <w:p>
      <w:pPr>
        <w:pStyle w:val="BodyText"/>
        <w:spacing w:before="9"/>
        <w:rPr>
          <w:sz w:val="12"/>
        </w:rPr>
      </w:pPr>
    </w:p>
    <w:p>
      <w:pPr>
        <w:spacing w:before="0"/>
        <w:ind w:left="3569" w:right="0" w:firstLine="0"/>
        <w:jc w:val="left"/>
        <w:rPr>
          <w:sz w:val="12"/>
        </w:rPr>
      </w:pPr>
      <w:r>
        <w:rPr/>
        <w:pict>
          <v:shape style="position:absolute;margin-left:42.061001pt;margin-top:4.16256pt;width:163.4pt;height:6.75pt;mso-position-horizontal-relative:page;mso-position-vertical-relative:paragraph;z-index:15973888" coordorigin="841,83" coordsize="3268,135" path="m1027,216l3933,216m1024,149l1024,216m1440,149l1440,216m1855,149l1855,216m2271,149l2271,216m2686,149l2686,216m3102,149l3102,216m3517,149l3517,216m3933,149l3933,216m4009,86l4096,86m4089,91l4089,117,4069,134,4109,147,4069,167,4109,184,4085,194,4085,217m3601,216l4085,216m841,83l928,83m916,91l916,117,896,134,936,147,896,167,936,184,912,194,912,217m841,216l1409,216e" filled="false" stroked="true" strokeweight=".5pt" strokecolor="#000000">
            <v:path arrowok="t"/>
            <v:stroke dashstyle="solid"/>
            <w10:wrap type="none"/>
          </v:shape>
        </w:pict>
      </w:r>
      <w:r>
        <w:rPr>
          <w:sz w:val="12"/>
        </w:rPr>
        <w:t>8</w:t>
      </w:r>
    </w:p>
    <w:p>
      <w:pPr>
        <w:spacing w:line="124" w:lineRule="exact" w:before="1"/>
        <w:ind w:left="3569" w:right="0" w:firstLine="0"/>
        <w:jc w:val="left"/>
        <w:rPr>
          <w:sz w:val="12"/>
        </w:rPr>
      </w:pPr>
      <w:r>
        <w:rPr>
          <w:sz w:val="12"/>
        </w:rPr>
        <w:t>0</w:t>
      </w:r>
    </w:p>
    <w:p>
      <w:pPr>
        <w:tabs>
          <w:tab w:pos="945" w:val="left" w:leader="none"/>
          <w:tab w:pos="1371" w:val="left" w:leader="none"/>
          <w:tab w:pos="1793" w:val="left" w:leader="none"/>
          <w:tab w:pos="2204" w:val="left" w:leader="none"/>
          <w:tab w:pos="2617" w:val="left" w:leader="none"/>
          <w:tab w:pos="3043" w:val="left" w:leader="none"/>
        </w:tabs>
        <w:spacing w:line="124" w:lineRule="exact" w:before="0"/>
        <w:ind w:left="474" w:right="0" w:firstLine="0"/>
        <w:jc w:val="left"/>
        <w:rPr>
          <w:sz w:val="12"/>
        </w:rPr>
      </w:pPr>
      <w:r>
        <w:rPr>
          <w:sz w:val="12"/>
        </w:rPr>
        <w:t>1993</w:t>
        <w:tab/>
        <w:t>94</w:t>
        <w:tab/>
        <w:t>95</w:t>
        <w:tab/>
        <w:t>96</w:t>
        <w:tab/>
        <w:t>97</w:t>
        <w:tab/>
        <w:t>98</w:t>
        <w:tab/>
        <w:t>99</w:t>
      </w:r>
      <w:r>
        <w:rPr>
          <w:spacing w:val="17"/>
          <w:sz w:val="12"/>
        </w:rPr>
        <w:t> </w:t>
      </w:r>
      <w:r>
        <w:rPr>
          <w:sz w:val="12"/>
        </w:rPr>
        <w:t>2000</w:t>
      </w:r>
    </w:p>
    <w:p>
      <w:pPr>
        <w:pStyle w:val="ListParagraph"/>
        <w:numPr>
          <w:ilvl w:val="0"/>
          <w:numId w:val="16"/>
        </w:numPr>
        <w:tabs>
          <w:tab w:pos="438" w:val="left" w:leader="none"/>
        </w:tabs>
        <w:spacing w:line="240" w:lineRule="auto" w:before="106" w:after="0"/>
        <w:ind w:left="437" w:right="0" w:hanging="241"/>
        <w:jc w:val="left"/>
        <w:rPr>
          <w:sz w:val="12"/>
        </w:rPr>
      </w:pPr>
      <w:r>
        <w:rPr>
          <w:sz w:val="12"/>
        </w:rPr>
        <w:t>At constant 1995</w:t>
      </w:r>
      <w:r>
        <w:rPr>
          <w:spacing w:val="-4"/>
          <w:sz w:val="12"/>
        </w:rPr>
        <w:t> </w:t>
      </w:r>
      <w:r>
        <w:rPr>
          <w:sz w:val="12"/>
        </w:rPr>
        <w:t>prices.</w:t>
      </w:r>
    </w:p>
    <w:p>
      <w:pPr>
        <w:spacing w:line="242" w:lineRule="auto" w:before="90"/>
        <w:ind w:left="197" w:right="140" w:firstLine="0"/>
        <w:jc w:val="left"/>
        <w:rPr>
          <w:sz w:val="24"/>
        </w:rPr>
      </w:pPr>
      <w:r>
        <w:rPr/>
        <w:br w:type="column"/>
      </w:r>
      <w:r>
        <w:rPr>
          <w:sz w:val="24"/>
        </w:rPr>
        <w:t>Firms invest to adjust their current capital stocks towards desired levels. Desired capital stocks will be affected by factors such as existing capacity utilisation, expected future demand and profits, changes in technology, the availability of internal sources of finance and the real cost of capital.</w:t>
      </w:r>
    </w:p>
    <w:p>
      <w:pPr>
        <w:pStyle w:val="BodyText"/>
        <w:rPr>
          <w:sz w:val="25"/>
        </w:rPr>
      </w:pPr>
    </w:p>
    <w:p>
      <w:pPr>
        <w:spacing w:line="242" w:lineRule="auto" w:before="0"/>
        <w:ind w:left="197" w:right="219" w:firstLine="0"/>
        <w:jc w:val="left"/>
        <w:rPr>
          <w:sz w:val="24"/>
        </w:rPr>
      </w:pPr>
      <w:r>
        <w:rPr>
          <w:sz w:val="24"/>
        </w:rPr>
        <w:t>Recent developments in these factors suggest that the fall in business investment in the first quarter is unlikely to persist. The BCC’s latest quarterly economic survey recorded a rise in capacity utilisation rates in the manufacturing and service sectors (see Chart 2.11).</w:t>
      </w:r>
    </w:p>
    <w:p>
      <w:pPr>
        <w:spacing w:line="242" w:lineRule="auto" w:before="7"/>
        <w:ind w:left="197" w:right="219" w:firstLine="0"/>
        <w:jc w:val="left"/>
        <w:rPr>
          <w:sz w:val="24"/>
        </w:rPr>
      </w:pPr>
      <w:r>
        <w:rPr>
          <w:sz w:val="24"/>
        </w:rPr>
        <w:t>Other things being equal, a higher proportion of companies operating at full capacity might be expected to raise the demand for capital and current rates of investment. Consistent with this, the BCC survey</w:t>
      </w:r>
    </w:p>
    <w:p>
      <w:pPr>
        <w:spacing w:after="0" w:line="242" w:lineRule="auto"/>
        <w:jc w:val="left"/>
        <w:rPr>
          <w:sz w:val="24"/>
        </w:rPr>
        <w:sectPr>
          <w:type w:val="continuous"/>
          <w:pgSz w:w="11900" w:h="16840"/>
          <w:pgMar w:top="1260" w:bottom="280" w:left="640" w:right="640"/>
          <w:cols w:num="2" w:equalWidth="0">
            <w:col w:w="3670" w:space="1108"/>
            <w:col w:w="5842"/>
          </w:cols>
        </w:sectPr>
      </w:pPr>
    </w:p>
    <w:p>
      <w:pPr>
        <w:pStyle w:val="BodyText"/>
        <w:rPr>
          <w:sz w:val="20"/>
        </w:rPr>
      </w:pPr>
    </w:p>
    <w:p>
      <w:pPr>
        <w:spacing w:before="207"/>
        <w:ind w:left="1975" w:right="1952" w:firstLine="0"/>
        <w:jc w:val="center"/>
        <w:rPr>
          <w:b/>
          <w:sz w:val="28"/>
        </w:rPr>
      </w:pPr>
      <w:bookmarkStart w:name="The housing market" w:id="36"/>
      <w:bookmarkEnd w:id="36"/>
      <w:r>
        <w:rPr/>
      </w:r>
      <w:bookmarkStart w:name="_bookmark13" w:id="37"/>
      <w:bookmarkEnd w:id="37"/>
      <w:r>
        <w:rPr/>
      </w:r>
      <w:r>
        <w:rPr>
          <w:b/>
          <w:color w:val="009391"/>
          <w:sz w:val="28"/>
        </w:rPr>
        <w:t>The housing market</w:t>
      </w:r>
    </w:p>
    <w:p>
      <w:pPr>
        <w:pStyle w:val="BodyText"/>
        <w:spacing w:before="2"/>
        <w:rPr>
          <w:b/>
          <w:sz w:val="23"/>
        </w:rPr>
      </w:pPr>
    </w:p>
    <w:p>
      <w:pPr>
        <w:spacing w:after="0"/>
        <w:rPr>
          <w:sz w:val="23"/>
        </w:rPr>
        <w:sectPr>
          <w:headerReference w:type="even" r:id="rId79"/>
          <w:headerReference w:type="default" r:id="rId80"/>
          <w:footerReference w:type="even" r:id="rId81"/>
          <w:footerReference w:type="default" r:id="rId82"/>
          <w:pgSz w:w="11900" w:h="16840"/>
          <w:pgMar w:header="586" w:footer="592" w:top="780" w:bottom="780" w:left="640" w:right="640"/>
          <w:pgNumType w:start="18"/>
        </w:sectPr>
      </w:pPr>
    </w:p>
    <w:p>
      <w:pPr>
        <w:pStyle w:val="Heading8"/>
        <w:spacing w:line="252" w:lineRule="auto" w:before="92"/>
        <w:ind w:left="420" w:right="20"/>
      </w:pPr>
      <w:r>
        <w:rPr/>
        <w:t>The MPC sets interest rates to achieve the Government’s 2</w:t>
      </w:r>
      <w:r>
        <w:rPr>
          <w:w w:val="105"/>
          <w:position w:val="6"/>
          <w:sz w:val="9"/>
        </w:rPr>
        <w:t>1</w:t>
      </w:r>
      <w:r>
        <w:rPr/>
        <w:t>/</w:t>
      </w:r>
      <w:r>
        <w:rPr>
          <w:w w:val="105"/>
          <w:sz w:val="9"/>
        </w:rPr>
        <w:t>2</w:t>
      </w:r>
      <w:r>
        <w:rPr/>
        <w:t>% target for inflation on the RPIX measure.  Monetary policy therefore aims at retail price inflation and not house prices or other asset prices. But the housing market is an important sector of the economy and is closely monitored by the MPC as part of its continuous assessment of all factors affecting the inflation outlook. This box outlines why the housing market is relevant to monetary policy and reviews the data analysed by the MPC.</w:t>
      </w:r>
    </w:p>
    <w:p>
      <w:pPr>
        <w:pStyle w:val="BodyText"/>
        <w:spacing w:before="8"/>
        <w:rPr>
          <w:sz w:val="19"/>
        </w:rPr>
      </w:pPr>
    </w:p>
    <w:p>
      <w:pPr>
        <w:pStyle w:val="Heading6"/>
        <w:spacing w:before="0"/>
        <w:ind w:left="420"/>
      </w:pPr>
      <w:r>
        <w:rPr>
          <w:color w:val="009391"/>
        </w:rPr>
        <w:t>Housing in the wider economy</w:t>
      </w:r>
    </w:p>
    <w:p>
      <w:pPr>
        <w:pStyle w:val="Heading8"/>
        <w:spacing w:before="89"/>
        <w:ind w:left="420"/>
      </w:pPr>
      <w:r>
        <w:rPr/>
        <w:t>Housing investment accounts for around 15% of</w:t>
      </w:r>
    </w:p>
    <w:p>
      <w:pPr>
        <w:pStyle w:val="Heading8"/>
        <w:spacing w:line="252" w:lineRule="auto" w:before="12"/>
        <w:ind w:left="420" w:right="47"/>
      </w:pPr>
      <w:r>
        <w:rPr/>
        <w:t>whole-economy investment, and housebuilding represents around a third of all construction output. Consumer spending on housing services (imputed rents) accounts for around 8% of total consumption, and purchases of specific household goods typically closely related to turnover in the housing market, such as carpets and furniture, represent a further 6% of consumption. Gross housing wealth is about a half of all household wealth. And house prices also affect the RPIX index through the calculation of housing depreciation</w:t>
      </w:r>
      <w:r>
        <w:rPr>
          <w:spacing w:val="-6"/>
        </w:rPr>
        <w:t> </w:t>
      </w:r>
      <w:r>
        <w:rPr/>
        <w:t>and</w:t>
      </w:r>
      <w:r>
        <w:rPr>
          <w:spacing w:val="-6"/>
        </w:rPr>
        <w:t> </w:t>
      </w:r>
      <w:r>
        <w:rPr/>
        <w:t>the</w:t>
      </w:r>
      <w:r>
        <w:rPr>
          <w:spacing w:val="-6"/>
        </w:rPr>
        <w:t> </w:t>
      </w:r>
      <w:r>
        <w:rPr/>
        <w:t>RPI</w:t>
      </w:r>
      <w:r>
        <w:rPr>
          <w:spacing w:val="-6"/>
        </w:rPr>
        <w:t> </w:t>
      </w:r>
      <w:r>
        <w:rPr/>
        <w:t>through</w:t>
      </w:r>
      <w:r>
        <w:rPr>
          <w:spacing w:val="-6"/>
        </w:rPr>
        <w:t> </w:t>
      </w:r>
      <w:r>
        <w:rPr/>
        <w:t>mortgage-servicing</w:t>
      </w:r>
      <w:r>
        <w:rPr>
          <w:spacing w:val="-6"/>
        </w:rPr>
        <w:t> </w:t>
      </w:r>
      <w:r>
        <w:rPr/>
        <w:t>costs.</w:t>
      </w:r>
    </w:p>
    <w:p>
      <w:pPr>
        <w:pStyle w:val="BodyText"/>
        <w:spacing w:before="5"/>
        <w:rPr>
          <w:sz w:val="20"/>
        </w:rPr>
      </w:pPr>
    </w:p>
    <w:p>
      <w:pPr>
        <w:pStyle w:val="Heading8"/>
        <w:spacing w:line="252" w:lineRule="auto" w:before="1"/>
        <w:ind w:left="420" w:right="83"/>
      </w:pPr>
      <w:r>
        <w:rPr/>
        <w:t>Beyond these direct effects, the housing market may also signal developments in, or impact on, the economy more </w:t>
      </w:r>
      <w:r>
        <w:rPr>
          <w:spacing w:val="-3"/>
        </w:rPr>
        <w:t>broadly. </w:t>
      </w:r>
      <w:r>
        <w:rPr/>
        <w:t>Gross housing wealth and total consumption tend to move together (see Chart A). One reason may be that house prices respond to some of the same influences that affect</w:t>
      </w:r>
      <w:r>
        <w:rPr>
          <w:spacing w:val="-8"/>
        </w:rPr>
        <w:t> </w:t>
      </w:r>
      <w:r>
        <w:rPr/>
        <w:t>consumption,</w:t>
      </w:r>
      <w:r>
        <w:rPr>
          <w:spacing w:val="-6"/>
        </w:rPr>
        <w:t> </w:t>
      </w:r>
      <w:r>
        <w:rPr/>
        <w:t>such</w:t>
      </w:r>
      <w:r>
        <w:rPr>
          <w:spacing w:val="-8"/>
        </w:rPr>
        <w:t> </w:t>
      </w:r>
      <w:r>
        <w:rPr/>
        <w:t>as</w:t>
      </w:r>
      <w:r>
        <w:rPr>
          <w:spacing w:val="-7"/>
        </w:rPr>
        <w:t> </w:t>
      </w:r>
      <w:r>
        <w:rPr/>
        <w:t>expectations</w:t>
      </w:r>
      <w:r>
        <w:rPr>
          <w:spacing w:val="-8"/>
        </w:rPr>
        <w:t> </w:t>
      </w:r>
      <w:r>
        <w:rPr/>
        <w:t>of</w:t>
      </w:r>
      <w:r>
        <w:rPr>
          <w:spacing w:val="-7"/>
        </w:rPr>
        <w:t> </w:t>
      </w:r>
      <w:r>
        <w:rPr/>
        <w:t>(and</w:t>
      </w:r>
      <w:r>
        <w:rPr>
          <w:spacing w:val="-7"/>
        </w:rPr>
        <w:t> </w:t>
      </w:r>
      <w:r>
        <w:rPr/>
        <w:t>uncertainty about) future incomes and wealth. So house prices may provide early information on future spending, and may corroborate evidence from other forward-looking indicators of consumption, such as consumer confidence</w:t>
      </w:r>
      <w:r>
        <w:rPr>
          <w:spacing w:val="-23"/>
        </w:rPr>
        <w:t> </w:t>
      </w:r>
      <w:r>
        <w:rPr/>
        <w:t>surveys.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0"/>
        </w:rPr>
      </w:pPr>
    </w:p>
    <w:p>
      <w:pPr>
        <w:pStyle w:val="Heading8"/>
        <w:spacing w:line="252" w:lineRule="auto" w:before="0"/>
        <w:ind w:left="420" w:right="20"/>
      </w:pPr>
      <w:r>
        <w:rPr/>
        <w:t>House prices can also affect spending by influencing credit constraints faced by borrowers. Higher housing equity provides collateral for home-owners who wish to borrow for</w:t>
      </w:r>
    </w:p>
    <w:p>
      <w:pPr>
        <w:pStyle w:val="Heading8"/>
        <w:spacing w:line="249" w:lineRule="auto" w:before="92"/>
        <w:ind w:left="420" w:right="398"/>
      </w:pPr>
      <w:r>
        <w:rPr/>
        <w:br w:type="column"/>
      </w:r>
      <w:r>
        <w:rPr/>
        <w:t>consumption. Mortgage equity withdrawal (MEW)— borrowing secured on, but not invested in, the housing stock—provided finance for spending in the late 1980s and has been positive again recently.</w:t>
      </w:r>
      <w:r>
        <w:rPr>
          <w:position w:val="5"/>
          <w:sz w:val="16"/>
        </w:rPr>
        <w:t>(1) </w:t>
      </w:r>
      <w:r>
        <w:rPr/>
        <w:t>In the past, MEW was typically associated with moving house or with new loans, but accessibility to housing wealth might be strengthened in the future as more flexible equity-release products develop.</w:t>
      </w:r>
    </w:p>
    <w:p>
      <w:pPr>
        <w:pStyle w:val="BodyText"/>
        <w:rPr>
          <w:sz w:val="19"/>
        </w:rPr>
      </w:pPr>
    </w:p>
    <w:p>
      <w:pPr>
        <w:pStyle w:val="Heading6"/>
        <w:spacing w:before="0"/>
        <w:ind w:left="420"/>
        <w:jc w:val="both"/>
      </w:pPr>
      <w:r>
        <w:rPr>
          <w:color w:val="009391"/>
        </w:rPr>
        <w:t>Housing market data</w:t>
      </w:r>
    </w:p>
    <w:p>
      <w:pPr>
        <w:pStyle w:val="Heading8"/>
        <w:spacing w:line="252" w:lineRule="auto" w:before="89"/>
        <w:ind w:left="420" w:right="465"/>
        <w:jc w:val="both"/>
      </w:pPr>
      <w:r>
        <w:rPr/>
        <w:t>The MPC regularly reviews a range of measures of housing market activity from surveys and official sources. The table shows</w:t>
      </w:r>
      <w:r>
        <w:rPr>
          <w:spacing w:val="-7"/>
        </w:rPr>
        <w:t> </w:t>
      </w:r>
      <w:r>
        <w:rPr/>
        <w:t>indicators</w:t>
      </w:r>
      <w:r>
        <w:rPr>
          <w:spacing w:val="-7"/>
        </w:rPr>
        <w:t> </w:t>
      </w:r>
      <w:r>
        <w:rPr/>
        <w:t>from</w:t>
      </w:r>
      <w:r>
        <w:rPr>
          <w:spacing w:val="-7"/>
        </w:rPr>
        <w:t> </w:t>
      </w:r>
      <w:r>
        <w:rPr/>
        <w:t>different</w:t>
      </w:r>
      <w:r>
        <w:rPr>
          <w:spacing w:val="-6"/>
        </w:rPr>
        <w:t> </w:t>
      </w:r>
      <w:r>
        <w:rPr/>
        <w:t>stages</w:t>
      </w:r>
      <w:r>
        <w:rPr>
          <w:spacing w:val="-7"/>
        </w:rPr>
        <w:t> </w:t>
      </w:r>
      <w:r>
        <w:rPr/>
        <w:t>of</w:t>
      </w:r>
      <w:r>
        <w:rPr>
          <w:spacing w:val="-7"/>
        </w:rPr>
        <w:t> </w:t>
      </w:r>
      <w:r>
        <w:rPr/>
        <w:t>the</w:t>
      </w:r>
      <w:r>
        <w:rPr>
          <w:spacing w:val="-6"/>
        </w:rPr>
        <w:t> </w:t>
      </w:r>
      <w:r>
        <w:rPr/>
        <w:t>house</w:t>
      </w:r>
      <w:r>
        <w:rPr>
          <w:spacing w:val="-7"/>
        </w:rPr>
        <w:t> </w:t>
      </w:r>
      <w:r>
        <w:rPr/>
        <w:t>purchase process.</w:t>
      </w:r>
    </w:p>
    <w:p>
      <w:pPr>
        <w:pStyle w:val="BodyText"/>
        <w:spacing w:before="3"/>
        <w:rPr>
          <w:sz w:val="19"/>
        </w:rPr>
      </w:pPr>
    </w:p>
    <w:p>
      <w:pPr>
        <w:pStyle w:val="Heading6"/>
        <w:spacing w:before="0"/>
        <w:ind w:left="423"/>
        <w:jc w:val="both"/>
      </w:pPr>
      <w:r>
        <w:rPr>
          <w:color w:val="0092C7"/>
        </w:rPr>
        <w:t>A stylised house purchase timeline</w:t>
      </w:r>
    </w:p>
    <w:p>
      <w:pPr>
        <w:pStyle w:val="BodyText"/>
        <w:spacing w:before="10"/>
        <w:rPr>
          <w:b/>
          <w:sz w:val="19"/>
        </w:rPr>
      </w:pPr>
    </w:p>
    <w:p>
      <w:pPr>
        <w:tabs>
          <w:tab w:pos="2029" w:val="left" w:leader="none"/>
          <w:tab w:pos="3602" w:val="left" w:leader="none"/>
        </w:tabs>
        <w:spacing w:line="208" w:lineRule="auto" w:before="1"/>
        <w:ind w:left="3602" w:right="978" w:hanging="2964"/>
        <w:jc w:val="left"/>
        <w:rPr>
          <w:b/>
          <w:sz w:val="14"/>
        </w:rPr>
      </w:pPr>
      <w:r>
        <w:rPr>
          <w:b/>
          <w:sz w:val="14"/>
        </w:rPr>
        <w:t>Stage</w:t>
      </w:r>
      <w:r>
        <w:rPr>
          <w:b/>
          <w:spacing w:val="-5"/>
          <w:sz w:val="14"/>
        </w:rPr>
        <w:t> </w:t>
      </w:r>
      <w:r>
        <w:rPr>
          <w:b/>
          <w:sz w:val="14"/>
        </w:rPr>
        <w:t>of</w:t>
      </w:r>
      <w:r>
        <w:rPr>
          <w:b/>
          <w:spacing w:val="-4"/>
          <w:sz w:val="14"/>
        </w:rPr>
        <w:t> </w:t>
      </w:r>
      <w:r>
        <w:rPr>
          <w:b/>
          <w:sz w:val="14"/>
        </w:rPr>
        <w:t>transaction</w:t>
        <w:tab/>
        <w:t>Indicator</w:t>
        <w:tab/>
        <w:t>Indicative</w:t>
      </w:r>
      <w:r>
        <w:rPr>
          <w:b/>
          <w:spacing w:val="-12"/>
          <w:sz w:val="14"/>
        </w:rPr>
        <w:t> </w:t>
      </w:r>
      <w:r>
        <w:rPr>
          <w:b/>
          <w:sz w:val="14"/>
        </w:rPr>
        <w:t>time to</w:t>
      </w:r>
      <w:r>
        <w:rPr>
          <w:b/>
          <w:spacing w:val="-4"/>
          <w:sz w:val="14"/>
        </w:rPr>
        <w:t> </w:t>
      </w:r>
      <w:r>
        <w:rPr>
          <w:b/>
          <w:sz w:val="14"/>
        </w:rPr>
        <w:t>completion</w:t>
      </w:r>
    </w:p>
    <w:p>
      <w:pPr>
        <w:pStyle w:val="BodyText"/>
        <w:spacing w:before="6"/>
        <w:rPr>
          <w:b/>
          <w:sz w:val="13"/>
        </w:rPr>
      </w:pPr>
    </w:p>
    <w:p>
      <w:pPr>
        <w:spacing w:line="150" w:lineRule="exact" w:before="0"/>
        <w:ind w:left="648" w:right="0" w:firstLine="0"/>
        <w:jc w:val="left"/>
        <w:rPr>
          <w:sz w:val="14"/>
        </w:rPr>
      </w:pPr>
      <w:r>
        <w:rPr>
          <w:sz w:val="14"/>
        </w:rPr>
        <w:t>Decide to buy a house Site visits</w:t>
      </w:r>
    </w:p>
    <w:p>
      <w:pPr>
        <w:tabs>
          <w:tab w:pos="3612" w:val="left" w:leader="none"/>
        </w:tabs>
        <w:spacing w:line="208" w:lineRule="auto" w:before="6"/>
        <w:ind w:left="2039" w:right="1097" w:firstLine="0"/>
        <w:jc w:val="left"/>
        <w:rPr>
          <w:sz w:val="14"/>
        </w:rPr>
      </w:pPr>
      <w:r>
        <w:rPr>
          <w:sz w:val="14"/>
        </w:rPr>
        <w:t>Net</w:t>
      </w:r>
      <w:r>
        <w:rPr>
          <w:spacing w:val="-6"/>
          <w:sz w:val="14"/>
        </w:rPr>
        <w:t> </w:t>
      </w:r>
      <w:r>
        <w:rPr>
          <w:sz w:val="14"/>
        </w:rPr>
        <w:t>reservations</w:t>
        <w:tab/>
        <w:t>3 to 5 months Enquiries at estate</w:t>
      </w:r>
      <w:r>
        <w:rPr>
          <w:spacing w:val="-5"/>
          <w:sz w:val="14"/>
        </w:rPr>
        <w:t> </w:t>
      </w:r>
      <w:r>
        <w:rPr>
          <w:sz w:val="14"/>
        </w:rPr>
        <w:t>agents</w:t>
      </w:r>
    </w:p>
    <w:p>
      <w:pPr>
        <w:pStyle w:val="BodyText"/>
        <w:spacing w:before="1"/>
        <w:rPr>
          <w:sz w:val="14"/>
        </w:rPr>
      </w:pPr>
    </w:p>
    <w:p>
      <w:pPr>
        <w:tabs>
          <w:tab w:pos="2038" w:val="left" w:leader="none"/>
          <w:tab w:pos="3612" w:val="left" w:leader="none"/>
        </w:tabs>
        <w:spacing w:line="472" w:lineRule="auto" w:before="0"/>
        <w:ind w:left="648" w:right="1051" w:firstLine="0"/>
        <w:jc w:val="left"/>
        <w:rPr>
          <w:sz w:val="14"/>
        </w:rPr>
      </w:pPr>
      <w:r>
        <w:rPr>
          <w:sz w:val="14"/>
        </w:rPr>
        <w:t>Sale</w:t>
      </w:r>
      <w:r>
        <w:rPr>
          <w:spacing w:val="-4"/>
          <w:sz w:val="14"/>
        </w:rPr>
        <w:t> </w:t>
      </w:r>
      <w:r>
        <w:rPr>
          <w:sz w:val="14"/>
        </w:rPr>
        <w:t>agreed</w:t>
        <w:tab/>
        <w:t>Loan</w:t>
      </w:r>
      <w:r>
        <w:rPr>
          <w:spacing w:val="-6"/>
          <w:sz w:val="14"/>
        </w:rPr>
        <w:t> </w:t>
      </w:r>
      <w:r>
        <w:rPr>
          <w:sz w:val="14"/>
        </w:rPr>
        <w:t>approvals</w:t>
        <w:tab/>
        <w:t>1 to 4 months Exchange</w:t>
      </w:r>
      <w:r>
        <w:rPr>
          <w:spacing w:val="-6"/>
          <w:sz w:val="14"/>
        </w:rPr>
        <w:t> </w:t>
      </w:r>
      <w:r>
        <w:rPr>
          <w:sz w:val="14"/>
        </w:rPr>
        <w:t>contracts</w:t>
        <w:tab/>
        <w:t>RICS</w:t>
      </w:r>
      <w:r>
        <w:rPr>
          <w:spacing w:val="-5"/>
          <w:sz w:val="14"/>
        </w:rPr>
        <w:t> </w:t>
      </w:r>
      <w:r>
        <w:rPr>
          <w:sz w:val="14"/>
        </w:rPr>
        <w:t>survey</w:t>
        <w:tab/>
        <w:t>Up to 1 month Completion</w:t>
        <w:tab/>
        <w:t>Mortgage</w:t>
      </w:r>
      <w:r>
        <w:rPr>
          <w:spacing w:val="-5"/>
          <w:sz w:val="14"/>
        </w:rPr>
        <w:t> </w:t>
      </w:r>
      <w:r>
        <w:rPr>
          <w:sz w:val="14"/>
        </w:rPr>
        <w:t>lending</w:t>
        <w:tab/>
        <w:t>Coincident</w:t>
      </w:r>
    </w:p>
    <w:p>
      <w:pPr>
        <w:tabs>
          <w:tab w:pos="2038" w:val="left" w:leader="none"/>
          <w:tab w:pos="3611" w:val="left" w:leader="none"/>
        </w:tabs>
        <w:spacing w:line="160" w:lineRule="exact" w:before="0"/>
        <w:ind w:left="648" w:right="0" w:firstLine="0"/>
        <w:jc w:val="left"/>
        <w:rPr>
          <w:sz w:val="14"/>
        </w:rPr>
      </w:pPr>
      <w:r>
        <w:rPr>
          <w:sz w:val="14"/>
        </w:rPr>
        <w:t>Land</w:t>
      </w:r>
      <w:r>
        <w:rPr>
          <w:spacing w:val="-6"/>
          <w:sz w:val="14"/>
        </w:rPr>
        <w:t> </w:t>
      </w:r>
      <w:r>
        <w:rPr>
          <w:sz w:val="14"/>
        </w:rPr>
        <w:t>registration</w:t>
        <w:tab/>
        <w:t>Particulars</w:t>
      </w:r>
      <w:r>
        <w:rPr>
          <w:spacing w:val="-9"/>
          <w:sz w:val="14"/>
        </w:rPr>
        <w:t> </w:t>
      </w:r>
      <w:r>
        <w:rPr>
          <w:sz w:val="14"/>
        </w:rPr>
        <w:t>delivered</w:t>
        <w:tab/>
        <w:t>Up to 1 month</w:t>
      </w:r>
      <w:r>
        <w:rPr>
          <w:spacing w:val="-5"/>
          <w:sz w:val="14"/>
        </w:rPr>
        <w:t> </w:t>
      </w:r>
      <w:r>
        <w:rPr>
          <w:sz w:val="14"/>
        </w:rPr>
        <w:t>later</w:t>
      </w:r>
    </w:p>
    <w:p>
      <w:pPr>
        <w:pStyle w:val="BodyText"/>
        <w:rPr>
          <w:sz w:val="16"/>
        </w:rPr>
      </w:pPr>
    </w:p>
    <w:p>
      <w:pPr>
        <w:pStyle w:val="BodyText"/>
        <w:spacing w:before="4"/>
      </w:pPr>
    </w:p>
    <w:p>
      <w:pPr>
        <w:pStyle w:val="Heading8"/>
        <w:spacing w:line="252" w:lineRule="auto" w:before="1"/>
        <w:ind w:left="420" w:right="398"/>
      </w:pPr>
      <w:r>
        <w:rPr/>
        <w:t>Long-leading indicators of housing demand, such as site visits and net reservations of new properties, can provide information about future transactions, as measured by particulars delivered. For example, they may be useful in giving an early indication of turning-points in activity, as perhaps was the case when they began to turn down at the end of 1999 (see Chart B).</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0"/>
        </w:rPr>
      </w:pPr>
    </w:p>
    <w:p>
      <w:pPr>
        <w:pStyle w:val="Heading8"/>
        <w:spacing w:line="252" w:lineRule="auto" w:before="0"/>
        <w:ind w:left="420" w:right="398"/>
      </w:pPr>
      <w:r>
        <w:rPr/>
        <w:t>Loan approvals provide information about future lending for house purchase over a shorter time horizon. And although loan approvals data do not cover cash purchases, which</w:t>
      </w:r>
    </w:p>
    <w:p>
      <w:pPr>
        <w:spacing w:after="0" w:line="252" w:lineRule="auto"/>
        <w:sectPr>
          <w:type w:val="continuous"/>
          <w:pgSz w:w="11900" w:h="16840"/>
          <w:pgMar w:top="1260" w:bottom="280" w:left="640" w:right="640"/>
          <w:cols w:num="2" w:equalWidth="0">
            <w:col w:w="5077" w:space="65"/>
            <w:col w:w="5478"/>
          </w:cols>
        </w:sectPr>
      </w:pPr>
    </w:p>
    <w:p>
      <w:pPr>
        <w:pStyle w:val="ListParagraph"/>
        <w:numPr>
          <w:ilvl w:val="1"/>
          <w:numId w:val="16"/>
        </w:numPr>
        <w:tabs>
          <w:tab w:pos="621" w:val="left" w:leader="none"/>
        </w:tabs>
        <w:spacing w:line="240" w:lineRule="auto" w:before="157" w:after="0"/>
        <w:ind w:left="620" w:right="0" w:hanging="241"/>
        <w:jc w:val="left"/>
        <w:rPr>
          <w:sz w:val="16"/>
        </w:rPr>
      </w:pPr>
      <w:r>
        <w:rPr/>
        <w:pict>
          <v:group style="position:absolute;margin-left:40pt;margin-top:40.689999pt;width:516.7pt;height:738.65pt;mso-position-horizontal-relative:page;mso-position-vertical-relative:page;z-index:-23297536" coordorigin="800,814" coordsize="10334,14773">
            <v:shape style="position:absolute;left:810;top:823;width:10314;height:14753" coordorigin="810,824" coordsize="10314,14753" path="m11124,824l5974,824,5960,824,810,824,810,8186,810,8214,810,15576,5960,15576,5974,15576,11124,15576,11124,824xe" filled="true" fillcolor="#d7e8e7" stroked="false">
              <v:path arrowok="t"/>
              <v:fill type="solid"/>
            </v:shape>
            <v:shape style="position:absolute;left:899;top:955;width:10135;height:14489" coordorigin="899,956" coordsize="10135,14489" path="m5967,956l899,8200,5967,15444,11034,8200,5967,956xe" filled="true" fillcolor="#d9e8e7" stroked="false">
              <v:path arrowok="t"/>
              <v:fill type="solid"/>
            </v:shape>
            <v:shape style="position:absolute;left:998;top:1098;width:9937;height:14205" coordorigin="999,1098" coordsize="9937,14205" path="m5967,1098l999,8200,5967,15302,10935,8200,5967,1098xe" filled="true" fillcolor="#dae9e8" stroked="false">
              <v:path arrowok="t"/>
              <v:fill type="solid"/>
            </v:shape>
            <v:shape style="position:absolute;left:1098;top:1240;width:9738;height:13920" coordorigin="1098,1240" coordsize="9738,13920" path="m5967,1240l1098,8200,5967,15160,10836,8200,5967,1240xe" filled="true" fillcolor="#daeae8" stroked="false">
              <v:path arrowok="t"/>
              <v:fill type="solid"/>
            </v:shape>
            <v:shape style="position:absolute;left:1197;top:1382;width:9539;height:13636" coordorigin="1197,1382" coordsize="9539,13636" path="m5967,1382l1197,8200,5967,15018,10736,8200,5967,1382xe" filled="true" fillcolor="#dbeae8" stroked="false">
              <v:path arrowok="t"/>
              <v:fill type="solid"/>
            </v:shape>
            <v:shape style="position:absolute;left:1296;top:1524;width:9341;height:13352" coordorigin="1297,1524" coordsize="9341,13352" path="m5967,1524l1297,8200,5967,14876,10637,8200,5967,1524xe" filled="true" fillcolor="#dcebe9" stroked="false">
              <v:path arrowok="t"/>
              <v:fill type="solid"/>
            </v:shape>
            <v:shape style="position:absolute;left:1396;top:1666;width:9142;height:13068" coordorigin="1396,1666" coordsize="9142,13068" path="m5967,1666l1396,8200,5967,14734,10538,8200,5967,1666xe" filled="true" fillcolor="#ddebe9" stroked="false">
              <v:path arrowok="t"/>
              <v:fill type="solid"/>
            </v:shape>
            <v:shape style="position:absolute;left:1495;top:1808;width:8943;height:12784" coordorigin="1496,1808" coordsize="8943,12784" path="m5967,1808l1496,8200,5967,14592,10438,8200,5967,1808xe" filled="true" fillcolor="#ddebea" stroked="false">
              <v:path arrowok="t"/>
              <v:fill type="solid"/>
            </v:shape>
            <v:shape style="position:absolute;left:1594;top:1950;width:8744;height:12500" coordorigin="1595,1950" coordsize="8744,12500" path="m5967,1950l1595,8200,5967,14450,10339,8200,5967,1950xe" filled="true" fillcolor="#dfebea" stroked="false">
              <v:path arrowok="t"/>
              <v:fill type="solid"/>
            </v:shape>
            <v:shape style="position:absolute;left:1694;top:2092;width:8546;height:12216" coordorigin="1694,2092" coordsize="8546,12216" path="m10239,8200l5967,2092,1694,8200,5967,14308,10239,8200xe" filled="true" fillcolor="#dfeceb" stroked="false">
              <v:path arrowok="t"/>
              <v:fill type="solid"/>
            </v:shape>
            <v:shape style="position:absolute;left:1893;top:2376;width:8148;height:11648" coordorigin="1893,2376" coordsize="8148,11648" path="m5967,2376l1893,8200,5967,14024,10041,8200,5967,2376xe" filled="true" fillcolor="#e0eceb" stroked="false">
              <v:path arrowok="t"/>
              <v:fill type="solid"/>
            </v:shape>
            <v:shape style="position:absolute;left:1992;top:2518;width:7949;height:11364" coordorigin="1992,2518" coordsize="7949,11364" path="m5967,2518l1992,8200,5967,13882,9941,8200,5967,2518xe" filled="true" fillcolor="#e0edeb" stroked="false">
              <v:path arrowok="t"/>
              <v:fill type="solid"/>
            </v:shape>
            <v:shape style="position:absolute;left:2091;top:2660;width:7751;height:11080" coordorigin="2092,2660" coordsize="7751,11080" path="m5967,2660l2092,8200,5967,13740,9842,8200,5967,2660xe" filled="true" fillcolor="#e1edeb" stroked="false">
              <v:path arrowok="t"/>
              <v:fill type="solid"/>
            </v:shape>
            <v:shape style="position:absolute;left:2191;top:2802;width:7552;height:10796" coordorigin="2191,2803" coordsize="7552,10796" path="m5967,2803l2191,8200,5967,13598,9743,8200,5967,2803xe" filled="true" fillcolor="#e2edec" stroked="false">
              <v:path arrowok="t"/>
              <v:fill type="solid"/>
            </v:shape>
            <v:shape style="position:absolute;left:2290;top:2944;width:7353;height:10511" coordorigin="2290,2945" coordsize="7353,10511" path="m5967,2945l2290,8200,5967,13456,9643,8200,5967,2945xe" filled="true" fillcolor="#e3eeec" stroked="false">
              <v:path arrowok="t"/>
              <v:fill type="solid"/>
            </v:shape>
            <v:shape style="position:absolute;left:2389;top:3086;width:7155;height:10227" coordorigin="2390,3087" coordsize="7155,10227" path="m5967,3087l2390,8200,5967,13314,9544,8200,5967,3087xe" filled="true" fillcolor="#e4efed" stroked="false">
              <v:path arrowok="t"/>
              <v:fill type="solid"/>
            </v:shape>
            <v:shape style="position:absolute;left:2489;top:3228;width:6956;height:9943" coordorigin="2489,3229" coordsize="6956,9943" path="m5967,3229l2489,8200,5967,13171,9445,8200,5967,3229xe" filled="true" fillcolor="#e6efed" stroked="false">
              <v:path arrowok="t"/>
              <v:fill type="solid"/>
            </v:shape>
            <v:shape style="position:absolute;left:2588;top:3370;width:6757;height:9659" coordorigin="2589,3371" coordsize="6757,9659" path="m5967,3371l2589,8200,5967,13029,9345,8200,5967,3371xe" filled="true" fillcolor="#e6efee" stroked="false">
              <v:path arrowok="t"/>
              <v:fill type="solid"/>
            </v:shape>
            <v:shape style="position:absolute;left:2687;top:3512;width:6558;height:9375" coordorigin="2688,3513" coordsize="6558,9375" path="m5967,3513l2688,8200,5967,12887,9246,8200,5967,3513xe" filled="true" fillcolor="#e7f0ee" stroked="false">
              <v:path arrowok="t"/>
              <v:fill type="solid"/>
            </v:shape>
            <v:shape style="position:absolute;left:2787;top:3654;width:6360;height:9091" coordorigin="2787,3655" coordsize="6360,9091" path="m9146,8200l5967,3655,2787,8200,5967,12745,9146,8200xe" filled="true" fillcolor="#e8f0ee" stroked="false">
              <v:path arrowok="t"/>
              <v:fill type="solid"/>
            </v:shape>
            <v:shape style="position:absolute;left:2985;top:3938;width:5962;height:8523" coordorigin="2986,3939" coordsize="5962,8523" path="m5967,3939l2986,8200,5967,12461,8948,8200,5967,3939xe" filled="true" fillcolor="#eaf1f0" stroked="false">
              <v:path arrowok="t"/>
              <v:fill type="solid"/>
            </v:shape>
            <v:shape style="position:absolute;left:3085;top:4080;width:5764;height:8239" coordorigin="3085,4081" coordsize="5764,8239" path="m8848,8200l5967,4081,3085,8200,5967,12319,8848,8200xe" filled="true" fillcolor="#ebf3f0" stroked="false">
              <v:path arrowok="t"/>
              <v:fill type="solid"/>
            </v:shape>
            <v:shape style="position:absolute;left:3284;top:4364;width:5366;height:7671" coordorigin="3284,4365" coordsize="5366,7671" path="m5967,4365l3284,8200,5967,12035,8650,8200,5967,4365xe" filled="true" fillcolor="#ebf4f1" stroked="false">
              <v:path arrowok="t"/>
              <v:fill type="solid"/>
            </v:shape>
            <v:shape style="position:absolute;left:3383;top:4507;width:5167;height:7387" coordorigin="3383,4507" coordsize="5167,7387" path="m5967,4507l3383,8200,5967,11893,8550,8200,5967,4507xe" filled="true" fillcolor="#ecf4f1" stroked="false">
              <v:path arrowok="t"/>
              <v:fill type="solid"/>
            </v:shape>
            <v:shape style="position:absolute;left:3482;top:4649;width:4969;height:7103" coordorigin="3483,4649" coordsize="4969,7103" path="m5967,4649l3483,8200,5967,11751,8451,8200,5967,4649xe" filled="true" fillcolor="#ecf4f3" stroked="false">
              <v:path arrowok="t"/>
              <v:fill type="solid"/>
            </v:shape>
            <v:shape style="position:absolute;left:3582;top:4791;width:4770;height:6818" coordorigin="3582,4791" coordsize="4770,6818" path="m5967,4791l3582,8200,5967,11609,8352,8200,5967,4791xe" filled="true" fillcolor="#edf5f3" stroked="false">
              <v:path arrowok="t"/>
              <v:fill type="solid"/>
            </v:shape>
            <v:shape style="position:absolute;left:3681;top:4933;width:4571;height:6534" coordorigin="3682,4933" coordsize="4571,6534" path="m5967,4933l3682,8200,5967,11467,8252,8200,5967,4933xe" filled="true" fillcolor="#eef5f4" stroked="false">
              <v:path arrowok="t"/>
              <v:fill type="solid"/>
            </v:shape>
            <v:shape style="position:absolute;left:3780;top:5075;width:4372;height:6250" coordorigin="3781,5075" coordsize="4372,6250" path="m5967,5075l3781,8200,5967,11325,8153,8200,5967,5075xe" filled="true" fillcolor="#eff6f4" stroked="false">
              <v:path arrowok="t"/>
              <v:fill type="solid"/>
            </v:shape>
            <v:shape style="position:absolute;left:3880;top:5217;width:4174;height:5966" coordorigin="3880,5217" coordsize="4174,5966" path="m5967,5217l3880,8200,5967,11183,8053,8200,5967,5217xe" filled="true" fillcolor="#eff6f5" stroked="false">
              <v:path arrowok="t"/>
              <v:fill type="solid"/>
            </v:shape>
            <v:shape style="position:absolute;left:3979;top:5359;width:3975;height:5682" coordorigin="3980,5359" coordsize="3975,5682" path="m5967,5359l3980,8200,5967,11041,7954,8200,5967,5359xe" filled="true" fillcolor="#f0f7f6" stroked="false">
              <v:path arrowok="t"/>
              <v:fill type="solid"/>
            </v:shape>
            <v:shape style="position:absolute;left:4078;top:5501;width:3776;height:5398" coordorigin="4079,5501" coordsize="3776,5398" path="m7855,8200l5967,5501,4079,8200,5967,10899,7855,8200xe" filled="true" fillcolor="#f1f7f6" stroked="false">
              <v:path arrowok="t"/>
              <v:fill type="solid"/>
            </v:shape>
            <v:shape style="position:absolute;left:4277;top:5785;width:3379;height:4830" coordorigin="4278,5785" coordsize="3379,4830" path="m5967,5785l4278,8200,5967,10615,7656,8200,5967,5785xe" filled="true" fillcolor="#f4f8f7" stroked="false">
              <v:path arrowok="t"/>
              <v:fill type="solid"/>
            </v:shape>
            <v:shape style="position:absolute;left:4377;top:5927;width:3180;height:4546" coordorigin="4377,5927" coordsize="3180,4546" path="m5967,5927l4377,8200,5967,10473,7557,8200,5967,5927xe" filled="true" fillcolor="#f4f8f8" stroked="false">
              <v:path arrowok="t"/>
              <v:fill type="solid"/>
            </v:shape>
            <v:shape style="position:absolute;left:4476;top:6069;width:2981;height:4262" coordorigin="4476,6069" coordsize="2981,4262" path="m5967,6069l4476,8200,5967,10331,7457,8200,5967,6069xe" filled="true" fillcolor="#f5f8f8" stroked="false">
              <v:path arrowok="t"/>
              <v:fill type="solid"/>
            </v:shape>
            <v:shape style="position:absolute;left:4575;top:6211;width:2783;height:3978" coordorigin="4576,6211" coordsize="2783,3978" path="m7358,8200l5967,6211,4576,8200,5967,10189,7358,8200xe" filled="true" fillcolor="#f6f8f8" stroked="false">
              <v:path arrowok="t"/>
              <v:fill type="solid"/>
            </v:shape>
            <v:shape style="position:absolute;left:4774;top:6495;width:2385;height:3409" coordorigin="4775,6496" coordsize="2385,3409" path="m5967,6496l4775,8200,5967,9905,7159,8200,5967,6496xe" filled="true" fillcolor="#f7f9f8" stroked="false">
              <v:path arrowok="t"/>
              <v:fill type="solid"/>
            </v:shape>
            <v:shape style="position:absolute;left:4873;top:6637;width:2186;height:3125" coordorigin="4874,6638" coordsize="2186,3125" path="m5967,6638l4874,8200,5967,9763,7060,8200,5967,6638xe" filled="true" fillcolor="#f8f9f8" stroked="false">
              <v:path arrowok="t"/>
              <v:fill type="solid"/>
            </v:shape>
            <v:shape style="position:absolute;left:4973;top:6779;width:1988;height:2841" coordorigin="4973,6780" coordsize="1988,2841" path="m5967,6780l4973,8200,5967,9620,6960,8200,5967,6780xe" filled="true" fillcolor="#f8fafa" stroked="false">
              <v:path arrowok="t"/>
              <v:fill type="solid"/>
            </v:shape>
            <v:shape style="position:absolute;left:5072;top:6921;width:1789;height:2557" coordorigin="5073,6922" coordsize="1789,2557" path="m5967,6922l5073,8200,5967,9478,6861,8200,5967,6922xe" filled="true" fillcolor="#f8fbfa" stroked="false">
              <v:path arrowok="t"/>
              <v:fill type="solid"/>
            </v:shape>
            <v:shape style="position:absolute;left:5171;top:7063;width:1590;height:2273" coordorigin="5172,7064" coordsize="1590,2273" path="m5967,7064l5172,8200,5967,9336,6762,8200,5967,7064xe" filled="true" fillcolor="#f9fbfa" stroked="false">
              <v:path arrowok="t"/>
              <v:fill type="solid"/>
            </v:shape>
            <v:shape style="position:absolute;left:5271;top:7205;width:1392;height:1989" coordorigin="5271,7206" coordsize="1392,1989" path="m5967,7206l5271,8200,5967,9194,6662,8200,5967,7206xe" filled="true" fillcolor="#fafbfb" stroked="false">
              <v:path arrowok="t"/>
              <v:fill type="solid"/>
            </v:shape>
            <v:shape style="position:absolute;left:5370;top:7347;width:1193;height:1705" coordorigin="5371,7348" coordsize="1193,1705" path="m5967,7348l5371,8200,5967,9052,6563,8200,5967,7348xe" filled="true" fillcolor="#fafcfb" stroked="false">
              <v:path arrowok="t"/>
              <v:fill type="solid"/>
            </v:shape>
            <v:shape style="position:absolute;left:5470;top:7489;width:994;height:1421" coordorigin="5470,7490" coordsize="994,1421" path="m5967,7490l5470,8200,5967,8910,6464,8200,5967,7490xe" filled="true" fillcolor="#fbfcfc" stroked="false">
              <v:path arrowok="t"/>
              <v:fill type="solid"/>
            </v:shape>
            <v:shape style="position:absolute;left:5569;top:7631;width:795;height:1137" coordorigin="5569,7632" coordsize="795,1137" path="m5967,7632l5569,8200,5967,8768,6364,8200,5967,7632xe" filled="true" fillcolor="#fcfdfd" stroked="false">
              <v:path arrowok="t"/>
              <v:fill type="solid"/>
            </v:shape>
            <v:shape style="position:absolute;left:5668;top:7773;width:597;height:853" coordorigin="5669,7774" coordsize="597,853" path="m5967,7774l5669,8200,5967,8626,6265,8200,5967,7774xe" filled="true" fillcolor="#fdfdfd" stroked="false">
              <v:path arrowok="t"/>
              <v:fill type="solid"/>
            </v:shape>
            <v:shape style="position:absolute;left:5768;top:7915;width:398;height:569" coordorigin="5768,7916" coordsize="398,569" path="m5967,7916l5768,8200,5967,8484,6166,8200,5967,7916xe" filled="true" fillcolor="#fdfffd" stroked="false">
              <v:path arrowok="t"/>
              <v:fill type="solid"/>
            </v:shape>
            <v:shape style="position:absolute;left:5867;top:8058;width:199;height:285" coordorigin="5868,8058" coordsize="199,285" path="m5967,8058l5868,8200,5967,8342,6066,8200,5967,8058xe" filled="true" fillcolor="#ffffff" stroked="false">
              <v:path arrowok="t"/>
              <v:fill type="solid"/>
            </v:shape>
            <v:rect style="position:absolute;left:810;top:823;width:10314;height:14753" filled="false" stroked="true" strokeweight="1pt" strokecolor="#009391">
              <v:stroke dashstyle="solid"/>
            </v:rect>
            <v:rect style="position:absolute;left:1040;top:9900;width:4680;height:4160" filled="true" fillcolor="#ffffff" stroked="false">
              <v:fill type="solid"/>
            </v:rect>
            <v:shape style="position:absolute;left:1322;top:12622;width:3780;height:2" coordorigin="1323,12622" coordsize="3780,0" path="m5015,12622l5102,12622m1323,12622l4937,12622e" filled="false" stroked="true" strokeweight=".5pt" strokecolor="#000000">
              <v:path arrowok="t"/>
              <v:stroke dashstyle="solid"/>
            </v:shape>
            <v:shape style="position:absolute;left:1335;top:12245;width:115;height:573" coordorigin="1335,12245" coordsize="115,573" path="m1335,12817l1373,12747m1373,12747l1413,12430m1413,12430l1450,12245e" filled="false" stroked="true" strokeweight="1pt" strokecolor="#835335">
              <v:path arrowok="t"/>
              <v:stroke dashstyle="solid"/>
            </v:shape>
            <v:line style="position:absolute" from="1470,12235" to="1470,12700" stroked="true" strokeweight="3pt" strokecolor="#835335">
              <v:stroke dashstyle="solid"/>
            </v:line>
            <v:shape style="position:absolute;left:1490;top:11572;width:220;height:1245" coordorigin="1490,11572" coordsize="220,1245" path="m1490,12690l1530,12817m1530,12817l1555,12775m1555,12775l1593,12460m1593,12460l1633,11700m1633,11700l1673,11715m1673,11715l1710,11572e" filled="false" stroked="true" strokeweight="1pt" strokecolor="#835335">
              <v:path arrowok="t"/>
              <v:stroke dashstyle="solid"/>
            </v:shape>
            <v:line style="position:absolute" from="1730,11562" to="1730,12055" stroked="true" strokeweight="3pt" strokecolor="#835335">
              <v:stroke dashstyle="solid"/>
            </v:line>
            <v:shape style="position:absolute;left:1750;top:11200;width:258;height:2063" coordorigin="1750,11200" coordsize="258,2063" path="m1750,12045l1788,12172m1788,12172l1828,11200m1828,11200l1865,12287m1865,12287l1905,11972m1905,11972l1943,11957m1943,11957l1970,13262m1970,13262l2008,12375e" filled="false" stroked="true" strokeweight="1pt" strokecolor="#835335">
              <v:path arrowok="t"/>
              <v:stroke dashstyle="solid"/>
            </v:shape>
            <v:line style="position:absolute" from="2028,12365" to="2028,12900" stroked="true" strokeweight="3pt" strokecolor="#835335">
              <v:stroke dashstyle="solid"/>
            </v:line>
            <v:line style="position:absolute" from="2038,12891" to="2095,12891" stroked="true" strokeweight="1.125pt" strokecolor="#835335">
              <v:stroke dashstyle="solid"/>
            </v:line>
            <v:line style="position:absolute" from="2105,12450" to="2105,12900" stroked="true" strokeweight="3pt" strokecolor="#835335">
              <v:stroke dashstyle="solid"/>
            </v:line>
            <v:shape style="position:absolute;left:2125;top:11815;width:453;height:875" coordorigin="2125,11815" coordsize="453,875" path="m2125,12460l2163,12690m2163,12690l2203,12430m2203,12430l2240,12690m2240,12690l2280,12675m2280,12675l2320,12387m2320,12387l2345,12187m2345,12187l2383,11872m2383,11872l2423,11815m2423,11815l2463,11830m2463,11830l2500,11987m2500,11987l2540,12245m2540,12245l2578,12172e" filled="false" stroked="true" strokeweight="1pt" strokecolor="#835335">
              <v:path arrowok="t"/>
              <v:stroke dashstyle="solid"/>
            </v:shape>
            <v:line style="position:absolute" from="2598,12162" to="2598,12585" stroked="true" strokeweight="3pt" strokecolor="#835335">
              <v:stroke dashstyle="solid"/>
            </v:line>
            <v:shape style="position:absolute;left:2617;top:12160;width:115;height:415" coordorigin="2618,12160" coordsize="115,415" path="m2618,12575l2655,12302m2655,12302l2695,12160m2695,12160l2733,12187e" filled="false" stroked="true" strokeweight="1pt" strokecolor="#835335">
              <v:path arrowok="t"/>
              <v:stroke dashstyle="solid"/>
            </v:shape>
            <v:line style="position:absolute" from="2746,11805" to="2746,12197" stroked="true" strokeweight="2.375pt" strokecolor="#835335">
              <v:stroke dashstyle="solid"/>
            </v:line>
            <v:shape style="position:absolute;left:2760;top:11342;width:570;height:615" coordorigin="2760,11342" coordsize="570,615" path="m2760,11815l2798,11887m2798,11887l2838,11630m2838,11630l2875,11370m2875,11370l2915,11500m2915,11500l2953,11600m2953,11600l2993,11857m2993,11857l3030,11957m3030,11957l3070,11757m3070,11757l3110,11500m3110,11500l3148,11342m3148,11342l3173,11457m3173,11457l3213,11357m3213,11357l3253,11500m3253,11500l3290,11800m3290,11800l3330,11887e" filled="false" stroked="true" strokeweight="1pt" strokecolor="#835335">
              <v:path arrowok="t"/>
              <v:stroke dashstyle="solid"/>
            </v:shape>
            <v:line style="position:absolute" from="3349,11877" to="3349,12327" stroked="true" strokeweight="2.875pt" strokecolor="#835335">
              <v:stroke dashstyle="solid"/>
            </v:line>
            <v:shape style="position:absolute;left:3357;top:12307;width:395;height:765" type="#_x0000_t75" stroked="false">
              <v:imagedata r:id="rId83" o:title=""/>
            </v:shape>
            <v:line style="position:absolute" from="3763,12492" to="3763,12915" stroked="true" strokeweight="3pt" strokecolor="#835335">
              <v:stroke dashstyle="solid"/>
            </v:line>
            <v:shape style="position:absolute;left:3782;top:12115;width:260;height:388" coordorigin="3783,12115" coordsize="260,388" path="m3783,12502l3820,12460m3820,12460l3860,12330m3860,12330l3900,12202m3900,12202l3938,12360m3938,12360l3963,12187m3963,12187l4003,12160m4003,12160l4043,12115e" filled="false" stroked="true" strokeweight="1pt" strokecolor="#835335">
              <v:path arrowok="t"/>
              <v:stroke dashstyle="solid"/>
            </v:shape>
            <v:line style="position:absolute" from="4033,12116" to="4090,12116" stroked="true" strokeweight="1.125pt" strokecolor="#835335">
              <v:stroke dashstyle="solid"/>
            </v:line>
            <v:shape style="position:absolute;left:4080;top:11800;width:868;height:603" coordorigin="4080,11800" coordsize="868,603" path="m4080,12115l4120,12272m4120,12272l4158,12230m4158,12230l4198,12360m4198,12360l4235,12330m4235,12330l4275,12402m4275,12402l4313,12360m4313,12360l4353,12087m4353,12087l4378,12060m4378,12060l4418,11987m4418,11987l4455,11972m4455,11972l4495,12102m4495,12102l4533,11972m4533,11972l4573,11930m4573,11930l4610,11915m4610,11915l4650,11857m4650,11857l4690,11972m4690,11972l4728,12015m4728,12015l4753,12072m4753,12072l4793,11972m4793,11972l4833,11957m4833,11957l4870,11930m4870,11930l4910,11800m4910,11800l4948,11972e" filled="false" stroked="true" strokeweight="1pt" strokecolor="#835335">
              <v:path arrowok="t"/>
              <v:stroke dashstyle="solid"/>
            </v:shape>
            <v:shape style="position:absolute;left:1335;top:11300;width:673;height:1705" coordorigin="1335,11300" coordsize="673,1705" path="m1335,12932l1373,12747m1373,12747l1413,12717m1413,12717l1450,12817m1450,12817l1490,12932m1490,12932l1530,13005m1530,13005l1555,12905m1555,12905l1593,12590m1593,12590l1633,12330m1633,12330l1673,11972m1673,11972l1710,11687m1710,11687l1750,11600m1750,11600l1788,11427m1788,11427l1828,11300m1828,11300l1865,11572m1865,11572l1905,11787m1905,11787l1943,11945m1943,11945l1970,12145m1970,12145l2008,12115e" filled="false" stroked="true" strokeweight="1pt" strokecolor="#44af34">
              <v:path arrowok="t"/>
              <v:stroke dashstyle="solid"/>
            </v:shape>
            <v:line style="position:absolute" from="2028,12105" to="2028,12585" stroked="true" strokeweight="3pt" strokecolor="#44af34">
              <v:stroke dashstyle="solid"/>
            </v:line>
            <v:shape style="position:absolute;left:2047;top:12575;width:273;height:415" coordorigin="2048,12575" coordsize="273,415" path="m2048,12575l2085,12760m2085,12760l2125,12645m2125,12645l2163,12905m2163,12905l2203,12917m2203,12917l2240,12932m2240,12932l2280,12990m2280,12990l2320,12790e" filled="false" stroked="true" strokeweight="1pt" strokecolor="#44af34">
              <v:path arrowok="t"/>
              <v:stroke dashstyle="solid"/>
            </v:shape>
            <v:line style="position:absolute" from="2333,12420" to="2333,12800" stroked="true" strokeweight="2.25pt" strokecolor="#44af34">
              <v:stroke dashstyle="solid"/>
            </v:line>
            <v:shape style="position:absolute;left:2345;top:11757;width:233;height:673" coordorigin="2345,11757" coordsize="233,673" path="m2345,12430l2383,12087m2383,12087l2423,11945m2423,11945l2463,11815m2463,11815l2500,11757m2500,11757l2540,11930m2540,11930l2578,12060e" filled="false" stroked="true" strokeweight="1pt" strokecolor="#44af34">
              <v:path arrowok="t"/>
              <v:stroke dashstyle="solid"/>
            </v:shape>
            <v:line style="position:absolute" from="2568,12061" to="2628,12061" stroked="true" strokeweight="1.125pt" strokecolor="#44af34">
              <v:stroke dashstyle="solid"/>
            </v:line>
            <v:shape style="position:absolute;left:2617;top:11342;width:530;height:830" coordorigin="2618,11342" coordsize="530,830" path="m2618,12060l2655,12130m2655,12130l2695,12172m2695,12172l2733,12160m2733,12160l2760,12172m2760,12172l2798,12045m2798,12045l2838,11930m2838,11930l2875,11830m2875,11830l2915,11800m2915,11800l2953,11815m2953,11815l2993,11845m2993,11845l3030,11772m3030,11772l3070,11630m3070,11630l3110,11515m3110,11515l3148,11342e" filled="false" stroked="true" strokeweight="1pt" strokecolor="#44af34">
              <v:path arrowok="t"/>
              <v:stroke dashstyle="solid"/>
            </v:shape>
            <v:line style="position:absolute" from="3160,10975" to="3160,11352" stroked="true" strokeweight="2.25pt" strokecolor="#44af34">
              <v:stroke dashstyle="solid"/>
            </v:line>
            <v:shape style="position:absolute;left:3172;top:10682;width:118;height:303" coordorigin="3173,10682" coordsize="118,303" path="m3173,10985l3213,10682m3213,10682l3253,10740m3253,10740l3290,10970e" filled="false" stroked="true" strokeweight="1pt" strokecolor="#44af34">
              <v:path arrowok="t"/>
              <v:stroke dashstyle="solid"/>
            </v:shape>
            <v:line style="position:absolute" from="3310,10960" to="3310,11482" stroked="true" strokeweight="3pt" strokecolor="#44af34">
              <v:stroke dashstyle="solid"/>
            </v:line>
            <v:line style="position:absolute" from="3330,11472" to="3368,12087" stroked="true" strokeweight="1pt" strokecolor="#44af34">
              <v:stroke dashstyle="solid"/>
            </v:line>
            <v:line style="position:absolute" from="3388,12077" to="3388,12555" stroked="true" strokeweight="3pt" strokecolor="#44af34">
              <v:stroke dashstyle="solid"/>
            </v:line>
            <v:shape style="position:absolute;left:3407;top:12545;width:115;height:645" coordorigin="3408,12545" coordsize="115,645" path="m3408,12545l3445,12860m3445,12860l3485,13105m3485,13105l3523,13190e" filled="false" stroked="true" strokeweight="1pt" strokecolor="#44af34">
              <v:path arrowok="t"/>
              <v:stroke dashstyle="solid"/>
            </v:shape>
            <v:line style="position:absolute" from="3513,13191" to="3560,13191" stroked="true" strokeweight="1.125pt" strokecolor="#44af34">
              <v:stroke dashstyle="solid"/>
            </v:line>
            <v:shape style="position:absolute;left:3550;top:12645;width:648;height:588" coordorigin="3550,12645" coordsize="648,588" path="m3550,13190l3588,13120m3588,13120l3628,13147m3628,13147l3665,13105m3665,13105l3705,13075m3705,13075l3743,13175m3743,13175l3783,13190m3783,13190l3820,13232m3820,13232l3860,13175m3860,13175l3900,12975m3900,12975l3938,12817m3938,12817l3963,12747m3963,12747l4003,12702m4003,12702l4043,12645m4043,12645l4080,12675m4080,12675l4120,12702m4120,12702l4158,12775m4158,12775l4198,12875e" filled="false" stroked="true" strokeweight="1pt" strokecolor="#44af34">
              <v:path arrowok="t"/>
              <v:stroke dashstyle="solid"/>
            </v:shape>
            <v:line style="position:absolute" from="4188,12876" to="4245,12876" stroked="true" strokeweight="1.125pt" strokecolor="#44af34">
              <v:stroke dashstyle="solid"/>
            </v:line>
            <v:shape style="position:absolute;left:4235;top:11800;width:675;height:1090" coordorigin="4235,11800" coordsize="675,1090" path="m4235,12875l4275,12890m4275,12890l4313,12817m4313,12817l4353,12732m4353,12732l4378,12602m4378,12602l4418,12375m4418,12375l4455,12217m4455,12217l4495,12160m4495,12160l4533,12045m4533,12045l4573,12145m4573,12145l4610,12230m4610,12230l4650,11987m4650,11987l4690,11887m4690,11887l4728,11800m4728,11800l4753,11802m4753,11800l4793,11957m4793,11957l4833,12015m4833,12015l4870,11915m4870,11915l4910,11800e" filled="false" stroked="true" strokeweight="1pt" strokecolor="#44af34">
              <v:path arrowok="t"/>
              <v:stroke dashstyle="solid"/>
            </v:shape>
            <v:line style="position:absolute" from="4900,11801" to="4958,11801" stroked="true" strokeweight="1.125pt" strokecolor="#44af34">
              <v:stroke dashstyle="solid"/>
            </v:line>
            <v:line style="position:absolute" from="4008,11585" to="3974,12093" stroked="true" strokeweight=".5pt" strokecolor="#000000">
              <v:stroke dashstyle="solid"/>
            </v:line>
            <v:shape style="position:absolute;left:3949;top:12074;width:51;height:87" coordorigin="3950,12075" coordsize="51,87" path="m3950,12075l3967,12141,3969,12161,3971,12152,4000,12078,3950,12075xe" filled="true" fillcolor="#000000" stroked="false">
              <v:path arrowok="t"/>
              <v:fill type="solid"/>
            </v:shape>
            <v:shape style="position:absolute;left:1194;top:11005;width:3908;height:2593" coordorigin="1195,11006" coordsize="3908,2593" path="m1195,11006l1282,11006m1195,11329l1282,11329m1195,11652l1282,11652m1195,11975l1282,11975m1195,12298l1282,12298m1195,12621l1282,12621m1195,13268l1282,13268m1195,12945l1282,12945m1195,13591l1282,13591m1339,13599l4950,13599m1336,13504l1336,13599m1637,13552l1637,13599m1937,13552l1937,13599m2238,13552l2238,13599m2839,13504l2839,13599m3441,13552l3441,13599m3892,13552l3892,13599m4192,13552l4192,13599m4493,13552l4493,13599m4794,13552l4794,13599m1487,13552l1487,13599m1787,13552l1787,13599m2088,13504l2088,13599m2388,13552l2388,13599m2990,13552l2990,13599m3591,13504l3591,13599m4042,13552l4042,13599m4343,13504l4343,13599m4643,13552l4643,13599m4944,13552l4944,13599m2539,13552l2539,13599m3140,13552l3140,13599m3741,13552l3741,13599m2689,13552l2689,13599m3290,13552l3290,13599m5015,11006l5102,11006m5015,11330l5102,11330m5015,11653l5102,11653m5015,11976l5102,11976m5015,12299l5102,12299m5015,13268l5102,13268m5015,12945l5102,12945m5015,13592l5102,13592e" filled="false" stroked="true" strokeweight=".5pt" strokecolor="#000000">
              <v:path arrowok="t"/>
              <v:stroke dashstyle="solid"/>
            </v:shape>
            <v:rect style="position:absolute;left:6200;top:10120;width:4680;height:4205" filled="true" fillcolor="#ffffff" stroked="false">
              <v:fill type="solid"/>
            </v:rect>
            <v:line style="position:absolute" from="10233,12378" to="10320,12378" stroked="true" strokeweight=".5pt" strokecolor="#000000">
              <v:stroke dashstyle="solid"/>
            </v:line>
            <v:line style="position:absolute" from="6550,12378" to="10157,12378" stroked="true" strokeweight=".5pt" strokecolor="#000000">
              <v:stroke dashstyle="solid"/>
            </v:line>
            <v:shape style="position:absolute;left:6540;top:12752;width:273;height:443" type="#_x0000_t75" stroked="false">
              <v:imagedata r:id="rId84" o:title=""/>
            </v:shape>
            <v:shape style="position:absolute;left:6802;top:12119;width:70;height:643" coordorigin="6803,12120" coordsize="70,643" path="m6803,12762l6830,12252m6830,12252l6873,12120e" filled="false" stroked="true" strokeweight="1pt" strokecolor="#b3dabb">
              <v:path arrowok="t"/>
              <v:stroke dashstyle="solid"/>
            </v:shape>
            <v:line style="position:absolute" from="6886,12110" to="6886,12422" stroked="true" strokeweight="2.375pt" strokecolor="#b3dabb">
              <v:stroke dashstyle="solid"/>
            </v:line>
            <v:line style="position:absolute" from="6921,12402" to="6921,12920" stroked="true" strokeweight="3.125pt" strokecolor="#b3dabb">
              <v:stroke dashstyle="solid"/>
            </v:line>
            <v:shape style="position:absolute;left:6942;top:12412;width:113;height:498" coordorigin="6943,12412" coordsize="113,498" path="m6943,12910l6985,12822m6985,12822l7013,12645m7013,12645l7055,12412e" filled="false" stroked="true" strokeweight="1pt" strokecolor="#b3dabb">
              <v:path arrowok="t"/>
              <v:stroke dashstyle="solid"/>
            </v:shape>
            <v:line style="position:absolute" from="7045,12413" to="7093,12413" stroked="true" strokeweight="1.125pt" strokecolor="#b3dabb">
              <v:stroke dashstyle="solid"/>
            </v:line>
            <v:shape style="position:absolute;left:7082;top:12047;width:210;height:498" coordorigin="7083,12047" coordsize="210,498" path="m7083,12412l7125,12282m7125,12282l7153,12180m7153,12180l7195,12047m7195,12047l7223,12180m7223,12180l7265,12545m7265,12545l7293,12515e" filled="false" stroked="true" strokeweight="1pt" strokecolor="#b3dabb">
              <v:path arrowok="t"/>
              <v:stroke dashstyle="solid"/>
            </v:shape>
            <v:line style="position:absolute" from="7314,12097" to="7314,12525" stroked="true" strokeweight="3.125pt" strokecolor="#b3dabb">
              <v:stroke dashstyle="solid"/>
            </v:line>
            <v:shape style="position:absolute;left:7335;top:11202;width:505;height:1313" coordorigin="7335,11202" coordsize="505,1313" path="m7335,12107l7378,11435m7378,11435l7405,11202m7405,11202l7448,11405m7448,11405l7475,11522m7475,11522l7518,11682m7518,11682l7545,11815m7545,11815l7588,11930m7588,11930l7615,12107m7615,12107l7658,12207m7658,12207l7685,12382m7685,12382l7728,12442m7728,12442l7770,12500m7770,12500l7798,12470m7798,12470l7840,12515e" filled="false" stroked="true" strokeweight="1pt" strokecolor="#b3dabb">
              <v:path arrowok="t"/>
              <v:stroke dashstyle="solid"/>
            </v:shape>
            <v:line style="position:absolute" from="7830,12516" to="7878,12516" stroked="true" strokeweight="1.125pt" strokecolor="#b3dabb">
              <v:stroke dashstyle="solid"/>
            </v:line>
            <v:shape style="position:absolute;left:7867;top:12514;width:295;height:395" coordorigin="7868,12515" coordsize="295,395" path="m7868,12515l7910,12572m7910,12572l7938,12602m7938,12602l7980,12690m7980,12690l8008,12735m8008,12735l8050,12777m8050,12777l8080,12865m8080,12865l8120,12850m8120,12850l8163,12910e" filled="false" stroked="true" strokeweight="1pt" strokecolor="#b3dabb">
              <v:path arrowok="t"/>
              <v:stroke dashstyle="solid"/>
            </v:shape>
            <v:line style="position:absolute" from="8153,12911" to="8200,12911" stroked="true" strokeweight="1.125pt" strokecolor="#b3dabb">
              <v:stroke dashstyle="solid"/>
            </v:line>
            <v:shape style="position:absolute;left:8190;top:11172;width:1965;height:1795" coordorigin="8190,11172" coordsize="1965,1795" path="m8190,12910l8233,12967m8233,12967l8263,12850m8263,12850l8303,12777m8303,12777l8333,12705m8333,12705l8373,12645m8373,12645l8403,12442m8403,12442l8443,12252m8443,12252l8473,12135m8473,12135l8515,12005m8515,12005l8543,11872m8543,11872l8585,11640m8585,11640l8625,11435m8625,11435l8655,11202m8655,11202l8698,11172m8698,11172l8725,11260m8725,11260l8768,11347m8768,11347l8795,11420m8795,11420l8838,11522m8838,11522l8865,11625m8865,11625l8908,11712m8908,11712l8935,11842m8935,11842l8978,11902m8978,11902l9020,11975m9020,11975l9048,12077m9048,12077l9090,12222m9090,12222l9118,12442m9118,12442l9160,12500m9160,12500l9188,12530m9188,12530l9230,12515m9230,12515l9258,12602m9258,12602l9300,12660m9300,12660l9328,12602m9328,12602l9370,12485m9370,12485l9413,12470m9413,12470l9440,12587m9440,12587l9483,12747m9483,12747l9510,12777m9510,12777l9553,12645m9553,12645l9580,12457m9580,12457l9623,12370m9623,12370l9650,12252m9650,12252l9693,12165m9693,12165l9720,12077m9720,12077l9763,12032m9763,12032l9805,12062m9805,12062l9833,12047m9833,12047l9875,11960m9875,11960l9903,11770m9903,11770l9945,11667m9945,11667l9973,11682m9973,11682l10015,11830m10015,11830l10043,11887m10043,11887l10085,12135m10085,12135l10113,12195m10113,12195l10155,12252e" filled="false" stroked="true" strokeweight="1pt" strokecolor="#b3dabb">
              <v:path arrowok="t"/>
              <v:stroke dashstyle="solid"/>
            </v:shape>
            <v:line style="position:absolute" from="6663,12747" to="6690,12515" stroked="true" strokeweight="1pt" strokecolor="#0099d9">
              <v:stroke dashstyle="solid"/>
            </v:line>
            <v:line style="position:absolute" from="6680,12516" to="6743,12516" stroked="true" strokeweight="1.125pt" strokecolor="#0099d9">
              <v:stroke dashstyle="solid"/>
            </v:line>
            <v:line style="position:absolute" from="6733,12515" to="6760,12545" stroked="true" strokeweight="1pt" strokecolor="#0099d9">
              <v:stroke dashstyle="solid"/>
            </v:line>
            <v:line style="position:absolute" from="6781,12535" to="6781,12992" stroked="true" strokeweight="3.125pt" strokecolor="#0099d9">
              <v:stroke dashstyle="solid"/>
            </v:line>
            <v:line style="position:absolute" from="6816,12972" to="6816,13312" stroked="true" strokeweight="2.375pt" strokecolor="#0099d9">
              <v:stroke dashstyle="solid"/>
            </v:line>
            <v:shape style="position:absolute;left:6830;top:13302;width:70;height:175" coordorigin="6830,13302" coordsize="70,175" path="m6830,13302l6873,13477m6873,13477l6900,13347e" filled="false" stroked="true" strokeweight="1pt" strokecolor="#0099d9">
              <v:path arrowok="t"/>
              <v:stroke dashstyle="solid"/>
            </v:shape>
            <v:shape style="position:absolute;left:6921;top:12417;width:43;height:940" coordorigin="6921,12417" coordsize="43,940" path="m6921,12912l6921,13357m6964,12417l6964,12932e" filled="false" stroked="true" strokeweight="3.125pt" strokecolor="#0099d9">
              <v:path arrowok="t"/>
              <v:stroke dashstyle="solid"/>
            </v:shape>
            <v:shape style="position:absolute;left:6985;top:11217;width:533;height:1210" coordorigin="6985,11217" coordsize="533,1210" path="m6985,12427l7013,11902m7013,11902l7055,11640m7055,11640l7083,11537m7083,11537l7125,11567m7125,11567l7153,11655m7153,11655l7195,11640m7195,11640l7223,11492m7223,11492l7265,11290m7265,11290l7293,11217m7293,11217l7335,11260m7335,11260l7378,11405m7378,11405l7405,11362m7405,11362l7448,11420m7448,11420l7475,11465m7475,11465l7518,11537e" filled="false" stroked="true" strokeweight="1pt" strokecolor="#0099d9">
              <v:path arrowok="t"/>
              <v:stroke dashstyle="solid"/>
            </v:shape>
            <v:line style="position:absolute" from="7508,11538" to="7555,11538" stroked="true" strokeweight="1.125pt" strokecolor="#0099d9">
              <v:stroke dashstyle="solid"/>
            </v:line>
            <v:shape style="position:absolute;left:7545;top:11537;width:113;height:380" coordorigin="7545,11537" coordsize="113,380" path="m7545,11537l7588,11610m7588,11610l7615,11770m7615,11770l7658,11917e" filled="false" stroked="true" strokeweight="1pt" strokecolor="#0099d9">
              <v:path arrowok="t"/>
              <v:stroke dashstyle="solid"/>
            </v:shape>
            <v:line style="position:absolute" from="7648,11918" to="7695,11918" stroked="true" strokeweight="1.125pt" strokecolor="#0099d9">
              <v:stroke dashstyle="solid"/>
            </v:line>
            <v:line style="position:absolute" from="7685,11917" to="7728,11872" stroked="true" strokeweight="1pt" strokecolor="#0099d9">
              <v:stroke dashstyle="solid"/>
            </v:line>
            <v:line style="position:absolute" from="7718,11873" to="7780,11873" stroked="true" strokeweight="1.125pt" strokecolor="#0099d9">
              <v:stroke dashstyle="solid"/>
            </v:line>
            <v:line style="position:absolute" from="7770,11872" to="7798,12020" stroked="true" strokeweight="1pt" strokecolor="#0099d9">
              <v:stroke dashstyle="solid"/>
            </v:line>
            <v:line style="position:absolute" from="7819,12010" to="7819,12480" stroked="true" strokeweight="3.125pt" strokecolor="#0099d9">
              <v:stroke dashstyle="solid"/>
            </v:line>
            <v:line style="position:absolute" from="7854,12460" to="7854,12860" stroked="true" strokeweight="2.375pt" strokecolor="#0099d9">
              <v:stroke dashstyle="solid"/>
            </v:line>
            <v:shape style="position:absolute;left:7867;top:12834;width:113;height:103" coordorigin="7868,12835" coordsize="113,103" path="m7868,12850l7910,12937m7910,12937l7938,12835m7938,12835l7980,12937e" filled="false" stroked="true" strokeweight="1pt" strokecolor="#0099d9">
              <v:path arrowok="t"/>
              <v:stroke dashstyle="solid"/>
            </v:shape>
            <v:line style="position:absolute" from="7994,12927" to="7994,13255" stroked="true" strokeweight="2.375pt" strokecolor="#0099d9">
              <v:stroke dashstyle="solid"/>
            </v:line>
            <v:shape style="position:absolute;left:8007;top:11377;width:508;height:2058" coordorigin="8008,11377" coordsize="508,2058" path="m8008,13245l8050,13405m8050,13405l8080,13435m8080,13435l8120,13272m8120,13272l8163,13040m8163,13040l8190,12822m8190,12822l8233,12735m8233,12735l8263,12645m8263,12645l8303,12530m8303,12530l8333,12427m8333,12427l8373,12252m8373,12252l8403,11975m8403,11975l8443,11625m8443,11625l8515,11377e" filled="false" stroked="true" strokeweight="1pt" strokecolor="#0099d9">
              <v:path arrowok="t"/>
              <v:stroke dashstyle="solid"/>
            </v:shape>
            <v:line style="position:absolute" from="8505,11378" to="8553,11378" stroked="true" strokeweight="1.125pt" strokecolor="#0099d9">
              <v:stroke dashstyle="solid"/>
            </v:line>
            <v:shape style="position:absolute;left:8542;top:11244;width:83;height:133" coordorigin="8543,11245" coordsize="83,133" path="m8543,11377l8585,11245m8585,11245l8625,11260e" filled="false" stroked="true" strokeweight="1pt" strokecolor="#0099d9">
              <v:path arrowok="t"/>
              <v:stroke dashstyle="solid"/>
            </v:shape>
            <v:line style="position:absolute" from="8615,11261" to="8665,11261" stroked="true" strokeweight="1.125pt" strokecolor="#0099d9">
              <v:stroke dashstyle="solid"/>
            </v:line>
            <v:shape style="position:absolute;left:8655;top:11229;width:898;height:1343" coordorigin="8655,11230" coordsize="898,1343" path="m8655,11260l8698,11230m8698,11230l8725,11275m8725,11275l8768,11362m8768,11362l8795,11567m8795,11567l8838,11785m8838,11785l8865,11712m8865,11712l8908,11625m8908,11625l8935,11595m8935,11595l8978,11727m8978,11727l9020,11990m9020,11990l9048,12047m9048,12047l9090,12092m9090,12092l9118,12195m9118,12195l9160,12340m9160,12340l9188,12382m9188,12382l9230,12340m9230,12340l9258,12310m9258,12310l9300,12355m9300,12355l9328,12470m9328,12470l9370,12457m9370,12457l9413,12572m9413,12572l9440,12412m9440,12412l9483,12470m9483,12470l9510,12427m9510,12427l9553,12310e" filled="false" stroked="true" strokeweight="1pt" strokecolor="#0099d9">
              <v:path arrowok="t"/>
              <v:stroke dashstyle="solid"/>
            </v:shape>
            <v:line style="position:absolute" from="9566,11980" to="9566,12320" stroked="true" strokeweight="2.375pt" strokecolor="#0099d9">
              <v:stroke dashstyle="solid"/>
            </v:line>
            <v:shape style="position:absolute;left:9580;top:11127;width:575;height:1548" coordorigin="9580,11127" coordsize="575,1548" path="m9580,11990l9623,11842m9623,11842l9650,11857m9650,11857l9693,11902m9693,11902l9720,11682m9720,11682l9763,11420m9763,11420l9805,11217m9805,11217l9833,11127m9833,11127l9875,11275m9875,11275l9903,11405m9903,11405l9945,11610m9945,11610l9973,11830m9973,11830l10015,12120m10015,12120l10043,12295m10043,12295l10085,12382m10085,12382l10113,12470m10113,12470l10155,12675e" filled="false" stroked="true" strokeweight="1pt" strokecolor="#0099d9">
              <v:path arrowok="t"/>
              <v:stroke dashstyle="solid"/>
            </v:shape>
            <v:shape style="position:absolute;left:6413;top:10924;width:3907;height:2907" coordorigin="6413,10925" coordsize="3907,2907" path="m6413,11215l6500,11215m6413,11506l6500,11506m6413,11797l6500,11797m6413,12087l6500,12087m6413,12378l6500,12378m6413,12669l6500,12669m6413,12959l6500,12959m6413,13541l6500,13541m6413,13250l6500,13250m6413,13831l6500,13831m6413,10925l6500,10925m10233,12741l10320,12741m10233,13467l10320,13467m10233,13104l10320,13104m10233,13831l10320,13831m10233,10925l10320,10925m10233,11288l10320,11288m10233,12014l10320,12014m10233,11651l10320,11651m6555,13831l10163,13831m6552,13764l6552,13831m6980,13764l6980,13831m7407,13764l7407,13831m7835,13764l7835,13831m8262,13764l8262,13831m8690,13764l8690,13831m9117,13764l9117,13831m9545,13764l9545,13831m9972,13764l9972,13831e" filled="false" stroked="true" strokeweight=".5pt" strokecolor="#000000">
              <v:path arrowok="t"/>
              <v:stroke dashstyle="solid"/>
            </v:shape>
            <v:rect style="position:absolute;left:6185;top:5220;width:4695;height:2762" filled="true" fillcolor="#ffffff" stroked="false">
              <v:fill type="solid"/>
            </v:rect>
            <v:shape style="position:absolute;left:6405;top:6064;width:4243;height:1790" coordorigin="6406,6064" coordsize="4243,1790" path="m6406,6064l10649,6064,10649,6586,6406,6586,6406,6064xm6406,6665l10649,6665,10649,6903,6406,6903,6406,6665xm6406,7615l10649,7615,10649,7854,6406,7854,6406,7615xm6406,6982l10649,6982,10649,7220,6406,7220,6406,6982xm6406,7298l10649,7298,10649,7537,6406,7537,6406,7298xe" filled="false" stroked="true" strokeweight=".5pt" strokecolor="#0092c7">
              <v:path arrowok="t"/>
              <v:stroke dashstyle="solid"/>
            </v:shape>
            <v:shape style="position:absolute;left:998;top:5210;width:9888;height:10013" coordorigin="999,5210" coordsize="9888,10013" path="m1040,9894l5736,9894m1040,14051l5727,14051m6189,14314l10880,14314m6180,10106l10886,10106m6180,7985l10880,7985m6171,5210l10880,5210m999,15222l10865,15222e" filled="false" stroked="true" strokeweight=".125pt" strokecolor="#000000">
              <v:path arrowok="t"/>
              <v:stroke dashstyle="solid"/>
            </v:shape>
            <v:shape style="position:absolute;left:1048;top:9881;width:4393;height:1186" type="#_x0000_t202" filled="false" stroked="false">
              <v:textbox inset="0,0,0,0">
                <w:txbxContent>
                  <w:p>
                    <w:pPr>
                      <w:spacing w:line="221" w:lineRule="exact" w:before="0"/>
                      <w:ind w:left="11" w:right="0" w:firstLine="0"/>
                      <w:jc w:val="left"/>
                      <w:rPr>
                        <w:b/>
                        <w:sz w:val="20"/>
                      </w:rPr>
                    </w:pPr>
                    <w:r>
                      <w:rPr>
                        <w:b/>
                        <w:color w:val="0092C7"/>
                        <w:sz w:val="20"/>
                      </w:rPr>
                      <w:t>Chart A</w:t>
                    </w:r>
                  </w:p>
                  <w:p>
                    <w:pPr>
                      <w:spacing w:before="10"/>
                      <w:ind w:left="11" w:right="0" w:firstLine="0"/>
                      <w:jc w:val="left"/>
                      <w:rPr>
                        <w:b/>
                        <w:sz w:val="20"/>
                      </w:rPr>
                    </w:pPr>
                    <w:r>
                      <w:rPr>
                        <w:b/>
                        <w:color w:val="0092C7"/>
                        <w:sz w:val="20"/>
                      </w:rPr>
                      <w:t>Annual growth of housing wealth and consumption</w:t>
                    </w:r>
                  </w:p>
                  <w:p>
                    <w:pPr>
                      <w:tabs>
                        <w:tab w:pos="3156" w:val="left" w:leader="none"/>
                      </w:tabs>
                      <w:spacing w:line="129" w:lineRule="exact" w:before="66"/>
                      <w:ind w:left="146" w:right="0" w:firstLine="0"/>
                      <w:jc w:val="left"/>
                      <w:rPr>
                        <w:sz w:val="12"/>
                      </w:rPr>
                    </w:pPr>
                    <w:r>
                      <w:rPr>
                        <w:sz w:val="12"/>
                      </w:rPr>
                      <w:t>Percentage change</w:t>
                      <w:tab/>
                      <w:t>Percentage change</w:t>
                    </w:r>
                  </w:p>
                  <w:p>
                    <w:pPr>
                      <w:tabs>
                        <w:tab w:pos="3276" w:val="left" w:leader="none"/>
                      </w:tabs>
                      <w:spacing w:line="218" w:lineRule="auto" w:before="0"/>
                      <w:ind w:left="0" w:right="0" w:firstLine="0"/>
                      <w:jc w:val="left"/>
                      <w:rPr>
                        <w:sz w:val="12"/>
                      </w:rPr>
                    </w:pPr>
                    <w:r>
                      <w:rPr>
                        <w:position w:val="-5"/>
                        <w:sz w:val="12"/>
                      </w:rPr>
                      <w:t>30</w:t>
                    </w:r>
                    <w:r>
                      <w:rPr>
                        <w:sz w:val="12"/>
                      </w:rPr>
                      <w:t> </w:t>
                    </w:r>
                    <w:r>
                      <w:rPr>
                        <w:sz w:val="12"/>
                        <w:u w:val="single"/>
                      </w:rPr>
                      <w:t>o</w:t>
                    </w:r>
                    <w:r>
                      <w:rPr>
                        <w:sz w:val="12"/>
                      </w:rPr>
                      <w:t>n a</w:t>
                    </w:r>
                    <w:r>
                      <w:rPr>
                        <w:spacing w:val="-4"/>
                        <w:sz w:val="12"/>
                      </w:rPr>
                      <w:t> </w:t>
                    </w:r>
                    <w:r>
                      <w:rPr>
                        <w:sz w:val="12"/>
                      </w:rPr>
                      <w:t>year earlier</w:t>
                      <w:tab/>
                      <w:t>on a year earli</w:t>
                    </w:r>
                    <w:r>
                      <w:rPr>
                        <w:sz w:val="12"/>
                        <w:u w:val="single"/>
                      </w:rPr>
                      <w:t>er</w:t>
                    </w:r>
                    <w:r>
                      <w:rPr>
                        <w:spacing w:val="-1"/>
                        <w:sz w:val="12"/>
                      </w:rPr>
                      <w:t> </w:t>
                    </w:r>
                    <w:r>
                      <w:rPr>
                        <w:position w:val="-5"/>
                        <w:sz w:val="12"/>
                      </w:rPr>
                      <w:t>12</w:t>
                    </w:r>
                  </w:p>
                  <w:p>
                    <w:pPr>
                      <w:spacing w:line="119" w:lineRule="exact" w:before="84"/>
                      <w:ind w:left="2258" w:right="0" w:firstLine="0"/>
                      <w:jc w:val="left"/>
                      <w:rPr>
                        <w:sz w:val="12"/>
                      </w:rPr>
                    </w:pPr>
                    <w:r>
                      <w:rPr>
                        <w:sz w:val="12"/>
                      </w:rPr>
                      <w:t>Real gross housing wealth (a)</w:t>
                    </w:r>
                  </w:p>
                  <w:p>
                    <w:pPr>
                      <w:tabs>
                        <w:tab w:pos="2318" w:val="left" w:leader="none"/>
                        <w:tab w:pos="4202" w:val="right" w:leader="none"/>
                      </w:tabs>
                      <w:spacing w:line="139" w:lineRule="exact" w:before="0"/>
                      <w:ind w:left="0" w:right="0" w:firstLine="0"/>
                      <w:jc w:val="left"/>
                      <w:rPr>
                        <w:sz w:val="12"/>
                      </w:rPr>
                    </w:pPr>
                    <w:r>
                      <w:rPr>
                        <w:position w:val="2"/>
                        <w:sz w:val="12"/>
                      </w:rPr>
                      <w:t>25</w:t>
                      <w:tab/>
                    </w:r>
                    <w:r>
                      <w:rPr>
                        <w:sz w:val="12"/>
                      </w:rPr>
                      <w:t>(left-hand scale)</w:t>
                      <w:tab/>
                    </w:r>
                    <w:r>
                      <w:rPr>
                        <w:position w:val="2"/>
                        <w:sz w:val="12"/>
                      </w:rPr>
                      <w:t>10</w:t>
                    </w:r>
                  </w:p>
                </w:txbxContent>
              </v:textbox>
              <w10:wrap type="none"/>
            </v:shape>
            <v:shape style="position:absolute;left:1048;top:11239;width:140;height:133" type="#_x0000_t202" filled="false" stroked="false">
              <v:textbox inset="0,0,0,0">
                <w:txbxContent>
                  <w:p>
                    <w:pPr>
                      <w:spacing w:line="133" w:lineRule="exact" w:before="0"/>
                      <w:ind w:left="0" w:right="0" w:firstLine="0"/>
                      <w:jc w:val="left"/>
                      <w:rPr>
                        <w:sz w:val="12"/>
                      </w:rPr>
                    </w:pPr>
                    <w:r>
                      <w:rPr>
                        <w:sz w:val="12"/>
                      </w:rPr>
                      <w:t>20</w:t>
                    </w:r>
                  </w:p>
                </w:txbxContent>
              </v:textbox>
              <w10:wrap type="none"/>
            </v:shape>
            <v:shape style="position:absolute;left:5191;top:11239;width:80;height:133" type="#_x0000_t202" filled="false" stroked="false">
              <v:textbox inset="0,0,0,0">
                <w:txbxContent>
                  <w:p>
                    <w:pPr>
                      <w:spacing w:line="133" w:lineRule="exact" w:before="0"/>
                      <w:ind w:left="0" w:right="0" w:firstLine="0"/>
                      <w:jc w:val="left"/>
                      <w:rPr>
                        <w:sz w:val="12"/>
                      </w:rPr>
                    </w:pPr>
                    <w:r>
                      <w:rPr>
                        <w:sz w:val="12"/>
                      </w:rPr>
                      <w:t>8</w:t>
                    </w:r>
                  </w:p>
                </w:txbxContent>
              </v:textbox>
              <w10:wrap type="none"/>
            </v:shape>
            <v:shape style="position:absolute;left:3514;top:11345;width:1420;height:254" type="#_x0000_t202" filled="false" stroked="false">
              <v:textbox inset="0,0,0,0">
                <w:txbxContent>
                  <w:p>
                    <w:pPr>
                      <w:spacing w:line="208" w:lineRule="auto" w:before="9"/>
                      <w:ind w:left="30" w:right="18" w:hanging="30"/>
                      <w:jc w:val="left"/>
                      <w:rPr>
                        <w:sz w:val="12"/>
                      </w:rPr>
                    </w:pPr>
                    <w:r>
                      <w:rPr>
                        <w:sz w:val="12"/>
                      </w:rPr>
                      <w:t>Real consumers’ expenditure (right-hand scale)</w:t>
                    </w:r>
                  </w:p>
                </w:txbxContent>
              </v:textbox>
              <w10:wrap type="none"/>
            </v:shape>
            <v:shape style="position:absolute;left:1048;top:11563;width:140;height:133" type="#_x0000_t202" filled="false" stroked="false">
              <v:textbox inset="0,0,0,0">
                <w:txbxContent>
                  <w:p>
                    <w:pPr>
                      <w:spacing w:line="133" w:lineRule="exact" w:before="0"/>
                      <w:ind w:left="0" w:right="0" w:firstLine="0"/>
                      <w:jc w:val="left"/>
                      <w:rPr>
                        <w:sz w:val="12"/>
                      </w:rPr>
                    </w:pPr>
                    <w:r>
                      <w:rPr>
                        <w:sz w:val="12"/>
                      </w:rPr>
                      <w:t>15</w:t>
                    </w:r>
                  </w:p>
                </w:txbxContent>
              </v:textbox>
              <w10:wrap type="none"/>
            </v:shape>
            <v:shape style="position:absolute;left:5191;top:11563;width:80;height:133" type="#_x0000_t202" filled="false" stroked="false">
              <v:textbox inset="0,0,0,0">
                <w:txbxContent>
                  <w:p>
                    <w:pPr>
                      <w:spacing w:line="133" w:lineRule="exact" w:before="0"/>
                      <w:ind w:left="0" w:right="0" w:firstLine="0"/>
                      <w:jc w:val="left"/>
                      <w:rPr>
                        <w:sz w:val="12"/>
                      </w:rPr>
                    </w:pPr>
                    <w:r>
                      <w:rPr>
                        <w:sz w:val="12"/>
                      </w:rPr>
                      <w:t>6</w:t>
                    </w:r>
                  </w:p>
                </w:txbxContent>
              </v:textbox>
              <w10:wrap type="none"/>
            </v:shape>
            <v:shape style="position:absolute;left:1048;top:11886;width:140;height:133" type="#_x0000_t202" filled="false" stroked="false">
              <v:textbox inset="0,0,0,0">
                <w:txbxContent>
                  <w:p>
                    <w:pPr>
                      <w:spacing w:line="133" w:lineRule="exact" w:before="0"/>
                      <w:ind w:left="0" w:right="0" w:firstLine="0"/>
                      <w:jc w:val="left"/>
                      <w:rPr>
                        <w:sz w:val="12"/>
                      </w:rPr>
                    </w:pPr>
                    <w:r>
                      <w:rPr>
                        <w:sz w:val="12"/>
                      </w:rPr>
                      <w:t>10</w:t>
                    </w:r>
                  </w:p>
                </w:txbxContent>
              </v:textbox>
              <w10:wrap type="none"/>
            </v:shape>
            <v:shape style="position:absolute;left:5191;top:11886;width:80;height:133" type="#_x0000_t202" filled="false" stroked="false">
              <v:textbox inset="0,0,0,0">
                <w:txbxContent>
                  <w:p>
                    <w:pPr>
                      <w:spacing w:line="133" w:lineRule="exact" w:before="0"/>
                      <w:ind w:left="0" w:right="0" w:firstLine="0"/>
                      <w:jc w:val="left"/>
                      <w:rPr>
                        <w:sz w:val="12"/>
                      </w:rPr>
                    </w:pPr>
                    <w:r>
                      <w:rPr>
                        <w:sz w:val="12"/>
                      </w:rPr>
                      <w:t>4</w:t>
                    </w:r>
                  </w:p>
                </w:txbxContent>
              </v:textbox>
              <w10:wrap type="none"/>
            </v:shape>
            <v:shape style="position:absolute;left:1108;top:12209;width:136;height:780" type="#_x0000_t202" filled="false" stroked="false">
              <v:textbox inset="0,0,0,0">
                <w:txbxContent>
                  <w:p>
                    <w:pPr>
                      <w:spacing w:line="133" w:lineRule="exact" w:before="0"/>
                      <w:ind w:left="0" w:right="0" w:firstLine="0"/>
                      <w:jc w:val="left"/>
                      <w:rPr>
                        <w:sz w:val="12"/>
                      </w:rPr>
                    </w:pPr>
                    <w:r>
                      <w:rPr>
                        <w:sz w:val="12"/>
                      </w:rPr>
                      <w:t>5</w:t>
                    </w:r>
                  </w:p>
                  <w:p>
                    <w:pPr>
                      <w:spacing w:before="19"/>
                      <w:ind w:left="25" w:right="0" w:firstLine="0"/>
                      <w:jc w:val="left"/>
                      <w:rPr>
                        <w:sz w:val="16"/>
                      </w:rPr>
                    </w:pPr>
                    <w:r>
                      <w:rPr>
                        <w:sz w:val="16"/>
                      </w:rPr>
                      <w:t>+</w:t>
                    </w:r>
                  </w:p>
                  <w:p>
                    <w:pPr>
                      <w:spacing w:before="59"/>
                      <w:ind w:left="30" w:right="0" w:firstLine="0"/>
                      <w:jc w:val="left"/>
                      <w:rPr>
                        <w:sz w:val="16"/>
                      </w:rPr>
                    </w:pPr>
                    <w:r>
                      <w:rPr>
                        <w:sz w:val="16"/>
                      </w:rPr>
                      <w:t>_</w:t>
                    </w:r>
                  </w:p>
                  <w:p>
                    <w:pPr>
                      <w:spacing w:before="62"/>
                      <w:ind w:left="0" w:right="0" w:firstLine="0"/>
                      <w:jc w:val="left"/>
                      <w:rPr>
                        <w:sz w:val="12"/>
                      </w:rPr>
                    </w:pPr>
                    <w:r>
                      <w:rPr>
                        <w:sz w:val="12"/>
                      </w:rPr>
                      <w:t>5</w:t>
                    </w:r>
                  </w:p>
                </w:txbxContent>
              </v:textbox>
              <w10:wrap type="none"/>
            </v:shape>
            <v:shape style="position:absolute;left:5191;top:12209;width:80;height:133" type="#_x0000_t202" filled="false" stroked="false">
              <v:textbox inset="0,0,0,0">
                <w:txbxContent>
                  <w:p>
                    <w:pPr>
                      <w:spacing w:line="133" w:lineRule="exact" w:before="0"/>
                      <w:ind w:left="0" w:right="0" w:firstLine="0"/>
                      <w:jc w:val="left"/>
                      <w:rPr>
                        <w:sz w:val="12"/>
                      </w:rPr>
                    </w:pPr>
                    <w:r>
                      <w:rPr>
                        <w:sz w:val="12"/>
                      </w:rPr>
                      <w:t>2</w:t>
                    </w:r>
                  </w:p>
                </w:txbxContent>
              </v:textbox>
              <w10:wrap type="none"/>
            </v:shape>
            <v:shape style="position:absolute;left:1108;top:12533;width:80;height:133" type="#_x0000_t202" filled="false" stroked="false">
              <v:textbox inset="0,0,0,0">
                <w:txbxContent>
                  <w:p>
                    <w:pPr>
                      <w:spacing w:line="133" w:lineRule="exact" w:before="0"/>
                      <w:ind w:left="0" w:right="0" w:firstLine="0"/>
                      <w:jc w:val="left"/>
                      <w:rPr>
                        <w:sz w:val="12"/>
                      </w:rPr>
                    </w:pPr>
                    <w:r>
                      <w:rPr>
                        <w:sz w:val="12"/>
                      </w:rPr>
                      <w:t>0</w:t>
                    </w:r>
                  </w:p>
                </w:txbxContent>
              </v:textbox>
              <w10:wrap type="none"/>
            </v:shape>
            <v:shape style="position:absolute;left:5094;top:12355;width:177;height:635" type="#_x0000_t202" filled="false" stroked="false">
              <v:textbox inset="0,0,0,0">
                <w:txbxContent>
                  <w:p>
                    <w:pPr>
                      <w:spacing w:line="175" w:lineRule="exact" w:before="0"/>
                      <w:ind w:left="0" w:right="0" w:firstLine="0"/>
                      <w:jc w:val="left"/>
                      <w:rPr>
                        <w:sz w:val="16"/>
                      </w:rPr>
                    </w:pPr>
                    <w:r>
                      <w:rPr>
                        <w:sz w:val="16"/>
                      </w:rPr>
                      <w:t>+</w:t>
                    </w:r>
                  </w:p>
                  <w:p>
                    <w:pPr>
                      <w:spacing w:line="175" w:lineRule="auto" w:before="11"/>
                      <w:ind w:left="5" w:right="0" w:firstLine="0"/>
                      <w:jc w:val="left"/>
                      <w:rPr>
                        <w:sz w:val="12"/>
                      </w:rPr>
                    </w:pPr>
                    <w:r>
                      <w:rPr>
                        <w:position w:val="-9"/>
                        <w:sz w:val="16"/>
                      </w:rPr>
                      <w:t>_</w:t>
                    </w:r>
                    <w:r>
                      <w:rPr>
                        <w:sz w:val="12"/>
                      </w:rPr>
                      <w:t>0</w:t>
                    </w:r>
                  </w:p>
                  <w:p>
                    <w:pPr>
                      <w:spacing w:before="113"/>
                      <w:ind w:left="96" w:right="0" w:firstLine="0"/>
                      <w:jc w:val="left"/>
                      <w:rPr>
                        <w:sz w:val="12"/>
                      </w:rPr>
                    </w:pPr>
                    <w:r>
                      <w:rPr>
                        <w:sz w:val="12"/>
                      </w:rPr>
                      <w:t>2</w:t>
                    </w:r>
                  </w:p>
                </w:txbxContent>
              </v:textbox>
              <w10:wrap type="none"/>
            </v:shape>
            <v:shape style="position:absolute;left:1048;top:13179;width:140;height:133" type="#_x0000_t202" filled="false" stroked="false">
              <v:textbox inset="0,0,0,0">
                <w:txbxContent>
                  <w:p>
                    <w:pPr>
                      <w:spacing w:line="133" w:lineRule="exact" w:before="0"/>
                      <w:ind w:left="0" w:right="0" w:firstLine="0"/>
                      <w:jc w:val="left"/>
                      <w:rPr>
                        <w:sz w:val="12"/>
                      </w:rPr>
                    </w:pPr>
                    <w:r>
                      <w:rPr>
                        <w:sz w:val="12"/>
                      </w:rPr>
                      <w:t>10</w:t>
                    </w:r>
                  </w:p>
                </w:txbxContent>
              </v:textbox>
              <w10:wrap type="none"/>
            </v:shape>
            <v:shape style="position:absolute;left:5191;top:13179;width:80;height:133" type="#_x0000_t202" filled="false" stroked="false">
              <v:textbox inset="0,0,0,0">
                <w:txbxContent>
                  <w:p>
                    <w:pPr>
                      <w:spacing w:line="133" w:lineRule="exact" w:before="0"/>
                      <w:ind w:left="0" w:right="0" w:firstLine="0"/>
                      <w:jc w:val="left"/>
                      <w:rPr>
                        <w:sz w:val="12"/>
                      </w:rPr>
                    </w:pPr>
                    <w:r>
                      <w:rPr>
                        <w:sz w:val="12"/>
                      </w:rPr>
                      <w:t>4</w:t>
                    </w:r>
                  </w:p>
                </w:txbxContent>
              </v:textbox>
              <w10:wrap type="none"/>
            </v:shape>
            <v:shape style="position:absolute;left:1048;top:13503;width:140;height:133" type="#_x0000_t202" filled="false" stroked="false">
              <v:textbox inset="0,0,0,0">
                <w:txbxContent>
                  <w:p>
                    <w:pPr>
                      <w:spacing w:line="133" w:lineRule="exact" w:before="0"/>
                      <w:ind w:left="0" w:right="0" w:firstLine="0"/>
                      <w:jc w:val="left"/>
                      <w:rPr>
                        <w:sz w:val="12"/>
                      </w:rPr>
                    </w:pPr>
                    <w:r>
                      <w:rPr>
                        <w:sz w:val="12"/>
                      </w:rPr>
                      <w:t>15</w:t>
                    </w:r>
                  </w:p>
                </w:txbxContent>
              </v:textbox>
              <w10:wrap type="none"/>
            </v:shape>
            <v:shape style="position:absolute;left:5191;top:13503;width:80;height:133" type="#_x0000_t202" filled="false" stroked="false">
              <v:textbox inset="0,0,0,0">
                <w:txbxContent>
                  <w:p>
                    <w:pPr>
                      <w:spacing w:line="133" w:lineRule="exact" w:before="0"/>
                      <w:ind w:left="0" w:right="0" w:firstLine="0"/>
                      <w:jc w:val="left"/>
                      <w:rPr>
                        <w:sz w:val="12"/>
                      </w:rPr>
                    </w:pPr>
                    <w:r>
                      <w:rPr>
                        <w:sz w:val="12"/>
                      </w:rPr>
                      <w:t>6</w:t>
                    </w:r>
                  </w:p>
                </w:txbxContent>
              </v:textbox>
              <w10:wrap type="none"/>
            </v:shape>
            <v:shape style="position:absolute;left:1070;top:13635;width:3342;height:365" type="#_x0000_t202" filled="false" stroked="false">
              <v:textbox inset="0,0,0,0">
                <w:txbxContent>
                  <w:p>
                    <w:pPr>
                      <w:tabs>
                        <w:tab w:pos="954" w:val="left" w:leader="none"/>
                        <w:tab w:pos="1706" w:val="left" w:leader="none"/>
                        <w:tab w:pos="2450" w:val="left" w:leader="none"/>
                        <w:tab w:pos="3201" w:val="left" w:leader="none"/>
                      </w:tabs>
                      <w:spacing w:line="133" w:lineRule="exact" w:before="0"/>
                      <w:ind w:left="163" w:right="0" w:firstLine="0"/>
                      <w:jc w:val="left"/>
                      <w:rPr>
                        <w:sz w:val="12"/>
                      </w:rPr>
                    </w:pPr>
                    <w:r>
                      <w:rPr>
                        <w:sz w:val="12"/>
                      </w:rPr>
                      <w:t>1976</w:t>
                      <w:tab/>
                      <w:t>81</w:t>
                      <w:tab/>
                      <w:t>86</w:t>
                      <w:tab/>
                      <w:t>91</w:t>
                      <w:tab/>
                      <w:t>96</w:t>
                    </w:r>
                  </w:p>
                  <w:p>
                    <w:pPr>
                      <w:spacing w:before="94"/>
                      <w:ind w:left="0" w:right="0" w:firstLine="0"/>
                      <w:jc w:val="left"/>
                      <w:rPr>
                        <w:sz w:val="12"/>
                      </w:rPr>
                    </w:pPr>
                    <w:r>
                      <w:rPr>
                        <w:sz w:val="12"/>
                      </w:rPr>
                      <w:t>(a) Deflated by household expenditure deflator.</w:t>
                    </w:r>
                  </w:p>
                </w:txbxContent>
              </v:textbox>
              <w10:wrap type="none"/>
            </v:shape>
            <v:shape style="position:absolute;left:6220;top:10101;width:4120;height:665" type="#_x0000_t202" filled="false" stroked="false">
              <v:textbox inset="0,0,0,0">
                <w:txbxContent>
                  <w:p>
                    <w:pPr>
                      <w:spacing w:line="221" w:lineRule="exact" w:before="0"/>
                      <w:ind w:left="0" w:right="0" w:firstLine="0"/>
                      <w:jc w:val="left"/>
                      <w:rPr>
                        <w:b/>
                        <w:sz w:val="20"/>
                      </w:rPr>
                    </w:pPr>
                    <w:r>
                      <w:rPr>
                        <w:b/>
                        <w:color w:val="0092C7"/>
                        <w:sz w:val="20"/>
                      </w:rPr>
                      <w:t>Chart B</w:t>
                    </w:r>
                  </w:p>
                  <w:p>
                    <w:pPr>
                      <w:spacing w:before="10"/>
                      <w:ind w:left="0" w:right="0" w:firstLine="0"/>
                      <w:jc w:val="left"/>
                      <w:rPr>
                        <w:b/>
                        <w:sz w:val="20"/>
                      </w:rPr>
                    </w:pPr>
                    <w:r>
                      <w:rPr>
                        <w:b/>
                        <w:color w:val="0092C7"/>
                        <w:sz w:val="20"/>
                      </w:rPr>
                      <w:t>Net reservations</w:t>
                    </w:r>
                    <w:r>
                      <w:rPr>
                        <w:position w:val="4"/>
                        <w:sz w:val="12"/>
                      </w:rPr>
                      <w:t>(a) </w:t>
                    </w:r>
                    <w:r>
                      <w:rPr>
                        <w:b/>
                        <w:color w:val="0092C7"/>
                        <w:sz w:val="20"/>
                      </w:rPr>
                      <w:t>and particulars delivered</w:t>
                    </w:r>
                  </w:p>
                  <w:p>
                    <w:pPr>
                      <w:spacing w:before="65"/>
                      <w:ind w:left="2550" w:right="0" w:firstLine="0"/>
                      <w:jc w:val="left"/>
                      <w:rPr>
                        <w:sz w:val="12"/>
                      </w:rPr>
                    </w:pPr>
                    <w:r>
                      <w:rPr>
                        <w:sz w:val="12"/>
                      </w:rPr>
                      <w:t>Percentage change three months</w:t>
                    </w:r>
                  </w:p>
                </w:txbxContent>
              </v:textbox>
              <w10:wrap type="none"/>
            </v:shape>
            <v:shape style="position:absolute;left:6263;top:10765;width:1093;height:511" type="#_x0000_t202" filled="false" stroked="false">
              <v:textbox inset="0,0,0,0">
                <w:txbxContent>
                  <w:p>
                    <w:pPr>
                      <w:spacing w:line="228" w:lineRule="auto" w:before="0"/>
                      <w:ind w:left="0" w:right="0" w:firstLine="0"/>
                      <w:jc w:val="left"/>
                      <w:rPr>
                        <w:sz w:val="12"/>
                      </w:rPr>
                    </w:pPr>
                    <w:r>
                      <w:rPr>
                        <w:position w:val="-8"/>
                        <w:sz w:val="12"/>
                      </w:rPr>
                      <w:t>50 </w:t>
                    </w:r>
                    <w:r>
                      <w:rPr>
                        <w:sz w:val="12"/>
                      </w:rPr>
                      <w:t>Percentage balance</w:t>
                    </w:r>
                  </w:p>
                  <w:p>
                    <w:pPr>
                      <w:spacing w:before="149"/>
                      <w:ind w:left="0" w:right="0" w:firstLine="0"/>
                      <w:jc w:val="left"/>
                      <w:rPr>
                        <w:sz w:val="12"/>
                      </w:rPr>
                    </w:pPr>
                    <w:r>
                      <w:rPr>
                        <w:sz w:val="12"/>
                      </w:rPr>
                      <w:t>40</w:t>
                    </w:r>
                  </w:p>
                </w:txbxContent>
              </v:textbox>
              <w10:wrap type="none"/>
            </v:shape>
            <v:shape style="position:absolute;left:9023;top:10753;width:1469;height:226" type="#_x0000_t202" filled="false" stroked="false">
              <v:textbox inset="0,0,0,0">
                <w:txbxContent>
                  <w:p>
                    <w:pPr>
                      <w:spacing w:line="110" w:lineRule="exact" w:before="0"/>
                      <w:ind w:left="0" w:right="0" w:firstLine="0"/>
                      <w:jc w:val="left"/>
                      <w:rPr>
                        <w:sz w:val="12"/>
                      </w:rPr>
                    </w:pPr>
                    <w:r>
                      <w:rPr>
                        <w:sz w:val="12"/>
                      </w:rPr>
                      <w:t>on three months a year ago</w:t>
                    </w:r>
                  </w:p>
                  <w:p>
                    <w:pPr>
                      <w:spacing w:line="115" w:lineRule="exact" w:before="0"/>
                      <w:ind w:left="1328" w:right="0" w:firstLine="0"/>
                      <w:jc w:val="left"/>
                      <w:rPr>
                        <w:sz w:val="12"/>
                      </w:rPr>
                    </w:pPr>
                    <w:r>
                      <w:rPr>
                        <w:sz w:val="12"/>
                      </w:rPr>
                      <w:t>40</w:t>
                    </w:r>
                  </w:p>
                </w:txbxContent>
              </v:textbox>
              <w10:wrap type="none"/>
            </v:shape>
            <v:shape style="position:absolute;left:10352;top:11208;width:140;height:133" type="#_x0000_t202" filled="false" stroked="false">
              <v:textbox inset="0,0,0,0">
                <w:txbxContent>
                  <w:p>
                    <w:pPr>
                      <w:spacing w:line="133" w:lineRule="exact" w:before="0"/>
                      <w:ind w:left="0" w:right="0" w:firstLine="0"/>
                      <w:jc w:val="left"/>
                      <w:rPr>
                        <w:sz w:val="12"/>
                      </w:rPr>
                    </w:pPr>
                    <w:r>
                      <w:rPr>
                        <w:sz w:val="12"/>
                      </w:rPr>
                      <w:t>30</w:t>
                    </w:r>
                  </w:p>
                </w:txbxContent>
              </v:textbox>
              <w10:wrap type="none"/>
            </v:shape>
            <v:shape style="position:absolute;left:6263;top:11433;width:140;height:133" type="#_x0000_t202" filled="false" stroked="false">
              <v:textbox inset="0,0,0,0">
                <w:txbxContent>
                  <w:p>
                    <w:pPr>
                      <w:spacing w:line="133" w:lineRule="exact" w:before="0"/>
                      <w:ind w:left="0" w:right="0" w:firstLine="0"/>
                      <w:jc w:val="left"/>
                      <w:rPr>
                        <w:sz w:val="12"/>
                      </w:rPr>
                    </w:pPr>
                    <w:r>
                      <w:rPr>
                        <w:sz w:val="12"/>
                      </w:rPr>
                      <w:t>30</w:t>
                    </w:r>
                  </w:p>
                </w:txbxContent>
              </v:textbox>
              <w10:wrap type="none"/>
            </v:shape>
            <v:shape style="position:absolute;left:10352;top:11571;width:140;height:133" type="#_x0000_t202" filled="false" stroked="false">
              <v:textbox inset="0,0,0,0">
                <w:txbxContent>
                  <w:p>
                    <w:pPr>
                      <w:spacing w:line="133" w:lineRule="exact" w:before="0"/>
                      <w:ind w:left="0" w:right="0" w:firstLine="0"/>
                      <w:jc w:val="left"/>
                      <w:rPr>
                        <w:sz w:val="12"/>
                      </w:rPr>
                    </w:pPr>
                    <w:r>
                      <w:rPr>
                        <w:sz w:val="12"/>
                      </w:rPr>
                      <w:t>20</w:t>
                    </w:r>
                  </w:p>
                </w:txbxContent>
              </v:textbox>
              <w10:wrap type="none"/>
            </v:shape>
            <v:shape style="position:absolute;left:6263;top:11723;width:193;height:1004" type="#_x0000_t202" filled="false" stroked="false">
              <v:textbox inset="0,0,0,0">
                <w:txbxContent>
                  <w:p>
                    <w:pPr>
                      <w:spacing w:line="133" w:lineRule="exact" w:before="0"/>
                      <w:ind w:left="0" w:right="0" w:firstLine="0"/>
                      <w:jc w:val="left"/>
                      <w:rPr>
                        <w:sz w:val="12"/>
                      </w:rPr>
                    </w:pPr>
                    <w:r>
                      <w:rPr>
                        <w:sz w:val="12"/>
                      </w:rPr>
                      <w:t>20</w:t>
                    </w:r>
                  </w:p>
                  <w:p>
                    <w:pPr>
                      <w:spacing w:line="240" w:lineRule="auto" w:before="2"/>
                      <w:rPr>
                        <w:sz w:val="13"/>
                      </w:rPr>
                    </w:pPr>
                  </w:p>
                  <w:p>
                    <w:pPr>
                      <w:spacing w:line="131" w:lineRule="exact" w:before="0"/>
                      <w:ind w:left="0" w:right="0" w:firstLine="0"/>
                      <w:jc w:val="left"/>
                      <w:rPr>
                        <w:sz w:val="12"/>
                      </w:rPr>
                    </w:pPr>
                    <w:r>
                      <w:rPr>
                        <w:sz w:val="12"/>
                      </w:rPr>
                      <w:t>10</w:t>
                    </w:r>
                  </w:p>
                  <w:p>
                    <w:pPr>
                      <w:spacing w:line="168" w:lineRule="exact" w:before="0"/>
                      <w:ind w:left="82" w:right="0" w:firstLine="0"/>
                      <w:jc w:val="left"/>
                      <w:rPr>
                        <w:sz w:val="16"/>
                      </w:rPr>
                    </w:pPr>
                    <w:r>
                      <w:rPr>
                        <w:sz w:val="16"/>
                      </w:rPr>
                      <w:t>+</w:t>
                    </w:r>
                  </w:p>
                  <w:p>
                    <w:pPr>
                      <w:spacing w:line="165" w:lineRule="auto" w:before="13"/>
                      <w:ind w:left="60" w:right="0" w:firstLine="0"/>
                      <w:jc w:val="left"/>
                      <w:rPr>
                        <w:sz w:val="16"/>
                      </w:rPr>
                    </w:pPr>
                    <w:r>
                      <w:rPr>
                        <w:spacing w:val="-14"/>
                        <w:sz w:val="12"/>
                      </w:rPr>
                      <w:t>0</w:t>
                    </w:r>
                    <w:r>
                      <w:rPr>
                        <w:spacing w:val="-14"/>
                        <w:position w:val="-7"/>
                        <w:sz w:val="16"/>
                      </w:rPr>
                      <w:t>_</w:t>
                    </w:r>
                  </w:p>
                  <w:p>
                    <w:pPr>
                      <w:spacing w:before="99"/>
                      <w:ind w:left="0" w:right="0" w:firstLine="0"/>
                      <w:jc w:val="left"/>
                      <w:rPr>
                        <w:sz w:val="12"/>
                      </w:rPr>
                    </w:pPr>
                    <w:r>
                      <w:rPr>
                        <w:sz w:val="12"/>
                      </w:rPr>
                      <w:t>10</w:t>
                    </w:r>
                  </w:p>
                </w:txbxContent>
              </v:textbox>
              <w10:wrap type="none"/>
            </v:shape>
            <v:shape style="position:absolute;left:10324;top:11934;width:168;height:859" type="#_x0000_t202" filled="false" stroked="false">
              <v:textbox inset="0,0,0,0">
                <w:txbxContent>
                  <w:p>
                    <w:pPr>
                      <w:spacing w:line="133" w:lineRule="exact" w:before="0"/>
                      <w:ind w:left="27" w:right="0" w:firstLine="0"/>
                      <w:jc w:val="left"/>
                      <w:rPr>
                        <w:sz w:val="12"/>
                      </w:rPr>
                    </w:pPr>
                    <w:r>
                      <w:rPr>
                        <w:sz w:val="12"/>
                      </w:rPr>
                      <w:t>10</w:t>
                    </w:r>
                  </w:p>
                  <w:p>
                    <w:pPr>
                      <w:spacing w:line="171" w:lineRule="exact" w:before="67"/>
                      <w:ind w:left="0" w:right="0" w:firstLine="0"/>
                      <w:jc w:val="left"/>
                      <w:rPr>
                        <w:sz w:val="16"/>
                      </w:rPr>
                    </w:pPr>
                    <w:r>
                      <w:rPr>
                        <w:sz w:val="16"/>
                      </w:rPr>
                      <w:t>+</w:t>
                    </w:r>
                  </w:p>
                  <w:p>
                    <w:pPr>
                      <w:spacing w:line="158" w:lineRule="auto" w:before="7"/>
                      <w:ind w:left="10" w:right="0" w:firstLine="0"/>
                      <w:jc w:val="left"/>
                      <w:rPr>
                        <w:sz w:val="12"/>
                      </w:rPr>
                    </w:pPr>
                    <w:r>
                      <w:rPr>
                        <w:position w:val="-8"/>
                        <w:sz w:val="16"/>
                      </w:rPr>
                      <w:t>_</w:t>
                    </w:r>
                    <w:r>
                      <w:rPr>
                        <w:sz w:val="12"/>
                      </w:rPr>
                      <w:t>0</w:t>
                    </w:r>
                  </w:p>
                  <w:p>
                    <w:pPr>
                      <w:spacing w:before="169"/>
                      <w:ind w:left="27" w:right="0" w:firstLine="0"/>
                      <w:jc w:val="left"/>
                      <w:rPr>
                        <w:sz w:val="12"/>
                      </w:rPr>
                    </w:pPr>
                    <w:r>
                      <w:rPr>
                        <w:sz w:val="12"/>
                      </w:rPr>
                      <w:t>10</w:t>
                    </w:r>
                  </w:p>
                </w:txbxContent>
              </v:textbox>
              <w10:wrap type="none"/>
            </v:shape>
            <v:shape style="position:absolute;left:6263;top:12768;width:3714;height:254" type="#_x0000_t202" filled="false" stroked="false">
              <v:textbox inset="0,0,0,0">
                <w:txbxContent>
                  <w:p>
                    <w:pPr>
                      <w:spacing w:line="124" w:lineRule="exact" w:before="0"/>
                      <w:ind w:left="0" w:right="18" w:firstLine="0"/>
                      <w:jc w:val="right"/>
                      <w:rPr>
                        <w:sz w:val="12"/>
                      </w:rPr>
                    </w:pPr>
                    <w:r>
                      <w:rPr>
                        <w:sz w:val="12"/>
                      </w:rPr>
                      <w:t>Particulars delivered</w:t>
                    </w:r>
                  </w:p>
                  <w:p>
                    <w:pPr>
                      <w:tabs>
                        <w:tab w:pos="2763" w:val="left" w:leader="none"/>
                      </w:tabs>
                      <w:spacing w:line="129" w:lineRule="exact" w:before="0"/>
                      <w:ind w:left="0" w:right="97" w:firstLine="0"/>
                      <w:jc w:val="right"/>
                      <w:rPr>
                        <w:sz w:val="12"/>
                      </w:rPr>
                    </w:pPr>
                    <w:r>
                      <w:rPr>
                        <w:sz w:val="12"/>
                      </w:rPr>
                      <w:t>20</w:t>
                      <w:tab/>
                      <w:t>(right-hand</w:t>
                    </w:r>
                    <w:r>
                      <w:rPr>
                        <w:spacing w:val="2"/>
                        <w:sz w:val="12"/>
                      </w:rPr>
                      <w:t> </w:t>
                    </w:r>
                    <w:r>
                      <w:rPr>
                        <w:spacing w:val="-3"/>
                        <w:sz w:val="12"/>
                      </w:rPr>
                      <w:t>scale)</w:t>
                    </w:r>
                  </w:p>
                </w:txbxContent>
              </v:textbox>
              <w10:wrap type="none"/>
            </v:shape>
            <v:shape style="position:absolute;left:10352;top:13022;width:140;height:133" type="#_x0000_t202" filled="false" stroked="false">
              <v:textbox inset="0,0,0,0">
                <w:txbxContent>
                  <w:p>
                    <w:pPr>
                      <w:spacing w:line="133" w:lineRule="exact" w:before="0"/>
                      <w:ind w:left="0" w:right="0" w:firstLine="0"/>
                      <w:jc w:val="left"/>
                      <w:rPr>
                        <w:sz w:val="12"/>
                      </w:rPr>
                    </w:pPr>
                    <w:r>
                      <w:rPr>
                        <w:sz w:val="12"/>
                      </w:rPr>
                      <w:t>20</w:t>
                    </w:r>
                  </w:p>
                </w:txbxContent>
              </v:textbox>
              <w10:wrap type="none"/>
            </v:shape>
            <v:shape style="position:absolute;left:6263;top:13174;width:140;height:424" type="#_x0000_t202" filled="false" stroked="false">
              <v:textbox inset="0,0,0,0">
                <w:txbxContent>
                  <w:p>
                    <w:pPr>
                      <w:spacing w:line="133" w:lineRule="exact" w:before="0"/>
                      <w:ind w:left="0" w:right="0" w:firstLine="0"/>
                      <w:jc w:val="left"/>
                      <w:rPr>
                        <w:sz w:val="12"/>
                      </w:rPr>
                    </w:pPr>
                    <w:r>
                      <w:rPr>
                        <w:sz w:val="12"/>
                      </w:rPr>
                      <w:t>30</w:t>
                    </w:r>
                  </w:p>
                  <w:p>
                    <w:pPr>
                      <w:spacing w:line="240" w:lineRule="auto" w:before="2"/>
                      <w:rPr>
                        <w:sz w:val="13"/>
                      </w:rPr>
                    </w:pPr>
                  </w:p>
                  <w:p>
                    <w:pPr>
                      <w:spacing w:before="0"/>
                      <w:ind w:left="0" w:right="0" w:firstLine="0"/>
                      <w:jc w:val="left"/>
                      <w:rPr>
                        <w:sz w:val="12"/>
                      </w:rPr>
                    </w:pPr>
                    <w:r>
                      <w:rPr>
                        <w:sz w:val="12"/>
                      </w:rPr>
                      <w:t>40</w:t>
                    </w:r>
                  </w:p>
                </w:txbxContent>
              </v:textbox>
              <w10:wrap type="none"/>
            </v:shape>
            <v:shape style="position:absolute;left:6912;top:13364;width:863;height:254" type="#_x0000_t202" filled="false" stroked="false">
              <v:textbox inset="0,0,0,0">
                <w:txbxContent>
                  <w:p>
                    <w:pPr>
                      <w:spacing w:line="208" w:lineRule="auto" w:before="9"/>
                      <w:ind w:left="60" w:right="18" w:hanging="60"/>
                      <w:jc w:val="left"/>
                      <w:rPr>
                        <w:sz w:val="12"/>
                      </w:rPr>
                    </w:pPr>
                    <w:r>
                      <w:rPr>
                        <w:sz w:val="12"/>
                      </w:rPr>
                      <w:t>Net reservations (left-hand scale)</w:t>
                    </w:r>
                  </w:p>
                </w:txbxContent>
              </v:textbox>
              <w10:wrap type="none"/>
            </v:shape>
            <v:shape style="position:absolute;left:10352;top:13385;width:140;height:133" type="#_x0000_t202" filled="false" stroked="false">
              <v:textbox inset="0,0,0,0">
                <w:txbxContent>
                  <w:p>
                    <w:pPr>
                      <w:spacing w:line="133" w:lineRule="exact" w:before="0"/>
                      <w:ind w:left="0" w:right="0" w:firstLine="0"/>
                      <w:jc w:val="left"/>
                      <w:rPr>
                        <w:sz w:val="12"/>
                      </w:rPr>
                    </w:pPr>
                    <w:r>
                      <w:rPr>
                        <w:sz w:val="12"/>
                      </w:rPr>
                      <w:t>30</w:t>
                    </w:r>
                  </w:p>
                </w:txbxContent>
              </v:textbox>
              <w10:wrap type="none"/>
            </v:shape>
            <v:shape style="position:absolute;left:6225;top:13748;width:4268;height:542" type="#_x0000_t202" filled="false" stroked="false">
              <v:textbox inset="0,0,0,0">
                <w:txbxContent>
                  <w:p>
                    <w:pPr>
                      <w:tabs>
                        <w:tab w:pos="4127" w:val="left" w:leader="none"/>
                      </w:tabs>
                      <w:spacing w:line="128" w:lineRule="exact" w:before="0"/>
                      <w:ind w:left="38" w:right="0" w:firstLine="0"/>
                      <w:jc w:val="left"/>
                      <w:rPr>
                        <w:sz w:val="12"/>
                      </w:rPr>
                    </w:pPr>
                    <w:r>
                      <w:rPr>
                        <w:sz w:val="12"/>
                      </w:rPr>
                      <w:t>50</w:t>
                      <w:tab/>
                    </w:r>
                    <w:r>
                      <w:rPr>
                        <w:position w:val="1"/>
                        <w:sz w:val="12"/>
                      </w:rPr>
                      <w:t>40</w:t>
                    </w:r>
                  </w:p>
                  <w:p>
                    <w:pPr>
                      <w:tabs>
                        <w:tab w:pos="908" w:val="left" w:leader="none"/>
                        <w:tab w:pos="1328" w:val="left" w:leader="none"/>
                        <w:tab w:pos="1763" w:val="left" w:leader="none"/>
                        <w:tab w:pos="2185" w:val="left" w:leader="none"/>
                        <w:tab w:pos="2620" w:val="left" w:leader="none"/>
                        <w:tab w:pos="3040" w:val="left" w:leader="none"/>
                        <w:tab w:pos="3475" w:val="left" w:leader="none"/>
                      </w:tabs>
                      <w:spacing w:line="126" w:lineRule="exact" w:before="0"/>
                      <w:ind w:left="405" w:right="0" w:firstLine="0"/>
                      <w:jc w:val="left"/>
                      <w:rPr>
                        <w:sz w:val="12"/>
                      </w:rPr>
                    </w:pPr>
                    <w:r>
                      <w:rPr>
                        <w:sz w:val="12"/>
                      </w:rPr>
                      <w:t>1992</w:t>
                      <w:tab/>
                      <w:t>93</w:t>
                      <w:tab/>
                      <w:t>94</w:t>
                      <w:tab/>
                      <w:t>95</w:t>
                      <w:tab/>
                      <w:t>96</w:t>
                      <w:tab/>
                      <w:t>97</w:t>
                      <w:tab/>
                      <w:t>98</w:t>
                      <w:tab/>
                      <w:t>99</w:t>
                    </w:r>
                    <w:r>
                      <w:rPr>
                        <w:spacing w:val="4"/>
                        <w:sz w:val="12"/>
                      </w:rPr>
                      <w:t> </w:t>
                    </w:r>
                    <w:r>
                      <w:rPr>
                        <w:sz w:val="12"/>
                      </w:rPr>
                      <w:t>2000</w:t>
                    </w:r>
                  </w:p>
                  <w:p>
                    <w:pPr>
                      <w:spacing w:line="208" w:lineRule="auto" w:before="44"/>
                      <w:ind w:left="240" w:right="106" w:hanging="240"/>
                      <w:jc w:val="left"/>
                      <w:rPr>
                        <w:sz w:val="12"/>
                      </w:rPr>
                    </w:pPr>
                    <w:r>
                      <w:rPr>
                        <w:sz w:val="12"/>
                      </w:rPr>
                      <w:t>(a) Three-month moving average of the net balance of housebuilders reporting a greater number of net reservations than a year ago.</w:t>
                    </w:r>
                  </w:p>
                </w:txbxContent>
              </v:textbox>
              <w10:wrap type="none"/>
            </v:shape>
            <w10:wrap type="none"/>
          </v:group>
        </w:pict>
      </w:r>
      <w:r>
        <w:rPr>
          <w:sz w:val="16"/>
        </w:rPr>
        <w:t>See</w:t>
      </w:r>
      <w:hyperlink r:id="rId85">
        <w:r>
          <w:rPr>
            <w:sz w:val="16"/>
          </w:rPr>
          <w:t> www.bankofengland.co.uk/mew.htm </w:t>
        </w:r>
      </w:hyperlink>
      <w:r>
        <w:rPr>
          <w:sz w:val="16"/>
        </w:rPr>
        <w:t>for details of the construction of the </w:t>
      </w:r>
      <w:r>
        <w:rPr>
          <w:spacing w:val="-2"/>
          <w:sz w:val="16"/>
        </w:rPr>
        <w:t>Bank’s </w:t>
      </w:r>
      <w:r>
        <w:rPr>
          <w:sz w:val="16"/>
        </w:rPr>
        <w:t>estimates of</w:t>
      </w:r>
      <w:r>
        <w:rPr>
          <w:spacing w:val="-21"/>
          <w:sz w:val="16"/>
        </w:rPr>
        <w:t> </w:t>
      </w:r>
      <w:r>
        <w:rPr>
          <w:spacing w:val="-5"/>
          <w:sz w:val="16"/>
        </w:rPr>
        <w:t>MEW.</w:t>
      </w:r>
    </w:p>
    <w:p>
      <w:pPr>
        <w:spacing w:after="0" w:line="240" w:lineRule="auto"/>
        <w:jc w:val="left"/>
        <w:rPr>
          <w:sz w:val="16"/>
        </w:rPr>
        <w:sectPr>
          <w:type w:val="continuous"/>
          <w:pgSz w:w="11900" w:h="16840"/>
          <w:pgMar w:top="1260" w:bottom="280" w:left="640" w:right="640"/>
        </w:sectPr>
      </w:pPr>
    </w:p>
    <w:p>
      <w:pPr>
        <w:pStyle w:val="BodyText"/>
        <w:rPr>
          <w:sz w:val="20"/>
        </w:rPr>
      </w:pPr>
    </w:p>
    <w:p>
      <w:pPr>
        <w:spacing w:after="0"/>
        <w:rPr>
          <w:sz w:val="20"/>
        </w:rPr>
        <w:sectPr>
          <w:pgSz w:w="11900" w:h="16840"/>
          <w:pgMar w:header="586" w:footer="612" w:top="780" w:bottom="800" w:left="640" w:right="640"/>
        </w:sectPr>
      </w:pPr>
    </w:p>
    <w:p>
      <w:pPr>
        <w:pStyle w:val="BodyText"/>
        <w:spacing w:before="9"/>
        <w:rPr>
          <w:sz w:val="20"/>
        </w:rPr>
      </w:pPr>
    </w:p>
    <w:p>
      <w:pPr>
        <w:pStyle w:val="Heading8"/>
        <w:spacing w:line="252" w:lineRule="auto" w:before="0"/>
        <w:ind w:left="423" w:right="38"/>
        <w:jc w:val="both"/>
      </w:pPr>
      <w:r>
        <w:rPr/>
        <w:t>account</w:t>
      </w:r>
      <w:r>
        <w:rPr>
          <w:spacing w:val="-5"/>
        </w:rPr>
        <w:t> </w:t>
      </w:r>
      <w:r>
        <w:rPr/>
        <w:t>for</w:t>
      </w:r>
      <w:r>
        <w:rPr>
          <w:spacing w:val="-5"/>
        </w:rPr>
        <w:t> </w:t>
      </w:r>
      <w:r>
        <w:rPr/>
        <w:t>about</w:t>
      </w:r>
      <w:r>
        <w:rPr>
          <w:spacing w:val="-5"/>
        </w:rPr>
        <w:t> </w:t>
      </w:r>
      <w:r>
        <w:rPr/>
        <w:t>a</w:t>
      </w:r>
      <w:r>
        <w:rPr>
          <w:spacing w:val="-4"/>
        </w:rPr>
        <w:t> </w:t>
      </w:r>
      <w:r>
        <w:rPr/>
        <w:t>quarter</w:t>
      </w:r>
      <w:r>
        <w:rPr>
          <w:spacing w:val="-5"/>
        </w:rPr>
        <w:t> </w:t>
      </w:r>
      <w:r>
        <w:rPr/>
        <w:t>of</w:t>
      </w:r>
      <w:r>
        <w:rPr>
          <w:spacing w:val="-5"/>
        </w:rPr>
        <w:t> </w:t>
      </w:r>
      <w:r>
        <w:rPr/>
        <w:t>all</w:t>
      </w:r>
      <w:r>
        <w:rPr>
          <w:spacing w:val="-4"/>
        </w:rPr>
        <w:t> </w:t>
      </w:r>
      <w:r>
        <w:rPr/>
        <w:t>house</w:t>
      </w:r>
      <w:r>
        <w:rPr>
          <w:spacing w:val="-5"/>
        </w:rPr>
        <w:t> </w:t>
      </w:r>
      <w:r>
        <w:rPr/>
        <w:t>purchases,</w:t>
      </w:r>
      <w:r>
        <w:rPr>
          <w:spacing w:val="-4"/>
        </w:rPr>
        <w:t> </w:t>
      </w:r>
      <w:r>
        <w:rPr/>
        <w:t>the number</w:t>
      </w:r>
      <w:r>
        <w:rPr>
          <w:spacing w:val="-7"/>
        </w:rPr>
        <w:t> </w:t>
      </w:r>
      <w:r>
        <w:rPr/>
        <w:t>of</w:t>
      </w:r>
      <w:r>
        <w:rPr>
          <w:spacing w:val="-7"/>
        </w:rPr>
        <w:t> </w:t>
      </w:r>
      <w:r>
        <w:rPr/>
        <w:t>approvals</w:t>
      </w:r>
      <w:r>
        <w:rPr>
          <w:spacing w:val="-6"/>
        </w:rPr>
        <w:t> </w:t>
      </w:r>
      <w:r>
        <w:rPr/>
        <w:t>also</w:t>
      </w:r>
      <w:r>
        <w:rPr>
          <w:spacing w:val="-7"/>
        </w:rPr>
        <w:t> </w:t>
      </w:r>
      <w:r>
        <w:rPr/>
        <w:t>gives</w:t>
      </w:r>
      <w:r>
        <w:rPr>
          <w:spacing w:val="-6"/>
        </w:rPr>
        <w:t> </w:t>
      </w:r>
      <w:r>
        <w:rPr/>
        <w:t>an</w:t>
      </w:r>
      <w:r>
        <w:rPr>
          <w:spacing w:val="-7"/>
        </w:rPr>
        <w:t> </w:t>
      </w:r>
      <w:r>
        <w:rPr/>
        <w:t>indication</w:t>
      </w:r>
      <w:r>
        <w:rPr>
          <w:spacing w:val="-6"/>
        </w:rPr>
        <w:t> </w:t>
      </w:r>
      <w:r>
        <w:rPr/>
        <w:t>of</w:t>
      </w:r>
      <w:r>
        <w:rPr>
          <w:spacing w:val="-7"/>
        </w:rPr>
        <w:t> </w:t>
      </w:r>
      <w:r>
        <w:rPr/>
        <w:t>future transactions (see Chart</w:t>
      </w:r>
      <w:r>
        <w:rPr>
          <w:spacing w:val="-5"/>
        </w:rPr>
        <w:t> </w:t>
      </w:r>
      <w:r>
        <w:rPr/>
        <w:t>C).</w:t>
      </w:r>
    </w:p>
    <w:p>
      <w:pPr>
        <w:pStyle w:val="BodyText"/>
        <w:spacing w:before="11"/>
        <w:rPr>
          <w:sz w:val="19"/>
        </w:rPr>
      </w:pPr>
    </w:p>
    <w:p>
      <w:pPr>
        <w:pStyle w:val="Heading6"/>
        <w:spacing w:before="0"/>
        <w:ind w:left="449"/>
        <w:jc w:val="both"/>
      </w:pPr>
      <w:r>
        <w:rPr>
          <w:color w:val="0092C7"/>
        </w:rPr>
        <w:t>Chart C</w:t>
      </w:r>
    </w:p>
    <w:p>
      <w:pPr>
        <w:pStyle w:val="Heading6"/>
        <w:ind w:left="449"/>
        <w:jc w:val="both"/>
      </w:pPr>
      <w:r>
        <w:rPr>
          <w:color w:val="0092C7"/>
        </w:rPr>
        <w:t>Loan approvals and particulars delivered</w:t>
      </w:r>
    </w:p>
    <w:p>
      <w:pPr>
        <w:spacing w:line="122" w:lineRule="exact" w:before="57"/>
        <w:ind w:left="3229" w:right="0" w:firstLine="0"/>
        <w:jc w:val="left"/>
        <w:rPr>
          <w:sz w:val="12"/>
        </w:rPr>
      </w:pPr>
      <w:r>
        <w:rPr>
          <w:sz w:val="12"/>
        </w:rPr>
        <w:t>Thousands per month</w:t>
      </w:r>
    </w:p>
    <w:p>
      <w:pPr>
        <w:spacing w:line="122" w:lineRule="exact" w:before="0"/>
        <w:ind w:left="4305" w:right="0" w:firstLine="0"/>
        <w:jc w:val="left"/>
        <w:rPr>
          <w:sz w:val="12"/>
        </w:rPr>
      </w:pPr>
      <w:r>
        <w:rPr>
          <w:sz w:val="12"/>
        </w:rPr>
        <w:t>160</w:t>
      </w:r>
    </w:p>
    <w:p>
      <w:pPr>
        <w:pStyle w:val="BodyText"/>
        <w:spacing w:before="9"/>
        <w:rPr>
          <w:sz w:val="20"/>
        </w:rPr>
      </w:pPr>
      <w:r>
        <w:rPr/>
        <w:br w:type="column"/>
      </w:r>
      <w:r>
        <w:rPr>
          <w:sz w:val="20"/>
        </w:rPr>
      </w:r>
    </w:p>
    <w:p>
      <w:pPr>
        <w:pStyle w:val="Heading8"/>
        <w:spacing w:line="252" w:lineRule="auto" w:before="0"/>
        <w:ind w:left="423" w:right="398"/>
      </w:pPr>
      <w:r>
        <w:rPr/>
        <w:t>information from loan approvals, while the DETR and Land Registry series are calculated using data at the completion stage.</w:t>
      </w:r>
    </w:p>
    <w:p>
      <w:pPr>
        <w:spacing w:after="0" w:line="252" w:lineRule="auto"/>
        <w:sectPr>
          <w:type w:val="continuous"/>
          <w:pgSz w:w="11900" w:h="16840"/>
          <w:pgMar w:top="1260" w:bottom="280" w:left="640" w:right="640"/>
          <w:cols w:num="2" w:equalWidth="0">
            <w:col w:w="4567" w:space="575"/>
            <w:col w:w="5478"/>
          </w:cols>
        </w:sectPr>
      </w:pPr>
    </w:p>
    <w:p>
      <w:pPr>
        <w:pStyle w:val="BodyText"/>
        <w:spacing w:before="2"/>
        <w:rPr>
          <w:sz w:val="11"/>
        </w:rPr>
      </w:pPr>
    </w:p>
    <w:p>
      <w:pPr>
        <w:spacing w:after="0"/>
        <w:rPr>
          <w:sz w:val="11"/>
        </w:rPr>
        <w:sectPr>
          <w:type w:val="continuous"/>
          <w:pgSz w:w="11900" w:h="16840"/>
          <w:pgMar w:top="1260" w:bottom="280" w:left="640" w:right="640"/>
        </w:sectPr>
      </w:pPr>
    </w:p>
    <w:p>
      <w:pPr>
        <w:pStyle w:val="BodyText"/>
        <w:rPr>
          <w:sz w:val="12"/>
        </w:rPr>
      </w:pPr>
    </w:p>
    <w:p>
      <w:pPr>
        <w:pStyle w:val="BodyText"/>
        <w:spacing w:before="5"/>
        <w:rPr>
          <w:sz w:val="10"/>
        </w:rPr>
      </w:pPr>
    </w:p>
    <w:p>
      <w:pPr>
        <w:spacing w:before="0"/>
        <w:ind w:left="1582" w:right="0" w:firstLine="0"/>
        <w:jc w:val="left"/>
        <w:rPr>
          <w:sz w:val="12"/>
        </w:rPr>
      </w:pPr>
      <w:r>
        <w:rPr>
          <w:sz w:val="12"/>
        </w:rPr>
        <w:t>Particulars delivered</w:t>
      </w:r>
    </w:p>
    <w:p>
      <w:pPr>
        <w:spacing w:before="95"/>
        <w:ind w:left="1582" w:right="0" w:firstLine="0"/>
        <w:jc w:val="left"/>
        <w:rPr>
          <w:sz w:val="12"/>
        </w:rPr>
      </w:pPr>
      <w:r>
        <w:rPr/>
        <w:br w:type="column"/>
      </w:r>
      <w:r>
        <w:rPr>
          <w:sz w:val="12"/>
        </w:rPr>
        <w:t>140</w:t>
      </w:r>
    </w:p>
    <w:p>
      <w:pPr>
        <w:pStyle w:val="BodyText"/>
        <w:rPr>
          <w:sz w:val="12"/>
        </w:rPr>
      </w:pPr>
    </w:p>
    <w:p>
      <w:pPr>
        <w:spacing w:before="86"/>
        <w:ind w:left="1582" w:right="0" w:firstLine="0"/>
        <w:jc w:val="left"/>
        <w:rPr>
          <w:sz w:val="12"/>
        </w:rPr>
      </w:pPr>
      <w:r>
        <w:rPr>
          <w:sz w:val="12"/>
        </w:rPr>
        <w:t>120</w:t>
      </w:r>
    </w:p>
    <w:p>
      <w:pPr>
        <w:pStyle w:val="BodyText"/>
        <w:rPr>
          <w:sz w:val="12"/>
        </w:rPr>
      </w:pPr>
    </w:p>
    <w:p>
      <w:pPr>
        <w:spacing w:before="85"/>
        <w:ind w:left="1582" w:right="0" w:firstLine="0"/>
        <w:jc w:val="left"/>
        <w:rPr>
          <w:sz w:val="12"/>
        </w:rPr>
      </w:pPr>
      <w:r>
        <w:rPr>
          <w:sz w:val="12"/>
        </w:rPr>
        <w:t>100</w:t>
      </w:r>
    </w:p>
    <w:p>
      <w:pPr>
        <w:spacing w:after="0"/>
        <w:jc w:val="left"/>
        <w:rPr>
          <w:sz w:val="12"/>
        </w:rPr>
        <w:sectPr>
          <w:type w:val="continuous"/>
          <w:pgSz w:w="11900" w:h="16840"/>
          <w:pgMar w:top="1260" w:bottom="280" w:left="640" w:right="640"/>
          <w:cols w:num="2" w:equalWidth="0">
            <w:col w:w="2612" w:space="112"/>
            <w:col w:w="7896"/>
          </w:cols>
        </w:sectPr>
      </w:pPr>
    </w:p>
    <w:p>
      <w:pPr>
        <w:pStyle w:val="BodyText"/>
        <w:spacing w:before="2"/>
        <w:rPr>
          <w:sz w:val="11"/>
        </w:rPr>
      </w:pPr>
    </w:p>
    <w:p>
      <w:pPr>
        <w:spacing w:before="95"/>
        <w:ind w:left="1357" w:right="3123" w:firstLine="0"/>
        <w:jc w:val="center"/>
        <w:rPr>
          <w:sz w:val="12"/>
        </w:rPr>
      </w:pPr>
      <w:r>
        <w:rPr>
          <w:sz w:val="12"/>
        </w:rPr>
        <w:t>80</w:t>
      </w:r>
    </w:p>
    <w:p>
      <w:pPr>
        <w:tabs>
          <w:tab w:pos="4485" w:val="right" w:leader="none"/>
        </w:tabs>
        <w:spacing w:before="186"/>
        <w:ind w:left="1626" w:right="0" w:firstLine="0"/>
        <w:jc w:val="left"/>
        <w:rPr>
          <w:sz w:val="12"/>
        </w:rPr>
      </w:pPr>
      <w:r>
        <w:rPr>
          <w:sz w:val="12"/>
        </w:rPr>
        <w:t>Loan approvals (a)</w:t>
        <w:tab/>
      </w:r>
      <w:r>
        <w:rPr>
          <w:position w:val="-3"/>
          <w:sz w:val="12"/>
        </w:rPr>
        <w:t>60</w:t>
      </w:r>
    </w:p>
    <w:p>
      <w:pPr>
        <w:spacing w:before="222"/>
        <w:ind w:left="1357" w:right="3123" w:firstLine="0"/>
        <w:jc w:val="center"/>
        <w:rPr>
          <w:sz w:val="12"/>
        </w:rPr>
      </w:pPr>
      <w:r>
        <w:rPr>
          <w:sz w:val="12"/>
        </w:rPr>
        <w:t>40</w:t>
      </w:r>
    </w:p>
    <w:p>
      <w:pPr>
        <w:pStyle w:val="BodyText"/>
        <w:rPr>
          <w:sz w:val="12"/>
        </w:rPr>
      </w:pPr>
    </w:p>
    <w:p>
      <w:pPr>
        <w:spacing w:before="85"/>
        <w:ind w:left="1357" w:right="3123" w:firstLine="0"/>
        <w:jc w:val="center"/>
        <w:rPr>
          <w:sz w:val="12"/>
        </w:rPr>
      </w:pPr>
      <w:r>
        <w:rPr>
          <w:sz w:val="12"/>
        </w:rPr>
        <w:t>20</w:t>
      </w:r>
    </w:p>
    <w:p>
      <w:pPr>
        <w:pStyle w:val="BodyText"/>
        <w:rPr>
          <w:sz w:val="12"/>
        </w:rPr>
      </w:pPr>
    </w:p>
    <w:p>
      <w:pPr>
        <w:spacing w:line="126" w:lineRule="exact" w:before="86"/>
        <w:ind w:left="0" w:right="1706" w:firstLine="0"/>
        <w:jc w:val="center"/>
        <w:rPr>
          <w:sz w:val="12"/>
        </w:rPr>
      </w:pPr>
      <w:r>
        <w:rPr>
          <w:sz w:val="12"/>
        </w:rPr>
        <w:t>0</w:t>
      </w:r>
    </w:p>
    <w:p>
      <w:pPr>
        <w:tabs>
          <w:tab w:pos="745" w:val="left" w:leader="none"/>
          <w:tab w:pos="1085" w:val="left" w:leader="none"/>
          <w:tab w:pos="1410" w:val="left" w:leader="none"/>
          <w:tab w:pos="1752" w:val="left" w:leader="none"/>
          <w:tab w:pos="2092" w:val="left" w:leader="none"/>
          <w:tab w:pos="2417" w:val="left" w:leader="none"/>
          <w:tab w:pos="2757" w:val="left" w:leader="none"/>
          <w:tab w:pos="3085" w:val="left" w:leader="none"/>
        </w:tabs>
        <w:spacing w:line="126" w:lineRule="exact" w:before="0"/>
        <w:ind w:left="0" w:right="5793" w:firstLine="0"/>
        <w:jc w:val="center"/>
        <w:rPr>
          <w:sz w:val="12"/>
        </w:rPr>
      </w:pPr>
      <w:r>
        <w:rPr>
          <w:sz w:val="12"/>
        </w:rPr>
        <w:t>1990    </w:t>
      </w:r>
      <w:r>
        <w:rPr>
          <w:spacing w:val="27"/>
          <w:sz w:val="12"/>
        </w:rPr>
        <w:t> </w:t>
      </w:r>
      <w:r>
        <w:rPr>
          <w:sz w:val="12"/>
        </w:rPr>
        <w:t>91</w:t>
        <w:tab/>
        <w:t>92</w:t>
        <w:tab/>
        <w:t>93</w:t>
        <w:tab/>
        <w:t>94</w:t>
        <w:tab/>
        <w:t>95</w:t>
        <w:tab/>
        <w:t>96</w:t>
        <w:tab/>
        <w:t>97</w:t>
        <w:tab/>
        <w:t>98</w:t>
        <w:tab/>
        <w:t>99  </w:t>
      </w:r>
      <w:r>
        <w:rPr>
          <w:spacing w:val="12"/>
          <w:sz w:val="12"/>
        </w:rPr>
        <w:t> </w:t>
      </w:r>
      <w:r>
        <w:rPr>
          <w:sz w:val="12"/>
        </w:rPr>
        <w:t>2000</w:t>
      </w:r>
    </w:p>
    <w:p>
      <w:pPr>
        <w:spacing w:line="208" w:lineRule="auto" w:before="96"/>
        <w:ind w:left="714" w:right="6107" w:hanging="240"/>
        <w:jc w:val="left"/>
        <w:rPr>
          <w:sz w:val="12"/>
        </w:rPr>
      </w:pPr>
      <w:r>
        <w:rPr>
          <w:sz w:val="12"/>
        </w:rPr>
        <w:t>(a) A break in the series was introduced when inconsistencies between bank and building society data were removed. Since October 1997 both data series now include only approvals for house purchase net of cancellations and remortgages.</w:t>
      </w:r>
    </w:p>
    <w:p>
      <w:pPr>
        <w:pStyle w:val="BodyText"/>
        <w:spacing w:before="7"/>
        <w:rPr>
          <w:sz w:val="13"/>
        </w:rPr>
      </w:pPr>
    </w:p>
    <w:p>
      <w:pPr>
        <w:spacing w:after="0"/>
        <w:rPr>
          <w:sz w:val="13"/>
        </w:rPr>
        <w:sectPr>
          <w:type w:val="continuous"/>
          <w:pgSz w:w="11900" w:h="16840"/>
          <w:pgMar w:top="1260" w:bottom="280" w:left="640" w:right="640"/>
        </w:sectPr>
      </w:pPr>
    </w:p>
    <w:p>
      <w:pPr>
        <w:pStyle w:val="Heading8"/>
        <w:spacing w:line="249" w:lineRule="auto" w:before="92"/>
        <w:ind w:left="423"/>
        <w:rPr>
          <w:sz w:val="16"/>
        </w:rPr>
      </w:pPr>
      <w:r>
        <w:rPr/>
        <w:t>As well as being of interest in their own right, the number of transactions is correlated with house price inflation (see Chart D). The MPC regularly analyses a range of indicators of house price inflation. Considering several measures can be particularly helpful when their growth rates </w:t>
      </w:r>
      <w:r>
        <w:rPr>
          <w:spacing w:val="-3"/>
        </w:rPr>
        <w:t>differ, </w:t>
      </w:r>
      <w:r>
        <w:rPr/>
        <w:t>as in the first half of this year (see Chart E). Also, some indicators may be more forward-looking than others. For instance, Bank analysis suggests that the price balance in the Royal Institute of Chartered Surveyors (RICS) survey helps to predict Halifax and Nationwide house price inflation in the next</w:t>
      </w:r>
      <w:r>
        <w:rPr>
          <w:spacing w:val="-2"/>
        </w:rPr>
        <w:t> </w:t>
      </w:r>
      <w:r>
        <w:rPr/>
        <w:t>month.</w:t>
      </w:r>
      <w:r>
        <w:rPr>
          <w:position w:val="5"/>
          <w:sz w:val="16"/>
        </w:rPr>
        <w:t>(1)</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2"/>
        </w:rPr>
      </w:pPr>
    </w:p>
    <w:p>
      <w:pPr>
        <w:pStyle w:val="Heading8"/>
        <w:spacing w:line="252" w:lineRule="auto" w:before="0"/>
        <w:ind w:left="423"/>
      </w:pPr>
      <w:r>
        <w:rPr/>
        <w:t>Moreover, different indices are calculated using information gathered at distinct stages of the house purchase</w:t>
      </w:r>
    </w:p>
    <w:p>
      <w:pPr>
        <w:pStyle w:val="Heading8"/>
        <w:spacing w:line="252" w:lineRule="auto" w:before="1"/>
        <w:ind w:left="423" w:right="239"/>
      </w:pPr>
      <w:r>
        <w:rPr/>
        <w:t>process shown in the table. RICS’ survey data are derived largely from property prices advertised by estate agents. The Halifax and Nationwide indices are based on</w:t>
      </w:r>
    </w:p>
    <w:p>
      <w:pPr>
        <w:pStyle w:val="Heading8"/>
        <w:spacing w:line="252" w:lineRule="auto" w:before="92"/>
        <w:ind w:left="423" w:right="723"/>
      </w:pPr>
      <w:r>
        <w:rPr/>
        <w:br w:type="column"/>
      </w:r>
      <w:r>
        <w:rPr/>
        <w:t>House price data are also available at a regional level (see Chart F). These data, combined with evidence from the Bank’s Agents, can provide useful information on regional conditions in the housing market, and help</w:t>
      </w:r>
    </w:p>
    <w:p>
      <w:pPr>
        <w:pStyle w:val="Heading8"/>
        <w:spacing w:line="252" w:lineRule="auto" w:before="2"/>
        <w:ind w:left="423" w:right="1135"/>
      </w:pPr>
      <w:r>
        <w:rPr/>
        <w:t>in assessing the picture in the United Kingdom as a whole.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p>
      <w:pPr>
        <w:pStyle w:val="Heading6"/>
        <w:spacing w:before="0"/>
        <w:ind w:left="423"/>
      </w:pPr>
      <w:r>
        <w:rPr>
          <w:color w:val="009391"/>
        </w:rPr>
        <w:t>Recent developments</w:t>
      </w:r>
    </w:p>
    <w:p>
      <w:pPr>
        <w:pStyle w:val="Heading8"/>
        <w:spacing w:line="252" w:lineRule="auto" w:before="110"/>
        <w:ind w:left="423" w:right="626"/>
      </w:pPr>
      <w:r>
        <w:rPr/>
        <w:t>Long-leading indicators of </w:t>
      </w:r>
      <w:r>
        <w:rPr>
          <w:spacing w:val="-3"/>
        </w:rPr>
        <w:t>activity, </w:t>
      </w:r>
      <w:r>
        <w:rPr/>
        <w:t>such as site visits and net reservations, have weakened since the autumn of 1999, suggesting softer activity later this </w:t>
      </w:r>
      <w:r>
        <w:rPr>
          <w:spacing w:val="-3"/>
        </w:rPr>
        <w:t>year. </w:t>
      </w:r>
      <w:r>
        <w:rPr/>
        <w:t>But medium</w:t>
      </w:r>
      <w:r>
        <w:rPr>
          <w:spacing w:val="-8"/>
        </w:rPr>
        <w:t> </w:t>
      </w:r>
      <w:r>
        <w:rPr/>
        <w:t>and</w:t>
      </w:r>
      <w:r>
        <w:rPr>
          <w:spacing w:val="-7"/>
        </w:rPr>
        <w:t> </w:t>
      </w:r>
      <w:r>
        <w:rPr/>
        <w:t>short-term</w:t>
      </w:r>
      <w:r>
        <w:rPr>
          <w:spacing w:val="-7"/>
        </w:rPr>
        <w:t> </w:t>
      </w:r>
      <w:r>
        <w:rPr/>
        <w:t>indicators,</w:t>
      </w:r>
      <w:r>
        <w:rPr>
          <w:spacing w:val="-6"/>
        </w:rPr>
        <w:t> </w:t>
      </w:r>
      <w:r>
        <w:rPr/>
        <w:t>such</w:t>
      </w:r>
      <w:r>
        <w:rPr>
          <w:spacing w:val="-7"/>
        </w:rPr>
        <w:t> </w:t>
      </w:r>
      <w:r>
        <w:rPr/>
        <w:t>as</w:t>
      </w:r>
      <w:r>
        <w:rPr>
          <w:spacing w:val="-7"/>
        </w:rPr>
        <w:t> </w:t>
      </w:r>
      <w:r>
        <w:rPr/>
        <w:t>loan</w:t>
      </w:r>
      <w:r>
        <w:rPr>
          <w:spacing w:val="-7"/>
        </w:rPr>
        <w:t> </w:t>
      </w:r>
      <w:r>
        <w:rPr/>
        <w:t>approvals, have remained relatively robust. House price inflation is now easing in most regions and at the national level, although the pace of slowdown varies across alternative measures.</w:t>
      </w:r>
    </w:p>
    <w:p>
      <w:pPr>
        <w:spacing w:after="0" w:line="252" w:lineRule="auto"/>
        <w:sectPr>
          <w:type w:val="continuous"/>
          <w:pgSz w:w="11900" w:h="16840"/>
          <w:pgMar w:top="1260" w:bottom="280" w:left="640" w:right="640"/>
          <w:cols w:num="2" w:equalWidth="0">
            <w:col w:w="5083" w:space="59"/>
            <w:col w:w="5478"/>
          </w:cols>
        </w:sectPr>
      </w:pPr>
    </w:p>
    <w:p>
      <w:pPr>
        <w:spacing w:before="129"/>
        <w:ind w:left="380" w:right="0" w:firstLine="0"/>
        <w:jc w:val="left"/>
        <w:rPr>
          <w:sz w:val="16"/>
        </w:rPr>
      </w:pPr>
      <w:r>
        <w:rPr/>
        <w:pict>
          <v:group style="position:absolute;margin-left:40.150002pt;margin-top:40.689999pt;width:516.7pt;height:738.65pt;mso-position-horizontal-relative:page;mso-position-vertical-relative:page;z-index:-23276544" coordorigin="803,814" coordsize="10334,14773">
            <v:shape style="position:absolute;left:803;top:813;width:10334;height:14773" type="#_x0000_t75" stroked="false">
              <v:imagedata r:id="rId86" o:title=""/>
            </v:shape>
            <v:shape style="position:absolute;left:6225;top:2166;width:4142;height:923" type="#_x0000_t202" filled="false" stroked="false">
              <v:textbox inset="0,0,0,0">
                <w:txbxContent>
                  <w:p>
                    <w:pPr>
                      <w:spacing w:line="221" w:lineRule="exact" w:before="0"/>
                      <w:ind w:left="0" w:right="0" w:firstLine="0"/>
                      <w:jc w:val="left"/>
                      <w:rPr>
                        <w:b/>
                        <w:sz w:val="20"/>
                      </w:rPr>
                    </w:pPr>
                    <w:r>
                      <w:rPr>
                        <w:b/>
                        <w:color w:val="0092C7"/>
                        <w:sz w:val="20"/>
                      </w:rPr>
                      <w:t>Chart E</w:t>
                    </w:r>
                  </w:p>
                  <w:p>
                    <w:pPr>
                      <w:spacing w:line="249" w:lineRule="auto" w:before="10"/>
                      <w:ind w:left="0" w:right="54" w:firstLine="0"/>
                      <w:jc w:val="left"/>
                      <w:rPr>
                        <w:sz w:val="12"/>
                      </w:rPr>
                    </w:pPr>
                    <w:r>
                      <w:rPr>
                        <w:b/>
                        <w:color w:val="0092C7"/>
                        <w:sz w:val="20"/>
                      </w:rPr>
                      <w:t>Halifax and Nationwide house price indices and RICS house price survey</w:t>
                    </w:r>
                    <w:r>
                      <w:rPr>
                        <w:position w:val="4"/>
                        <w:sz w:val="12"/>
                      </w:rPr>
                      <w:t>(a)</w:t>
                    </w:r>
                  </w:p>
                  <w:p>
                    <w:pPr>
                      <w:spacing w:before="74"/>
                      <w:ind w:left="2375" w:right="0" w:firstLine="0"/>
                      <w:jc w:val="left"/>
                      <w:rPr>
                        <w:sz w:val="12"/>
                      </w:rPr>
                    </w:pPr>
                    <w:r>
                      <w:rPr>
                        <w:sz w:val="12"/>
                      </w:rPr>
                      <w:t>Percentage changes three months on</w:t>
                    </w:r>
                  </w:p>
                </w:txbxContent>
              </v:textbox>
              <w10:wrap type="none"/>
            </v:shape>
            <v:shape style="position:absolute;left:6248;top:3168;width:140;height:133" type="#_x0000_t202" filled="false" stroked="false">
              <v:textbox inset="0,0,0,0">
                <w:txbxContent>
                  <w:p>
                    <w:pPr>
                      <w:spacing w:line="133" w:lineRule="exact" w:before="0"/>
                      <w:ind w:left="0" w:right="0" w:firstLine="0"/>
                      <w:jc w:val="left"/>
                      <w:rPr>
                        <w:sz w:val="12"/>
                      </w:rPr>
                    </w:pPr>
                    <w:r>
                      <w:rPr>
                        <w:sz w:val="12"/>
                      </w:rPr>
                      <w:t>80</w:t>
                    </w:r>
                  </w:p>
                </w:txbxContent>
              </v:textbox>
              <w10:wrap type="none"/>
            </v:shape>
            <v:shape style="position:absolute;left:6400;top:3075;width:590;height:133" type="#_x0000_t202" filled="false" stroked="false">
              <v:textbox inset="0,0,0,0">
                <w:txbxContent>
                  <w:p>
                    <w:pPr>
                      <w:spacing w:line="133" w:lineRule="exact" w:before="0"/>
                      <w:ind w:left="0" w:right="0" w:firstLine="0"/>
                      <w:jc w:val="left"/>
                      <w:rPr>
                        <w:sz w:val="12"/>
                      </w:rPr>
                    </w:pPr>
                    <w:r>
                      <w:rPr>
                        <w:sz w:val="12"/>
                      </w:rPr>
                      <w:t>Net balance</w:t>
                    </w:r>
                  </w:p>
                </w:txbxContent>
              </v:textbox>
              <w10:wrap type="none"/>
            </v:shape>
            <v:shape style="position:absolute;left:9280;top:3075;width:1087;height:134" type="#_x0000_t202" filled="false" stroked="false">
              <v:textbox inset="0,0,0,0">
                <w:txbxContent>
                  <w:p>
                    <w:pPr>
                      <w:spacing w:line="133" w:lineRule="exact" w:before="0"/>
                      <w:ind w:left="0" w:right="0" w:firstLine="0"/>
                      <w:jc w:val="left"/>
                      <w:rPr>
                        <w:sz w:val="12"/>
                      </w:rPr>
                    </w:pPr>
                    <w:r>
                      <w:rPr>
                        <w:sz w:val="12"/>
                      </w:rPr>
                      <w:t>previous three months</w:t>
                    </w:r>
                  </w:p>
                </w:txbxContent>
              </v:textbox>
              <w10:wrap type="none"/>
            </v:shape>
            <v:shape style="position:absolute;left:10379;top:3178;width:80;height:454" type="#_x0000_t202" filled="false" stroked="false">
              <v:textbox inset="0,0,0,0">
                <w:txbxContent>
                  <w:p>
                    <w:pPr>
                      <w:spacing w:line="133" w:lineRule="exact" w:before="0"/>
                      <w:ind w:left="0" w:right="0" w:firstLine="0"/>
                      <w:jc w:val="left"/>
                      <w:rPr>
                        <w:sz w:val="12"/>
                      </w:rPr>
                    </w:pPr>
                    <w:r>
                      <w:rPr>
                        <w:sz w:val="12"/>
                      </w:rPr>
                      <w:t>6</w:t>
                    </w:r>
                  </w:p>
                  <w:p>
                    <w:pPr>
                      <w:spacing w:line="240" w:lineRule="auto" w:before="10"/>
                      <w:rPr>
                        <w:sz w:val="15"/>
                      </w:rPr>
                    </w:pPr>
                  </w:p>
                  <w:p>
                    <w:pPr>
                      <w:spacing w:before="0"/>
                      <w:ind w:left="0" w:right="0" w:firstLine="0"/>
                      <w:jc w:val="left"/>
                      <w:rPr>
                        <w:sz w:val="12"/>
                      </w:rPr>
                    </w:pPr>
                    <w:r>
                      <w:rPr>
                        <w:sz w:val="12"/>
                      </w:rPr>
                      <w:t>5</w:t>
                    </w:r>
                  </w:p>
                </w:txbxContent>
              </v:textbox>
              <w10:wrap type="none"/>
            </v:shape>
            <v:shape style="position:absolute;left:6248;top:3649;width:140;height:133" type="#_x0000_t202" filled="false" stroked="false">
              <v:textbox inset="0,0,0,0">
                <w:txbxContent>
                  <w:p>
                    <w:pPr>
                      <w:spacing w:line="133" w:lineRule="exact" w:before="0"/>
                      <w:ind w:left="0" w:right="0" w:firstLine="0"/>
                      <w:jc w:val="left"/>
                      <w:rPr>
                        <w:sz w:val="12"/>
                      </w:rPr>
                    </w:pPr>
                    <w:r>
                      <w:rPr>
                        <w:sz w:val="12"/>
                      </w:rPr>
                      <w:t>60</w:t>
                    </w:r>
                  </w:p>
                </w:txbxContent>
              </v:textbox>
              <w10:wrap type="none"/>
            </v:shape>
            <v:shape style="position:absolute;left:6945;top:3601;width:1100;height:134" type="#_x0000_t202" filled="false" stroked="false">
              <v:textbox inset="0,0,0,0">
                <w:txbxContent>
                  <w:p>
                    <w:pPr>
                      <w:spacing w:line="133" w:lineRule="exact" w:before="0"/>
                      <w:ind w:left="0" w:right="0" w:firstLine="0"/>
                      <w:jc w:val="left"/>
                      <w:rPr>
                        <w:sz w:val="12"/>
                      </w:rPr>
                    </w:pPr>
                    <w:r>
                      <w:rPr>
                        <w:sz w:val="12"/>
                      </w:rPr>
                      <w:t>RICS (left-hand scale)</w:t>
                    </w:r>
                  </w:p>
                </w:txbxContent>
              </v:textbox>
              <w10:wrap type="none"/>
            </v:shape>
            <v:shape style="position:absolute;left:8367;top:3802;width:930;height:253" type="#_x0000_t202" filled="false" stroked="false">
              <v:textbox inset="0,0,0,0">
                <w:txbxContent>
                  <w:p>
                    <w:pPr>
                      <w:spacing w:line="124" w:lineRule="exact" w:before="0"/>
                      <w:ind w:left="0" w:right="0" w:firstLine="0"/>
                      <w:jc w:val="left"/>
                      <w:rPr>
                        <w:sz w:val="12"/>
                      </w:rPr>
                    </w:pPr>
                    <w:r>
                      <w:rPr>
                        <w:sz w:val="12"/>
                      </w:rPr>
                      <w:t>Nationwide</w:t>
                    </w:r>
                  </w:p>
                  <w:p>
                    <w:pPr>
                      <w:spacing w:line="129" w:lineRule="exact" w:before="0"/>
                      <w:ind w:left="60" w:right="0" w:firstLine="0"/>
                      <w:jc w:val="left"/>
                      <w:rPr>
                        <w:sz w:val="12"/>
                      </w:rPr>
                    </w:pPr>
                    <w:r>
                      <w:rPr>
                        <w:sz w:val="12"/>
                      </w:rPr>
                      <w:t>(right-hand scale)</w:t>
                    </w:r>
                  </w:p>
                </w:txbxContent>
              </v:textbox>
              <w10:wrap type="none"/>
            </v:shape>
            <v:shape style="position:absolute;left:10379;top:3820;width:80;height:133" type="#_x0000_t202" filled="false" stroked="false">
              <v:textbox inset="0,0,0,0">
                <w:txbxContent>
                  <w:p>
                    <w:pPr>
                      <w:spacing w:line="133" w:lineRule="exact" w:before="0"/>
                      <w:ind w:left="0" w:right="0" w:firstLine="0"/>
                      <w:jc w:val="left"/>
                      <w:rPr>
                        <w:sz w:val="12"/>
                      </w:rPr>
                    </w:pPr>
                    <w:r>
                      <w:rPr>
                        <w:sz w:val="12"/>
                      </w:rPr>
                      <w:t>4</w:t>
                    </w:r>
                  </w:p>
                </w:txbxContent>
              </v:textbox>
              <w10:wrap type="none"/>
            </v:shape>
            <v:shape style="position:absolute;left:6248;top:4130;width:140;height:133" type="#_x0000_t202" filled="false" stroked="false">
              <v:textbox inset="0,0,0,0">
                <w:txbxContent>
                  <w:p>
                    <w:pPr>
                      <w:spacing w:line="133" w:lineRule="exact" w:before="0"/>
                      <w:ind w:left="0" w:right="0" w:firstLine="0"/>
                      <w:jc w:val="left"/>
                      <w:rPr>
                        <w:sz w:val="12"/>
                      </w:rPr>
                    </w:pPr>
                    <w:r>
                      <w:rPr>
                        <w:sz w:val="12"/>
                      </w:rPr>
                      <w:t>40</w:t>
                    </w:r>
                  </w:p>
                </w:txbxContent>
              </v:textbox>
              <w10:wrap type="none"/>
            </v:shape>
            <v:shape style="position:absolute;left:10379;top:4140;width:80;height:454" type="#_x0000_t202" filled="false" stroked="false">
              <v:textbox inset="0,0,0,0">
                <w:txbxContent>
                  <w:p>
                    <w:pPr>
                      <w:spacing w:line="133" w:lineRule="exact" w:before="0"/>
                      <w:ind w:left="0" w:right="0" w:firstLine="0"/>
                      <w:jc w:val="left"/>
                      <w:rPr>
                        <w:sz w:val="12"/>
                      </w:rPr>
                    </w:pPr>
                    <w:r>
                      <w:rPr>
                        <w:sz w:val="12"/>
                      </w:rPr>
                      <w:t>3</w:t>
                    </w:r>
                  </w:p>
                  <w:p>
                    <w:pPr>
                      <w:spacing w:line="240" w:lineRule="auto" w:before="10"/>
                      <w:rPr>
                        <w:sz w:val="15"/>
                      </w:rPr>
                    </w:pPr>
                  </w:p>
                  <w:p>
                    <w:pPr>
                      <w:spacing w:before="0"/>
                      <w:ind w:left="0" w:right="0" w:firstLine="0"/>
                      <w:jc w:val="left"/>
                      <w:rPr>
                        <w:sz w:val="12"/>
                      </w:rPr>
                    </w:pPr>
                    <w:r>
                      <w:rPr>
                        <w:sz w:val="12"/>
                      </w:rPr>
                      <w:t>2</w:t>
                    </w:r>
                  </w:p>
                </w:txbxContent>
              </v:textbox>
              <w10:wrap type="none"/>
            </v:shape>
            <v:shape style="position:absolute;left:6248;top:4612;width:213;height:694" type="#_x0000_t202" filled="false" stroked="false">
              <v:textbox inset="0,0,0,0">
                <w:txbxContent>
                  <w:p>
                    <w:pPr>
                      <w:spacing w:line="133" w:lineRule="exact" w:before="0"/>
                      <w:ind w:left="0" w:right="0" w:firstLine="0"/>
                      <w:jc w:val="left"/>
                      <w:rPr>
                        <w:sz w:val="12"/>
                      </w:rPr>
                    </w:pPr>
                    <w:r>
                      <w:rPr>
                        <w:sz w:val="12"/>
                      </w:rPr>
                      <w:t>20</w:t>
                    </w:r>
                  </w:p>
                  <w:p>
                    <w:pPr>
                      <w:spacing w:line="240" w:lineRule="auto" w:before="5"/>
                      <w:rPr>
                        <w:sz w:val="12"/>
                      </w:rPr>
                    </w:pPr>
                  </w:p>
                  <w:p>
                    <w:pPr>
                      <w:spacing w:before="0"/>
                      <w:ind w:left="92" w:right="0" w:firstLine="0"/>
                      <w:jc w:val="left"/>
                      <w:rPr>
                        <w:sz w:val="16"/>
                      </w:rPr>
                    </w:pPr>
                    <w:r>
                      <w:rPr>
                        <w:sz w:val="16"/>
                      </w:rPr>
                      <w:t>+</w:t>
                    </w:r>
                  </w:p>
                  <w:p>
                    <w:pPr>
                      <w:spacing w:before="16"/>
                      <w:ind w:left="60" w:right="0" w:firstLine="0"/>
                      <w:jc w:val="left"/>
                      <w:rPr>
                        <w:sz w:val="16"/>
                      </w:rPr>
                    </w:pPr>
                    <w:r>
                      <w:rPr>
                        <w:sz w:val="12"/>
                      </w:rPr>
                      <w:t>0</w:t>
                    </w:r>
                    <w:r>
                      <w:rPr>
                        <w:position w:val="-6"/>
                        <w:sz w:val="16"/>
                      </w:rPr>
                      <w:t>_</w:t>
                    </w:r>
                  </w:p>
                </w:txbxContent>
              </v:textbox>
              <w10:wrap type="none"/>
            </v:shape>
            <v:shape style="position:absolute;left:7886;top:4841;width:900;height:253" type="#_x0000_t202" filled="false" stroked="false">
              <v:textbox inset="0,0,0,0">
                <w:txbxContent>
                  <w:p>
                    <w:pPr>
                      <w:spacing w:line="124" w:lineRule="exact" w:before="0"/>
                      <w:ind w:left="0" w:right="0" w:firstLine="0"/>
                      <w:jc w:val="left"/>
                      <w:rPr>
                        <w:sz w:val="12"/>
                      </w:rPr>
                    </w:pPr>
                    <w:r>
                      <w:rPr>
                        <w:sz w:val="12"/>
                      </w:rPr>
                      <w:t>Halifax</w:t>
                    </w:r>
                  </w:p>
                  <w:p>
                    <w:pPr>
                      <w:spacing w:line="129" w:lineRule="exact" w:before="0"/>
                      <w:ind w:left="30" w:right="0" w:firstLine="0"/>
                      <w:jc w:val="left"/>
                      <w:rPr>
                        <w:sz w:val="12"/>
                      </w:rPr>
                    </w:pPr>
                    <w:r>
                      <w:rPr>
                        <w:sz w:val="12"/>
                      </w:rPr>
                      <w:t>(right-hand scale)</w:t>
                    </w:r>
                  </w:p>
                </w:txbxContent>
              </v:textbox>
              <w10:wrap type="none"/>
            </v:shape>
            <v:shape style="position:absolute;left:10306;top:4782;width:154;height:775" type="#_x0000_t202" filled="false" stroked="false">
              <v:textbox inset="0,0,0,0">
                <w:txbxContent>
                  <w:p>
                    <w:pPr>
                      <w:spacing w:line="132" w:lineRule="exact" w:before="0"/>
                      <w:ind w:left="73" w:right="0" w:firstLine="0"/>
                      <w:jc w:val="left"/>
                      <w:rPr>
                        <w:sz w:val="12"/>
                      </w:rPr>
                    </w:pPr>
                    <w:r>
                      <w:rPr>
                        <w:sz w:val="12"/>
                      </w:rPr>
                      <w:t>1</w:t>
                    </w:r>
                  </w:p>
                  <w:p>
                    <w:pPr>
                      <w:spacing w:line="183" w:lineRule="exact" w:before="0"/>
                      <w:ind w:left="0" w:right="0" w:firstLine="0"/>
                      <w:jc w:val="left"/>
                      <w:rPr>
                        <w:sz w:val="16"/>
                      </w:rPr>
                    </w:pPr>
                    <w:r>
                      <w:rPr>
                        <w:sz w:val="16"/>
                      </w:rPr>
                      <w:t>+</w:t>
                    </w:r>
                  </w:p>
                  <w:p>
                    <w:pPr>
                      <w:spacing w:before="1"/>
                      <w:ind w:left="19" w:right="0" w:firstLine="0"/>
                      <w:jc w:val="left"/>
                      <w:rPr>
                        <w:sz w:val="12"/>
                      </w:rPr>
                    </w:pPr>
                    <w:r>
                      <w:rPr>
                        <w:spacing w:val="-14"/>
                        <w:position w:val="-8"/>
                        <w:sz w:val="16"/>
                      </w:rPr>
                      <w:t>_</w:t>
                    </w:r>
                    <w:r>
                      <w:rPr>
                        <w:spacing w:val="-14"/>
                        <w:sz w:val="12"/>
                      </w:rPr>
                      <w:t>0</w:t>
                    </w:r>
                  </w:p>
                  <w:p>
                    <w:pPr>
                      <w:spacing w:before="84"/>
                      <w:ind w:left="73" w:right="0" w:firstLine="0"/>
                      <w:jc w:val="left"/>
                      <w:rPr>
                        <w:sz w:val="12"/>
                      </w:rPr>
                    </w:pPr>
                    <w:r>
                      <w:rPr>
                        <w:sz w:val="12"/>
                      </w:rPr>
                      <w:t>1</w:t>
                    </w:r>
                  </w:p>
                </w:txbxContent>
              </v:textbox>
              <w10:wrap type="none"/>
            </v:shape>
            <v:shape style="position:absolute;left:6248;top:5574;width:140;height:133" type="#_x0000_t202" filled="false" stroked="false">
              <v:textbox inset="0,0,0,0">
                <w:txbxContent>
                  <w:p>
                    <w:pPr>
                      <w:spacing w:line="133" w:lineRule="exact" w:before="0"/>
                      <w:ind w:left="0" w:right="0" w:firstLine="0"/>
                      <w:jc w:val="left"/>
                      <w:rPr>
                        <w:sz w:val="12"/>
                      </w:rPr>
                    </w:pPr>
                    <w:r>
                      <w:rPr>
                        <w:sz w:val="12"/>
                      </w:rPr>
                      <w:t>20</w:t>
                    </w:r>
                  </w:p>
                </w:txbxContent>
              </v:textbox>
              <w10:wrap type="none"/>
            </v:shape>
            <v:shape style="position:absolute;left:10379;top:5745;width:80;height:133" type="#_x0000_t202" filled="false" stroked="false">
              <v:textbox inset="0,0,0,0">
                <w:txbxContent>
                  <w:p>
                    <w:pPr>
                      <w:spacing w:line="133" w:lineRule="exact" w:before="0"/>
                      <w:ind w:left="0" w:right="0" w:firstLine="0"/>
                      <w:jc w:val="left"/>
                      <w:rPr>
                        <w:sz w:val="12"/>
                      </w:rPr>
                    </w:pPr>
                    <w:r>
                      <w:rPr>
                        <w:sz w:val="12"/>
                      </w:rPr>
                      <w:t>2</w:t>
                    </w:r>
                  </w:p>
                </w:txbxContent>
              </v:textbox>
              <w10:wrap type="none"/>
            </v:shape>
            <v:shape style="position:absolute;left:6248;top:6055;width:140;height:133" type="#_x0000_t202" filled="false" stroked="false">
              <v:textbox inset="0,0,0,0">
                <w:txbxContent>
                  <w:p>
                    <w:pPr>
                      <w:spacing w:line="133" w:lineRule="exact" w:before="0"/>
                      <w:ind w:left="0" w:right="0" w:firstLine="0"/>
                      <w:jc w:val="left"/>
                      <w:rPr>
                        <w:sz w:val="12"/>
                      </w:rPr>
                    </w:pPr>
                    <w:r>
                      <w:rPr>
                        <w:sz w:val="12"/>
                      </w:rPr>
                      <w:t>40</w:t>
                    </w:r>
                  </w:p>
                </w:txbxContent>
              </v:textbox>
              <w10:wrap type="none"/>
            </v:shape>
            <v:shape style="position:absolute;left:10379;top:6065;width:80;height:133" type="#_x0000_t202" filled="false" stroked="false">
              <v:textbox inset="0,0,0,0">
                <w:txbxContent>
                  <w:p>
                    <w:pPr>
                      <w:spacing w:line="133" w:lineRule="exact" w:before="0"/>
                      <w:ind w:left="0" w:right="0" w:firstLine="0"/>
                      <w:jc w:val="left"/>
                      <w:rPr>
                        <w:sz w:val="12"/>
                      </w:rPr>
                    </w:pPr>
                    <w:r>
                      <w:rPr>
                        <w:sz w:val="12"/>
                      </w:rPr>
                      <w:t>3</w:t>
                    </w:r>
                  </w:p>
                </w:txbxContent>
              </v:textbox>
              <w10:wrap type="none"/>
            </v:shape>
            <v:shape style="position:absolute;left:6217;top:6187;width:4185;height:329" type="#_x0000_t202" filled="false" stroked="false">
              <v:textbox inset="0,0,0,0">
                <w:txbxContent>
                  <w:p>
                    <w:pPr>
                      <w:tabs>
                        <w:tab w:pos="1290" w:val="left" w:leader="none"/>
                        <w:tab w:pos="1933" w:val="left" w:leader="none"/>
                        <w:tab w:pos="2585" w:val="left" w:leader="none"/>
                        <w:tab w:pos="3205" w:val="left" w:leader="none"/>
                        <w:tab w:pos="3695" w:val="left" w:leader="none"/>
                      </w:tabs>
                      <w:spacing w:line="133" w:lineRule="exact" w:before="0"/>
                      <w:ind w:left="558" w:right="0" w:firstLine="0"/>
                      <w:jc w:val="left"/>
                      <w:rPr>
                        <w:sz w:val="12"/>
                      </w:rPr>
                    </w:pPr>
                    <w:r>
                      <w:rPr>
                        <w:sz w:val="12"/>
                      </w:rPr>
                      <w:t>1995</w:t>
                      <w:tab/>
                      <w:t>96</w:t>
                      <w:tab/>
                      <w:t>97</w:t>
                      <w:tab/>
                      <w:t>98</w:t>
                      <w:tab/>
                      <w:t>99</w:t>
                      <w:tab/>
                      <w:t>2000</w:t>
                    </w:r>
                  </w:p>
                  <w:p>
                    <w:pPr>
                      <w:spacing w:before="57"/>
                      <w:ind w:left="0" w:right="0" w:firstLine="0"/>
                      <w:jc w:val="left"/>
                      <w:rPr>
                        <w:sz w:val="12"/>
                      </w:rPr>
                    </w:pPr>
                    <w:r>
                      <w:rPr>
                        <w:sz w:val="12"/>
                      </w:rPr>
                      <w:t>(a) Net balance of respondents reporting house price rises over the past three months.</w:t>
                    </w:r>
                  </w:p>
                </w:txbxContent>
              </v:textbox>
              <w10:wrap type="none"/>
            </v:shape>
            <v:shape style="position:absolute;left:6225;top:8401;width:4055;height:3784" type="#_x0000_t202" filled="false" stroked="false">
              <v:textbox inset="0,0,0,0">
                <w:txbxContent>
                  <w:p>
                    <w:pPr>
                      <w:spacing w:line="221" w:lineRule="exact" w:before="0"/>
                      <w:ind w:left="0" w:right="0" w:firstLine="0"/>
                      <w:jc w:val="left"/>
                      <w:rPr>
                        <w:b/>
                        <w:sz w:val="20"/>
                      </w:rPr>
                    </w:pPr>
                    <w:r>
                      <w:rPr>
                        <w:b/>
                        <w:color w:val="0092C7"/>
                        <w:sz w:val="20"/>
                      </w:rPr>
                      <w:t>Chart F</w:t>
                    </w:r>
                  </w:p>
                  <w:p>
                    <w:pPr>
                      <w:spacing w:before="10"/>
                      <w:ind w:left="0" w:right="0" w:firstLine="0"/>
                      <w:jc w:val="left"/>
                      <w:rPr>
                        <w:b/>
                        <w:sz w:val="20"/>
                      </w:rPr>
                    </w:pPr>
                    <w:r>
                      <w:rPr>
                        <w:b/>
                        <w:color w:val="0092C7"/>
                        <w:sz w:val="20"/>
                      </w:rPr>
                      <w:t>Halifax regional quarterly house price inflation</w:t>
                    </w:r>
                  </w:p>
                  <w:p>
                    <w:pPr>
                      <w:spacing w:before="81"/>
                      <w:ind w:left="170" w:right="0" w:firstLine="0"/>
                      <w:jc w:val="left"/>
                      <w:rPr>
                        <w:sz w:val="12"/>
                      </w:rPr>
                    </w:pPr>
                    <w:r>
                      <w:rPr>
                        <w:sz w:val="12"/>
                      </w:rPr>
                      <w:t>2000 Q2</w:t>
                    </w:r>
                  </w:p>
                  <w:p>
                    <w:pPr>
                      <w:spacing w:before="8"/>
                      <w:ind w:left="173" w:right="0" w:firstLine="0"/>
                      <w:jc w:val="left"/>
                      <w:rPr>
                        <w:sz w:val="12"/>
                      </w:rPr>
                    </w:pPr>
                    <w:r>
                      <w:rPr>
                        <w:sz w:val="12"/>
                      </w:rPr>
                      <w:t>2000 Q1</w:t>
                    </w:r>
                  </w:p>
                  <w:p>
                    <w:pPr>
                      <w:spacing w:before="9"/>
                      <w:ind w:left="160" w:right="0" w:firstLine="0"/>
                      <w:jc w:val="left"/>
                      <w:rPr>
                        <w:sz w:val="12"/>
                      </w:rPr>
                    </w:pPr>
                    <w:r>
                      <w:rPr>
                        <w:sz w:val="12"/>
                      </w:rPr>
                      <w:t>1999 Q4</w:t>
                    </w:r>
                  </w:p>
                  <w:p>
                    <w:pPr>
                      <w:spacing w:before="8"/>
                      <w:ind w:left="502" w:right="0" w:firstLine="0"/>
                      <w:jc w:val="both"/>
                      <w:rPr>
                        <w:sz w:val="12"/>
                      </w:rPr>
                    </w:pPr>
                    <w:r>
                      <w:rPr>
                        <w:sz w:val="12"/>
                      </w:rPr>
                      <w:t>United</w:t>
                    </w:r>
                    <w:r>
                      <w:rPr>
                        <w:spacing w:val="-1"/>
                        <w:sz w:val="12"/>
                      </w:rPr>
                      <w:t> </w:t>
                    </w:r>
                    <w:r>
                      <w:rPr>
                        <w:sz w:val="12"/>
                      </w:rPr>
                      <w:t>Kingdom</w:t>
                    </w:r>
                  </w:p>
                  <w:p>
                    <w:pPr>
                      <w:spacing w:line="393" w:lineRule="auto" w:before="81"/>
                      <w:ind w:left="749" w:right="2739" w:firstLine="46"/>
                      <w:jc w:val="both"/>
                      <w:rPr>
                        <w:sz w:val="12"/>
                      </w:rPr>
                    </w:pPr>
                    <w:r>
                      <w:rPr>
                        <w:sz w:val="12"/>
                      </w:rPr>
                      <w:t>South </w:t>
                    </w:r>
                    <w:r>
                      <w:rPr>
                        <w:spacing w:val="-4"/>
                        <w:sz w:val="12"/>
                      </w:rPr>
                      <w:t>East </w:t>
                    </w:r>
                    <w:r>
                      <w:rPr>
                        <w:sz w:val="12"/>
                      </w:rPr>
                      <w:t>East </w:t>
                    </w:r>
                    <w:r>
                      <w:rPr>
                        <w:spacing w:val="-3"/>
                        <w:sz w:val="12"/>
                      </w:rPr>
                      <w:t>Anglia </w:t>
                    </w:r>
                    <w:r>
                      <w:rPr>
                        <w:sz w:val="12"/>
                      </w:rPr>
                      <w:t>South</w:t>
                    </w:r>
                    <w:r>
                      <w:rPr>
                        <w:spacing w:val="-1"/>
                        <w:sz w:val="12"/>
                      </w:rPr>
                      <w:t> </w:t>
                    </w:r>
                    <w:r>
                      <w:rPr>
                        <w:sz w:val="12"/>
                      </w:rPr>
                      <w:t>West</w:t>
                    </w:r>
                  </w:p>
                  <w:p>
                    <w:pPr>
                      <w:spacing w:line="130" w:lineRule="exact" w:before="0"/>
                      <w:ind w:left="0" w:right="2739" w:firstLine="0"/>
                      <w:jc w:val="right"/>
                      <w:rPr>
                        <w:sz w:val="12"/>
                      </w:rPr>
                    </w:pPr>
                    <w:r>
                      <w:rPr>
                        <w:sz w:val="12"/>
                      </w:rPr>
                      <w:t>Wales</w:t>
                    </w:r>
                  </w:p>
                  <w:p>
                    <w:pPr>
                      <w:spacing w:before="82"/>
                      <w:ind w:left="509" w:right="0" w:firstLine="0"/>
                      <w:jc w:val="both"/>
                      <w:rPr>
                        <w:sz w:val="12"/>
                      </w:rPr>
                    </w:pPr>
                    <w:r>
                      <w:rPr>
                        <w:sz w:val="12"/>
                      </w:rPr>
                      <w:t>Northern</w:t>
                    </w:r>
                    <w:r>
                      <w:rPr>
                        <w:spacing w:val="-1"/>
                        <w:sz w:val="12"/>
                      </w:rPr>
                      <w:t> </w:t>
                    </w:r>
                    <w:r>
                      <w:rPr>
                        <w:sz w:val="12"/>
                      </w:rPr>
                      <w:t>Ireland</w:t>
                    </w:r>
                  </w:p>
                  <w:p>
                    <w:pPr>
                      <w:spacing w:line="381" w:lineRule="auto" w:before="84"/>
                      <w:ind w:left="582" w:right="2739" w:firstLine="173"/>
                      <w:jc w:val="both"/>
                      <w:rPr>
                        <w:sz w:val="12"/>
                      </w:rPr>
                    </w:pPr>
                    <w:r>
                      <w:rPr>
                        <w:sz w:val="12"/>
                      </w:rPr>
                      <w:t>North </w:t>
                    </w:r>
                    <w:r>
                      <w:rPr>
                        <w:spacing w:val="-4"/>
                        <w:sz w:val="12"/>
                      </w:rPr>
                      <w:t>West </w:t>
                    </w:r>
                    <w:r>
                      <w:rPr>
                        <w:sz w:val="12"/>
                      </w:rPr>
                      <w:t>East Midlands West</w:t>
                    </w:r>
                    <w:r>
                      <w:rPr>
                        <w:spacing w:val="-17"/>
                        <w:sz w:val="12"/>
                      </w:rPr>
                      <w:t> </w:t>
                    </w:r>
                    <w:r>
                      <w:rPr>
                        <w:sz w:val="12"/>
                      </w:rPr>
                      <w:t>Midlands</w:t>
                    </w:r>
                  </w:p>
                  <w:p>
                    <w:pPr>
                      <w:spacing w:line="398" w:lineRule="auto" w:before="3"/>
                      <w:ind w:left="549" w:right="2739" w:firstLine="483"/>
                      <w:jc w:val="right"/>
                      <w:rPr>
                        <w:sz w:val="12"/>
                      </w:rPr>
                    </w:pPr>
                    <w:r>
                      <w:rPr>
                        <w:sz w:val="12"/>
                      </w:rPr>
                      <w:t>North    Greater</w:t>
                    </w:r>
                    <w:r>
                      <w:rPr>
                        <w:spacing w:val="1"/>
                        <w:sz w:val="12"/>
                      </w:rPr>
                      <w:t> </w:t>
                    </w:r>
                    <w:r>
                      <w:rPr>
                        <w:spacing w:val="-3"/>
                        <w:sz w:val="12"/>
                      </w:rPr>
                      <w:t>London</w:t>
                    </w:r>
                  </w:p>
                  <w:p>
                    <w:pPr>
                      <w:spacing w:line="129" w:lineRule="exact" w:before="0"/>
                      <w:ind w:left="0" w:right="2739" w:firstLine="0"/>
                      <w:jc w:val="right"/>
                      <w:rPr>
                        <w:sz w:val="12"/>
                      </w:rPr>
                    </w:pPr>
                    <w:r>
                      <w:rPr>
                        <w:sz w:val="12"/>
                      </w:rPr>
                      <w:t>Yorkshire and</w:t>
                    </w:r>
                    <w:r>
                      <w:rPr>
                        <w:spacing w:val="-2"/>
                        <w:sz w:val="12"/>
                      </w:rPr>
                      <w:t> </w:t>
                    </w:r>
                    <w:r>
                      <w:rPr>
                        <w:sz w:val="12"/>
                      </w:rPr>
                      <w:t>Humberside</w:t>
                    </w:r>
                  </w:p>
                  <w:p>
                    <w:pPr>
                      <w:spacing w:before="84"/>
                      <w:ind w:left="892" w:right="0" w:firstLine="0"/>
                      <w:jc w:val="left"/>
                      <w:rPr>
                        <w:sz w:val="12"/>
                      </w:rPr>
                    </w:pPr>
                    <w:r>
                      <w:rPr>
                        <w:sz w:val="12"/>
                      </w:rPr>
                      <w:t>Scotland</w:t>
                    </w:r>
                  </w:p>
                </w:txbxContent>
              </v:textbox>
              <w10:wrap type="none"/>
            </v:shape>
            <v:shape style="position:absolute;left:10179;top:9217;width:410;height:133" type="#_x0000_t202" filled="false" stroked="false">
              <v:textbox inset="0,0,0,0">
                <w:txbxContent>
                  <w:p>
                    <w:pPr>
                      <w:spacing w:line="133" w:lineRule="exact" w:before="0"/>
                      <w:ind w:left="0" w:right="0" w:firstLine="0"/>
                      <w:jc w:val="left"/>
                      <w:rPr>
                        <w:sz w:val="12"/>
                      </w:rPr>
                    </w:pPr>
                    <w:r>
                      <w:rPr>
                        <w:sz w:val="12"/>
                      </w:rPr>
                      <w:t>Per cent</w:t>
                    </w:r>
                  </w:p>
                </w:txbxContent>
              </v:textbox>
              <w10:wrap type="none"/>
            </v:shape>
            <v:shape style="position:absolute;left:7555;top:12347;width:3097;height:133" type="#_x0000_t202" filled="false" stroked="false">
              <v:textbox inset="0,0,0,0">
                <w:txbxContent>
                  <w:p>
                    <w:pPr>
                      <w:spacing w:line="133" w:lineRule="exact" w:before="0"/>
                      <w:ind w:left="0" w:right="0" w:firstLine="0"/>
                      <w:jc w:val="left"/>
                      <w:rPr>
                        <w:sz w:val="12"/>
                      </w:rPr>
                    </w:pPr>
                    <w:r>
                      <w:rPr>
                        <w:sz w:val="12"/>
                      </w:rPr>
                      <w:t>6 5 4 3 2 1 0 1 2 3 4 5 6 7 8 9</w:t>
                    </w:r>
                  </w:p>
                </w:txbxContent>
              </v:textbox>
              <w10:wrap type="none"/>
            </v:shape>
            <v:shape style="position:absolute;left:8671;top:12206;width:301;height:238" type="#_x0000_t202" filled="false" stroked="false">
              <v:textbox inset="0,0,0,0">
                <w:txbxContent>
                  <w:p>
                    <w:pPr>
                      <w:spacing w:line="228" w:lineRule="auto" w:before="0"/>
                      <w:ind w:left="0" w:right="0" w:firstLine="0"/>
                      <w:jc w:val="left"/>
                      <w:rPr>
                        <w:sz w:val="16"/>
                      </w:rPr>
                    </w:pPr>
                    <w:r>
                      <w:rPr>
                        <w:sz w:val="16"/>
                      </w:rPr>
                      <w:t>_ </w:t>
                    </w:r>
                    <w:r>
                      <w:rPr>
                        <w:position w:val="-5"/>
                        <w:sz w:val="16"/>
                      </w:rPr>
                      <w:t>+</w:t>
                    </w:r>
                  </w:p>
                </w:txbxContent>
              </v:textbox>
              <w10:wrap type="none"/>
            </v:shape>
            <v:shape style="position:absolute;left:1045;top:9621;width:4327;height:1192" type="#_x0000_t202" filled="false" stroked="false">
              <v:textbox inset="0,0,0,0">
                <w:txbxContent>
                  <w:p>
                    <w:pPr>
                      <w:spacing w:line="221" w:lineRule="exact" w:before="0"/>
                      <w:ind w:left="0" w:right="0" w:firstLine="0"/>
                      <w:jc w:val="left"/>
                      <w:rPr>
                        <w:b/>
                        <w:sz w:val="20"/>
                      </w:rPr>
                    </w:pPr>
                    <w:r>
                      <w:rPr>
                        <w:b/>
                        <w:color w:val="0092C7"/>
                        <w:sz w:val="20"/>
                      </w:rPr>
                      <w:t>Chart D</w:t>
                    </w:r>
                  </w:p>
                  <w:p>
                    <w:pPr>
                      <w:spacing w:before="10"/>
                      <w:ind w:left="0" w:right="0" w:firstLine="0"/>
                      <w:jc w:val="left"/>
                      <w:rPr>
                        <w:b/>
                        <w:sz w:val="20"/>
                      </w:rPr>
                    </w:pPr>
                    <w:r>
                      <w:rPr>
                        <w:b/>
                        <w:color w:val="0092C7"/>
                        <w:sz w:val="20"/>
                      </w:rPr>
                      <w:t>Particulars delivered and house price inflation</w:t>
                    </w:r>
                  </w:p>
                  <w:p>
                    <w:pPr>
                      <w:spacing w:line="124" w:lineRule="exact" w:before="65"/>
                      <w:ind w:left="146" w:right="0" w:firstLine="0"/>
                      <w:jc w:val="left"/>
                      <w:rPr>
                        <w:sz w:val="12"/>
                      </w:rPr>
                    </w:pPr>
                    <w:r>
                      <w:rPr>
                        <w:sz w:val="12"/>
                      </w:rPr>
                      <w:t>Percentage change three months</w:t>
                    </w:r>
                  </w:p>
                  <w:p>
                    <w:pPr>
                      <w:tabs>
                        <w:tab w:pos="3032" w:val="left" w:leader="none"/>
                      </w:tabs>
                      <w:spacing w:line="230" w:lineRule="auto" w:before="0"/>
                      <w:ind w:left="0" w:right="0" w:firstLine="0"/>
                      <w:jc w:val="left"/>
                      <w:rPr>
                        <w:sz w:val="12"/>
                      </w:rPr>
                    </w:pPr>
                    <w:r>
                      <w:rPr>
                        <w:position w:val="-7"/>
                        <w:sz w:val="12"/>
                      </w:rPr>
                      <w:t>12 </w:t>
                    </w:r>
                    <w:r>
                      <w:rPr>
                        <w:sz w:val="12"/>
                      </w:rPr>
                      <w:t>on previous</w:t>
                    </w:r>
                    <w:r>
                      <w:rPr>
                        <w:spacing w:val="-4"/>
                        <w:sz w:val="12"/>
                      </w:rPr>
                      <w:t> </w:t>
                    </w:r>
                    <w:r>
                      <w:rPr>
                        <w:sz w:val="12"/>
                      </w:rPr>
                      <w:t>three months</w:t>
                      <w:tab/>
                    </w:r>
                    <w:r>
                      <w:rPr>
                        <w:position w:val="1"/>
                        <w:sz w:val="12"/>
                      </w:rPr>
                      <w:t>Thousands per month</w:t>
                    </w:r>
                    <w:r>
                      <w:rPr>
                        <w:spacing w:val="24"/>
                        <w:position w:val="1"/>
                        <w:sz w:val="12"/>
                      </w:rPr>
                      <w:t> </w:t>
                    </w:r>
                    <w:r>
                      <w:rPr>
                        <w:position w:val="-7"/>
                        <w:sz w:val="12"/>
                      </w:rPr>
                      <w:t>240</w:t>
                    </w:r>
                  </w:p>
                  <w:p>
                    <w:pPr>
                      <w:tabs>
                        <w:tab w:pos="4126" w:val="left" w:leader="none"/>
                      </w:tabs>
                      <w:spacing w:before="171"/>
                      <w:ind w:left="0" w:right="0" w:firstLine="0"/>
                      <w:jc w:val="left"/>
                      <w:rPr>
                        <w:sz w:val="12"/>
                      </w:rPr>
                    </w:pPr>
                    <w:r>
                      <w:rPr>
                        <w:position w:val="1"/>
                        <w:sz w:val="12"/>
                      </w:rPr>
                      <w:t>10</w:t>
                      <w:tab/>
                    </w:r>
                    <w:r>
                      <w:rPr>
                        <w:sz w:val="12"/>
                      </w:rPr>
                      <w:t>220</w:t>
                    </w:r>
                  </w:p>
                </w:txbxContent>
              </v:textbox>
              <w10:wrap type="none"/>
            </v:shape>
            <v:shape style="position:absolute;left:1105;top:10996;width:80;height:133" type="#_x0000_t202" filled="false" stroked="false">
              <v:textbox inset="0,0,0,0">
                <w:txbxContent>
                  <w:p>
                    <w:pPr>
                      <w:spacing w:line="133" w:lineRule="exact" w:before="0"/>
                      <w:ind w:left="0" w:right="0" w:firstLine="0"/>
                      <w:jc w:val="left"/>
                      <w:rPr>
                        <w:sz w:val="12"/>
                      </w:rPr>
                    </w:pPr>
                    <w:r>
                      <w:rPr>
                        <w:sz w:val="12"/>
                      </w:rPr>
                      <w:t>8</w:t>
                    </w:r>
                  </w:p>
                </w:txbxContent>
              </v:textbox>
              <w10:wrap type="none"/>
            </v:shape>
            <v:shape style="position:absolute;left:5171;top:11003;width:200;height:133" type="#_x0000_t202" filled="false" stroked="false">
              <v:textbox inset="0,0,0,0">
                <w:txbxContent>
                  <w:p>
                    <w:pPr>
                      <w:spacing w:line="133" w:lineRule="exact" w:before="0"/>
                      <w:ind w:left="0" w:right="0" w:firstLine="0"/>
                      <w:jc w:val="left"/>
                      <w:rPr>
                        <w:sz w:val="12"/>
                      </w:rPr>
                    </w:pPr>
                    <w:r>
                      <w:rPr>
                        <w:sz w:val="12"/>
                      </w:rPr>
                      <w:t>200</w:t>
                    </w:r>
                  </w:p>
                </w:txbxContent>
              </v:textbox>
              <w10:wrap type="none"/>
            </v:shape>
            <v:shape style="position:absolute;left:1105;top:11319;width:80;height:133" type="#_x0000_t202" filled="false" stroked="false">
              <v:textbox inset="0,0,0,0">
                <w:txbxContent>
                  <w:p>
                    <w:pPr>
                      <w:spacing w:line="133" w:lineRule="exact" w:before="0"/>
                      <w:ind w:left="0" w:right="0" w:firstLine="0"/>
                      <w:jc w:val="left"/>
                      <w:rPr>
                        <w:sz w:val="12"/>
                      </w:rPr>
                    </w:pPr>
                    <w:r>
                      <w:rPr>
                        <w:sz w:val="12"/>
                      </w:rPr>
                      <w:t>6</w:t>
                    </w:r>
                  </w:p>
                </w:txbxContent>
              </v:textbox>
              <w10:wrap type="none"/>
            </v:shape>
            <v:shape style="position:absolute;left:5171;top:11326;width:200;height:133" type="#_x0000_t202" filled="false" stroked="false">
              <v:textbox inset="0,0,0,0">
                <w:txbxContent>
                  <w:p>
                    <w:pPr>
                      <w:spacing w:line="133" w:lineRule="exact" w:before="0"/>
                      <w:ind w:left="0" w:right="0" w:firstLine="0"/>
                      <w:jc w:val="left"/>
                      <w:rPr>
                        <w:sz w:val="12"/>
                      </w:rPr>
                    </w:pPr>
                    <w:r>
                      <w:rPr>
                        <w:sz w:val="12"/>
                      </w:rPr>
                      <w:t>180</w:t>
                    </w:r>
                  </w:p>
                </w:txbxContent>
              </v:textbox>
              <w10:wrap type="none"/>
            </v:shape>
            <v:shape style="position:absolute;left:1105;top:11642;width:80;height:133" type="#_x0000_t202" filled="false" stroked="false">
              <v:textbox inset="0,0,0,0">
                <w:txbxContent>
                  <w:p>
                    <w:pPr>
                      <w:spacing w:line="133" w:lineRule="exact" w:before="0"/>
                      <w:ind w:left="0" w:right="0" w:firstLine="0"/>
                      <w:jc w:val="left"/>
                      <w:rPr>
                        <w:sz w:val="12"/>
                      </w:rPr>
                    </w:pPr>
                    <w:r>
                      <w:rPr>
                        <w:sz w:val="12"/>
                      </w:rPr>
                      <w:t>4</w:t>
                    </w:r>
                  </w:p>
                </w:txbxContent>
              </v:textbox>
              <w10:wrap type="none"/>
            </v:shape>
            <v:shape style="position:absolute;left:3861;top:11589;width:863;height:253" type="#_x0000_t202" filled="false" stroked="false">
              <v:textbox inset="0,0,0,0">
                <w:txbxContent>
                  <w:p>
                    <w:pPr>
                      <w:spacing w:line="208" w:lineRule="auto" w:before="9"/>
                      <w:ind w:left="60" w:right="18" w:hanging="60"/>
                      <w:jc w:val="left"/>
                      <w:rPr>
                        <w:sz w:val="12"/>
                      </w:rPr>
                    </w:pPr>
                    <w:r>
                      <w:rPr>
                        <w:sz w:val="12"/>
                      </w:rPr>
                      <w:t>Halifax index (left-hand scale)</w:t>
                    </w:r>
                  </w:p>
                </w:txbxContent>
              </v:textbox>
              <w10:wrap type="none"/>
            </v:shape>
            <v:shape style="position:absolute;left:5171;top:11649;width:200;height:133" type="#_x0000_t202" filled="false" stroked="false">
              <v:textbox inset="0,0,0,0">
                <w:txbxContent>
                  <w:p>
                    <w:pPr>
                      <w:spacing w:line="133" w:lineRule="exact" w:before="0"/>
                      <w:ind w:left="0" w:right="0" w:firstLine="0"/>
                      <w:jc w:val="left"/>
                      <w:rPr>
                        <w:sz w:val="12"/>
                      </w:rPr>
                    </w:pPr>
                    <w:r>
                      <w:rPr>
                        <w:sz w:val="12"/>
                      </w:rPr>
                      <w:t>160</w:t>
                    </w:r>
                  </w:p>
                </w:txbxContent>
              </v:textbox>
              <w10:wrap type="none"/>
            </v:shape>
            <v:shape style="position:absolute;left:1105;top:11965;width:129;height:779" type="#_x0000_t202" filled="false" stroked="false">
              <v:textbox inset="0,0,0,0">
                <w:txbxContent>
                  <w:p>
                    <w:pPr>
                      <w:spacing w:line="133" w:lineRule="exact" w:before="0"/>
                      <w:ind w:left="0" w:right="0" w:firstLine="0"/>
                      <w:jc w:val="left"/>
                      <w:rPr>
                        <w:sz w:val="12"/>
                      </w:rPr>
                    </w:pPr>
                    <w:r>
                      <w:rPr>
                        <w:sz w:val="12"/>
                      </w:rPr>
                      <w:t>2</w:t>
                    </w:r>
                  </w:p>
                  <w:p>
                    <w:pPr>
                      <w:spacing w:before="4"/>
                      <w:ind w:left="11" w:right="0" w:firstLine="0"/>
                      <w:jc w:val="left"/>
                      <w:rPr>
                        <w:sz w:val="16"/>
                      </w:rPr>
                    </w:pPr>
                    <w:r>
                      <w:rPr>
                        <w:sz w:val="16"/>
                      </w:rPr>
                      <w:t>+</w:t>
                    </w:r>
                  </w:p>
                  <w:p>
                    <w:pPr>
                      <w:spacing w:before="66"/>
                      <w:ind w:left="28" w:right="0" w:firstLine="0"/>
                      <w:jc w:val="left"/>
                      <w:rPr>
                        <w:sz w:val="16"/>
                      </w:rPr>
                    </w:pPr>
                    <w:r>
                      <w:rPr>
                        <w:sz w:val="16"/>
                      </w:rPr>
                      <w:t>_</w:t>
                    </w:r>
                  </w:p>
                  <w:p>
                    <w:pPr>
                      <w:spacing w:before="69"/>
                      <w:ind w:left="0" w:right="0" w:firstLine="0"/>
                      <w:jc w:val="left"/>
                      <w:rPr>
                        <w:sz w:val="12"/>
                      </w:rPr>
                    </w:pPr>
                    <w:r>
                      <w:rPr>
                        <w:sz w:val="12"/>
                      </w:rPr>
                      <w:t>2</w:t>
                    </w:r>
                  </w:p>
                </w:txbxContent>
              </v:textbox>
              <w10:wrap type="none"/>
            </v:shape>
            <v:shape style="position:absolute;left:5171;top:11971;width:200;height:133" type="#_x0000_t202" filled="false" stroked="false">
              <v:textbox inset="0,0,0,0">
                <w:txbxContent>
                  <w:p>
                    <w:pPr>
                      <w:spacing w:line="133" w:lineRule="exact" w:before="0"/>
                      <w:ind w:left="0" w:right="0" w:firstLine="0"/>
                      <w:jc w:val="left"/>
                      <w:rPr>
                        <w:sz w:val="12"/>
                      </w:rPr>
                    </w:pPr>
                    <w:r>
                      <w:rPr>
                        <w:sz w:val="12"/>
                      </w:rPr>
                      <w:t>140</w:t>
                    </w:r>
                  </w:p>
                </w:txbxContent>
              </v:textbox>
              <w10:wrap type="none"/>
            </v:shape>
            <v:shape style="position:absolute;left:1105;top:12287;width:80;height:133" type="#_x0000_t202" filled="false" stroked="false">
              <v:textbox inset="0,0,0,0">
                <w:txbxContent>
                  <w:p>
                    <w:pPr>
                      <w:spacing w:line="133" w:lineRule="exact" w:before="0"/>
                      <w:ind w:left="0" w:right="0" w:firstLine="0"/>
                      <w:jc w:val="left"/>
                      <w:rPr>
                        <w:sz w:val="12"/>
                      </w:rPr>
                    </w:pPr>
                    <w:r>
                      <w:rPr>
                        <w:sz w:val="12"/>
                      </w:rPr>
                      <w:t>0</w:t>
                    </w:r>
                  </w:p>
                </w:txbxContent>
              </v:textbox>
              <w10:wrap type="none"/>
            </v:shape>
            <v:shape style="position:absolute;left:5171;top:12294;width:200;height:133" type="#_x0000_t202" filled="false" stroked="false">
              <v:textbox inset="0,0,0,0">
                <w:txbxContent>
                  <w:p>
                    <w:pPr>
                      <w:spacing w:line="133" w:lineRule="exact" w:before="0"/>
                      <w:ind w:left="0" w:right="0" w:firstLine="0"/>
                      <w:jc w:val="left"/>
                      <w:rPr>
                        <w:sz w:val="12"/>
                      </w:rPr>
                    </w:pPr>
                    <w:r>
                      <w:rPr>
                        <w:sz w:val="12"/>
                      </w:rPr>
                      <w:t>120</w:t>
                    </w:r>
                  </w:p>
                </w:txbxContent>
              </v:textbox>
              <w10:wrap type="none"/>
            </v:shape>
            <v:shape style="position:absolute;left:5171;top:12617;width:200;height:133" type="#_x0000_t202" filled="false" stroked="false">
              <v:textbox inset="0,0,0,0">
                <w:txbxContent>
                  <w:p>
                    <w:pPr>
                      <w:spacing w:line="133" w:lineRule="exact" w:before="0"/>
                      <w:ind w:left="0" w:right="0" w:firstLine="0"/>
                      <w:jc w:val="left"/>
                      <w:rPr>
                        <w:sz w:val="12"/>
                      </w:rPr>
                    </w:pPr>
                    <w:r>
                      <w:rPr>
                        <w:sz w:val="12"/>
                      </w:rPr>
                      <w:t>100</w:t>
                    </w:r>
                  </w:p>
                </w:txbxContent>
              </v:textbox>
              <w10:wrap type="none"/>
            </v:shape>
            <v:shape style="position:absolute;left:1105;top:12933;width:80;height:133" type="#_x0000_t202" filled="false" stroked="false">
              <v:textbox inset="0,0,0,0">
                <w:txbxContent>
                  <w:p>
                    <w:pPr>
                      <w:spacing w:line="133" w:lineRule="exact" w:before="0"/>
                      <w:ind w:left="0" w:right="0" w:firstLine="0"/>
                      <w:jc w:val="left"/>
                      <w:rPr>
                        <w:sz w:val="12"/>
                      </w:rPr>
                    </w:pPr>
                    <w:r>
                      <w:rPr>
                        <w:sz w:val="12"/>
                      </w:rPr>
                      <w:t>4</w:t>
                    </w:r>
                  </w:p>
                </w:txbxContent>
              </v:textbox>
              <w10:wrap type="none"/>
            </v:shape>
            <v:shape style="position:absolute;left:3576;top:12867;width:1010;height:254" type="#_x0000_t202" filled="false" stroked="false">
              <v:textbox inset="0,0,0,0">
                <w:txbxContent>
                  <w:p>
                    <w:pPr>
                      <w:spacing w:line="208" w:lineRule="auto" w:before="9"/>
                      <w:ind w:left="60" w:right="18" w:hanging="60"/>
                      <w:jc w:val="left"/>
                      <w:rPr>
                        <w:sz w:val="12"/>
                      </w:rPr>
                    </w:pPr>
                    <w:r>
                      <w:rPr>
                        <w:sz w:val="12"/>
                      </w:rPr>
                      <w:t>Particulars delivered (right-hand scale)</w:t>
                    </w:r>
                  </w:p>
                </w:txbxContent>
              </v:textbox>
              <w10:wrap type="none"/>
            </v:shape>
            <v:shape style="position:absolute;left:5231;top:12940;width:140;height:133" type="#_x0000_t202" filled="false" stroked="false">
              <v:textbox inset="0,0,0,0">
                <w:txbxContent>
                  <w:p>
                    <w:pPr>
                      <w:spacing w:line="133" w:lineRule="exact" w:before="0"/>
                      <w:ind w:left="0" w:right="0" w:firstLine="0"/>
                      <w:jc w:val="left"/>
                      <w:rPr>
                        <w:sz w:val="12"/>
                      </w:rPr>
                    </w:pPr>
                    <w:r>
                      <w:rPr>
                        <w:sz w:val="12"/>
                      </w:rPr>
                      <w:t>80</w:t>
                    </w:r>
                  </w:p>
                </w:txbxContent>
              </v:textbox>
              <w10:wrap type="none"/>
            </v:shape>
            <v:shape style="position:absolute;left:1105;top:13256;width:4267;height:249" type="#_x0000_t202" filled="false" stroked="false">
              <v:textbox inset="0,0,0,0">
                <w:txbxContent>
                  <w:p>
                    <w:pPr>
                      <w:tabs>
                        <w:tab w:pos="4126" w:val="left" w:leader="none"/>
                      </w:tabs>
                      <w:spacing w:line="125" w:lineRule="exact" w:before="0"/>
                      <w:ind w:left="0" w:right="18" w:firstLine="0"/>
                      <w:jc w:val="center"/>
                      <w:rPr>
                        <w:sz w:val="12"/>
                      </w:rPr>
                    </w:pPr>
                    <w:r>
                      <w:rPr>
                        <w:position w:val="1"/>
                        <w:sz w:val="12"/>
                      </w:rPr>
                      <w:t>6</w:t>
                      <w:tab/>
                    </w:r>
                    <w:r>
                      <w:rPr>
                        <w:spacing w:val="-9"/>
                        <w:sz w:val="12"/>
                      </w:rPr>
                      <w:t>60</w:t>
                    </w:r>
                  </w:p>
                  <w:p>
                    <w:pPr>
                      <w:spacing w:line="123" w:lineRule="exact" w:before="0"/>
                      <w:ind w:left="0" w:right="47" w:firstLine="0"/>
                      <w:jc w:val="center"/>
                      <w:rPr>
                        <w:sz w:val="12"/>
                      </w:rPr>
                    </w:pPr>
                    <w:r>
                      <w:rPr>
                        <w:sz w:val="12"/>
                      </w:rPr>
                      <w:t>1983 84 85 86 87 88 89 90 91 92 93 94 95 96 97 98 99 2000</w:t>
                    </w:r>
                  </w:p>
                </w:txbxContent>
              </v:textbox>
              <w10:wrap type="none"/>
            </v:shape>
            <w10:wrap type="none"/>
          </v:group>
        </w:pict>
      </w:r>
      <w:r>
        <w:rPr>
          <w:sz w:val="16"/>
        </w:rPr>
        <w:t>(1) RICS introduced a price expectations series in October 1998. As yet, the sample is too short to use in estimation work.</w:t>
      </w:r>
    </w:p>
    <w:p>
      <w:pPr>
        <w:spacing w:after="0"/>
        <w:jc w:val="left"/>
        <w:rPr>
          <w:sz w:val="16"/>
        </w:rPr>
        <w:sectPr>
          <w:type w:val="continuous"/>
          <w:pgSz w:w="11900" w:h="16840"/>
          <w:pgMar w:top="1260" w:bottom="280" w:left="640" w:right="640"/>
        </w:sectPr>
      </w:pPr>
    </w:p>
    <w:p>
      <w:pPr>
        <w:pStyle w:val="BodyText"/>
        <w:rPr>
          <w:sz w:val="20"/>
        </w:rPr>
      </w:pPr>
    </w:p>
    <w:p>
      <w:pPr>
        <w:spacing w:after="0"/>
        <w:rPr>
          <w:sz w:val="20"/>
        </w:rPr>
        <w:sectPr>
          <w:headerReference w:type="even" r:id="rId87"/>
          <w:headerReference w:type="default" r:id="rId88"/>
          <w:footerReference w:type="even" r:id="rId89"/>
          <w:footerReference w:type="default" r:id="rId90"/>
          <w:pgSz w:w="11900" w:h="16840"/>
          <w:pgMar w:header="586" w:footer="592" w:top="780" w:bottom="780" w:left="640" w:right="640"/>
          <w:pgNumType w:start="20"/>
        </w:sectPr>
      </w:pPr>
    </w:p>
    <w:p>
      <w:pPr>
        <w:pStyle w:val="BodyText"/>
        <w:spacing w:before="6"/>
        <w:rPr>
          <w:sz w:val="20"/>
        </w:rPr>
      </w:pPr>
    </w:p>
    <w:p>
      <w:pPr>
        <w:pStyle w:val="Heading6"/>
        <w:spacing w:before="0"/>
        <w:ind w:left="200"/>
      </w:pPr>
      <w:bookmarkStart w:name="Public sector consumption" w:id="38"/>
      <w:bookmarkEnd w:id="38"/>
      <w:r>
        <w:rPr>
          <w:b w:val="0"/>
        </w:rPr>
      </w:r>
      <w:bookmarkStart w:name="_bookmark14" w:id="39"/>
      <w:bookmarkEnd w:id="39"/>
      <w:r>
        <w:rPr>
          <w:b w:val="0"/>
        </w:rPr>
      </w:r>
      <w:r>
        <w:rPr>
          <w:color w:val="0092C7"/>
        </w:rPr>
        <w:t>Chart 2.11</w:t>
      </w:r>
    </w:p>
    <w:p>
      <w:pPr>
        <w:pStyle w:val="Heading6"/>
        <w:ind w:left="200"/>
      </w:pPr>
      <w:r>
        <w:rPr>
          <w:color w:val="0092C7"/>
        </w:rPr>
        <w:t>Influences on investment</w:t>
      </w:r>
    </w:p>
    <w:p>
      <w:pPr>
        <w:tabs>
          <w:tab w:pos="2426" w:val="left" w:leader="none"/>
          <w:tab w:pos="3640" w:val="right" w:leader="none"/>
        </w:tabs>
        <w:spacing w:before="134"/>
        <w:ind w:left="497" w:right="38" w:hanging="318"/>
        <w:jc w:val="left"/>
        <w:rPr>
          <w:sz w:val="12"/>
        </w:rPr>
      </w:pPr>
      <w:r>
        <w:rPr/>
        <w:pict>
          <v:line style="position:absolute;mso-position-horizontal-relative:page;mso-position-vertical-relative:paragraph;z-index:-23264256" from="45.685001pt,17.210585pt" to="41.352001pt,17.210585pt" stroked="true" strokeweight=".5pt" strokecolor="#000000">
            <v:stroke dashstyle="solid"/>
            <w10:wrap type="none"/>
          </v:line>
        </w:pict>
      </w:r>
      <w:r>
        <w:rPr/>
        <w:pict>
          <v:line style="position:absolute;mso-position-horizontal-relative:page;mso-position-vertical-relative:paragraph;z-index:-23262720" from="205.980995pt,17.054585pt" to="201.647995pt,17.054585pt" stroked="true" strokeweight=".5pt" strokecolor="#000000">
            <v:stroke dashstyle="solid"/>
            <w10:wrap type="none"/>
          </v:line>
        </w:pict>
      </w:r>
      <w:r>
        <w:rPr>
          <w:b/>
          <w:sz w:val="12"/>
        </w:rPr>
        <w:t>Manufacturing</w:t>
        <w:tab/>
      </w:r>
      <w:r>
        <w:rPr>
          <w:sz w:val="12"/>
        </w:rPr>
        <w:t>Percentage or balance Capacity utilisation (a)</w:t>
        <w:tab/>
        <w:tab/>
      </w:r>
      <w:r>
        <w:rPr>
          <w:position w:val="4"/>
          <w:sz w:val="12"/>
        </w:rPr>
        <w:t>60</w:t>
      </w:r>
    </w:p>
    <w:p>
      <w:pPr>
        <w:spacing w:line="94" w:lineRule="exact" w:before="0"/>
        <w:ind w:left="1814" w:right="0" w:firstLine="0"/>
        <w:jc w:val="left"/>
        <w:rPr>
          <w:sz w:val="12"/>
        </w:rPr>
      </w:pPr>
      <w:r>
        <w:rPr/>
        <w:pict>
          <v:group style="position:absolute;margin-left:51.125pt;margin-top:1.293756pt;width:145.75pt;height:63.75pt;mso-position-horizontal-relative:page;mso-position-vertical-relative:paragraph;z-index:-23264768" coordorigin="1023,26" coordsize="2915,1275">
            <v:line style="position:absolute" from="1023,294" to="1105,294" stroked="true" strokeweight="1.125pt" strokecolor="#de0035">
              <v:stroke dashstyle="solid"/>
            </v:line>
            <v:shape style="position:absolute;left:1095;top:292;width:900;height:388" coordorigin="1095,293" coordsize="900,388" path="m1095,293l1158,363m1158,363l1220,350m1220,350l1295,420m1295,420l1358,398m1358,398l1420,493m1420,493l1483,480m1483,480l1545,598m1545,598l1608,620m1608,620l1670,528m1670,528l1733,515m1733,515l1808,645m1808,645l1870,620m1870,620l1933,680m1933,680l1995,620e" filled="false" stroked="true" strokeweight="1pt" strokecolor="#de0035">
              <v:path arrowok="t"/>
              <v:stroke dashstyle="solid"/>
            </v:shape>
            <v:line style="position:absolute" from="1985,621" to="2068,621" stroked="true" strokeweight="1.125pt" strokecolor="#de0035">
              <v:stroke dashstyle="solid"/>
            </v:line>
            <v:shape style="position:absolute;left:2057;top:527;width:198;height:93" coordorigin="2058,528" coordsize="198,93" path="m2058,620l2120,585m2120,585l2183,563m2183,563l2255,528e" filled="false" stroked="true" strokeweight="1pt" strokecolor="#de0035">
              <v:path arrowok="t"/>
              <v:stroke dashstyle="solid"/>
            </v:shape>
            <v:line style="position:absolute" from="2245,529" to="2328,529" stroked="true" strokeweight="1.125pt" strokecolor="#de0035">
              <v:stroke dashstyle="solid"/>
            </v:line>
            <v:shape style="position:absolute;left:2317;top:257;width:513;height:270" coordorigin="2318,258" coordsize="513,270" path="m2318,528l2380,458m2380,458l2445,315m2445,315l2508,293m2508,293l2570,328m2570,328l2633,280m2633,280l2695,293m2695,293l2768,258m2768,258l2830,385e" filled="false" stroked="true" strokeweight="1pt" strokecolor="#de0035">
              <v:path arrowok="t"/>
              <v:stroke dashstyle="solid"/>
            </v:shape>
            <v:line style="position:absolute" from="2820,386" to="2903,386" stroked="true" strokeweight="1.125pt" strokecolor="#de0035">
              <v:stroke dashstyle="solid"/>
            </v:line>
            <v:shape style="position:absolute;left:2892;top:222;width:450;height:223" coordorigin="2893,223" coordsize="450,223" path="m2893,385l2955,223m2955,223l3020,350m3020,350l3083,385m3083,385l3145,398m3145,398l3218,445m3218,445l3280,350m3280,350l3343,363e" filled="false" stroked="true" strokeweight="1pt" strokecolor="#de0035">
              <v:path arrowok="t"/>
              <v:stroke dashstyle="solid"/>
            </v:shape>
            <v:line style="position:absolute" from="3333,364" to="3415,364" stroked="true" strokeweight="1.125pt" strokecolor="#de0035">
              <v:stroke dashstyle="solid"/>
            </v:line>
            <v:shape style="position:absolute;left:3405;top:257;width:513;height:200" coordorigin="3405,258" coordsize="513,200" path="m3405,363l3468,458m3468,458l3530,363m3530,363l3593,445m3593,445l3658,385m3658,385l3730,398m3730,398l3793,258m3793,258l3855,293m3855,293l3918,258e" filled="false" stroked="true" strokeweight="1pt" strokecolor="#de0035">
              <v:path arrowok="t"/>
              <v:stroke dashstyle="solid"/>
            </v:shape>
            <v:shape style="position:absolute;left:1032;top:280;width:1088;height:810" coordorigin="1033,280" coordsize="1088,810" path="m1033,328l1095,655m1095,655l1158,715m1158,715l1220,750m1220,750l1295,598m1295,598l1358,680m1358,680l1420,985m1420,985l1483,1090m1483,1090l1545,963m1545,963l1608,925m1608,925l1670,458m1670,458l1733,515m1733,515l1808,528m1808,528l1870,398m1870,398l1933,915m1933,915l1995,645m1995,645l2058,328m2058,328l2120,280e" filled="false" stroked="true" strokeweight="1pt" strokecolor="#008360">
              <v:path arrowok="t"/>
              <v:stroke dashstyle="solid"/>
            </v:shape>
            <v:line style="position:absolute" from="2110,281" to="2193,281" stroked="true" strokeweight="1.125pt" strokecolor="#008360">
              <v:stroke dashstyle="solid"/>
            </v:line>
            <v:shape style="position:absolute;left:2182;top:92;width:1735;height:858" coordorigin="2183,93" coordsize="1735,858" path="m2183,280l2255,188m2255,188l2318,198m2318,198l2380,163m2380,163l2445,93m2445,93l2570,233m2570,233l2633,350m2633,350l2695,293m2695,293l2768,328m2768,328l2830,258m2830,258l2893,280m2893,280l2955,163m2955,163l3020,115m3020,115l3083,163m3083,163l3145,350m3145,350l3218,385m3218,385l3280,350m3280,350l3343,445m3343,445l3405,598m3405,598l3468,950m3468,950l3530,880m3530,880l3593,655m3593,655l3658,563m3658,563l3730,280m3730,280l3793,163m3793,163l3855,328m3855,328l3918,528e" filled="false" stroked="true" strokeweight="1pt" strokecolor="#008360">
              <v:path arrowok="t"/>
              <v:stroke dashstyle="solid"/>
            </v:shape>
            <v:shape style="position:absolute;left:1032;top:655;width:1150;height:635" coordorigin="1033,655" coordsize="1150,635" path="m1033,655l1095,750m1095,750l1158,728m1158,728l1220,810m1220,810l1295,810m1295,810l1358,915m1358,915l1420,985m1420,985l1483,1150m1483,1150l1545,1290m1545,1290l1608,1220m1608,1220l1670,1125m1670,1125l1733,1020m1733,1020l1808,1043m1808,1043l1870,963m1870,963l1933,1020m1933,1020l1995,925m1995,925l2058,820m2058,820l2183,680e" filled="false" stroked="true" strokeweight="1pt" strokecolor="#006caa">
              <v:path arrowok="t"/>
              <v:stroke dashstyle="solid"/>
            </v:shape>
            <v:line style="position:absolute" from="2173,681" to="2265,681" stroked="true" strokeweight="1.125pt" strokecolor="#006caa">
              <v:stroke dashstyle="solid"/>
            </v:line>
            <v:shape style="position:absolute;left:2255;top:515;width:253;height:165" coordorigin="2255,515" coordsize="253,165" path="m2255,680l2318,620m2318,620l2380,585m2380,585l2445,515m2445,515l2508,528e" filled="false" stroked="true" strokeweight="1pt" strokecolor="#006caa">
              <v:path arrowok="t"/>
              <v:stroke dashstyle="solid"/>
            </v:shape>
            <v:line style="position:absolute" from="2498,529" to="2580,529" stroked="true" strokeweight="1.125pt" strokecolor="#006caa">
              <v:stroke dashstyle="solid"/>
            </v:line>
            <v:line style="position:absolute" from="2570,528" to="2633,563" stroked="true" strokeweight="1pt" strokecolor="#006caa">
              <v:stroke dashstyle="solid"/>
            </v:line>
            <v:line style="position:absolute" from="2623,564" to="2705,564" stroked="true" strokeweight="1.125pt" strokecolor="#006caa">
              <v:stroke dashstyle="solid"/>
            </v:line>
            <v:line style="position:absolute" from="2695,563" to="2768,585" stroked="true" strokeweight="1pt" strokecolor="#006caa">
              <v:stroke dashstyle="solid"/>
            </v:line>
            <v:line style="position:absolute" from="2758,586" to="2840,586" stroked="true" strokeweight="1.125pt" strokecolor="#006caa">
              <v:stroke dashstyle="solid"/>
            </v:line>
            <v:shape style="position:absolute;left:2830;top:527;width:1088;height:480" coordorigin="2830,528" coordsize="1088,480" path="m2830,585l2893,645m2893,645l2955,585m2955,585l3020,655m3020,655l3083,528m3083,528l3145,585m3145,585l3218,620m3218,620l3280,563m3280,563l3343,693m3343,693l3405,750m3405,750l3468,985m3468,985l3530,1008m3530,1008l3593,915m3593,915l3658,925m3658,925l3730,785m3730,785l3793,728m3793,728l3855,820m3855,820l3918,763e" filled="false" stroked="true" strokeweight="1pt" strokecolor="#006caa">
              <v:path arrowok="t"/>
              <v:stroke dashstyle="solid"/>
            </v:shape>
            <v:line style="position:absolute" from="1583,31" to="1473,363" stroked="true" strokeweight=".5pt" strokecolor="#000000">
              <v:stroke dashstyle="solid"/>
            </v:line>
            <v:shape style="position:absolute;left:1453;top:339;width:49;height:89" coordorigin="1453,339" coordsize="49,89" path="m1453,339l1455,356,1456,369,1456,382,1456,396,1455,408,1455,419,1453,428,1457,420,1501,353,1453,339xe" filled="true" fillcolor="#000000" stroked="false">
              <v:path arrowok="t"/>
              <v:fill type="solid"/>
            </v:shape>
            <v:shape style="position:absolute;left:1036;top:984;width:2900;height:2" coordorigin="1037,984" coordsize="2900,0" path="m3937,984l1037,984e" filled="true" fillcolor="#ffffff" stroked="false">
              <v:path arrowok="t"/>
              <v:fill type="solid"/>
            </v:shape>
            <v:line style="position:absolute" from="3937,984" to="1037,984" stroked="true" strokeweight=".5pt" strokecolor="#000000">
              <v:stroke dashstyle="solid"/>
            </v:line>
            <v:shape style="position:absolute;left:1732;top:1100;width:1220;height:134" type="#_x0000_t202" filled="false" stroked="false">
              <v:textbox inset="0,0,0,0">
                <w:txbxContent>
                  <w:p>
                    <w:pPr>
                      <w:spacing w:line="133" w:lineRule="exact" w:before="0"/>
                      <w:ind w:left="0" w:right="0" w:firstLine="0"/>
                      <w:jc w:val="left"/>
                      <w:rPr>
                        <w:sz w:val="12"/>
                      </w:rPr>
                    </w:pPr>
                    <w:r>
                      <w:rPr>
                        <w:sz w:val="12"/>
                      </w:rPr>
                      <w:t>Investment intentions (c)</w:t>
                    </w:r>
                  </w:p>
                </w:txbxContent>
              </v:textbox>
              <w10:wrap type="none"/>
            </v:shape>
            <w10:wrap type="none"/>
          </v:group>
        </w:pict>
      </w:r>
      <w:r>
        <w:rPr>
          <w:sz w:val="12"/>
        </w:rPr>
        <w:t>Profit expectations (b)</w:t>
      </w:r>
    </w:p>
    <w:p>
      <w:pPr>
        <w:spacing w:before="92"/>
        <w:ind w:left="3520" w:right="0" w:firstLine="0"/>
        <w:jc w:val="left"/>
        <w:rPr>
          <w:sz w:val="12"/>
        </w:rPr>
      </w:pPr>
      <w:r>
        <w:rPr/>
        <w:pict>
          <v:line style="position:absolute;mso-position-horizontal-relative:page;mso-position-vertical-relative:paragraph;z-index:16034304" from="45.685001pt,7.994748pt" to="41.352001pt,7.994748pt" stroked="true" strokeweight=".5pt" strokecolor="#000000">
            <v:stroke dashstyle="solid"/>
            <w10:wrap type="none"/>
          </v:line>
        </w:pict>
      </w:r>
      <w:r>
        <w:rPr/>
        <w:pict>
          <v:line style="position:absolute;mso-position-horizontal-relative:page;mso-position-vertical-relative:paragraph;z-index:16035840" from="205.980995pt,7.838748pt" to="201.647995pt,7.838748pt" stroked="true" strokeweight=".5pt" strokecolor="#000000">
            <v:stroke dashstyle="solid"/>
            <w10:wrap type="none"/>
          </v:line>
        </w:pict>
      </w:r>
      <w:r>
        <w:rPr>
          <w:sz w:val="12"/>
        </w:rPr>
        <w:t>40</w:t>
      </w:r>
    </w:p>
    <w:p>
      <w:pPr>
        <w:pStyle w:val="BodyText"/>
        <w:rPr>
          <w:sz w:val="12"/>
        </w:rPr>
      </w:pPr>
    </w:p>
    <w:p>
      <w:pPr>
        <w:spacing w:before="87"/>
        <w:ind w:left="3520" w:right="0" w:firstLine="0"/>
        <w:jc w:val="left"/>
        <w:rPr>
          <w:sz w:val="12"/>
        </w:rPr>
      </w:pPr>
      <w:r>
        <w:rPr/>
        <w:pict>
          <v:line style="position:absolute;mso-position-horizontal-relative:page;mso-position-vertical-relative:paragraph;z-index:16034816" from="45.685001pt,7.577991pt" to="41.352001pt,7.577991pt" stroked="true" strokeweight=".5pt" strokecolor="#000000">
            <v:stroke dashstyle="solid"/>
            <w10:wrap type="none"/>
          </v:line>
        </w:pict>
      </w:r>
      <w:r>
        <w:rPr/>
        <w:pict>
          <v:line style="position:absolute;mso-position-horizontal-relative:page;mso-position-vertical-relative:paragraph;z-index:16036352" from="205.980995pt,7.422992pt" to="201.647995pt,7.422992pt" stroked="true" strokeweight=".5pt" strokecolor="#000000">
            <v:stroke dashstyle="solid"/>
            <w10:wrap type="none"/>
          </v:line>
        </w:pict>
      </w:r>
      <w:r>
        <w:rPr>
          <w:sz w:val="12"/>
        </w:rPr>
        <w:t>20</w:t>
      </w:r>
    </w:p>
    <w:p>
      <w:pPr>
        <w:pStyle w:val="BodyText"/>
        <w:spacing w:before="7"/>
        <w:rPr>
          <w:sz w:val="20"/>
        </w:rPr>
      </w:pPr>
      <w:r>
        <w:rPr/>
        <w:br w:type="column"/>
      </w:r>
      <w:r>
        <w:rPr>
          <w:sz w:val="20"/>
        </w:rPr>
      </w:r>
    </w:p>
    <w:p>
      <w:pPr>
        <w:spacing w:line="242" w:lineRule="auto" w:before="0"/>
        <w:ind w:left="180" w:right="22" w:firstLine="0"/>
        <w:jc w:val="left"/>
        <w:rPr>
          <w:sz w:val="24"/>
        </w:rPr>
      </w:pPr>
      <w:r>
        <w:rPr>
          <w:sz w:val="24"/>
        </w:rPr>
        <w:t>balance of investment intentions rose slightly on the previous quarter. However, investment intentions remained somewhat weaker in manufacturing than in the service sector, perhaps partly reflecting falls in profit expectations in manufacturing in recent quarters. Profit expectations in the service sector remain high.</w:t>
      </w:r>
    </w:p>
    <w:p>
      <w:pPr>
        <w:spacing w:after="0" w:line="242" w:lineRule="auto"/>
        <w:jc w:val="left"/>
        <w:rPr>
          <w:sz w:val="24"/>
        </w:rPr>
        <w:sectPr>
          <w:type w:val="continuous"/>
          <w:pgSz w:w="11900" w:h="16840"/>
          <w:pgMar w:top="1260" w:bottom="280" w:left="640" w:right="640"/>
          <w:cols w:num="2" w:equalWidth="0">
            <w:col w:w="3681" w:space="1118"/>
            <w:col w:w="5821"/>
          </w:cols>
        </w:sectPr>
      </w:pPr>
    </w:p>
    <w:p>
      <w:pPr>
        <w:pStyle w:val="BodyText"/>
        <w:spacing w:before="7"/>
        <w:rPr>
          <w:sz w:val="19"/>
        </w:rPr>
      </w:pPr>
    </w:p>
    <w:p>
      <w:pPr>
        <w:pStyle w:val="BodyText"/>
        <w:spacing w:line="20" w:lineRule="exact"/>
        <w:ind w:left="182"/>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27"/>
        </w:rPr>
      </w:pPr>
      <w:r>
        <w:rPr/>
        <w:pict>
          <v:shape style="position:absolute;margin-left:41.352001pt;margin-top:17.73pt;width:4.350pt;height:.1pt;mso-position-horizontal-relative:page;mso-position-vertical-relative:paragraph;z-index:-15434752;mso-wrap-distance-left:0;mso-wrap-distance-right:0" coordorigin="827,355" coordsize="87,0" path="m914,355l827,355e" filled="false" stroked="true" strokeweight=".5pt" strokecolor="#000000">
            <v:path arrowok="t"/>
            <v:stroke dashstyle="solid"/>
            <w10:wrap type="topAndBottom"/>
          </v:shape>
        </w:pict>
      </w:r>
    </w:p>
    <w:p>
      <w:pPr>
        <w:pStyle w:val="BodyText"/>
        <w:spacing w:before="7"/>
        <w:rPr>
          <w:sz w:val="14"/>
        </w:rPr>
      </w:pPr>
    </w:p>
    <w:p>
      <w:pPr>
        <w:spacing w:before="1"/>
        <w:ind w:left="180" w:right="0" w:firstLine="0"/>
        <w:jc w:val="left"/>
        <w:rPr>
          <w:b/>
          <w:sz w:val="12"/>
        </w:rPr>
      </w:pPr>
      <w:r>
        <w:rPr>
          <w:b/>
          <w:sz w:val="12"/>
        </w:rPr>
        <w:t>Services</w:t>
      </w:r>
    </w:p>
    <w:p>
      <w:pPr>
        <w:pStyle w:val="BodyText"/>
        <w:spacing w:before="4"/>
        <w:rPr>
          <w:b/>
          <w:sz w:val="3"/>
        </w:rPr>
      </w:pPr>
    </w:p>
    <w:p>
      <w:pPr>
        <w:pStyle w:val="BodyText"/>
        <w:spacing w:line="20" w:lineRule="exact"/>
        <w:ind w:left="182"/>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spacing w:before="0"/>
        <w:ind w:left="588" w:right="0" w:firstLine="0"/>
        <w:jc w:val="left"/>
        <w:rPr>
          <w:sz w:val="12"/>
        </w:rPr>
      </w:pPr>
      <w:r>
        <w:rPr>
          <w:sz w:val="12"/>
        </w:rPr>
        <w:t>Capacity utilisation (a)</w:t>
      </w:r>
    </w:p>
    <w:p>
      <w:pPr>
        <w:pStyle w:val="BodyText"/>
        <w:spacing w:before="9" w:after="40"/>
        <w:rPr>
          <w:sz w:val="17"/>
        </w:rPr>
      </w:pPr>
    </w:p>
    <w:p>
      <w:pPr>
        <w:pStyle w:val="BodyText"/>
        <w:spacing w:line="20" w:lineRule="exact"/>
        <w:ind w:left="182"/>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spacing w:before="1"/>
        <w:rPr>
          <w:sz w:val="26"/>
        </w:rPr>
      </w:pPr>
      <w:r>
        <w:rPr/>
        <w:pict>
          <v:shape style="position:absolute;margin-left:41.352001pt;margin-top:17.209pt;width:4.350pt;height:.1pt;mso-position-horizontal-relative:page;mso-position-vertical-relative:paragraph;z-index:-15433216;mso-wrap-distance-left:0;mso-wrap-distance-right:0" coordorigin="827,344" coordsize="87,0" path="m914,344l827,344e" filled="false" stroked="true" strokeweight=".5pt" strokecolor="#000000">
            <v:path arrowok="t"/>
            <v:stroke dashstyle="solid"/>
            <w10:wrap type="topAndBottom"/>
          </v:shape>
        </w:pict>
      </w:r>
      <w:r>
        <w:rPr/>
        <w:pict>
          <v:shape style="position:absolute;margin-left:41.352001pt;margin-top:35.584pt;width:4.350pt;height:.1pt;mso-position-horizontal-relative:page;mso-position-vertical-relative:paragraph;z-index:-15432704;mso-wrap-distance-left:0;mso-wrap-distance-right:0" coordorigin="827,712" coordsize="87,0" path="m914,712l827,712e" filled="false" stroked="true" strokeweight=".5pt" strokecolor="#000000">
            <v:path arrowok="t"/>
            <v:stroke dashstyle="solid"/>
            <w10:wrap type="topAndBottom"/>
          </v:shape>
        </w:pict>
      </w:r>
      <w:r>
        <w:rPr/>
        <w:pict>
          <v:shape style="position:absolute;margin-left:41.352001pt;margin-top:53.863998pt;width:4.350pt;height:.1pt;mso-position-horizontal-relative:page;mso-position-vertical-relative:paragraph;z-index:-15432192;mso-wrap-distance-left:0;mso-wrap-distance-right:0" coordorigin="827,1077" coordsize="87,0" path="m914,1077l827,1077e" filled="false" stroked="true" strokeweight=".5pt" strokecolor="#000000">
            <v:path arrowok="t"/>
            <v:stroke dashstyle="solid"/>
            <w10:wrap type="topAndBottom"/>
          </v:shape>
        </w:pict>
      </w:r>
    </w:p>
    <w:p>
      <w:pPr>
        <w:pStyle w:val="BodyText"/>
        <w:spacing w:before="2"/>
        <w:rPr>
          <w:sz w:val="25"/>
        </w:rPr>
      </w:pPr>
    </w:p>
    <w:p>
      <w:pPr>
        <w:pStyle w:val="BodyText"/>
        <w:rPr>
          <w:sz w:val="25"/>
        </w:rPr>
      </w:pPr>
    </w:p>
    <w:p>
      <w:pPr>
        <w:spacing w:line="172" w:lineRule="exact" w:before="1"/>
        <w:ind w:left="1618" w:right="0" w:firstLine="0"/>
        <w:jc w:val="left"/>
        <w:rPr>
          <w:sz w:val="16"/>
        </w:rPr>
      </w:pPr>
      <w:r>
        <w:rPr/>
        <w:br w:type="column"/>
      </w:r>
      <w:r>
        <w:rPr>
          <w:sz w:val="16"/>
        </w:rPr>
        <w:t>+</w:t>
      </w:r>
    </w:p>
    <w:p>
      <w:pPr>
        <w:spacing w:line="158" w:lineRule="auto" w:before="11"/>
        <w:ind w:left="1623" w:right="0" w:firstLine="0"/>
        <w:jc w:val="left"/>
        <w:rPr>
          <w:sz w:val="12"/>
        </w:rPr>
      </w:pPr>
      <w:r>
        <w:rPr/>
        <w:pict>
          <v:line style="position:absolute;mso-position-horizontal-relative:page;mso-position-vertical-relative:paragraph;z-index:16036864" from="205.980995pt,2.88206pt" to="201.647995pt,2.88206pt" stroked="true" strokeweight=".5pt" strokecolor="#000000">
            <v:stroke dashstyle="solid"/>
            <w10:wrap type="none"/>
          </v:line>
        </w:pict>
      </w:r>
      <w:r>
        <w:rPr>
          <w:position w:val="-7"/>
          <w:sz w:val="16"/>
        </w:rPr>
        <w:t>_</w:t>
      </w:r>
      <w:r>
        <w:rPr>
          <w:spacing w:val="-11"/>
          <w:position w:val="-7"/>
          <w:sz w:val="16"/>
        </w:rPr>
        <w:t> </w:t>
      </w:r>
      <w:r>
        <w:rPr>
          <w:sz w:val="12"/>
        </w:rPr>
        <w:t>0</w:t>
      </w:r>
    </w:p>
    <w:p>
      <w:pPr>
        <w:spacing w:before="176"/>
        <w:ind w:left="0" w:right="38" w:firstLine="0"/>
        <w:jc w:val="right"/>
        <w:rPr>
          <w:sz w:val="12"/>
        </w:rPr>
      </w:pPr>
      <w:r>
        <w:rPr/>
        <w:pict>
          <v:line style="position:absolute;mso-position-horizontal-relative:page;mso-position-vertical-relative:paragraph;z-index:16037376" from="205.980995pt,12.351564pt" to="201.647995pt,12.351564pt" stroked="true" strokeweight=".5pt" strokecolor="#000000">
            <v:stroke dashstyle="solid"/>
            <w10:wrap type="none"/>
          </v:line>
        </w:pict>
      </w:r>
      <w:r>
        <w:rPr>
          <w:sz w:val="12"/>
        </w:rPr>
        <w:t>20</w:t>
      </w:r>
    </w:p>
    <w:p>
      <w:pPr>
        <w:pStyle w:val="BodyText"/>
        <w:rPr>
          <w:sz w:val="12"/>
        </w:rPr>
      </w:pPr>
    </w:p>
    <w:p>
      <w:pPr>
        <w:pStyle w:val="BodyText"/>
        <w:spacing w:before="10"/>
        <w:rPr>
          <w:sz w:val="10"/>
        </w:rPr>
      </w:pPr>
    </w:p>
    <w:p>
      <w:pPr>
        <w:spacing w:line="118" w:lineRule="exact" w:before="0"/>
        <w:ind w:left="1672" w:right="0" w:firstLine="0"/>
        <w:jc w:val="left"/>
        <w:rPr>
          <w:sz w:val="12"/>
        </w:rPr>
      </w:pPr>
      <w:r>
        <w:rPr/>
        <w:pict>
          <v:line style="position:absolute;mso-position-horizontal-relative:page;mso-position-vertical-relative:paragraph;z-index:16037888" from="205.981002pt,2.402168pt" to="201.649002pt,2.402168pt" stroked="true" strokeweight=".5pt" strokecolor="#000000">
            <v:stroke dashstyle="solid"/>
            <w10:wrap type="none"/>
          </v:line>
        </w:pict>
      </w:r>
      <w:r>
        <w:rPr>
          <w:sz w:val="12"/>
        </w:rPr>
        <w:t>60</w:t>
      </w:r>
    </w:p>
    <w:p>
      <w:pPr>
        <w:spacing w:line="118" w:lineRule="exact" w:before="0"/>
        <w:ind w:left="180" w:right="0" w:firstLine="0"/>
        <w:jc w:val="left"/>
        <w:rPr>
          <w:sz w:val="12"/>
        </w:rPr>
      </w:pPr>
      <w:r>
        <w:rPr/>
        <w:pict>
          <v:group style="position:absolute;margin-left:52pt;margin-top:4.402185pt;width:154pt;height:65.5pt;mso-position-horizontal-relative:page;mso-position-vertical-relative:paragraph;z-index:16032256" coordorigin="1040,88" coordsize="3080,1310">
            <v:shape style="position:absolute;left:1050;top:179;width:2095;height:605" coordorigin="1050,180" coordsize="2095,605" path="m1050,322l1113,445m1113,445l1238,445m1238,445l1310,500m1310,500l1373,565m1373,565l1435,610m1435,610l1495,620m1495,620l1558,675m1558,675l1620,707m1620,707l1683,785m1683,785l1745,707m1745,707l1818,730m1818,730l1880,707m1880,707l1943,697m1943,697l2005,675m2005,675l2068,697m2068,697l2128,642m2128,642l2190,642m2190,642l2263,675m2263,675l2325,665m2325,665l2388,620m2388,620l2450,500m2450,500l2513,465m2513,465l2575,500m2575,500l2638,390m2638,390l2700,377m2700,377l2773,335m2773,335l2833,335m2833,335l2895,267m2895,267l2958,202m2958,202l3020,180m3020,180l3083,290m3083,290l3145,322e" filled="false" stroked="true" strokeweight="1pt" strokecolor="#de0035">
              <v:path arrowok="t"/>
              <v:stroke dashstyle="solid"/>
            </v:shape>
            <v:line style="position:absolute" from="3135,323" to="3228,323" stroked="true" strokeweight="1.125pt" strokecolor="#de0035">
              <v:stroke dashstyle="solid"/>
            </v:line>
            <v:shape style="position:absolute;left:3217;top:322;width:125;height:13" coordorigin="3218,322" coordsize="125,13" path="m3218,322l3280,335m3280,335l3343,322e" filled="false" stroked="true" strokeweight="1pt" strokecolor="#de0035">
              <v:path arrowok="t"/>
              <v:stroke dashstyle="solid"/>
            </v:shape>
            <v:line style="position:absolute" from="3333,323" to="3415,323" stroked="true" strokeweight="1.125pt" strokecolor="#de0035">
              <v:stroke dashstyle="solid"/>
            </v:line>
            <v:shape style="position:absolute;left:3405;top:234;width:508;height:155" coordorigin="3405,235" coordsize="508,155" path="m3405,322l3465,355m3465,355l3528,377m3528,377l3590,390m3590,390l3653,335m3653,335l3725,377m3725,377l3788,235m3788,235l3850,355m3850,355l3913,245e" filled="false" stroked="true" strokeweight="1pt" strokecolor="#de0035">
              <v:path arrowok="t"/>
              <v:stroke dashstyle="solid"/>
            </v:shape>
            <v:line style="position:absolute" from="1050,157" to="1113,432" stroked="true" strokeweight="1pt" strokecolor="#008360">
              <v:stroke dashstyle="solid"/>
            </v:line>
            <v:line style="position:absolute" from="1103,433" to="1185,433" stroked="true" strokeweight="1.125pt" strokecolor="#008360">
              <v:stroke dashstyle="solid"/>
            </v:line>
            <v:shape style="position:absolute;left:1175;top:432;width:383;height:560" coordorigin="1175,432" coordsize="383,560" path="m1175,432l1238,520m1238,520l1310,555m1310,555l1373,665m1373,665l1435,937m1435,937l1495,992m1495,992l1558,872e" filled="false" stroked="true" strokeweight="1pt" strokecolor="#008360">
              <v:path arrowok="t"/>
              <v:stroke dashstyle="solid"/>
            </v:shape>
            <v:line style="position:absolute" from="1548,873" to="1630,873" stroked="true" strokeweight="1.125pt" strokecolor="#008360">
              <v:stroke dashstyle="solid"/>
            </v:line>
            <v:shape style="position:absolute;left:1620;top:114;width:2105;height:823" coordorigin="1620,115" coordsize="2105,823" path="m1620,872l1683,500m1683,500l1745,620m1745,620l1818,642m1818,642l1880,500m1880,500l1943,937m1943,937l2005,665m2005,665l2068,432m2068,432l2128,322m2128,322l2190,235m2190,235l2263,377m2263,377l2325,290m2325,290l2388,267m2388,267l2450,300m2450,300l2513,355m2513,355l2575,335m2575,335l2638,477m2638,477l2700,532m2700,532l2773,445m2773,445l2833,267m2833,267l2895,290m2895,290l2958,212m2958,212l3020,115m3020,115l3083,180m3083,180l3145,212m3145,212l3218,157m3218,157l3280,245m3280,245l3343,290m3343,290l3405,410m3405,410l3465,707m3465,707l3528,752m3528,752l3590,532m3590,532l3653,477m3653,477l3725,322e" filled="false" stroked="true" strokeweight="1pt" strokecolor="#008360">
              <v:path arrowok="t"/>
              <v:stroke dashstyle="solid"/>
            </v:shape>
            <v:line style="position:absolute" from="3715,323" to="3798,323" stroked="true" strokeweight="1.125pt" strokecolor="#008360">
              <v:stroke dashstyle="solid"/>
            </v:line>
            <v:shape style="position:absolute;left:3787;top:234;width:125;height:100" coordorigin="3788,235" coordsize="125,100" path="m3788,322l3850,235m3850,235l3913,335e" filled="false" stroked="true" strokeweight="1pt" strokecolor="#008360">
              <v:path arrowok="t"/>
              <v:stroke dashstyle="solid"/>
            </v:shape>
            <v:shape style="position:absolute;left:1050;top:519;width:188;height:243" coordorigin="1050,520" coordsize="188,243" path="m1050,520l1113,697m1113,697l1238,762e" filled="false" stroked="true" strokeweight="1pt" strokecolor="#006caa">
              <v:path arrowok="t"/>
              <v:stroke dashstyle="solid"/>
            </v:shape>
            <v:line style="position:absolute" from="1228,763" to="1320,763" stroked="true" strokeweight="1.125pt" strokecolor="#006caa">
              <v:stroke dashstyle="solid"/>
            </v:line>
            <v:shape style="position:absolute;left:1310;top:532;width:1390;height:748" coordorigin="1310,532" coordsize="1390,748" path="m1310,762l1373,850m1373,850l1435,982m1435,982l1495,1102m1495,1102l1558,1280m1558,1280l1620,1192m1620,1192l1683,1102m1683,1102l1745,1115m1745,1115l1818,1027m1818,1027l1880,960m1880,960l1943,1082m1943,1082l2005,992m2005,992l2068,905m2068,905l2128,840m2128,840l2190,752m2190,752l2263,752m2263,752l2388,707m2388,707l2450,752m2450,752l2513,697m2513,697l2575,532m2575,532l2638,665m2638,665l2700,675e" filled="false" stroked="true" strokeweight="1pt" strokecolor="#006caa">
              <v:path arrowok="t"/>
              <v:stroke dashstyle="solid"/>
            </v:shape>
            <v:line style="position:absolute" from="2690,676" to="2783,676" stroked="true" strokeweight="1.125pt" strokecolor="#006caa">
              <v:stroke dashstyle="solid"/>
            </v:line>
            <v:shape style="position:absolute;left:2772;top:519;width:310;height:155" coordorigin="2773,520" coordsize="310,155" path="m2773,675l2833,587m2833,587l2895,587m2895,587l2958,642m2958,642l3020,587m3020,587l3083,520e" filled="false" stroked="true" strokeweight="1pt" strokecolor="#006caa">
              <v:path arrowok="t"/>
              <v:stroke dashstyle="solid"/>
            </v:shape>
            <v:line style="position:absolute" from="3073,521" to="3155,521" stroked="true" strokeweight="1.125pt" strokecolor="#006caa">
              <v:stroke dashstyle="solid"/>
            </v:line>
            <v:shape style="position:absolute;left:3145;top:444;width:768;height:318" coordorigin="3145,445" coordsize="768,318" path="m3145,520l3218,445m3218,445l3280,587m3280,587l3343,555m3343,555l3405,532m3405,532l3465,762m3465,762l3528,707m3528,707l3590,697m3590,697l3653,707m3653,707l3725,642m3725,642l3788,565m3788,565l3850,697m3850,697l3913,642e" filled="false" stroked="true" strokeweight="1pt" strokecolor="#006caa">
              <v:path arrowok="t"/>
              <v:stroke dashstyle="solid"/>
            </v:shape>
            <v:line style="position:absolute" from="1570,93" to="1455,500" stroked="true" strokeweight=".5pt" strokecolor="#000000">
              <v:stroke dashstyle="solid"/>
            </v:line>
            <v:shape style="position:absolute;left:1433;top:478;width:50;height:88" coordorigin="1433,478" coordsize="50,88" path="m1433,478l1442,546,1442,557,1442,566,1445,558,1483,488,1433,478xe" filled="true" fillcolor="#000000" stroked="false">
              <v:path arrowok="t"/>
              <v:fill type="solid"/>
            </v:shape>
            <v:shape style="position:absolute;left:1056;top:1027;width:2880;height:2" coordorigin="1057,1027" coordsize="2880,0" path="m3937,1027l1057,1027e" filled="true" fillcolor="#ffffff" stroked="false">
              <v:path arrowok="t"/>
              <v:fill type="solid"/>
            </v:shape>
            <v:shape style="position:absolute;left:1050;top:1027;width:3070;height:369" coordorigin="1050,1027" coordsize="3070,369" path="m3937,1027l1057,1027m1313,1296l1313,1396m1053,1343l1053,1396m1560,1343l1560,1396m1820,1343l1820,1396m3853,1296l3853,1396m2067,1343l2067,1396m2317,1343l2317,1396m2577,1343l2577,1396m2823,1343l2823,1396m3083,1343l3083,1396m3343,1343l3343,1396m3590,1343l3590,1396m4120,1393l4033,1393m1050,1393l3970,1393e" filled="false" stroked="true" strokeweight=".5pt" strokecolor="#000000">
              <v:path arrowok="t"/>
              <v:stroke dashstyle="solid"/>
            </v:shape>
            <v:shape style="position:absolute;left:1702;top:1147;width:1220;height:134" type="#_x0000_t202" filled="false" stroked="false">
              <v:textbox inset="0,0,0,0">
                <w:txbxContent>
                  <w:p>
                    <w:pPr>
                      <w:spacing w:line="133" w:lineRule="exact" w:before="0"/>
                      <w:ind w:left="0" w:right="0" w:firstLine="0"/>
                      <w:jc w:val="left"/>
                      <w:rPr>
                        <w:sz w:val="12"/>
                      </w:rPr>
                    </w:pPr>
                    <w:r>
                      <w:rPr>
                        <w:sz w:val="12"/>
                      </w:rPr>
                      <w:t>Investment intentions (c)</w:t>
                    </w:r>
                  </w:p>
                </w:txbxContent>
              </v:textbox>
              <w10:wrap type="none"/>
            </v:shape>
            <w10:wrap type="none"/>
          </v:group>
        </w:pict>
      </w:r>
      <w:r>
        <w:rPr>
          <w:sz w:val="12"/>
        </w:rPr>
        <w:t>Profit expectations (b)</w:t>
      </w:r>
    </w:p>
    <w:p>
      <w:pPr>
        <w:pStyle w:val="BodyText"/>
        <w:spacing w:before="4"/>
        <w:rPr>
          <w:sz w:val="10"/>
        </w:rPr>
      </w:pPr>
    </w:p>
    <w:p>
      <w:pPr>
        <w:spacing w:before="0"/>
        <w:ind w:left="0" w:right="38" w:firstLine="0"/>
        <w:jc w:val="right"/>
        <w:rPr>
          <w:sz w:val="12"/>
        </w:rPr>
      </w:pPr>
      <w:r>
        <w:rPr/>
        <w:pict>
          <v:line style="position:absolute;mso-position-horizontal-relative:page;mso-position-vertical-relative:paragraph;z-index:16038400" from="205.981002pt,2.694342pt" to="201.649002pt,2.694342pt" stroked="true" strokeweight=".5pt" strokecolor="#000000">
            <v:stroke dashstyle="solid"/>
            <w10:wrap type="none"/>
          </v:line>
        </w:pict>
      </w:r>
      <w:r>
        <w:rPr>
          <w:sz w:val="12"/>
        </w:rPr>
        <w:t>40</w:t>
      </w:r>
    </w:p>
    <w:p>
      <w:pPr>
        <w:pStyle w:val="BodyText"/>
        <w:rPr>
          <w:sz w:val="12"/>
        </w:rPr>
      </w:pPr>
    </w:p>
    <w:p>
      <w:pPr>
        <w:spacing w:before="86"/>
        <w:ind w:left="0" w:right="38" w:firstLine="0"/>
        <w:jc w:val="right"/>
        <w:rPr>
          <w:sz w:val="12"/>
        </w:rPr>
      </w:pPr>
      <w:r>
        <w:rPr/>
        <w:pict>
          <v:line style="position:absolute;mso-position-horizontal-relative:page;mso-position-vertical-relative:paragraph;z-index:16038912" from="205.981002pt,6.828586pt" to="201.649002pt,6.828586pt" stroked="true" strokeweight=".5pt" strokecolor="#000000">
            <v:stroke dashstyle="solid"/>
            <w10:wrap type="none"/>
          </v:line>
        </w:pict>
      </w:r>
      <w:r>
        <w:rPr>
          <w:sz w:val="12"/>
        </w:rPr>
        <w:t>20</w:t>
      </w:r>
    </w:p>
    <w:p>
      <w:pPr>
        <w:spacing w:line="177" w:lineRule="exact" w:before="44"/>
        <w:ind w:left="1643" w:right="0" w:firstLine="0"/>
        <w:jc w:val="left"/>
        <w:rPr>
          <w:sz w:val="16"/>
        </w:rPr>
      </w:pPr>
      <w:r>
        <w:rPr>
          <w:sz w:val="16"/>
        </w:rPr>
        <w:t>+</w:t>
      </w:r>
    </w:p>
    <w:p>
      <w:pPr>
        <w:spacing w:line="168" w:lineRule="auto" w:before="16"/>
        <w:ind w:left="1648" w:right="0" w:firstLine="0"/>
        <w:jc w:val="left"/>
        <w:rPr>
          <w:sz w:val="12"/>
        </w:rPr>
      </w:pPr>
      <w:r>
        <w:rPr/>
        <w:pict>
          <v:line style="position:absolute;mso-position-horizontal-relative:page;mso-position-vertical-relative:paragraph;z-index:16039424" from="205.981002pt,3.429648pt" to="201.649002pt,3.429648pt" stroked="true" strokeweight=".5pt" strokecolor="#000000">
            <v:stroke dashstyle="solid"/>
            <w10:wrap type="none"/>
          </v:line>
        </w:pict>
      </w:r>
      <w:r>
        <w:rPr>
          <w:position w:val="-6"/>
          <w:sz w:val="16"/>
        </w:rPr>
        <w:t>_</w:t>
      </w:r>
      <w:r>
        <w:rPr>
          <w:sz w:val="12"/>
        </w:rPr>
        <w:t>0</w:t>
      </w:r>
    </w:p>
    <w:p>
      <w:pPr>
        <w:spacing w:line="113" w:lineRule="exact" w:before="167"/>
        <w:ind w:left="1672" w:right="0" w:firstLine="0"/>
        <w:jc w:val="left"/>
        <w:rPr>
          <w:sz w:val="12"/>
        </w:rPr>
      </w:pPr>
      <w:r>
        <w:rPr>
          <w:sz w:val="12"/>
        </w:rPr>
        <w:t>20</w:t>
      </w:r>
    </w:p>
    <w:p>
      <w:pPr>
        <w:pStyle w:val="BodyText"/>
        <w:spacing w:before="3"/>
        <w:rPr>
          <w:sz w:val="23"/>
        </w:rPr>
      </w:pPr>
      <w:r>
        <w:rPr/>
        <w:br w:type="column"/>
      </w:r>
      <w:r>
        <w:rPr>
          <w:sz w:val="23"/>
        </w:rPr>
      </w:r>
    </w:p>
    <w:p>
      <w:pPr>
        <w:spacing w:line="242" w:lineRule="auto" w:before="0"/>
        <w:ind w:left="180" w:right="176" w:firstLine="0"/>
        <w:jc w:val="left"/>
        <w:rPr>
          <w:sz w:val="24"/>
        </w:rPr>
      </w:pPr>
      <w:r>
        <w:rPr>
          <w:sz w:val="24"/>
        </w:rPr>
        <w:t>Internal funds are an important source of investment finance for many firms. Retained earnings of private non-financial corporations rose by 4.1% in 2000 Q1, but were 10.1% lower than a year earlier, reflecting higher payments of dividends, interest and tax. As a result, companies have borrowed extensively over the past year to finance their investment spending and the sector as a whole has remained in substantial financial deficit.</w:t>
      </w:r>
    </w:p>
    <w:p>
      <w:pPr>
        <w:spacing w:after="0" w:line="242" w:lineRule="auto"/>
        <w:jc w:val="left"/>
        <w:rPr>
          <w:sz w:val="24"/>
        </w:rPr>
        <w:sectPr>
          <w:type w:val="continuous"/>
          <w:pgSz w:w="11900" w:h="16840"/>
          <w:pgMar w:top="1260" w:bottom="280" w:left="640" w:right="640"/>
          <w:cols w:num="3" w:equalWidth="0">
            <w:col w:w="1729" w:space="119"/>
            <w:col w:w="1833" w:space="1118"/>
            <w:col w:w="5821"/>
          </w:cols>
        </w:sectPr>
      </w:pPr>
    </w:p>
    <w:p>
      <w:pPr>
        <w:spacing w:line="98" w:lineRule="exact" w:before="0"/>
        <w:ind w:left="387" w:right="0" w:firstLine="0"/>
        <w:jc w:val="left"/>
        <w:rPr>
          <w:sz w:val="12"/>
        </w:rPr>
      </w:pPr>
      <w:r>
        <w:rPr>
          <w:sz w:val="12"/>
        </w:rPr>
        <w:t>1989 90 91 92 93 94 95 96 97 98 99 2000</w:t>
      </w:r>
    </w:p>
    <w:p>
      <w:pPr>
        <w:pStyle w:val="BodyText"/>
        <w:spacing w:before="8"/>
        <w:rPr>
          <w:sz w:val="9"/>
        </w:rPr>
      </w:pPr>
    </w:p>
    <w:p>
      <w:pPr>
        <w:spacing w:before="0"/>
        <w:ind w:left="180" w:right="0" w:firstLine="0"/>
        <w:jc w:val="left"/>
        <w:rPr>
          <w:sz w:val="12"/>
        </w:rPr>
      </w:pPr>
      <w:r>
        <w:rPr>
          <w:sz w:val="12"/>
        </w:rPr>
        <w:t>Source: BCC.</w:t>
      </w:r>
    </w:p>
    <w:p>
      <w:pPr>
        <w:pStyle w:val="ListParagraph"/>
        <w:numPr>
          <w:ilvl w:val="0"/>
          <w:numId w:val="17"/>
        </w:numPr>
        <w:tabs>
          <w:tab w:pos="421" w:val="left" w:leader="none"/>
        </w:tabs>
        <w:spacing w:line="129" w:lineRule="exact" w:before="102" w:after="0"/>
        <w:ind w:left="420" w:right="0" w:hanging="241"/>
        <w:jc w:val="left"/>
        <w:rPr>
          <w:sz w:val="12"/>
        </w:rPr>
      </w:pPr>
      <w:r>
        <w:rPr>
          <w:sz w:val="12"/>
        </w:rPr>
        <w:t>Percentage of companies operating at full</w:t>
      </w:r>
      <w:r>
        <w:rPr>
          <w:spacing w:val="-13"/>
          <w:sz w:val="12"/>
        </w:rPr>
        <w:t> </w:t>
      </w:r>
      <w:r>
        <w:rPr>
          <w:sz w:val="12"/>
        </w:rPr>
        <w:t>capacity.</w:t>
      </w:r>
    </w:p>
    <w:p>
      <w:pPr>
        <w:pStyle w:val="ListParagraph"/>
        <w:numPr>
          <w:ilvl w:val="0"/>
          <w:numId w:val="17"/>
        </w:numPr>
        <w:tabs>
          <w:tab w:pos="421" w:val="left" w:leader="none"/>
        </w:tabs>
        <w:spacing w:line="208" w:lineRule="auto" w:before="6" w:after="0"/>
        <w:ind w:left="420" w:right="112" w:hanging="240"/>
        <w:jc w:val="left"/>
        <w:rPr>
          <w:sz w:val="12"/>
        </w:rPr>
      </w:pPr>
      <w:r>
        <w:rPr>
          <w:sz w:val="12"/>
        </w:rPr>
        <w:t>Balance of responses to the question: ‘Do you believe that over the next twelve months profitability will improve/remain the same/worsen?’</w:t>
      </w:r>
    </w:p>
    <w:p>
      <w:pPr>
        <w:pStyle w:val="ListParagraph"/>
        <w:numPr>
          <w:ilvl w:val="0"/>
          <w:numId w:val="17"/>
        </w:numPr>
        <w:tabs>
          <w:tab w:pos="421" w:val="left" w:leader="none"/>
        </w:tabs>
        <w:spacing w:line="208" w:lineRule="auto" w:before="0" w:after="0"/>
        <w:ind w:left="420" w:right="38" w:hanging="240"/>
        <w:jc w:val="left"/>
        <w:rPr>
          <w:sz w:val="12"/>
        </w:rPr>
      </w:pPr>
      <w:r>
        <w:rPr>
          <w:sz w:val="12"/>
        </w:rPr>
        <w:t>Balance of responses to the question: ‘Over the past three months, which</w:t>
      </w:r>
      <w:r>
        <w:rPr>
          <w:spacing w:val="-6"/>
          <w:sz w:val="12"/>
        </w:rPr>
        <w:t> </w:t>
      </w:r>
      <w:r>
        <w:rPr>
          <w:sz w:val="12"/>
        </w:rPr>
        <w:t>changes</w:t>
      </w:r>
      <w:r>
        <w:rPr>
          <w:spacing w:val="-5"/>
          <w:sz w:val="12"/>
        </w:rPr>
        <w:t> </w:t>
      </w:r>
      <w:r>
        <w:rPr>
          <w:sz w:val="12"/>
        </w:rPr>
        <w:t>have</w:t>
      </w:r>
      <w:r>
        <w:rPr>
          <w:spacing w:val="-5"/>
          <w:sz w:val="12"/>
        </w:rPr>
        <w:t> </w:t>
      </w:r>
      <w:r>
        <w:rPr>
          <w:sz w:val="12"/>
        </w:rPr>
        <w:t>you</w:t>
      </w:r>
      <w:r>
        <w:rPr>
          <w:spacing w:val="-5"/>
          <w:sz w:val="12"/>
        </w:rPr>
        <w:t> </w:t>
      </w:r>
      <w:r>
        <w:rPr>
          <w:sz w:val="12"/>
        </w:rPr>
        <w:t>made</w:t>
      </w:r>
      <w:r>
        <w:rPr>
          <w:spacing w:val="-5"/>
          <w:sz w:val="12"/>
        </w:rPr>
        <w:t> </w:t>
      </w:r>
      <w:r>
        <w:rPr>
          <w:sz w:val="12"/>
        </w:rPr>
        <w:t>in</w:t>
      </w:r>
      <w:r>
        <w:rPr>
          <w:spacing w:val="-5"/>
          <w:sz w:val="12"/>
        </w:rPr>
        <w:t> </w:t>
      </w:r>
      <w:r>
        <w:rPr>
          <w:sz w:val="12"/>
        </w:rPr>
        <w:t>your</w:t>
      </w:r>
      <w:r>
        <w:rPr>
          <w:spacing w:val="-5"/>
          <w:sz w:val="12"/>
        </w:rPr>
        <w:t> </w:t>
      </w:r>
      <w:r>
        <w:rPr>
          <w:sz w:val="12"/>
        </w:rPr>
        <w:t>investment</w:t>
      </w:r>
      <w:r>
        <w:rPr>
          <w:spacing w:val="-5"/>
          <w:sz w:val="12"/>
        </w:rPr>
        <w:t> </w:t>
      </w:r>
      <w:r>
        <w:rPr>
          <w:sz w:val="12"/>
        </w:rPr>
        <w:t>plans</w:t>
      </w:r>
      <w:r>
        <w:rPr>
          <w:spacing w:val="-5"/>
          <w:sz w:val="12"/>
        </w:rPr>
        <w:t> </w:t>
      </w:r>
      <w:r>
        <w:rPr>
          <w:sz w:val="12"/>
        </w:rPr>
        <w:t>for</w:t>
      </w:r>
      <w:r>
        <w:rPr>
          <w:spacing w:val="-5"/>
          <w:sz w:val="12"/>
        </w:rPr>
        <w:t> </w:t>
      </w:r>
      <w:r>
        <w:rPr>
          <w:sz w:val="12"/>
        </w:rPr>
        <w:t>plant</w:t>
      </w:r>
      <w:r>
        <w:rPr>
          <w:spacing w:val="-5"/>
          <w:sz w:val="12"/>
        </w:rPr>
        <w:t> </w:t>
      </w:r>
      <w:r>
        <w:rPr>
          <w:sz w:val="12"/>
        </w:rPr>
        <w:t>and machinery: revise upwards/no change/revise</w:t>
      </w:r>
      <w:r>
        <w:rPr>
          <w:spacing w:val="-15"/>
          <w:sz w:val="12"/>
        </w:rPr>
        <w:t> </w:t>
      </w:r>
      <w:r>
        <w:rPr>
          <w:sz w:val="12"/>
        </w:rPr>
        <w:t>downwards?’</w:t>
      </w:r>
    </w:p>
    <w:p>
      <w:pPr>
        <w:pStyle w:val="BodyText"/>
        <w:rPr>
          <w:sz w:val="12"/>
        </w:rPr>
      </w:pPr>
    </w:p>
    <w:p>
      <w:pPr>
        <w:pStyle w:val="BodyText"/>
        <w:rPr>
          <w:sz w:val="12"/>
        </w:rPr>
      </w:pPr>
    </w:p>
    <w:p>
      <w:pPr>
        <w:pStyle w:val="BodyText"/>
        <w:rPr>
          <w:sz w:val="12"/>
        </w:rPr>
      </w:pPr>
    </w:p>
    <w:p>
      <w:pPr>
        <w:pStyle w:val="Heading6"/>
        <w:spacing w:before="100"/>
        <w:ind w:left="200"/>
      </w:pPr>
      <w:r>
        <w:rPr>
          <w:color w:val="0092C7"/>
        </w:rPr>
        <w:t>Chart 2.12</w:t>
      </w:r>
    </w:p>
    <w:p>
      <w:pPr>
        <w:pStyle w:val="Heading6"/>
        <w:ind w:left="200"/>
      </w:pPr>
      <w:r>
        <w:rPr>
          <w:color w:val="0092C7"/>
        </w:rPr>
        <w:t>Public sector net investment</w:t>
      </w:r>
    </w:p>
    <w:p>
      <w:pPr>
        <w:spacing w:before="127"/>
        <w:ind w:left="2114" w:right="0" w:firstLine="0"/>
        <w:jc w:val="left"/>
        <w:rPr>
          <w:sz w:val="12"/>
        </w:rPr>
      </w:pPr>
      <w:r>
        <w:rPr/>
        <w:pict>
          <v:group style="position:absolute;margin-left:51.563pt;margin-top:15.084561pt;width:159.9pt;height:146pt;mso-position-horizontal-relative:page;mso-position-vertical-relative:paragraph;z-index:-23256576" coordorigin="1031,302" coordsize="3198,2920">
            <v:rect style="position:absolute;left:1048;top:427;width:75;height:2748" filled="true" fillcolor="#de0035" stroked="false">
              <v:fill type="solid"/>
            </v:rect>
            <v:rect style="position:absolute;left:1048;top:427;width:75;height:2748" filled="false" stroked="true" strokeweight=".5pt" strokecolor="#000000">
              <v:stroke dashstyle="solid"/>
            </v:rect>
            <v:rect style="position:absolute;left:1153;top:974;width:65;height:2200" filled="true" fillcolor="#de0035" stroked="false">
              <v:fill type="solid"/>
            </v:rect>
            <v:rect style="position:absolute;left:1153;top:974;width:65;height:2200" filled="false" stroked="true" strokeweight=".5pt" strokecolor="#000000">
              <v:stroke dashstyle="solid"/>
            </v:rect>
            <v:rect style="position:absolute;left:1248;top:1669;width:75;height:1505" filled="true" fillcolor="#de0035" stroked="false">
              <v:fill type="solid"/>
            </v:rect>
            <v:rect style="position:absolute;left:1248;top:1669;width:75;height:1505" filled="false" stroked="true" strokeweight=".5pt" strokecolor="#000000">
              <v:stroke dashstyle="solid"/>
            </v:rect>
            <v:rect style="position:absolute;left:1353;top:1894;width:65;height:1280" filled="true" fillcolor="#de0035" stroked="false">
              <v:fill type="solid"/>
            </v:rect>
            <v:rect style="position:absolute;left:1353;top:1894;width:65;height:1280" filled="false" stroked="true" strokeweight=".5pt" strokecolor="#000000">
              <v:stroke dashstyle="solid"/>
            </v:rect>
            <v:rect style="position:absolute;left:1447;top:1992;width:78;height:1183" filled="true" fillcolor="#de0035" stroked="false">
              <v:fill type="solid"/>
            </v:rect>
            <v:rect style="position:absolute;left:1447;top:1992;width:78;height:1183" filled="false" stroked="true" strokeweight=".5pt" strokecolor="#000000">
              <v:stroke dashstyle="solid"/>
            </v:rect>
            <v:rect style="position:absolute;left:1552;top:2219;width:68;height:955" filled="true" fillcolor="#de0035" stroked="false">
              <v:fill type="solid"/>
            </v:rect>
            <v:rect style="position:absolute;left:1552;top:2219;width:68;height:955" filled="false" stroked="true" strokeweight=".5pt" strokecolor="#000000">
              <v:stroke dashstyle="solid"/>
            </v:rect>
            <v:rect style="position:absolute;left:1647;top:2637;width:78;height:538" filled="true" fillcolor="#de0035" stroked="false">
              <v:fill type="solid"/>
            </v:rect>
            <v:rect style="position:absolute;left:1647;top:2637;width:78;height:538" filled="false" stroked="true" strokeweight=".5pt" strokecolor="#000000">
              <v:stroke dashstyle="solid"/>
            </v:rect>
            <v:rect style="position:absolute;left:1752;top:2364;width:68;height:810" filled="true" fillcolor="#de0035" stroked="false">
              <v:fill type="solid"/>
            </v:rect>
            <v:rect style="position:absolute;left:1752;top:2364;width:68;height:810" filled="false" stroked="true" strokeweight=".5pt" strokecolor="#000000">
              <v:stroke dashstyle="solid"/>
            </v:rect>
            <v:rect style="position:absolute;left:1847;top:2249;width:78;height:925" filled="true" fillcolor="#de0035" stroked="false">
              <v:fill type="solid"/>
            </v:rect>
            <v:rect style="position:absolute;left:1847;top:2249;width:78;height:925" filled="false" stroked="true" strokeweight=".5pt" strokecolor="#000000">
              <v:stroke dashstyle="solid"/>
            </v:rect>
            <v:rect style="position:absolute;left:1952;top:2379;width:68;height:795" filled="true" fillcolor="#de0035" stroked="false">
              <v:fill type="solid"/>
            </v:rect>
            <v:rect style="position:absolute;left:1952;top:2379;width:68;height:795" filled="false" stroked="true" strokeweight=".5pt" strokecolor="#000000">
              <v:stroke dashstyle="solid"/>
            </v:rect>
            <v:rect style="position:absolute;left:2047;top:2542;width:78;height:633" filled="true" fillcolor="#de0035" stroked="false">
              <v:fill type="solid"/>
            </v:rect>
            <v:rect style="position:absolute;left:2047;top:2542;width:78;height:633" filled="false" stroked="true" strokeweight=".5pt" strokecolor="#000000">
              <v:stroke dashstyle="solid"/>
            </v:rect>
            <v:rect style="position:absolute;left:2153;top:2784;width:65;height:390" filled="true" fillcolor="#de0035" stroked="false">
              <v:fill type="solid"/>
            </v:rect>
            <v:rect style="position:absolute;left:2153;top:2784;width:65;height:390" filled="false" stroked="true" strokeweight=".5pt" strokecolor="#000000">
              <v:stroke dashstyle="solid"/>
            </v:rect>
            <v:rect style="position:absolute;left:2248;top:2814;width:75;height:360" filled="true" fillcolor="#de0035" stroked="false">
              <v:fill type="solid"/>
            </v:rect>
            <v:rect style="position:absolute;left:2248;top:2814;width:75;height:360" filled="false" stroked="true" strokeweight=".5pt" strokecolor="#000000">
              <v:stroke dashstyle="solid"/>
            </v:rect>
            <v:rect style="position:absolute;left:2353;top:2962;width:65;height:213" filled="true" fillcolor="#de0035" stroked="false">
              <v:fill type="solid"/>
            </v:rect>
            <v:rect style="position:absolute;left:2353;top:2962;width:65;height:213" filled="false" stroked="true" strokeweight=".5pt" strokecolor="#000000">
              <v:stroke dashstyle="solid"/>
            </v:rect>
            <v:rect style="position:absolute;left:2448;top:2542;width:75;height:633" filled="true" fillcolor="#de0035" stroked="false">
              <v:fill type="solid"/>
            </v:rect>
            <v:rect style="position:absolute;left:2448;top:2542;width:75;height:633" filled="false" stroked="true" strokeweight=".5pt" strokecolor="#000000">
              <v:stroke dashstyle="solid"/>
            </v:rect>
            <v:rect style="position:absolute;left:2553;top:2459;width:65;height:715" filled="true" fillcolor="#de0035" stroked="false">
              <v:fill type="solid"/>
            </v:rect>
            <v:rect style="position:absolute;left:2553;top:2459;width:65;height:715" filled="false" stroked="true" strokeweight=".5pt" strokecolor="#000000">
              <v:stroke dashstyle="solid"/>
            </v:rect>
            <v:rect style="position:absolute;left:2648;top:2249;width:75;height:925" filled="true" fillcolor="#de0035" stroked="false">
              <v:fill type="solid"/>
            </v:rect>
            <v:rect style="position:absolute;left:2648;top:2249;width:75;height:925" filled="false" stroked="true" strokeweight=".5pt" strokecolor="#000000">
              <v:stroke dashstyle="solid"/>
            </v:rect>
            <v:rect style="position:absolute;left:2753;top:2169;width:65;height:1005" filled="true" fillcolor="#de0035" stroked="false">
              <v:fill type="solid"/>
            </v:rect>
            <v:rect style="position:absolute;left:2753;top:2169;width:65;height:1005" filled="false" stroked="true" strokeweight=".5pt" strokecolor="#000000">
              <v:stroke dashstyle="solid"/>
            </v:rect>
            <v:rect style="position:absolute;left:2848;top:2364;width:75;height:810" filled="true" fillcolor="#de0035" stroked="false">
              <v:fill type="solid"/>
            </v:rect>
            <v:rect style="position:absolute;left:2848;top:2364;width:75;height:810" filled="false" stroked="true" strokeweight=".5pt" strokecolor="#000000">
              <v:stroke dashstyle="solid"/>
            </v:rect>
            <v:rect style="position:absolute;left:2953;top:2444;width:65;height:730" filled="true" fillcolor="#de0035" stroked="false">
              <v:fill type="solid"/>
            </v:rect>
            <v:rect style="position:absolute;left:2953;top:2444;width:65;height:730" filled="false" stroked="true" strokeweight=".5pt" strokecolor="#000000">
              <v:stroke dashstyle="solid"/>
            </v:rect>
            <v:rect style="position:absolute;left:3047;top:2524;width:78;height:650" filled="true" fillcolor="#de0035" stroked="false">
              <v:fill type="solid"/>
            </v:rect>
            <v:rect style="position:absolute;left:3047;top:2524;width:78;height:650" filled="false" stroked="true" strokeweight=".5pt" strokecolor="#000000">
              <v:stroke dashstyle="solid"/>
            </v:rect>
            <v:rect style="position:absolute;left:3153;top:2847;width:65;height:328" filled="true" fillcolor="#de0035" stroked="false">
              <v:fill type="solid"/>
            </v:rect>
            <v:rect style="position:absolute;left:3153;top:2847;width:65;height:328" filled="false" stroked="true" strokeweight=".5pt" strokecolor="#000000">
              <v:stroke dashstyle="solid"/>
            </v:rect>
            <v:rect style="position:absolute;left:3247;top:2912;width:78;height:263" filled="true" fillcolor="#de0035" stroked="false">
              <v:fill type="solid"/>
            </v:rect>
            <v:rect style="position:absolute;left:3247;top:2912;width:78;height:263" filled="false" stroked="true" strokeweight=".5pt" strokecolor="#000000">
              <v:stroke dashstyle="solid"/>
            </v:rect>
            <v:rect style="position:absolute;left:3352;top:2944;width:68;height:230" filled="true" fillcolor="#de0035" stroked="false">
              <v:fill type="solid"/>
            </v:rect>
            <v:rect style="position:absolute;left:3352;top:2944;width:68;height:230" filled="false" stroked="true" strokeweight=".5pt" strokecolor="#000000">
              <v:stroke dashstyle="solid"/>
            </v:rect>
            <v:rect style="position:absolute;left:3447;top:3042;width:78;height:133" filled="true" fillcolor="#de0035" stroked="false">
              <v:fill type="solid"/>
            </v:rect>
            <v:rect style="position:absolute;left:3447;top:3042;width:78;height:133" filled="false" stroked="true" strokeweight=".5pt" strokecolor="#000000">
              <v:stroke dashstyle="solid"/>
            </v:rect>
            <v:rect style="position:absolute;left:3552;top:2784;width:68;height:390" filled="true" fillcolor="#f5b37a" stroked="false">
              <v:fill type="solid"/>
            </v:rect>
            <v:rect style="position:absolute;left:3552;top:2784;width:68;height:390" filled="false" stroked="true" strokeweight=".5pt" strokecolor="#000000">
              <v:stroke dashstyle="solid"/>
            </v:rect>
            <v:rect style="position:absolute;left:3647;top:2637;width:78;height:538" filled="true" fillcolor="#f5b37a" stroked="false">
              <v:fill type="solid"/>
            </v:rect>
            <v:rect style="position:absolute;left:3647;top:2637;width:78;height:538" filled="false" stroked="true" strokeweight=".5pt" strokecolor="#000000">
              <v:stroke dashstyle="solid"/>
            </v:rect>
            <v:rect style="position:absolute;left:3753;top:2459;width:65;height:715" filled="true" fillcolor="#f5b37a" stroked="false">
              <v:fill type="solid"/>
            </v:rect>
            <v:rect style="position:absolute;left:3753;top:2459;width:65;height:715" filled="false" stroked="true" strokeweight=".5pt" strokecolor="#000000">
              <v:stroke dashstyle="solid"/>
            </v:rect>
            <v:rect style="position:absolute;left:3847;top:2314;width:78;height:860" filled="true" fillcolor="#f5b37a" stroked="false">
              <v:fill type="solid"/>
            </v:rect>
            <v:rect style="position:absolute;left:3847;top:2314;width:78;height:860" filled="false" stroked="true" strokeweight=".5pt" strokecolor="#000000">
              <v:stroke dashstyle="solid"/>
            </v:rect>
            <v:shape style="position:absolute;left:1036;top:3108;width:2904;height:68" coordorigin="1036,3109" coordsize="2904,68" path="m1039,3176l3940,3176m1036,3109l1036,3176m1336,3109l1336,3176m1636,3109l1636,3176m1936,3109l1936,3176m2235,3109l2235,3176m2535,3109l2535,3176m3135,3109l3135,3176m3734,3109l3734,3176m2835,3109l2835,3176m3435,3109l3435,3176m1136,3109l1136,3176m1436,3109l1436,3176m1736,3109l1736,3176m2036,3109l2036,3176m2335,3109l2335,3176m2635,3109l2635,3176m3235,3109l3235,3176m3834,3109l3834,3176m2935,3109l2935,3176m3534,3109l3534,3176m1236,3109l1236,3176m1536,3109l1536,3176m1836,3109l1836,3176m2135,3109l2135,3176m2435,3109l2435,3176m2735,3109l2735,3176m3335,3109l3335,3176m3934,3109l3934,3176m3035,3109l3035,3176m3634,3109l3634,3176e" filled="false" stroked="true" strokeweight=".5pt" strokecolor="#000000">
              <v:path arrowok="t"/>
              <v:stroke dashstyle="solid"/>
            </v:shape>
            <v:shape style="position:absolute;left:3534;top:301;width:2;height:2873" coordorigin="3535,302" coordsize="0,2873" path="m3535,302l3535,3174e" filled="true" fillcolor="#ffffff" stroked="false">
              <v:path arrowok="t"/>
              <v:fill type="solid"/>
            </v:shape>
            <v:line style="position:absolute" from="3535,302" to="3535,3174" stroked="true" strokeweight=".5pt" strokecolor="#000000">
              <v:stroke dashstyle="solid"/>
            </v:line>
            <v:shape style="position:absolute;left:4148;top:700;width:80;height:601" type="#_x0000_t202" filled="false" stroked="false">
              <v:textbox inset="0,0,0,0">
                <w:txbxContent>
                  <w:p>
                    <w:pPr>
                      <w:spacing w:line="133" w:lineRule="exact" w:before="0"/>
                      <w:ind w:left="0" w:right="0" w:firstLine="0"/>
                      <w:jc w:val="left"/>
                      <w:rPr>
                        <w:sz w:val="12"/>
                      </w:rPr>
                    </w:pPr>
                    <w:r>
                      <w:rPr>
                        <w:sz w:val="12"/>
                      </w:rPr>
                      <w:t>5</w:t>
                    </w:r>
                  </w:p>
                  <w:p>
                    <w:pPr>
                      <w:spacing w:line="240" w:lineRule="auto" w:before="0"/>
                      <w:rPr>
                        <w:sz w:val="12"/>
                      </w:rPr>
                    </w:pPr>
                  </w:p>
                  <w:p>
                    <w:pPr>
                      <w:spacing w:line="240" w:lineRule="auto" w:before="7"/>
                      <w:rPr>
                        <w:sz w:val="16"/>
                      </w:rPr>
                    </w:pPr>
                  </w:p>
                  <w:p>
                    <w:pPr>
                      <w:spacing w:before="0"/>
                      <w:ind w:left="0" w:right="0" w:firstLine="0"/>
                      <w:jc w:val="left"/>
                      <w:rPr>
                        <w:sz w:val="12"/>
                      </w:rPr>
                    </w:pPr>
                    <w:r>
                      <w:rPr>
                        <w:sz w:val="12"/>
                      </w:rPr>
                      <w:t>4</w:t>
                    </w:r>
                  </w:p>
                </w:txbxContent>
              </v:textbox>
              <w10:wrap type="none"/>
            </v:shape>
            <v:shape style="position:absolute;left:1252;top:1338;width:1377;height:134" type="#_x0000_t202" filled="false" stroked="false">
              <v:textbox inset="0,0,0,0">
                <w:txbxContent>
                  <w:p>
                    <w:pPr>
                      <w:spacing w:line="133" w:lineRule="exact" w:before="0"/>
                      <w:ind w:left="0" w:right="0" w:firstLine="0"/>
                      <w:jc w:val="left"/>
                      <w:rPr>
                        <w:sz w:val="12"/>
                      </w:rPr>
                    </w:pPr>
                    <w:r>
                      <w:rPr>
                        <w:sz w:val="12"/>
                      </w:rPr>
                      <w:t>Public sector net investment</w:t>
                    </w:r>
                  </w:p>
                </w:txbxContent>
              </v:textbox>
              <w10:wrap type="none"/>
            </v:shape>
            <v:shape style="position:absolute;left:3545;top:1653;width:683;height:1568" type="#_x0000_t202" filled="false" stroked="false">
              <v:textbox inset="0,0,0,0">
                <w:txbxContent>
                  <w:p>
                    <w:pPr>
                      <w:spacing w:line="133" w:lineRule="exact" w:before="0"/>
                      <w:ind w:left="0" w:right="18" w:firstLine="0"/>
                      <w:jc w:val="right"/>
                      <w:rPr>
                        <w:sz w:val="12"/>
                      </w:rPr>
                    </w:pPr>
                    <w:r>
                      <w:rPr>
                        <w:sz w:val="12"/>
                      </w:rPr>
                      <w:t>3</w:t>
                    </w:r>
                  </w:p>
                  <w:p>
                    <w:pPr>
                      <w:spacing w:line="240" w:lineRule="auto" w:before="0"/>
                      <w:rPr>
                        <w:sz w:val="12"/>
                      </w:rPr>
                    </w:pPr>
                  </w:p>
                  <w:p>
                    <w:pPr>
                      <w:spacing w:line="124" w:lineRule="exact" w:before="91"/>
                      <w:ind w:left="0" w:right="0" w:firstLine="0"/>
                      <w:jc w:val="left"/>
                      <w:rPr>
                        <w:sz w:val="12"/>
                      </w:rPr>
                    </w:pPr>
                    <w:r>
                      <w:rPr>
                        <w:sz w:val="12"/>
                      </w:rPr>
                      <w:t>HMT</w:t>
                    </w:r>
                  </w:p>
                  <w:p>
                    <w:pPr>
                      <w:spacing w:line="134" w:lineRule="exact" w:before="0"/>
                      <w:ind w:left="0" w:right="18" w:firstLine="0"/>
                      <w:jc w:val="right"/>
                      <w:rPr>
                        <w:sz w:val="12"/>
                      </w:rPr>
                    </w:pPr>
                    <w:r>
                      <w:rPr>
                        <w:sz w:val="12"/>
                      </w:rPr>
                      <w:t>forecasts </w:t>
                    </w:r>
                    <w:r>
                      <w:rPr>
                        <w:position w:val="1"/>
                        <w:sz w:val="12"/>
                      </w:rPr>
                      <w:t>2</w:t>
                    </w:r>
                  </w:p>
                  <w:p>
                    <w:pPr>
                      <w:spacing w:line="240" w:lineRule="auto" w:before="0"/>
                      <w:rPr>
                        <w:sz w:val="14"/>
                      </w:rPr>
                    </w:pPr>
                  </w:p>
                  <w:p>
                    <w:pPr>
                      <w:spacing w:line="240" w:lineRule="auto" w:before="5"/>
                      <w:rPr>
                        <w:sz w:val="14"/>
                      </w:rPr>
                    </w:pPr>
                  </w:p>
                  <w:p>
                    <w:pPr>
                      <w:spacing w:before="0"/>
                      <w:ind w:left="602" w:right="0" w:firstLine="0"/>
                      <w:jc w:val="left"/>
                      <w:rPr>
                        <w:sz w:val="12"/>
                      </w:rPr>
                    </w:pPr>
                    <w:r>
                      <w:rPr>
                        <w:sz w:val="12"/>
                      </w:rPr>
                      <w:t>1</w:t>
                    </w:r>
                  </w:p>
                  <w:p>
                    <w:pPr>
                      <w:spacing w:line="240" w:lineRule="auto" w:before="0"/>
                      <w:rPr>
                        <w:sz w:val="12"/>
                      </w:rPr>
                    </w:pPr>
                  </w:p>
                  <w:p>
                    <w:pPr>
                      <w:spacing w:line="240" w:lineRule="auto" w:before="0"/>
                      <w:rPr>
                        <w:sz w:val="12"/>
                      </w:rPr>
                    </w:pPr>
                  </w:p>
                  <w:p>
                    <w:pPr>
                      <w:spacing w:before="69"/>
                      <w:ind w:left="602" w:right="0" w:firstLine="0"/>
                      <w:jc w:val="left"/>
                      <w:rPr>
                        <w:sz w:val="12"/>
                      </w:rPr>
                    </w:pPr>
                    <w:r>
                      <w:rPr>
                        <w:sz w:val="12"/>
                      </w:rPr>
                      <w:t>0</w:t>
                    </w:r>
                  </w:p>
                </w:txbxContent>
              </v:textbox>
              <w10:wrap type="none"/>
            </v:shape>
            <w10:wrap type="none"/>
          </v:group>
        </w:pict>
      </w:r>
      <w:r>
        <w:rPr/>
        <w:pict>
          <v:line style="position:absolute;mso-position-horizontal-relative:page;mso-position-vertical-relative:paragraph;z-index:16041984" from="41.644001pt,14.869562pt" to="45.977001pt,14.869562pt" stroked="true" strokeweight=".5pt" strokecolor="#000000">
            <v:stroke dashstyle="solid"/>
            <w10:wrap type="none"/>
          </v:line>
        </w:pict>
      </w:r>
      <w:r>
        <w:rPr>
          <w:sz w:val="12"/>
        </w:rPr>
        <w:t>Percentage of nominal GD</w:t>
      </w:r>
      <w:r>
        <w:rPr>
          <w:sz w:val="12"/>
          <w:u w:val="single"/>
        </w:rPr>
        <w:t>P</w:t>
      </w:r>
      <w:r>
        <w:rPr>
          <w:sz w:val="12"/>
        </w:rPr>
        <w:t> </w:t>
      </w:r>
      <w:r>
        <w:rPr>
          <w:position w:val="-7"/>
          <w:sz w:val="12"/>
        </w:rPr>
        <w:t>6</w:t>
      </w:r>
    </w:p>
    <w:p>
      <w:pPr>
        <w:pStyle w:val="BodyText"/>
        <w:rPr>
          <w:sz w:val="20"/>
        </w:rPr>
      </w:pPr>
    </w:p>
    <w:p>
      <w:pPr>
        <w:pStyle w:val="BodyText"/>
        <w:spacing w:before="10"/>
        <w:rPr>
          <w:sz w:val="12"/>
        </w:rPr>
      </w:pPr>
      <w:r>
        <w:rPr/>
        <w:pict>
          <v:shape style="position:absolute;margin-left:201.093994pt;margin-top:9.599253pt;width:4.350pt;height:.1pt;mso-position-horizontal-relative:page;mso-position-vertical-relative:paragraph;z-index:-15431680;mso-wrap-distance-left:0;mso-wrap-distance-right:0" coordorigin="4022,192" coordsize="87,0" path="m4022,192l4109,192e" filled="false" stroked="true" strokeweight=".5pt" strokecolor="#000000">
            <v:path arrowok="t"/>
            <v:stroke dashstyle="solid"/>
            <w10:wrap type="topAndBottom"/>
          </v:shape>
        </w:pict>
      </w:r>
      <w:r>
        <w:rPr/>
        <w:pict>
          <v:shape style="position:absolute;margin-left:41.644001pt;margin-top:10.123253pt;width:4.350pt;height:.1pt;mso-position-horizontal-relative:page;mso-position-vertical-relative:paragraph;z-index:-15431168;mso-wrap-distance-left:0;mso-wrap-distance-right:0" coordorigin="833,202" coordsize="87,0" path="m833,202l920,202e" filled="false" stroked="true" strokeweight=".5pt" strokecolor="#000000">
            <v:path arrowok="t"/>
            <v:stroke dashstyle="solid"/>
            <w10:wrap type="topAndBottom"/>
          </v:shape>
        </w:pict>
      </w:r>
    </w:p>
    <w:p>
      <w:pPr>
        <w:pStyle w:val="BodyText"/>
        <w:rPr>
          <w:sz w:val="20"/>
        </w:rPr>
      </w:pPr>
    </w:p>
    <w:p>
      <w:pPr>
        <w:pStyle w:val="BodyText"/>
        <w:rPr>
          <w:sz w:val="14"/>
        </w:rPr>
      </w:pPr>
      <w:r>
        <w:rPr/>
        <w:pict>
          <v:shape style="position:absolute;margin-left:201.093994pt;margin-top:10.265977pt;width:4.350pt;height:.1pt;mso-position-horizontal-relative:page;mso-position-vertical-relative:paragraph;z-index:-15430656;mso-wrap-distance-left:0;mso-wrap-distance-right:0" coordorigin="4022,205" coordsize="87,0" path="m4022,205l4109,205e" filled="false" stroked="true" strokeweight=".5pt" strokecolor="#000000">
            <v:path arrowok="t"/>
            <v:stroke dashstyle="solid"/>
            <w10:wrap type="topAndBottom"/>
          </v:shape>
        </w:pict>
      </w:r>
      <w:r>
        <w:rPr/>
        <w:pict>
          <v:shape style="position:absolute;margin-left:41.644001pt;margin-top:10.789976pt;width:4.350pt;height:.1pt;mso-position-horizontal-relative:page;mso-position-vertical-relative:paragraph;z-index:-15430144;mso-wrap-distance-left:0;mso-wrap-distance-right:0" coordorigin="833,216" coordsize="87,0" path="m833,216l920,216e" filled="false" stroked="true" strokeweight=".5pt" strokecolor="#000000">
            <v:path arrowok="t"/>
            <v:stroke dashstyle="solid"/>
            <w10:wrap type="topAndBottom"/>
          </v:shape>
        </w:pict>
      </w:r>
    </w:p>
    <w:p>
      <w:pPr>
        <w:pStyle w:val="BodyText"/>
        <w:rPr>
          <w:sz w:val="20"/>
        </w:rPr>
      </w:pPr>
    </w:p>
    <w:p>
      <w:pPr>
        <w:pStyle w:val="BodyText"/>
        <w:rPr>
          <w:sz w:val="14"/>
        </w:rPr>
      </w:pPr>
      <w:r>
        <w:rPr/>
        <w:pict>
          <v:shape style="position:absolute;margin-left:201.093994pt;margin-top:10.264977pt;width:4.350pt;height:.1pt;mso-position-horizontal-relative:page;mso-position-vertical-relative:paragraph;z-index:-15429632;mso-wrap-distance-left:0;mso-wrap-distance-right:0" coordorigin="4022,205" coordsize="87,0" path="m4022,205l4109,205e" filled="false" stroked="true" strokeweight=".5pt" strokecolor="#000000">
            <v:path arrowok="t"/>
            <v:stroke dashstyle="solid"/>
            <w10:wrap type="topAndBottom"/>
          </v:shape>
        </w:pict>
      </w:r>
      <w:r>
        <w:rPr/>
        <w:pict>
          <v:shape style="position:absolute;margin-left:41.644001pt;margin-top:10.788977pt;width:4.350pt;height:.1pt;mso-position-horizontal-relative:page;mso-position-vertical-relative:paragraph;z-index:-15429120;mso-wrap-distance-left:0;mso-wrap-distance-right:0" coordorigin="833,216" coordsize="87,0" path="m833,216l920,216e" filled="false" stroked="true" strokeweight=".5pt" strokecolor="#000000">
            <v:path arrowok="t"/>
            <v:stroke dashstyle="solid"/>
            <w10:wrap type="topAndBottom"/>
          </v:shape>
        </w:pict>
      </w:r>
    </w:p>
    <w:p>
      <w:pPr>
        <w:pStyle w:val="BodyText"/>
        <w:rPr>
          <w:sz w:val="20"/>
        </w:rPr>
      </w:pPr>
    </w:p>
    <w:p>
      <w:pPr>
        <w:pStyle w:val="BodyText"/>
        <w:rPr>
          <w:sz w:val="14"/>
        </w:rPr>
      </w:pPr>
      <w:r>
        <w:rPr/>
        <w:pict>
          <v:shape style="position:absolute;margin-left:201.093994pt;margin-top:10.265977pt;width:4.350pt;height:.1pt;mso-position-horizontal-relative:page;mso-position-vertical-relative:paragraph;z-index:-15428608;mso-wrap-distance-left:0;mso-wrap-distance-right:0" coordorigin="4022,205" coordsize="87,0" path="m4022,205l4109,205e" filled="false" stroked="true" strokeweight=".5pt" strokecolor="#000000">
            <v:path arrowok="t"/>
            <v:stroke dashstyle="solid"/>
            <w10:wrap type="topAndBottom"/>
          </v:shape>
        </w:pict>
      </w:r>
      <w:r>
        <w:rPr/>
        <w:pict>
          <v:shape style="position:absolute;margin-left:41.644001pt;margin-top:10.789976pt;width:4.350pt;height:.1pt;mso-position-horizontal-relative:page;mso-position-vertical-relative:paragraph;z-index:-15428096;mso-wrap-distance-left:0;mso-wrap-distance-right:0" coordorigin="833,216" coordsize="87,0" path="m833,216l920,216e" filled="false" stroked="true" strokeweight=".5pt" strokecolor="#000000">
            <v:path arrowok="t"/>
            <v:stroke dashstyle="solid"/>
            <w10:wrap type="topAndBottom"/>
          </v:shape>
        </w:pict>
      </w:r>
    </w:p>
    <w:p>
      <w:pPr>
        <w:pStyle w:val="BodyText"/>
        <w:rPr>
          <w:sz w:val="20"/>
        </w:rPr>
      </w:pPr>
    </w:p>
    <w:p>
      <w:pPr>
        <w:pStyle w:val="BodyText"/>
        <w:rPr>
          <w:sz w:val="14"/>
        </w:rPr>
      </w:pPr>
      <w:r>
        <w:rPr/>
        <w:pict>
          <v:shape style="position:absolute;margin-left:201.093994pt;margin-top:10.264977pt;width:4.350pt;height:.1pt;mso-position-horizontal-relative:page;mso-position-vertical-relative:paragraph;z-index:-15427584;mso-wrap-distance-left:0;mso-wrap-distance-right:0" coordorigin="4022,205" coordsize="87,0" path="m4022,205l4109,205e" filled="false" stroked="true" strokeweight=".5pt" strokecolor="#000000">
            <v:path arrowok="t"/>
            <v:stroke dashstyle="solid"/>
            <w10:wrap type="topAndBottom"/>
          </v:shape>
        </w:pict>
      </w:r>
      <w:r>
        <w:rPr/>
        <w:pict>
          <v:shape style="position:absolute;margin-left:41.644001pt;margin-top:10.788977pt;width:4.350pt;height:.1pt;mso-position-horizontal-relative:page;mso-position-vertical-relative:paragraph;z-index:-15427072;mso-wrap-distance-left:0;mso-wrap-distance-right:0" coordorigin="833,216" coordsize="87,0" path="m833,216l920,216e" filled="false" stroked="true" strokeweight=".5pt" strokecolor="#000000">
            <v:path arrowok="t"/>
            <v:stroke dashstyle="solid"/>
            <w10:wrap type="topAndBottom"/>
          </v:shape>
        </w:pict>
      </w:r>
    </w:p>
    <w:p>
      <w:pPr>
        <w:pStyle w:val="BodyText"/>
        <w:rPr>
          <w:sz w:val="20"/>
        </w:rPr>
      </w:pPr>
    </w:p>
    <w:p>
      <w:pPr>
        <w:pStyle w:val="BodyText"/>
        <w:rPr>
          <w:sz w:val="14"/>
        </w:rPr>
      </w:pPr>
      <w:r>
        <w:rPr/>
        <w:pict>
          <v:shape style="position:absolute;margin-left:201.093994pt;margin-top:10.266976pt;width:4.350pt;height:.1pt;mso-position-horizontal-relative:page;mso-position-vertical-relative:paragraph;z-index:-15426560;mso-wrap-distance-left:0;mso-wrap-distance-right:0" coordorigin="4022,205" coordsize="87,0" path="m4022,205l4109,205e" filled="false" stroked="true" strokeweight=".5pt" strokecolor="#000000">
            <v:path arrowok="t"/>
            <v:stroke dashstyle="solid"/>
            <w10:wrap type="topAndBottom"/>
          </v:shape>
        </w:pict>
      </w:r>
      <w:r>
        <w:rPr/>
        <w:pict>
          <v:shape style="position:absolute;margin-left:41.644001pt;margin-top:10.790977pt;width:4.350pt;height:.1pt;mso-position-horizontal-relative:page;mso-position-vertical-relative:paragraph;z-index:-15426048;mso-wrap-distance-left:0;mso-wrap-distance-right:0" coordorigin="833,216" coordsize="87,0" path="m833,216l920,216e" filled="false" stroked="true" strokeweight=".5pt" strokecolor="#000000">
            <v:path arrowok="t"/>
            <v:stroke dashstyle="solid"/>
            <w10:wrap type="topAndBottom"/>
          </v:shape>
        </w:pict>
      </w:r>
    </w:p>
    <w:p>
      <w:pPr>
        <w:spacing w:before="0"/>
        <w:ind w:left="197" w:right="0" w:firstLine="0"/>
        <w:jc w:val="left"/>
        <w:rPr>
          <w:sz w:val="11"/>
        </w:rPr>
      </w:pPr>
      <w:r>
        <w:rPr>
          <w:w w:val="105"/>
          <w:sz w:val="11"/>
        </w:rPr>
        <w:t>1975/76 79/80 83/84 87/88 91/92 95/96 99/2000 03/04</w:t>
      </w:r>
    </w:p>
    <w:p>
      <w:pPr>
        <w:pStyle w:val="BodyText"/>
        <w:spacing w:before="10"/>
        <w:rPr>
          <w:sz w:val="10"/>
        </w:rPr>
      </w:pPr>
    </w:p>
    <w:p>
      <w:pPr>
        <w:spacing w:before="0"/>
        <w:ind w:left="180" w:right="0" w:firstLine="0"/>
        <w:jc w:val="left"/>
        <w:rPr>
          <w:sz w:val="12"/>
        </w:rPr>
      </w:pPr>
      <w:r>
        <w:rPr>
          <w:sz w:val="12"/>
        </w:rPr>
        <w:t>Sources: ONS and HM Treasury Spending Review 2000.</w:t>
      </w:r>
    </w:p>
    <w:p>
      <w:pPr>
        <w:spacing w:line="242" w:lineRule="auto" w:before="10"/>
        <w:ind w:left="180" w:right="100" w:firstLine="0"/>
        <w:jc w:val="left"/>
        <w:rPr>
          <w:sz w:val="24"/>
        </w:rPr>
      </w:pPr>
      <w:r>
        <w:rPr/>
        <w:br w:type="column"/>
      </w:r>
      <w:r>
        <w:rPr>
          <w:sz w:val="24"/>
        </w:rPr>
        <w:t>However, there is little evidence to date that rising corporate indebtedness has led to a significant tightening in the supply of external finance to firms and constrained their investment decisions </w:t>
      </w:r>
      <w:hyperlink w:history="true" w:anchor="_bookmark1">
        <w:r>
          <w:rPr>
            <w:sz w:val="24"/>
          </w:rPr>
          <w:t>(</w:t>
        </w:r>
        <w:r>
          <w:rPr>
            <w:color w:val="FF0000"/>
            <w:sz w:val="24"/>
          </w:rPr>
          <w:t>see Section 1</w:t>
        </w:r>
        <w:r>
          <w:rPr>
            <w:sz w:val="24"/>
          </w:rPr>
          <w:t>).</w:t>
        </w:r>
      </w:hyperlink>
    </w:p>
    <w:p>
      <w:pPr>
        <w:pStyle w:val="BodyText"/>
        <w:spacing w:before="1"/>
        <w:rPr>
          <w:sz w:val="23"/>
        </w:rPr>
      </w:pPr>
    </w:p>
    <w:p>
      <w:pPr>
        <w:spacing w:line="242" w:lineRule="auto" w:before="0"/>
        <w:ind w:left="180" w:right="218" w:firstLine="0"/>
        <w:jc w:val="left"/>
        <w:rPr>
          <w:sz w:val="24"/>
        </w:rPr>
      </w:pPr>
      <w:r>
        <w:rPr>
          <w:sz w:val="24"/>
        </w:rPr>
        <w:t>Government </w:t>
      </w:r>
      <w:r>
        <w:rPr>
          <w:spacing w:val="-3"/>
          <w:sz w:val="24"/>
        </w:rPr>
        <w:t>investment </w:t>
      </w:r>
      <w:r>
        <w:rPr>
          <w:sz w:val="24"/>
        </w:rPr>
        <w:t>fell by 4.2% in the first </w:t>
      </w:r>
      <w:r>
        <w:rPr>
          <w:spacing w:val="-3"/>
          <w:sz w:val="24"/>
        </w:rPr>
        <w:t>quarter. </w:t>
      </w:r>
      <w:r>
        <w:rPr>
          <w:sz w:val="24"/>
        </w:rPr>
        <w:t>In the Budget on 21 March the Government set its medium-term target for public sector net </w:t>
      </w:r>
      <w:r>
        <w:rPr>
          <w:spacing w:val="-3"/>
          <w:sz w:val="24"/>
        </w:rPr>
        <w:t>investment </w:t>
      </w:r>
      <w:r>
        <w:rPr>
          <w:sz w:val="24"/>
        </w:rPr>
        <w:t>as a share of GDP at 1.8% by financial year 2003/04 (see Chart 2.12). Since net </w:t>
      </w:r>
      <w:r>
        <w:rPr>
          <w:spacing w:val="-3"/>
          <w:sz w:val="24"/>
        </w:rPr>
        <w:t>investment </w:t>
      </w:r>
      <w:r>
        <w:rPr>
          <w:sz w:val="24"/>
        </w:rPr>
        <w:t>was only 0.3% of GDP in financial year 1999/2000, government capital expenditure is likely to rise sharply in coming</w:t>
      </w:r>
      <w:r>
        <w:rPr>
          <w:spacing w:val="-31"/>
          <w:sz w:val="24"/>
        </w:rPr>
        <w:t> </w:t>
      </w:r>
      <w:r>
        <w:rPr>
          <w:sz w:val="24"/>
        </w:rPr>
        <w:t>years.</w:t>
      </w:r>
    </w:p>
    <w:p>
      <w:pPr>
        <w:spacing w:line="242" w:lineRule="auto" w:before="9"/>
        <w:ind w:left="180" w:right="201" w:firstLine="0"/>
        <w:jc w:val="left"/>
        <w:rPr>
          <w:sz w:val="24"/>
        </w:rPr>
      </w:pPr>
      <w:r>
        <w:rPr>
          <w:sz w:val="24"/>
        </w:rPr>
        <w:t>Taking into account the outlook for government and private sector spending, the MPC expects a moderate recovery in overall investment over the forecast period.</w:t>
      </w:r>
    </w:p>
    <w:p>
      <w:pPr>
        <w:pStyle w:val="BodyText"/>
        <w:spacing w:before="1"/>
        <w:rPr>
          <w:sz w:val="28"/>
        </w:rPr>
      </w:pPr>
    </w:p>
    <w:p>
      <w:pPr>
        <w:spacing w:before="1"/>
        <w:ind w:left="180" w:right="0" w:firstLine="0"/>
        <w:jc w:val="left"/>
        <w:rPr>
          <w:i/>
          <w:sz w:val="24"/>
        </w:rPr>
      </w:pPr>
      <w:r>
        <w:rPr>
          <w:i/>
          <w:color w:val="009391"/>
          <w:sz w:val="24"/>
        </w:rPr>
        <w:t>Public sector consumption</w:t>
      </w:r>
    </w:p>
    <w:p>
      <w:pPr>
        <w:spacing w:line="242" w:lineRule="auto" w:before="164"/>
        <w:ind w:left="180" w:right="100" w:firstLine="0"/>
        <w:jc w:val="left"/>
        <w:rPr>
          <w:sz w:val="24"/>
        </w:rPr>
      </w:pPr>
      <w:r>
        <w:rPr>
          <w:sz w:val="24"/>
        </w:rPr>
        <w:t>Total government current expenditure in the 1999/2000 financial year was about £2 billion lower than envisaged in the Budget on 21 March. The 2000 Spending Review on 18 July announced that £1.5 billion of this underspend would be carried forward as additional departmental spending, spread evenly between this financial year and next. The Review also forecast that government debt interest payments would be lower in coming years than projected in the Budget, partly as stronger-than-expected receipts from the sale of third-generation mobile telecommunications licences were used to reduce the level of public sector net debt. In addition, lower projected unemployment would reduce future benefit spending. These savings in debt interest and in benefit payments would be made available for spending departments.</w:t>
      </w:r>
    </w:p>
    <w:p>
      <w:pPr>
        <w:pStyle w:val="BodyText"/>
        <w:spacing w:before="1"/>
        <w:rPr>
          <w:sz w:val="26"/>
        </w:rPr>
      </w:pPr>
    </w:p>
    <w:p>
      <w:pPr>
        <w:spacing w:line="242" w:lineRule="auto" w:before="0"/>
        <w:ind w:left="180" w:right="0" w:firstLine="0"/>
        <w:jc w:val="left"/>
        <w:rPr>
          <w:sz w:val="24"/>
        </w:rPr>
      </w:pPr>
      <w:r>
        <w:rPr>
          <w:sz w:val="24"/>
        </w:rPr>
        <w:t>In assessing the outlook for the public finances, the MPC has taken the nominal spending plans set out in the</w:t>
      </w:r>
    </w:p>
    <w:p>
      <w:pPr>
        <w:spacing w:after="0" w:line="242" w:lineRule="auto"/>
        <w:jc w:val="left"/>
        <w:rPr>
          <w:sz w:val="24"/>
        </w:rPr>
        <w:sectPr>
          <w:type w:val="continuous"/>
          <w:pgSz w:w="11900" w:h="16840"/>
          <w:pgMar w:top="1260" w:bottom="280" w:left="640" w:right="640"/>
          <w:cols w:num="2" w:equalWidth="0">
            <w:col w:w="3771" w:space="1029"/>
            <w:col w:w="5820"/>
          </w:cols>
        </w:sectPr>
      </w:pPr>
    </w:p>
    <w:p>
      <w:pPr>
        <w:pStyle w:val="BodyText"/>
        <w:rPr>
          <w:sz w:val="20"/>
        </w:rPr>
      </w:pPr>
    </w:p>
    <w:p>
      <w:pPr>
        <w:spacing w:after="0"/>
        <w:rPr>
          <w:sz w:val="20"/>
        </w:rPr>
        <w:sectPr>
          <w:pgSz w:w="11900" w:h="16840"/>
          <w:pgMar w:header="601" w:footer="612" w:top="800" w:bottom="800" w:left="640" w:right="640"/>
        </w:sectPr>
      </w:pPr>
    </w:p>
    <w:p>
      <w:pPr>
        <w:pStyle w:val="BodyText"/>
        <w:spacing w:before="10"/>
        <w:rPr>
          <w:sz w:val="21"/>
        </w:rPr>
      </w:pPr>
    </w:p>
    <w:p>
      <w:pPr>
        <w:pStyle w:val="Heading6"/>
        <w:spacing w:before="0"/>
        <w:ind w:left="205"/>
      </w:pPr>
      <w:bookmarkStart w:name="Inventories" w:id="40"/>
      <w:bookmarkEnd w:id="40"/>
      <w:r>
        <w:rPr>
          <w:b w:val="0"/>
        </w:rPr>
      </w:r>
      <w:bookmarkStart w:name="Output" w:id="41"/>
      <w:bookmarkEnd w:id="41"/>
      <w:r>
        <w:rPr>
          <w:b w:val="0"/>
        </w:rPr>
      </w:r>
      <w:bookmarkStart w:name="_bookmark15" w:id="42"/>
      <w:bookmarkEnd w:id="42"/>
      <w:r>
        <w:rPr>
          <w:b w:val="0"/>
        </w:rPr>
      </w:r>
      <w:r>
        <w:rPr>
          <w:color w:val="0092C7"/>
        </w:rPr>
        <w:t>Chart 2.13</w:t>
      </w:r>
    </w:p>
    <w:p>
      <w:pPr>
        <w:pStyle w:val="Heading6"/>
        <w:ind w:left="205"/>
        <w:rPr>
          <w:b w:val="0"/>
          <w:sz w:val="12"/>
        </w:rPr>
      </w:pPr>
      <w:r>
        <w:rPr/>
        <w:pict>
          <v:group style="position:absolute;margin-left:98.014pt;margin-top:18.267923pt;width:8.450pt;height:16.3500pt;mso-position-horizontal-relative:page;mso-position-vertical-relative:paragraph;z-index:16049152" coordorigin="1960,365" coordsize="169,327">
            <v:rect style="position:absolute;left:1965;top:370;width:159;height:159" filled="true" fillcolor="#008360" stroked="false">
              <v:fill type="solid"/>
            </v:rect>
            <v:rect style="position:absolute;left:1965;top:370;width:159;height:159" filled="false" stroked="true" strokeweight=".5pt" strokecolor="#000000">
              <v:stroke dashstyle="solid"/>
            </v:rect>
            <v:rect style="position:absolute;left:1965;top:528;width:159;height:159" filled="true" fillcolor="#cee7e8" stroked="false">
              <v:fill type="solid"/>
            </v:rect>
            <v:rect style="position:absolute;left:1965;top:528;width:159;height:159" filled="false" stroked="true" strokeweight=".5pt" strokecolor="#000000">
              <v:stroke dashstyle="solid"/>
            </v:rect>
            <w10:wrap type="none"/>
          </v:group>
        </w:pict>
      </w:r>
      <w:r>
        <w:rPr>
          <w:color w:val="0092C7"/>
        </w:rPr>
        <w:t>Change in inventories</w:t>
      </w:r>
      <w:r>
        <w:rPr>
          <w:b w:val="0"/>
          <w:position w:val="4"/>
          <w:sz w:val="12"/>
        </w:rPr>
        <w:t>(a)</w:t>
      </w:r>
    </w:p>
    <w:p>
      <w:pPr>
        <w:spacing w:line="242" w:lineRule="auto" w:before="232"/>
        <w:ind w:left="205" w:right="0" w:firstLine="0"/>
        <w:jc w:val="left"/>
        <w:rPr>
          <w:sz w:val="24"/>
        </w:rPr>
      </w:pPr>
      <w:r>
        <w:rPr/>
        <w:br w:type="column"/>
      </w:r>
      <w:r>
        <w:rPr>
          <w:sz w:val="24"/>
        </w:rPr>
        <w:t>Spending Review as its central case. The net impact on final demand of the changes to spending was hard to</w:t>
      </w:r>
    </w:p>
    <w:p>
      <w:pPr>
        <w:spacing w:after="0" w:line="242" w:lineRule="auto"/>
        <w:jc w:val="left"/>
        <w:rPr>
          <w:sz w:val="24"/>
        </w:rPr>
        <w:sectPr>
          <w:type w:val="continuous"/>
          <w:pgSz w:w="11900" w:h="16840"/>
          <w:pgMar w:top="1260" w:bottom="280" w:left="640" w:right="640"/>
          <w:cols w:num="2" w:equalWidth="0">
            <w:col w:w="2236" w:space="2544"/>
            <w:col w:w="5840"/>
          </w:cols>
        </w:sectPr>
      </w:pPr>
    </w:p>
    <w:p>
      <w:pPr>
        <w:spacing w:line="302" w:lineRule="auto" w:before="65"/>
        <w:ind w:left="416" w:right="-20" w:firstLine="0"/>
        <w:jc w:val="left"/>
        <w:rPr>
          <w:sz w:val="12"/>
        </w:rPr>
      </w:pPr>
      <w:r>
        <w:rPr/>
        <w:pict>
          <v:group style="position:absolute;margin-left:50.154999pt;margin-top:33.959728pt;width:143.75pt;height:122.4pt;mso-position-horizontal-relative:page;mso-position-vertical-relative:paragraph;z-index:16048128" coordorigin="1003,679" coordsize="2875,2448">
            <v:rect style="position:absolute;left:1048;top:2354;width:65;height:135" filled="true" fillcolor="#006caa" stroked="false">
              <v:fill type="solid"/>
            </v:rect>
            <v:rect style="position:absolute;left:1048;top:2354;width:65;height:135" filled="false" stroked="true" strokeweight=".5pt" strokecolor="#000000">
              <v:stroke dashstyle="solid"/>
            </v:rect>
            <v:rect style="position:absolute;left:1110;top:1904;width:65;height:453" filled="true" fillcolor="#f6bd61" stroked="false">
              <v:fill type="solid"/>
            </v:rect>
            <v:rect style="position:absolute;left:1110;top:1904;width:65;height:453" filled="false" stroked="true" strokeweight=".5pt" strokecolor="#000000">
              <v:stroke dashstyle="solid"/>
            </v:rect>
            <v:rect style="position:absolute;left:1173;top:1921;width:53;height:435" filled="true" fillcolor="#008360" stroked="false">
              <v:fill type="solid"/>
            </v:rect>
            <v:rect style="position:absolute;left:1173;top:1921;width:53;height:435" filled="false" stroked="true" strokeweight=".5pt" strokecolor="#000000">
              <v:stroke dashstyle="solid"/>
            </v:rect>
            <v:rect style="position:absolute;left:1223;top:1439;width:65;height:918" filled="true" fillcolor="#cee7e8" stroked="false">
              <v:fill type="solid"/>
            </v:rect>
            <v:rect style="position:absolute;left:1368;top:2354;width:65;height:185" filled="true" fillcolor="#006caa" stroked="false">
              <v:fill type="solid"/>
            </v:rect>
            <v:rect style="position:absolute;left:1368;top:2354;width:65;height:185" filled="false" stroked="true" strokeweight=".5pt" strokecolor="#000000">
              <v:stroke dashstyle="solid"/>
            </v:rect>
            <v:rect style="position:absolute;left:1430;top:2354;width:63;height:568" filled="true" fillcolor="#f6bd61" stroked="false">
              <v:fill type="solid"/>
            </v:rect>
            <v:rect style="position:absolute;left:1430;top:2354;width:63;height:568" filled="false" stroked="true" strokeweight=".5pt" strokecolor="#000000">
              <v:stroke dashstyle="solid"/>
            </v:rect>
            <v:rect style="position:absolute;left:1490;top:2171;width:55;height:185" filled="true" fillcolor="#008360" stroked="false">
              <v:fill type="solid"/>
            </v:rect>
            <v:shape style="position:absolute;left:1223;top:1439;width:323;height:918" coordorigin="1223,1439" coordsize="323,918" path="m1491,2172l1546,2172,1546,2357,1491,2357,1491,2172xm1223,1439l1288,1439,1288,2357,1223,2357,1223,1439xe" filled="false" stroked="true" strokeweight=".5pt" strokecolor="#000000">
              <v:path arrowok="t"/>
              <v:stroke dashstyle="solid"/>
            </v:shape>
            <v:rect style="position:absolute;left:1543;top:1239;width:65;height:1118" filled="true" fillcolor="#cee7e8" stroked="false">
              <v:fill type="solid"/>
            </v:rect>
            <v:rect style="position:absolute;left:1688;top:2354;width:65;height:185" filled="true" fillcolor="#006caa" stroked="false">
              <v:fill type="solid"/>
            </v:rect>
            <v:rect style="position:absolute;left:1688;top:2354;width:65;height:185" filled="false" stroked="true" strokeweight=".5pt" strokecolor="#000000">
              <v:stroke dashstyle="solid"/>
            </v:rect>
            <v:rect style="position:absolute;left:1810;top:2104;width:55;height:253" filled="true" fillcolor="#008360" stroked="false">
              <v:fill type="solid"/>
            </v:rect>
            <v:shape style="position:absolute;left:1543;top:1239;width:323;height:1118" coordorigin="1543,1239" coordsize="323,1118" path="m1811,2104l1866,2104,1866,2357,1811,2357,1811,2104xm1543,1239l1608,1239,1608,2357,1543,2357,1543,1239xe" filled="false" stroked="true" strokeweight=".5pt" strokecolor="#000000">
              <v:path arrowok="t"/>
              <v:stroke dashstyle="solid"/>
            </v:shape>
            <v:rect style="position:absolute;left:1863;top:1721;width:65;height:635" filled="true" fillcolor="#cee7e8" stroked="false">
              <v:fill type="solid"/>
            </v:rect>
            <v:rect style="position:absolute;left:2008;top:1389;width:63;height:968" filled="true" fillcolor="#006caa" stroked="false">
              <v:fill type="solid"/>
            </v:rect>
            <v:rect style="position:absolute;left:2008;top:1389;width:63;height:968" filled="false" stroked="true" strokeweight=".5pt" strokecolor="#000000">
              <v:stroke dashstyle="solid"/>
            </v:rect>
            <v:rect style="position:absolute;left:2068;top:2254;width:65;height:103" filled="true" fillcolor="#f6bd61" stroked="false">
              <v:fill type="solid"/>
            </v:rect>
            <v:rect style="position:absolute;left:2068;top:2254;width:65;height:103" filled="false" stroked="true" strokeweight=".5pt" strokecolor="#000000">
              <v:stroke dashstyle="solid"/>
            </v:rect>
            <v:rect style="position:absolute;left:2130;top:2286;width:55;height:70" filled="true" fillcolor="#008360" stroked="false">
              <v:fill type="solid"/>
            </v:rect>
            <v:shape style="position:absolute;left:1863;top:1721;width:323;height:635" coordorigin="1863,1722" coordsize="323,635" path="m2131,2287l2186,2287,2186,2357,2131,2357,2131,2287xm1863,1722l1928,1722,1928,2357,1863,2357,1863,1722xe" filled="false" stroked="true" strokeweight=".5pt" strokecolor="#000000">
              <v:path arrowok="t"/>
              <v:stroke dashstyle="solid"/>
            </v:shape>
            <v:rect style="position:absolute;left:2183;top:2354;width:65;height:53" filled="true" fillcolor="#cee7e8" stroked="false">
              <v:fill type="solid"/>
            </v:rect>
            <v:rect style="position:absolute;left:2328;top:2354;width:63;height:768" filled="true" fillcolor="#006caa" stroked="false">
              <v:fill type="solid"/>
            </v:rect>
            <v:rect style="position:absolute;left:2328;top:2354;width:63;height:768" filled="false" stroked="true" strokeweight=".5pt" strokecolor="#000000">
              <v:stroke dashstyle="solid"/>
            </v:rect>
            <v:rect style="position:absolute;left:2388;top:2354;width:55;height:153" filled="true" fillcolor="#f6bd61" stroked="false">
              <v:fill type="solid"/>
            </v:rect>
            <v:rect style="position:absolute;left:2388;top:2354;width:55;height:153" filled="false" stroked="true" strokeweight=".5pt" strokecolor="#000000">
              <v:stroke dashstyle="solid"/>
            </v:rect>
            <v:rect style="position:absolute;left:2440;top:2121;width:65;height:235" filled="true" fillcolor="#008360" stroked="false">
              <v:fill type="solid"/>
            </v:rect>
            <v:shape style="position:absolute;left:2183;top:2121;width:323;height:285" coordorigin="2183,2122" coordsize="323,285" path="m2441,2122l2506,2122,2506,2357,2441,2357,2441,2122xm2183,2354l2248,2354,2248,2407,2183,2407,2183,2354xe" filled="false" stroked="true" strokeweight=".5pt" strokecolor="#000000">
              <v:path arrowok="t"/>
              <v:stroke dashstyle="solid"/>
            </v:shape>
            <v:rect style="position:absolute;left:2503;top:2186;width:53;height:170" filled="true" fillcolor="#cee7e8" stroked="false">
              <v:fill type="solid"/>
            </v:rect>
            <v:rect style="position:absolute;left:2635;top:2354;width:65;height:735" filled="true" fillcolor="#006caa" stroked="false">
              <v:fill type="solid"/>
            </v:rect>
            <v:rect style="position:absolute;left:2635;top:2354;width:65;height:735" filled="false" stroked="true" strokeweight=".5pt" strokecolor="#000000">
              <v:stroke dashstyle="solid"/>
            </v:rect>
            <v:rect style="position:absolute;left:2698;top:2354;width:65;height:235" filled="true" fillcolor="#f6bd61" stroked="false">
              <v:fill type="solid"/>
            </v:rect>
            <v:rect style="position:absolute;left:2698;top:2354;width:65;height:235" filled="false" stroked="true" strokeweight=".5pt" strokecolor="#000000">
              <v:stroke dashstyle="solid"/>
            </v:rect>
            <v:rect style="position:absolute;left:2760;top:1989;width:53;height:368" filled="true" fillcolor="#008360" stroked="false">
              <v:fill type="solid"/>
            </v:rect>
            <v:shape style="position:absolute;left:2503;top:1989;width:310;height:368" coordorigin="2503,1989" coordsize="310,368" path="m2761,1989l2813,1989,2813,2357,2761,2357,2761,1989xm2503,2187l2556,2187,2556,2357,2503,2357,2503,2187xe" filled="false" stroked="true" strokeweight=".5pt" strokecolor="#000000">
              <v:path arrowok="t"/>
              <v:stroke dashstyle="solid"/>
            </v:shape>
            <v:rect style="position:absolute;left:2810;top:2354;width:65;height:70" filled="true" fillcolor="#cee7e8" stroked="false">
              <v:fill type="solid"/>
            </v:rect>
            <v:rect style="position:absolute;left:2955;top:2021;width:65;height:335" filled="true" fillcolor="#006caa" stroked="false">
              <v:fill type="solid"/>
            </v:rect>
            <v:rect style="position:absolute;left:2955;top:2021;width:65;height:335" filled="false" stroked="true" strokeweight=".5pt" strokecolor="#000000">
              <v:stroke dashstyle="solid"/>
            </v:rect>
            <v:rect style="position:absolute;left:3018;top:2354;width:65;height:185" filled="true" fillcolor="#f6bd61" stroked="false">
              <v:fill type="solid"/>
            </v:rect>
            <v:rect style="position:absolute;left:3018;top:2354;width:65;height:185" filled="false" stroked="true" strokeweight=".5pt" strokecolor="#000000">
              <v:stroke dashstyle="solid"/>
            </v:rect>
            <v:rect style="position:absolute;left:3080;top:2236;width:53;height:120" filled="true" fillcolor="#008360" stroked="false">
              <v:fill type="solid"/>
            </v:rect>
            <v:shape style="position:absolute;left:2810;top:2236;width:323;height:188" coordorigin="2811,2237" coordsize="323,188" path="m3081,2237l3133,2237,3133,2357,3081,2357,3081,2237xm2811,2354l2876,2354,2876,2424,2811,2424,2811,2354xe" filled="false" stroked="true" strokeweight=".5pt" strokecolor="#000000">
              <v:path arrowok="t"/>
              <v:stroke dashstyle="solid"/>
            </v:shape>
            <v:rect style="position:absolute;left:3130;top:2354;width:65;height:85" filled="true" fillcolor="#cee7e8" stroked="false">
              <v:fill type="solid"/>
            </v:rect>
            <v:rect style="position:absolute;left:3275;top:2304;width:65;height:53" filled="true" fillcolor="#006caa" stroked="false">
              <v:fill type="solid"/>
            </v:rect>
            <v:rect style="position:absolute;left:3275;top:2304;width:65;height:53" filled="false" stroked="true" strokeweight=".5pt" strokecolor="#000000">
              <v:stroke dashstyle="solid"/>
            </v:rect>
            <v:rect style="position:absolute;left:3338;top:2354;width:65;height:103" filled="true" fillcolor="#f6bd61" stroked="false">
              <v:fill type="solid"/>
            </v:rect>
            <v:rect style="position:absolute;left:3338;top:2354;width:65;height:103" filled="false" stroked="true" strokeweight=".5pt" strokecolor="#000000">
              <v:stroke dashstyle="solid"/>
            </v:rect>
            <v:rect style="position:absolute;left:3400;top:2354;width:53;height:70" filled="true" fillcolor="#008360" stroked="false">
              <v:fill type="solid"/>
            </v:rect>
            <v:shape style="position:absolute;left:3130;top:2354;width:323;height:85" coordorigin="3131,2354" coordsize="323,85" path="m3401,2354l3453,2354,3453,2424,3401,2424,3401,2354xm3131,2354l3196,2354,3196,2439,3131,2439,3131,2354xe" filled="false" stroked="true" strokeweight=".5pt" strokecolor="#000000">
              <v:path arrowok="t"/>
              <v:stroke dashstyle="solid"/>
            </v:shape>
            <v:rect style="position:absolute;left:3450;top:2354;width:65;height:203" filled="true" fillcolor="#cee7e8" stroked="false">
              <v:fill type="solid"/>
            </v:rect>
            <v:rect style="position:absolute;left:3595;top:2354;width:65;height:170" filled="true" fillcolor="#006caa" stroked="false">
              <v:fill type="solid"/>
            </v:rect>
            <v:rect style="position:absolute;left:3595;top:2354;width:65;height:170" filled="false" stroked="true" strokeweight=".5pt" strokecolor="#000000">
              <v:stroke dashstyle="solid"/>
            </v:rect>
            <v:rect style="position:absolute;left:3658;top:1639;width:63;height:718" filled="true" fillcolor="#f6bd61" stroked="false">
              <v:fill type="solid"/>
            </v:rect>
            <v:rect style="position:absolute;left:3658;top:1639;width:63;height:718" filled="false" stroked="true" strokeweight=".5pt" strokecolor="#000000">
              <v:stroke dashstyle="solid"/>
            </v:rect>
            <v:rect style="position:absolute;left:3718;top:2004;width:55;height:353" filled="true" fillcolor="#008360" stroked="false">
              <v:fill type="solid"/>
            </v:rect>
            <v:shape style="position:absolute;left:3450;top:2004;width:323;height:553" coordorigin="3451,2004" coordsize="323,553" path="m3718,2004l3773,2004,3773,2357,3718,2357,3718,2004xm3451,2354l3516,2354,3516,2557,3451,2557,3451,2354xe" filled="false" stroked="true" strokeweight=".5pt" strokecolor="#000000">
              <v:path arrowok="t"/>
              <v:stroke dashstyle="solid"/>
            </v:shape>
            <v:rect style="position:absolute;left:3770;top:1904;width:65;height:453" filled="true" fillcolor="#cee7e8" stroked="false">
              <v:fill type="solid"/>
            </v:rect>
            <v:shape style="position:absolute;left:1008;top:1904;width:2865;height:453" coordorigin="1008,1904" coordsize="2865,453" path="m3771,1904l3836,1904,3836,2357,3771,2357,3771,1904xm1008,2354l3873,2357e" filled="false" stroked="true" strokeweight=".5pt" strokecolor="#000000">
              <v:path arrowok="t"/>
              <v:stroke dashstyle="solid"/>
            </v:shape>
            <v:shape style="position:absolute;left:2441;top:2316;width:1278;height:43" coordorigin="2442,2317" coordsize="1278,43" path="m2442,2317l2442,2359m2762,2317l2762,2359m3082,2317l3082,2359m3719,2317l3719,2359e" filled="false" stroked="true" strokeweight=".625pt" strokecolor="#000000">
              <v:path arrowok="t"/>
              <v:stroke dashstyle="solid"/>
            </v:shape>
            <v:shape style="position:absolute;left:1160;top:689;width:2558;height:2330" coordorigin="1161,689" coordsize="2558,2330" path="m3081,2154l3401,2672m1161,689l1481,1789m1481,1789l1801,1639m1801,1639l2121,1289m2121,1289l2441,2869m2441,2869l2761,3019m2761,3019l3081,2154m3401,2672l3718,972e" filled="false" stroked="true" strokeweight="1pt" strokecolor="#de0035">
              <v:path arrowok="t"/>
              <v:stroke dashstyle="solid"/>
            </v:shape>
            <v:shape style="position:absolute;left:1255;top:792;width:274;height:133" type="#_x0000_t202" filled="false" stroked="false">
              <v:textbox inset="0,0,0,0">
                <w:txbxContent>
                  <w:p>
                    <w:pPr>
                      <w:spacing w:line="133" w:lineRule="exact" w:before="0"/>
                      <w:ind w:left="0" w:right="0" w:firstLine="0"/>
                      <w:jc w:val="left"/>
                      <w:rPr>
                        <w:sz w:val="12"/>
                      </w:rPr>
                    </w:pPr>
                    <w:r>
                      <w:rPr>
                        <w:sz w:val="12"/>
                      </w:rPr>
                      <w:t>Total</w:t>
                    </w:r>
                  </w:p>
                </w:txbxContent>
              </v:textbox>
              <w10:wrap type="none"/>
            </v:shape>
            <w10:wrap type="none"/>
          </v:group>
        </w:pict>
      </w:r>
      <w:r>
        <w:rPr/>
        <w:pict>
          <v:group style="position:absolute;margin-left:41.639999pt;margin-top:2.890727pt;width:8.450pt;height:19.75pt;mso-position-horizontal-relative:page;mso-position-vertical-relative:paragraph;z-index:16048640" coordorigin="833,58" coordsize="169,395">
            <v:rect style="position:absolute;left:837;top:62;width:159;height:159" filled="true" fillcolor="#006caa" stroked="false">
              <v:fill type="solid"/>
            </v:rect>
            <v:rect style="position:absolute;left:837;top:62;width:159;height:159" filled="false" stroked="true" strokeweight=".5pt" strokecolor="#000000">
              <v:stroke dashstyle="solid"/>
            </v:rect>
            <v:rect style="position:absolute;left:837;top:221;width:159;height:159" filled="true" fillcolor="#f6bd61" stroked="false">
              <v:fill type="solid"/>
            </v:rect>
            <v:shape style="position:absolute;left:832;top:221;width:164;height:227" coordorigin="833,221" coordsize="164,227" path="m838,221l996,221,996,380,838,380,838,221xm919,448l833,448e" filled="false" stroked="true" strokeweight=".5pt" strokecolor="#000000">
              <v:path arrowok="t"/>
              <v:stroke dashstyle="solid"/>
            </v:shape>
            <w10:wrap type="none"/>
          </v:group>
        </w:pict>
      </w:r>
      <w:r>
        <w:rPr>
          <w:sz w:val="12"/>
        </w:rPr>
        <w:t>Manufacturing Wholesale</w:t>
      </w:r>
    </w:p>
    <w:p>
      <w:pPr>
        <w:pStyle w:val="BodyText"/>
        <w:rPr>
          <w:sz w:val="20"/>
        </w:rPr>
      </w:pPr>
    </w:p>
    <w:p>
      <w:pPr>
        <w:pStyle w:val="BodyText"/>
        <w:spacing w:before="1"/>
        <w:rPr>
          <w:sz w:val="22"/>
        </w:rPr>
      </w:pPr>
      <w:r>
        <w:rPr/>
        <w:pict>
          <v:shape style="position:absolute;margin-left:41.639999pt;margin-top:14.944297pt;width:4.350pt;height:.1pt;mso-position-horizontal-relative:page;mso-position-vertical-relative:paragraph;z-index:-15414784;mso-wrap-distance-left:0;mso-wrap-distance-right:0" coordorigin="833,299" coordsize="87,0" path="m919,299l833,299e" filled="false" stroked="true" strokeweight=".5pt" strokecolor="#000000">
            <v:path arrowok="t"/>
            <v:stroke dashstyle="solid"/>
            <w10:wrap type="topAndBottom"/>
          </v:shape>
        </w:pict>
      </w:r>
    </w:p>
    <w:p>
      <w:pPr>
        <w:pStyle w:val="BodyText"/>
        <w:rPr>
          <w:sz w:val="20"/>
        </w:rPr>
      </w:pPr>
    </w:p>
    <w:p>
      <w:pPr>
        <w:pStyle w:val="BodyText"/>
        <w:spacing w:before="1"/>
        <w:rPr>
          <w:sz w:val="13"/>
        </w:rPr>
      </w:pPr>
      <w:r>
        <w:rPr/>
        <w:pict>
          <v:shape style="position:absolute;margin-left:41.639999pt;margin-top:9.759976pt;width:4.350pt;height:.1pt;mso-position-horizontal-relative:page;mso-position-vertical-relative:paragraph;z-index:-15414272;mso-wrap-distance-left:0;mso-wrap-distance-right:0" coordorigin="833,195" coordsize="87,0" path="m919,195l833,195e" filled="false" stroked="true" strokeweight=".5pt" strokecolor="#000000">
            <v:path arrowok="t"/>
            <v:stroke dashstyle="solid"/>
            <w10:wrap type="topAndBottom"/>
          </v:shape>
        </w:pict>
      </w:r>
    </w:p>
    <w:p>
      <w:pPr>
        <w:pStyle w:val="BodyText"/>
        <w:rPr>
          <w:sz w:val="20"/>
        </w:rPr>
      </w:pPr>
    </w:p>
    <w:p>
      <w:pPr>
        <w:pStyle w:val="BodyText"/>
        <w:spacing w:before="5"/>
        <w:rPr>
          <w:sz w:val="14"/>
        </w:rPr>
      </w:pPr>
      <w:r>
        <w:rPr/>
        <w:pict>
          <v:shape style="position:absolute;margin-left:41.639999pt;margin-top:10.508977pt;width:4.350pt;height:.1pt;mso-position-horizontal-relative:page;mso-position-vertical-relative:paragraph;z-index:-15413760;mso-wrap-distance-left:0;mso-wrap-distance-right:0" coordorigin="833,210" coordsize="87,0" path="m919,210l833,210e" filled="false" stroked="true" strokeweight=".5pt" strokecolor="#000000">
            <v:path arrowok="t"/>
            <v:stroke dashstyle="solid"/>
            <w10:wrap type="topAndBottom"/>
          </v:shape>
        </w:pict>
      </w:r>
    </w:p>
    <w:p>
      <w:pPr>
        <w:spacing w:line="302" w:lineRule="auto" w:before="65"/>
        <w:ind w:left="369" w:right="21" w:firstLine="0"/>
        <w:jc w:val="left"/>
        <w:rPr>
          <w:sz w:val="12"/>
        </w:rPr>
      </w:pPr>
      <w:r>
        <w:rPr/>
        <w:br w:type="column"/>
      </w:r>
      <w:r>
        <w:rPr>
          <w:sz w:val="12"/>
        </w:rPr>
        <w:t>Retail Other</w:t>
      </w:r>
    </w:p>
    <w:p>
      <w:pPr>
        <w:pStyle w:val="BodyText"/>
        <w:rPr>
          <w:sz w:val="12"/>
        </w:rPr>
      </w:pPr>
      <w:r>
        <w:rPr/>
        <w:br w:type="column"/>
      </w:r>
      <w:r>
        <w:rPr>
          <w:sz w:val="12"/>
        </w:rPr>
      </w:r>
    </w:p>
    <w:p>
      <w:pPr>
        <w:pStyle w:val="BodyText"/>
        <w:spacing w:before="9"/>
        <w:rPr>
          <w:sz w:val="10"/>
        </w:rPr>
      </w:pPr>
    </w:p>
    <w:p>
      <w:pPr>
        <w:spacing w:before="0"/>
        <w:ind w:left="416" w:right="0" w:firstLine="0"/>
        <w:jc w:val="left"/>
        <w:rPr>
          <w:sz w:val="12"/>
        </w:rPr>
      </w:pPr>
      <w:r>
        <w:rPr>
          <w:sz w:val="12"/>
        </w:rPr>
        <w:t>£ billions</w:t>
      </w:r>
    </w:p>
    <w:p>
      <w:pPr>
        <w:pStyle w:val="BodyText"/>
        <w:spacing w:before="11"/>
        <w:rPr>
          <w:sz w:val="3"/>
        </w:rPr>
      </w:pPr>
    </w:p>
    <w:p>
      <w:pPr>
        <w:pStyle w:val="BodyText"/>
        <w:spacing w:line="20" w:lineRule="exact"/>
        <w:ind w:left="778" w:right="-72"/>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20"/>
        </w:rPr>
      </w:pPr>
    </w:p>
    <w:p>
      <w:pPr>
        <w:pStyle w:val="BodyText"/>
        <w:spacing w:before="2" w:after="1"/>
        <w:rPr>
          <w:sz w:val="21"/>
        </w:rPr>
      </w:pPr>
    </w:p>
    <w:p>
      <w:pPr>
        <w:pStyle w:val="BodyText"/>
        <w:spacing w:line="20" w:lineRule="exact"/>
        <w:ind w:left="778" w:right="-72"/>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20"/>
        </w:rPr>
      </w:pPr>
    </w:p>
    <w:p>
      <w:pPr>
        <w:pStyle w:val="BodyText"/>
        <w:spacing w:before="2"/>
      </w:pPr>
    </w:p>
    <w:p>
      <w:pPr>
        <w:pStyle w:val="BodyText"/>
        <w:spacing w:line="20" w:lineRule="exact"/>
        <w:ind w:left="778" w:right="-72"/>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20"/>
        </w:rPr>
      </w:pPr>
    </w:p>
    <w:p>
      <w:pPr>
        <w:pStyle w:val="BodyText"/>
        <w:spacing w:before="5"/>
        <w:rPr>
          <w:sz w:val="19"/>
        </w:rPr>
      </w:pPr>
    </w:p>
    <w:p>
      <w:pPr>
        <w:pStyle w:val="BodyText"/>
        <w:spacing w:line="20" w:lineRule="exact"/>
        <w:ind w:left="778" w:right="-72"/>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12"/>
        </w:rPr>
      </w:pPr>
      <w:r>
        <w:rPr/>
        <w:br w:type="column"/>
      </w:r>
      <w:r>
        <w:rPr>
          <w:sz w:val="12"/>
        </w:rPr>
      </w:r>
    </w:p>
    <w:p>
      <w:pPr>
        <w:pStyle w:val="BodyText"/>
        <w:rPr>
          <w:sz w:val="12"/>
        </w:rPr>
      </w:pPr>
    </w:p>
    <w:p>
      <w:pPr>
        <w:spacing w:before="98"/>
        <w:ind w:left="19" w:right="0" w:firstLine="0"/>
        <w:jc w:val="left"/>
        <w:rPr>
          <w:sz w:val="12"/>
        </w:rPr>
      </w:pPr>
      <w:r>
        <w:rPr>
          <w:sz w:val="12"/>
        </w:rPr>
        <w:t>2.0</w:t>
      </w:r>
    </w:p>
    <w:p>
      <w:pPr>
        <w:pStyle w:val="BodyText"/>
        <w:rPr>
          <w:sz w:val="12"/>
        </w:rPr>
      </w:pPr>
    </w:p>
    <w:p>
      <w:pPr>
        <w:pStyle w:val="BodyText"/>
        <w:rPr>
          <w:sz w:val="12"/>
        </w:rPr>
      </w:pPr>
    </w:p>
    <w:p>
      <w:pPr>
        <w:spacing w:before="69"/>
        <w:ind w:left="19" w:right="0" w:firstLine="0"/>
        <w:jc w:val="left"/>
        <w:rPr>
          <w:sz w:val="12"/>
        </w:rPr>
      </w:pPr>
      <w:r>
        <w:rPr>
          <w:sz w:val="12"/>
        </w:rPr>
        <w:t>1.5</w:t>
      </w:r>
    </w:p>
    <w:p>
      <w:pPr>
        <w:pStyle w:val="BodyText"/>
        <w:rPr>
          <w:sz w:val="12"/>
        </w:rPr>
      </w:pPr>
    </w:p>
    <w:p>
      <w:pPr>
        <w:pStyle w:val="BodyText"/>
        <w:spacing w:before="7"/>
        <w:rPr>
          <w:sz w:val="16"/>
        </w:rPr>
      </w:pPr>
    </w:p>
    <w:p>
      <w:pPr>
        <w:spacing w:before="0"/>
        <w:ind w:left="19" w:right="0" w:firstLine="0"/>
        <w:jc w:val="left"/>
        <w:rPr>
          <w:sz w:val="12"/>
        </w:rPr>
      </w:pPr>
      <w:r>
        <w:rPr>
          <w:sz w:val="12"/>
        </w:rPr>
        <w:t>1.0</w:t>
      </w:r>
    </w:p>
    <w:p>
      <w:pPr>
        <w:pStyle w:val="BodyText"/>
        <w:rPr>
          <w:sz w:val="12"/>
        </w:rPr>
      </w:pPr>
    </w:p>
    <w:p>
      <w:pPr>
        <w:pStyle w:val="BodyText"/>
        <w:rPr>
          <w:sz w:val="12"/>
        </w:rPr>
      </w:pPr>
    </w:p>
    <w:p>
      <w:pPr>
        <w:spacing w:before="69"/>
        <w:ind w:left="19" w:right="0" w:firstLine="0"/>
        <w:jc w:val="left"/>
        <w:rPr>
          <w:sz w:val="12"/>
        </w:rPr>
      </w:pPr>
      <w:r>
        <w:rPr>
          <w:sz w:val="12"/>
        </w:rPr>
        <w:t>0.5</w:t>
      </w:r>
    </w:p>
    <w:p>
      <w:pPr>
        <w:spacing w:line="242" w:lineRule="auto" w:before="3"/>
        <w:ind w:left="416" w:right="169" w:firstLine="0"/>
        <w:jc w:val="left"/>
        <w:rPr>
          <w:sz w:val="24"/>
        </w:rPr>
      </w:pPr>
      <w:r>
        <w:rPr/>
        <w:br w:type="column"/>
      </w:r>
      <w:r>
        <w:rPr>
          <w:sz w:val="24"/>
        </w:rPr>
        <w:t>gauge, and depended partly on judgments on relative propensities to consume out of different categories of spending and on whether there might be further shortfalls in spending in future years. Overall, the Committee judged that these plans pointed to slightly higher</w:t>
      </w:r>
      <w:r>
        <w:rPr>
          <w:spacing w:val="-7"/>
          <w:sz w:val="24"/>
        </w:rPr>
        <w:t> </w:t>
      </w:r>
      <w:r>
        <w:rPr>
          <w:sz w:val="24"/>
        </w:rPr>
        <w:t>real</w:t>
      </w:r>
      <w:r>
        <w:rPr>
          <w:spacing w:val="-7"/>
          <w:sz w:val="24"/>
        </w:rPr>
        <w:t> </w:t>
      </w:r>
      <w:r>
        <w:rPr>
          <w:sz w:val="24"/>
        </w:rPr>
        <w:t>government</w:t>
      </w:r>
      <w:r>
        <w:rPr>
          <w:spacing w:val="-6"/>
          <w:sz w:val="24"/>
        </w:rPr>
        <w:t> </w:t>
      </w:r>
      <w:r>
        <w:rPr>
          <w:sz w:val="24"/>
        </w:rPr>
        <w:t>spending</w:t>
      </w:r>
      <w:r>
        <w:rPr>
          <w:spacing w:val="-7"/>
          <w:sz w:val="24"/>
        </w:rPr>
        <w:t> </w:t>
      </w:r>
      <w:r>
        <w:rPr>
          <w:sz w:val="24"/>
        </w:rPr>
        <w:t>growth</w:t>
      </w:r>
      <w:r>
        <w:rPr>
          <w:spacing w:val="-6"/>
          <w:sz w:val="24"/>
        </w:rPr>
        <w:t> </w:t>
      </w:r>
      <w:r>
        <w:rPr>
          <w:sz w:val="24"/>
        </w:rPr>
        <w:t>than</w:t>
      </w:r>
      <w:r>
        <w:rPr>
          <w:spacing w:val="-7"/>
          <w:sz w:val="24"/>
        </w:rPr>
        <w:t> </w:t>
      </w:r>
      <w:r>
        <w:rPr>
          <w:sz w:val="24"/>
        </w:rPr>
        <w:t>in</w:t>
      </w:r>
      <w:r>
        <w:rPr>
          <w:spacing w:val="-7"/>
          <w:sz w:val="24"/>
        </w:rPr>
        <w:t> </w:t>
      </w:r>
      <w:r>
        <w:rPr>
          <w:sz w:val="24"/>
        </w:rPr>
        <w:t>the</w:t>
      </w:r>
      <w:r>
        <w:rPr>
          <w:spacing w:val="-6"/>
          <w:sz w:val="24"/>
        </w:rPr>
        <w:t> </w:t>
      </w:r>
      <w:r>
        <w:rPr>
          <w:sz w:val="24"/>
        </w:rPr>
        <w:t>May </w:t>
      </w:r>
      <w:r>
        <w:rPr>
          <w:i/>
          <w:sz w:val="24"/>
        </w:rPr>
        <w:t>Report</w:t>
      </w:r>
      <w:r>
        <w:rPr>
          <w:sz w:val="24"/>
        </w:rPr>
        <w:t>.</w:t>
      </w:r>
    </w:p>
    <w:p>
      <w:pPr>
        <w:spacing w:after="0" w:line="242" w:lineRule="auto"/>
        <w:jc w:val="left"/>
        <w:rPr>
          <w:sz w:val="24"/>
        </w:rPr>
        <w:sectPr>
          <w:type w:val="continuous"/>
          <w:pgSz w:w="11900" w:h="16840"/>
          <w:pgMar w:top="1260" w:bottom="280" w:left="640" w:right="640"/>
          <w:cols w:num="5" w:equalWidth="0">
            <w:col w:w="1130" w:space="40"/>
            <w:col w:w="697" w:space="673"/>
            <w:col w:w="867" w:space="39"/>
            <w:col w:w="210" w:space="913"/>
            <w:col w:w="6051"/>
          </w:cols>
        </w:sectPr>
      </w:pPr>
    </w:p>
    <w:p>
      <w:pPr>
        <w:pStyle w:val="BodyText"/>
        <w:rPr>
          <w:sz w:val="20"/>
        </w:rPr>
      </w:pPr>
    </w:p>
    <w:p>
      <w:pPr>
        <w:pStyle w:val="BodyText"/>
        <w:spacing w:before="3" w:after="1"/>
        <w:rPr>
          <w:sz w:val="14"/>
        </w:rPr>
      </w:pPr>
    </w:p>
    <w:p>
      <w:pPr>
        <w:pStyle w:val="BodyText"/>
        <w:spacing w:line="20" w:lineRule="exact"/>
        <w:ind w:left="187"/>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20"/>
        </w:rPr>
      </w:pPr>
    </w:p>
    <w:p>
      <w:pPr>
        <w:pStyle w:val="BodyText"/>
        <w:spacing w:before="1"/>
        <w:rPr>
          <w:sz w:val="17"/>
        </w:rPr>
      </w:pPr>
      <w:r>
        <w:rPr/>
        <w:pict>
          <v:shape style="position:absolute;margin-left:41.639999pt;margin-top:12.062977pt;width:4.350pt;height:.1pt;mso-position-horizontal-relative:page;mso-position-vertical-relative:paragraph;z-index:-15410688;mso-wrap-distance-left:0;mso-wrap-distance-right:0" coordorigin="833,241" coordsize="87,0" path="m919,241l833,241e" filled="false" stroked="true" strokeweight=".5pt" strokecolor="#000000">
            <v:path arrowok="t"/>
            <v:stroke dashstyle="solid"/>
            <w10:wrap type="topAndBottom"/>
          </v:shape>
        </w:pict>
      </w:r>
    </w:p>
    <w:p>
      <w:pPr>
        <w:pStyle w:val="BodyText"/>
        <w:rPr>
          <w:sz w:val="20"/>
        </w:rPr>
      </w:pPr>
    </w:p>
    <w:p>
      <w:pPr>
        <w:pStyle w:val="BodyText"/>
        <w:spacing w:before="11"/>
        <w:rPr>
          <w:sz w:val="13"/>
        </w:rPr>
      </w:pPr>
      <w:r>
        <w:rPr/>
        <w:pict>
          <v:shape style="position:absolute;margin-left:41.639999pt;margin-top:10.238976pt;width:4.350pt;height:.1pt;mso-position-horizontal-relative:page;mso-position-vertical-relative:paragraph;z-index:-15410176;mso-wrap-distance-left:0;mso-wrap-distance-right:0" coordorigin="833,205" coordsize="87,0" path="m919,205l833,205e" filled="false" stroked="true" strokeweight=".5pt" strokecolor="#000000">
            <v:path arrowok="t"/>
            <v:stroke dashstyle="solid"/>
            <w10:wrap type="topAndBottom"/>
          </v:shape>
        </w:pict>
      </w:r>
    </w:p>
    <w:p>
      <w:pPr>
        <w:spacing w:before="0"/>
        <w:ind w:left="467" w:right="0" w:firstLine="0"/>
        <w:jc w:val="left"/>
        <w:rPr>
          <w:sz w:val="12"/>
        </w:rPr>
      </w:pPr>
      <w:r>
        <w:rPr>
          <w:sz w:val="12"/>
        </w:rPr>
        <w:t>Q1 Q2 Q3 Q4 Q1</w:t>
      </w:r>
    </w:p>
    <w:p>
      <w:pPr>
        <w:spacing w:before="54"/>
        <w:ind w:left="891" w:right="716" w:firstLine="0"/>
        <w:jc w:val="center"/>
        <w:rPr>
          <w:sz w:val="12"/>
        </w:rPr>
      </w:pPr>
      <w:r>
        <w:rPr>
          <w:sz w:val="12"/>
        </w:rPr>
        <w:t>1998</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2"/>
        </w:rPr>
      </w:pPr>
    </w:p>
    <w:p>
      <w:pPr>
        <w:spacing w:line="336" w:lineRule="auto" w:before="0"/>
        <w:ind w:left="367" w:right="12" w:hanging="236"/>
        <w:jc w:val="left"/>
        <w:rPr>
          <w:sz w:val="12"/>
        </w:rPr>
      </w:pPr>
      <w:r>
        <w:rPr>
          <w:sz w:val="12"/>
        </w:rPr>
        <w:t>Q2  </w:t>
      </w:r>
      <w:r>
        <w:rPr>
          <w:spacing w:val="-10"/>
          <w:sz w:val="12"/>
        </w:rPr>
        <w:t>Q3 </w:t>
      </w:r>
      <w:r>
        <w:rPr>
          <w:sz w:val="12"/>
        </w:rPr>
        <w:t>99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2"/>
        </w:rPr>
      </w:pPr>
    </w:p>
    <w:p>
      <w:pPr>
        <w:spacing w:line="336" w:lineRule="auto" w:before="0"/>
        <w:ind w:left="423" w:right="-19" w:hanging="293"/>
        <w:jc w:val="left"/>
        <w:rPr>
          <w:sz w:val="12"/>
        </w:rPr>
      </w:pPr>
      <w:r>
        <w:rPr>
          <w:sz w:val="12"/>
        </w:rPr>
        <w:t>Q4 Q1 2000</w:t>
      </w:r>
    </w:p>
    <w:p>
      <w:pPr>
        <w:spacing w:line="181" w:lineRule="exact" w:before="139"/>
        <w:ind w:left="117" w:right="0" w:firstLine="0"/>
        <w:jc w:val="left"/>
        <w:rPr>
          <w:sz w:val="16"/>
        </w:rPr>
      </w:pPr>
      <w:r>
        <w:rPr/>
        <w:br w:type="column"/>
      </w:r>
      <w:r>
        <w:rPr>
          <w:sz w:val="16"/>
        </w:rPr>
        <w:t>+</w:t>
      </w:r>
    </w:p>
    <w:p>
      <w:pPr>
        <w:spacing w:line="111" w:lineRule="exact" w:before="0"/>
        <w:ind w:left="199" w:right="0" w:firstLine="0"/>
        <w:jc w:val="left"/>
        <w:rPr>
          <w:sz w:val="12"/>
        </w:rPr>
      </w:pPr>
      <w:r>
        <w:rPr/>
        <w:pict>
          <v:line style="position:absolute;mso-position-horizontal-relative:page;mso-position-vertical-relative:paragraph;z-index:16051200" from="202.446998pt,4.132847pt" to="198.113998pt,4.132847pt" stroked="true" strokeweight=".5pt" strokecolor="#000000">
            <v:stroke dashstyle="solid"/>
            <w10:wrap type="none"/>
          </v:line>
        </w:pict>
      </w:r>
      <w:r>
        <w:rPr>
          <w:sz w:val="12"/>
        </w:rPr>
        <w:t>0.0</w:t>
      </w:r>
    </w:p>
    <w:p>
      <w:pPr>
        <w:spacing w:line="159" w:lineRule="exact" w:before="0"/>
        <w:ind w:left="127" w:right="0" w:firstLine="0"/>
        <w:jc w:val="left"/>
        <w:rPr>
          <w:sz w:val="16"/>
        </w:rPr>
      </w:pPr>
      <w:r>
        <w:rPr>
          <w:sz w:val="16"/>
        </w:rPr>
        <w:t>_</w:t>
      </w:r>
    </w:p>
    <w:p>
      <w:pPr>
        <w:pStyle w:val="BodyText"/>
        <w:spacing w:before="2"/>
      </w:pPr>
    </w:p>
    <w:p>
      <w:pPr>
        <w:spacing w:before="1"/>
        <w:ind w:left="199" w:right="0" w:firstLine="0"/>
        <w:jc w:val="left"/>
        <w:rPr>
          <w:sz w:val="12"/>
        </w:rPr>
      </w:pPr>
      <w:r>
        <w:rPr/>
        <w:pict>
          <v:line style="position:absolute;mso-position-horizontal-relative:page;mso-position-vertical-relative:paragraph;z-index:16050176" from="202.446998pt,4.495389pt" to="198.113998pt,4.495389pt" stroked="true" strokeweight=".5pt" strokecolor="#000000">
            <v:stroke dashstyle="solid"/>
            <w10:wrap type="none"/>
          </v:line>
        </w:pict>
      </w:r>
      <w:r>
        <w:rPr>
          <w:sz w:val="12"/>
        </w:rPr>
        <w:t>0.5</w:t>
      </w:r>
    </w:p>
    <w:p>
      <w:pPr>
        <w:pStyle w:val="BodyText"/>
        <w:rPr>
          <w:sz w:val="12"/>
        </w:rPr>
      </w:pPr>
    </w:p>
    <w:p>
      <w:pPr>
        <w:pStyle w:val="BodyText"/>
        <w:spacing w:before="7"/>
        <w:rPr>
          <w:sz w:val="16"/>
        </w:rPr>
      </w:pPr>
    </w:p>
    <w:p>
      <w:pPr>
        <w:spacing w:before="0"/>
        <w:ind w:left="199" w:right="0" w:firstLine="0"/>
        <w:jc w:val="left"/>
        <w:rPr>
          <w:sz w:val="12"/>
        </w:rPr>
      </w:pPr>
      <w:r>
        <w:rPr/>
        <w:pict>
          <v:shape style="position:absolute;margin-left:50.612999pt;margin-top:-.648428pt;width:143.7pt;height:5pt;mso-position-horizontal-relative:page;mso-position-vertical-relative:paragraph;z-index:16049664" coordorigin="1012,-13" coordsize="2874,100" path="m1012,-13l1012,87m1326,34l1326,87m1646,34l1646,87m1966,34l1966,87m2296,-13l2296,87m3876,34l3876,87m2596,34l2596,87m2916,34l2916,87m3236,34l3236,87m3556,-13l3556,87m1016,87l3886,87e" filled="false" stroked="true" strokeweight=".5pt" strokecolor="#000000">
            <v:path arrowok="t"/>
            <v:stroke dashstyle="solid"/>
            <w10:wrap type="none"/>
          </v:shape>
        </w:pict>
      </w:r>
      <w:r>
        <w:rPr/>
        <w:pict>
          <v:line style="position:absolute;mso-position-horizontal-relative:page;mso-position-vertical-relative:paragraph;z-index:16050688" from="202.446998pt,4.351572pt" to="198.113998pt,4.351572pt" stroked="true" strokeweight=".5pt" strokecolor="#000000">
            <v:stroke dashstyle="solid"/>
            <w10:wrap type="none"/>
          </v:line>
        </w:pict>
      </w:r>
      <w:r>
        <w:rPr>
          <w:sz w:val="12"/>
        </w:rPr>
        <w:t>1.0</w:t>
      </w:r>
    </w:p>
    <w:p>
      <w:pPr>
        <w:pStyle w:val="BodyText"/>
        <w:spacing w:before="6"/>
        <w:rPr>
          <w:sz w:val="28"/>
        </w:rPr>
      </w:pPr>
      <w:r>
        <w:rPr/>
        <w:br w:type="column"/>
      </w:r>
      <w:r>
        <w:rPr>
          <w:sz w:val="28"/>
        </w:rPr>
      </w:r>
    </w:p>
    <w:p>
      <w:pPr>
        <w:spacing w:before="1"/>
        <w:ind w:left="467" w:right="0" w:firstLine="0"/>
        <w:jc w:val="left"/>
        <w:rPr>
          <w:i/>
          <w:sz w:val="24"/>
        </w:rPr>
      </w:pPr>
      <w:r>
        <w:rPr>
          <w:i/>
          <w:color w:val="009391"/>
          <w:sz w:val="24"/>
        </w:rPr>
        <w:t>Inventories</w:t>
      </w:r>
    </w:p>
    <w:p>
      <w:pPr>
        <w:spacing w:line="242" w:lineRule="auto" w:before="164"/>
        <w:ind w:left="467" w:right="465" w:firstLine="0"/>
        <w:jc w:val="left"/>
        <w:rPr>
          <w:sz w:val="24"/>
        </w:rPr>
      </w:pPr>
      <w:r>
        <w:rPr>
          <w:sz w:val="24"/>
        </w:rPr>
        <w:t>Whole-economy</w:t>
      </w:r>
      <w:r>
        <w:rPr>
          <w:spacing w:val="-13"/>
          <w:sz w:val="24"/>
        </w:rPr>
        <w:t> </w:t>
      </w:r>
      <w:r>
        <w:rPr>
          <w:sz w:val="24"/>
        </w:rPr>
        <w:t>inventories</w:t>
      </w:r>
      <w:r>
        <w:rPr>
          <w:spacing w:val="-13"/>
          <w:sz w:val="24"/>
        </w:rPr>
        <w:t> </w:t>
      </w:r>
      <w:r>
        <w:rPr>
          <w:sz w:val="24"/>
        </w:rPr>
        <w:t>(excluding</w:t>
      </w:r>
      <w:r>
        <w:rPr>
          <w:spacing w:val="-13"/>
          <w:sz w:val="24"/>
        </w:rPr>
        <w:t> </w:t>
      </w:r>
      <w:r>
        <w:rPr>
          <w:sz w:val="24"/>
        </w:rPr>
        <w:t>the</w:t>
      </w:r>
      <w:r>
        <w:rPr>
          <w:spacing w:val="-13"/>
          <w:sz w:val="24"/>
        </w:rPr>
        <w:t> </w:t>
      </w:r>
      <w:r>
        <w:rPr>
          <w:sz w:val="24"/>
        </w:rPr>
        <w:t>alignment adjustment) rose by £1.4 billion in 2000 Q1 (see Chart 2.13), contrary to an anticipated rundown of stocks after the turn of the millennium. Retail</w:t>
      </w:r>
      <w:r>
        <w:rPr>
          <w:spacing w:val="-29"/>
          <w:sz w:val="24"/>
        </w:rPr>
        <w:t> </w:t>
      </w:r>
      <w:r>
        <w:rPr>
          <w:sz w:val="24"/>
        </w:rPr>
        <w:t>and</w:t>
      </w:r>
    </w:p>
    <w:p>
      <w:pPr>
        <w:spacing w:after="0" w:line="242" w:lineRule="auto"/>
        <w:jc w:val="left"/>
        <w:rPr>
          <w:sz w:val="24"/>
        </w:rPr>
        <w:sectPr>
          <w:type w:val="continuous"/>
          <w:pgSz w:w="11900" w:h="16840"/>
          <w:pgMar w:top="1260" w:bottom="280" w:left="640" w:right="640"/>
          <w:cols w:num="5" w:equalWidth="0">
            <w:col w:w="1887" w:space="40"/>
            <w:col w:w="597" w:space="39"/>
            <w:col w:w="664" w:space="39"/>
            <w:col w:w="390" w:space="862"/>
            <w:col w:w="6102"/>
          </w:cols>
        </w:sectPr>
      </w:pPr>
    </w:p>
    <w:p>
      <w:pPr>
        <w:spacing w:line="132" w:lineRule="exact" w:before="0"/>
        <w:ind w:left="185" w:right="0" w:firstLine="0"/>
        <w:jc w:val="left"/>
        <w:rPr>
          <w:sz w:val="12"/>
        </w:rPr>
      </w:pPr>
      <w:r>
        <w:rPr>
          <w:sz w:val="12"/>
        </w:rPr>
        <w:t>(a) At constant 1995 prices, excluding the alignment adjustment.</w:t>
      </w:r>
    </w:p>
    <w:p>
      <w:pPr>
        <w:pStyle w:val="BodyText"/>
        <w:rPr>
          <w:sz w:val="12"/>
        </w:rPr>
      </w:pPr>
    </w:p>
    <w:p>
      <w:pPr>
        <w:pStyle w:val="BodyText"/>
        <w:rPr>
          <w:sz w:val="12"/>
        </w:rPr>
      </w:pPr>
    </w:p>
    <w:p>
      <w:pPr>
        <w:pStyle w:val="BodyText"/>
        <w:spacing w:before="11"/>
        <w:rPr>
          <w:sz w:val="17"/>
        </w:rPr>
      </w:pPr>
    </w:p>
    <w:p>
      <w:pPr>
        <w:pStyle w:val="Heading6"/>
        <w:spacing w:line="249" w:lineRule="auto" w:before="0"/>
        <w:ind w:left="205" w:right="2005"/>
        <w:rPr>
          <w:b w:val="0"/>
          <w:sz w:val="12"/>
        </w:rPr>
      </w:pPr>
      <w:r>
        <w:rPr>
          <w:color w:val="0092C7"/>
        </w:rPr>
        <w:t>Chart 2.14 GDP growth</w:t>
      </w:r>
      <w:r>
        <w:rPr>
          <w:b w:val="0"/>
          <w:position w:val="4"/>
          <w:sz w:val="12"/>
        </w:rPr>
        <w:t>(a)</w:t>
      </w:r>
    </w:p>
    <w:p>
      <w:pPr>
        <w:spacing w:before="72"/>
        <w:ind w:left="1677" w:right="0" w:firstLine="0"/>
        <w:jc w:val="left"/>
        <w:rPr>
          <w:sz w:val="12"/>
        </w:rPr>
      </w:pPr>
      <w:r>
        <w:rPr/>
        <w:pict>
          <v:line style="position:absolute;mso-position-horizontal-relative:page;mso-position-vertical-relative:paragraph;z-index:16053248" from="41.359001pt,12.061283pt" to="45.692001pt,12.061283pt" stroked="true" strokeweight=".5pt" strokecolor="#000000">
            <v:stroke dashstyle="solid"/>
            <w10:wrap type="none"/>
          </v:line>
        </w:pict>
      </w:r>
      <w:r>
        <w:rPr/>
        <w:pict>
          <v:line style="position:absolute;mso-position-horizontal-relative:page;mso-position-vertical-relative:paragraph;z-index:-23244288" from="196.675995pt,12.078283pt" to="201.006995pt,12.078283pt" stroked="true" strokeweight=".5pt" strokecolor="#000000">
            <v:stroke dashstyle="solid"/>
            <w10:wrap type="none"/>
          </v:line>
        </w:pict>
      </w:r>
      <w:r>
        <w:rPr>
          <w:sz w:val="12"/>
        </w:rPr>
        <w:t>Percentage change on a year earlier </w:t>
      </w:r>
      <w:r>
        <w:rPr>
          <w:position w:val="-7"/>
          <w:sz w:val="12"/>
        </w:rPr>
        <w:t>6</w:t>
      </w:r>
    </w:p>
    <w:p>
      <w:pPr>
        <w:pStyle w:val="BodyText"/>
        <w:spacing w:before="10"/>
        <w:rPr>
          <w:sz w:val="29"/>
        </w:rPr>
      </w:pPr>
    </w:p>
    <w:p>
      <w:pPr>
        <w:spacing w:before="0"/>
        <w:ind w:left="0" w:right="38" w:firstLine="0"/>
        <w:jc w:val="right"/>
        <w:rPr>
          <w:sz w:val="12"/>
        </w:rPr>
      </w:pPr>
      <w:r>
        <w:rPr/>
        <w:pict>
          <v:group style="position:absolute;margin-left:41.359001pt;margin-top:2.845745pt;width:159.65pt;height:121.85pt;mso-position-horizontal-relative:page;mso-position-vertical-relative:paragraph;z-index:16052736" coordorigin="827,57" coordsize="3193,2437">
            <v:rect style="position:absolute;left:1008;top:2224;width:80;height:263" filled="true" fillcolor="#be869b" stroked="false">
              <v:fill type="solid"/>
            </v:rect>
            <v:rect style="position:absolute;left:1008;top:2224;width:80;height:263" filled="false" stroked="true" strokeweight=".5pt" strokecolor="#000000">
              <v:stroke dashstyle="solid"/>
            </v:rect>
            <v:rect style="position:absolute;left:1097;top:2224;width:80;height:263" filled="true" fillcolor="#be869b" stroked="false">
              <v:fill type="solid"/>
            </v:rect>
            <v:rect style="position:absolute;left:1097;top:2224;width:80;height:263" filled="false" stroked="true" strokeweight=".5pt" strokecolor="#000000">
              <v:stroke dashstyle="solid"/>
            </v:rect>
            <v:rect style="position:absolute;left:1187;top:2012;width:80;height:475" filled="true" fillcolor="#be869b" stroked="false">
              <v:fill type="solid"/>
            </v:rect>
            <v:rect style="position:absolute;left:1187;top:2012;width:80;height:475" filled="false" stroked="true" strokeweight=".5pt" strokecolor="#000000">
              <v:stroke dashstyle="solid"/>
            </v:rect>
            <v:rect style="position:absolute;left:1277;top:1979;width:80;height:508" filled="true" fillcolor="#be869b" stroked="false">
              <v:fill type="solid"/>
            </v:rect>
            <v:rect style="position:absolute;left:1277;top:1979;width:80;height:508" filled="false" stroked="true" strokeweight=".5pt" strokecolor="#000000">
              <v:stroke dashstyle="solid"/>
            </v:rect>
            <v:rect style="position:absolute;left:1393;top:1979;width:80;height:508" filled="true" fillcolor="#be869b" stroked="false">
              <v:fill type="solid"/>
            </v:rect>
            <v:rect style="position:absolute;left:1393;top:1979;width:80;height:508" filled="false" stroked="true" strokeweight=".5pt" strokecolor="#000000">
              <v:stroke dashstyle="solid"/>
            </v:rect>
            <v:rect style="position:absolute;left:1484;top:1879;width:80;height:608" filled="true" fillcolor="#be869b" stroked="false">
              <v:fill type="solid"/>
            </v:rect>
            <v:rect style="position:absolute;left:1484;top:1879;width:80;height:608" filled="false" stroked="true" strokeweight=".5pt" strokecolor="#000000">
              <v:stroke dashstyle="solid"/>
            </v:rect>
            <v:rect style="position:absolute;left:1574;top:1799;width:80;height:688" filled="true" fillcolor="#be869b" stroked="false">
              <v:fill type="solid"/>
            </v:rect>
            <v:rect style="position:absolute;left:1574;top:1799;width:80;height:688" filled="false" stroked="true" strokeweight=".5pt" strokecolor="#000000">
              <v:stroke dashstyle="solid"/>
            </v:rect>
            <v:rect style="position:absolute;left:1665;top:2092;width:80;height:395" filled="true" fillcolor="#be869b" stroked="false">
              <v:fill type="solid"/>
            </v:rect>
            <v:rect style="position:absolute;left:1665;top:2092;width:80;height:395" filled="false" stroked="true" strokeweight=".5pt" strokecolor="#000000">
              <v:stroke dashstyle="solid"/>
            </v:rect>
            <v:rect style="position:absolute;left:1777;top:2289;width:80;height:198" filled="true" fillcolor="#be869b" stroked="false">
              <v:fill type="solid"/>
            </v:rect>
            <v:rect style="position:absolute;left:1777;top:2289;width:80;height:198" filled="false" stroked="true" strokeweight=".5pt" strokecolor="#000000">
              <v:stroke dashstyle="solid"/>
            </v:rect>
            <v:rect style="position:absolute;left:1867;top:2289;width:80;height:198" filled="true" fillcolor="#be869b" stroked="false">
              <v:fill type="solid"/>
            </v:rect>
            <v:rect style="position:absolute;left:1867;top:2289;width:80;height:198" filled="false" stroked="true" strokeweight=".5pt" strokecolor="#000000">
              <v:stroke dashstyle="solid"/>
            </v:rect>
            <v:rect style="position:absolute;left:1956;top:2239;width:80;height:248" filled="true" fillcolor="#be869b" stroked="false">
              <v:fill type="solid"/>
            </v:rect>
            <v:rect style="position:absolute;left:1956;top:2239;width:80;height:248" filled="false" stroked="true" strokeweight=".5pt" strokecolor="#000000">
              <v:stroke dashstyle="solid"/>
            </v:rect>
            <v:rect style="position:absolute;left:2047;top:2192;width:80;height:295" filled="true" fillcolor="#be869b" stroked="false">
              <v:fill type="solid"/>
            </v:rect>
            <v:rect style="position:absolute;left:2047;top:2192;width:80;height:295" filled="false" stroked="true" strokeweight=".5pt" strokecolor="#000000">
              <v:stroke dashstyle="solid"/>
            </v:rect>
            <v:rect style="position:absolute;left:2163;top:2109;width:80;height:378" filled="true" fillcolor="#be869b" stroked="false">
              <v:fill type="solid"/>
            </v:rect>
            <v:rect style="position:absolute;left:2163;top:2109;width:80;height:378" filled="false" stroked="true" strokeweight=".5pt" strokecolor="#000000">
              <v:stroke dashstyle="solid"/>
            </v:rect>
            <v:rect style="position:absolute;left:2253;top:2257;width:80;height:230" filled="true" fillcolor="#be869b" stroked="false">
              <v:fill type="solid"/>
            </v:rect>
            <v:rect style="position:absolute;left:2253;top:2257;width:80;height:230" filled="false" stroked="true" strokeweight=".5pt" strokecolor="#000000">
              <v:stroke dashstyle="solid"/>
            </v:rect>
            <v:rect style="position:absolute;left:2342;top:2159;width:80;height:328" filled="true" fillcolor="#be869b" stroked="false">
              <v:fill type="solid"/>
            </v:rect>
            <v:rect style="position:absolute;left:2342;top:2159;width:80;height:328" filled="false" stroked="true" strokeweight=".5pt" strokecolor="#000000">
              <v:stroke dashstyle="solid"/>
            </v:rect>
            <v:rect style="position:absolute;left:2431;top:2059;width:80;height:428" filled="true" fillcolor="#be869b" stroked="false">
              <v:fill type="solid"/>
            </v:rect>
            <v:rect style="position:absolute;left:2431;top:2059;width:80;height:428" filled="false" stroked="true" strokeweight=".5pt" strokecolor="#000000">
              <v:stroke dashstyle="solid"/>
            </v:rect>
            <v:rect style="position:absolute;left:2555;top:1979;width:80;height:508" filled="true" fillcolor="#be869b" stroked="false">
              <v:fill type="solid"/>
            </v:rect>
            <v:rect style="position:absolute;left:2555;top:1979;width:80;height:508" filled="false" stroked="true" strokeweight=".5pt" strokecolor="#000000">
              <v:stroke dashstyle="solid"/>
            </v:rect>
            <v:rect style="position:absolute;left:2642;top:2077;width:80;height:410" filled="true" fillcolor="#be869b" stroked="false">
              <v:fill type="solid"/>
            </v:rect>
            <v:rect style="position:absolute;left:2642;top:2077;width:80;height:410" filled="false" stroked="true" strokeweight=".5pt" strokecolor="#000000">
              <v:stroke dashstyle="solid"/>
            </v:rect>
            <v:rect style="position:absolute;left:2730;top:1979;width:80;height:508" filled="true" fillcolor="#be869b" stroked="false">
              <v:fill type="solid"/>
            </v:rect>
            <v:rect style="position:absolute;left:2730;top:1979;width:80;height:508" filled="false" stroked="true" strokeweight=".5pt" strokecolor="#000000">
              <v:stroke dashstyle="solid"/>
            </v:rect>
            <v:rect style="position:absolute;left:2817;top:2257;width:80;height:230" filled="true" fillcolor="#be869b" stroked="false">
              <v:fill type="solid"/>
            </v:rect>
            <v:rect style="position:absolute;left:2817;top:2257;width:80;height:230" filled="false" stroked="true" strokeweight=".5pt" strokecolor="#000000">
              <v:stroke dashstyle="solid"/>
            </v:rect>
            <v:rect style="position:absolute;left:2942;top:2124;width:80;height:363" filled="true" fillcolor="#be869b" stroked="false">
              <v:fill type="solid"/>
            </v:rect>
            <v:rect style="position:absolute;left:2942;top:2124;width:80;height:363" filled="false" stroked="true" strokeweight=".5pt" strokecolor="#000000">
              <v:stroke dashstyle="solid"/>
            </v:rect>
            <v:rect style="position:absolute;left:3031;top:2174;width:80;height:313" filled="true" fillcolor="#be869b" stroked="false">
              <v:fill type="solid"/>
            </v:rect>
            <v:rect style="position:absolute;left:3031;top:2174;width:80;height:313" filled="false" stroked="true" strokeweight=".5pt" strokecolor="#000000">
              <v:stroke dashstyle="solid"/>
            </v:rect>
            <v:rect style="position:absolute;left:3118;top:2224;width:80;height:263" filled="true" fillcolor="#be869b" stroked="false">
              <v:fill type="solid"/>
            </v:rect>
            <v:rect style="position:absolute;left:3118;top:2224;width:80;height:263" filled="false" stroked="true" strokeweight=".5pt" strokecolor="#000000">
              <v:stroke dashstyle="solid"/>
            </v:rect>
            <v:rect style="position:absolute;left:3206;top:2437;width:80;height:50" filled="true" fillcolor="#be869b" stroked="false">
              <v:fill type="solid"/>
            </v:rect>
            <v:rect style="position:absolute;left:3206;top:2437;width:80;height:50" filled="false" stroked="true" strokeweight=".5pt" strokecolor="#000000">
              <v:stroke dashstyle="solid"/>
            </v:rect>
            <v:rect style="position:absolute;left:3328;top:2304;width:80;height:183" filled="true" fillcolor="#be869b" stroked="false">
              <v:fill type="solid"/>
            </v:rect>
            <v:rect style="position:absolute;left:3328;top:2304;width:80;height:183" filled="false" stroked="true" strokeweight=".5pt" strokecolor="#000000">
              <v:stroke dashstyle="solid"/>
            </v:rect>
            <v:rect style="position:absolute;left:3417;top:2142;width:80;height:345" filled="true" fillcolor="#be869b" stroked="false">
              <v:fill type="solid"/>
            </v:rect>
            <v:rect style="position:absolute;left:3417;top:2142;width:80;height:345" filled="false" stroked="true" strokeweight=".5pt" strokecolor="#000000">
              <v:stroke dashstyle="solid"/>
            </v:rect>
            <v:rect style="position:absolute;left:3506;top:2012;width:80;height:475" filled="true" fillcolor="#be869b" stroked="false">
              <v:fill type="solid"/>
            </v:rect>
            <v:rect style="position:absolute;left:3506;top:2012;width:80;height:475" filled="false" stroked="true" strokeweight=".5pt" strokecolor="#000000">
              <v:stroke dashstyle="solid"/>
            </v:rect>
            <v:rect style="position:absolute;left:3595;top:2142;width:80;height:345" filled="true" fillcolor="#be869b" stroked="false">
              <v:fill type="solid"/>
            </v:rect>
            <v:rect style="position:absolute;left:3595;top:2142;width:80;height:345" filled="false" stroked="true" strokeweight=".5pt" strokecolor="#000000">
              <v:stroke dashstyle="solid"/>
            </v:rect>
            <v:rect style="position:absolute;left:3705;top:2224;width:80;height:263" filled="true" fillcolor="#be869b" stroked="false">
              <v:fill type="solid"/>
            </v:rect>
            <v:rect style="position:absolute;left:3705;top:2224;width:80;height:263" filled="false" stroked="true" strokeweight=".5pt" strokecolor="#000000">
              <v:stroke dashstyle="solid"/>
            </v:rect>
            <v:rect style="position:absolute;left:3793;top:2059;width:80;height:428" filled="true" fillcolor="#be869b" stroked="false">
              <v:fill type="solid"/>
            </v:rect>
            <v:rect style="position:absolute;left:3793;top:2059;width:80;height:428" filled="false" stroked="true" strokeweight=".5pt" strokecolor="#000000">
              <v:stroke dashstyle="solid"/>
            </v:rect>
            <v:shape style="position:absolute;left:1033;top:132;width:2800;height:1715" coordorigin="1033,132" coordsize="2800,1715" path="m1033,1847l1133,1487m1133,1487l1233,1275m1233,1275l1321,965m1321,965l1421,720m1421,720l1521,360m1521,360l1621,132m1621,132l1708,245m1708,245l1808,572m1808,572l1908,997m1908,997l1996,1455m1996,1455l2096,1570m2096,1570l2196,1375m2196,1375l2283,1325m2283,1325l2383,1242m2383,1242l2583,982m2583,982l2671,802m2671,802l2771,622m2771,622l2871,817m2871,817l2958,982m2958,982l3058,1080m3058,1080l3158,1325m3158,1325l3246,1505m3246,1505l3346,1685m3346,1685l3446,1652m3446,1652l3546,1440m3546,1440l3633,1130m3633,1130l3833,965e" filled="false" stroked="true" strokeweight="1pt" strokecolor="#008360">
              <v:path arrowok="t"/>
              <v:stroke dashstyle="solid"/>
            </v:shape>
            <v:shape style="position:absolute;left:827;top:87;width:3193;height:2402" coordorigin="827,88" coordsize="3193,2402" path="m991,2486l3891,2486m988,2419l988,2486m1375,2419l1375,2486m1763,2419l1763,2486m2150,2419l2150,2486m2537,2419l2537,2486m2925,2419l2925,2486m3312,2419l3312,2486m3691,2419l3691,2486m827,88l914,88m827,568l914,568m827,1048l914,1048m827,2008l914,2008m827,1528l914,1528m827,2488l914,2488m3934,88l4020,88m3934,568l4020,568m3934,1048l4020,1048m3934,2009l4020,2009m3934,1528l4020,1528m3934,2489l4020,2489e" filled="false" stroked="true" strokeweight=".5pt" strokecolor="#000000">
              <v:path arrowok="t"/>
              <v:stroke dashstyle="solid"/>
            </v:shape>
            <v:shape style="position:absolute;left:1713;top:56;width:744;height:134" type="#_x0000_t202" filled="false" stroked="false">
              <v:textbox inset="0,0,0,0">
                <w:txbxContent>
                  <w:p>
                    <w:pPr>
                      <w:spacing w:line="133" w:lineRule="exact" w:before="0"/>
                      <w:ind w:left="0" w:right="0" w:firstLine="0"/>
                      <w:jc w:val="left"/>
                      <w:rPr>
                        <w:sz w:val="12"/>
                      </w:rPr>
                    </w:pPr>
                    <w:r>
                      <w:rPr>
                        <w:sz w:val="12"/>
                      </w:rPr>
                      <w:t>Annual growth</w:t>
                    </w:r>
                  </w:p>
                </w:txbxContent>
              </v:textbox>
              <w10:wrap type="none"/>
            </v:shape>
            <v:shape style="position:absolute;left:2094;top:1798;width:850;height:134" type="#_x0000_t202" filled="false" stroked="false">
              <v:textbox inset="0,0,0,0">
                <w:txbxContent>
                  <w:p>
                    <w:pPr>
                      <w:spacing w:line="133" w:lineRule="exact" w:before="0"/>
                      <w:ind w:left="0" w:right="0" w:firstLine="0"/>
                      <w:jc w:val="left"/>
                      <w:rPr>
                        <w:sz w:val="12"/>
                      </w:rPr>
                    </w:pPr>
                    <w:r>
                      <w:rPr>
                        <w:sz w:val="12"/>
                      </w:rPr>
                      <w:t>Quarterly growth</w:t>
                    </w:r>
                  </w:p>
                </w:txbxContent>
              </v:textbox>
              <w10:wrap type="none"/>
            </v:shape>
            <w10:wrap type="none"/>
          </v:group>
        </w:pict>
      </w:r>
      <w:r>
        <w:rPr>
          <w:sz w:val="12"/>
        </w:rPr>
        <w:t>5</w:t>
      </w:r>
    </w:p>
    <w:p>
      <w:pPr>
        <w:pStyle w:val="BodyText"/>
        <w:rPr>
          <w:sz w:val="12"/>
        </w:rPr>
      </w:pPr>
    </w:p>
    <w:p>
      <w:pPr>
        <w:pStyle w:val="BodyText"/>
        <w:spacing w:before="8"/>
        <w:rPr>
          <w:sz w:val="17"/>
        </w:rPr>
      </w:pPr>
    </w:p>
    <w:p>
      <w:pPr>
        <w:spacing w:before="0"/>
        <w:ind w:left="0" w:right="38" w:firstLine="0"/>
        <w:jc w:val="right"/>
        <w:rPr>
          <w:sz w:val="12"/>
        </w:rPr>
      </w:pPr>
      <w:r>
        <w:rPr>
          <w:sz w:val="12"/>
        </w:rPr>
        <w:t>4</w:t>
      </w:r>
    </w:p>
    <w:p>
      <w:pPr>
        <w:pStyle w:val="BodyText"/>
        <w:rPr>
          <w:sz w:val="12"/>
        </w:rPr>
      </w:pPr>
    </w:p>
    <w:p>
      <w:pPr>
        <w:pStyle w:val="BodyText"/>
        <w:spacing w:before="8"/>
        <w:rPr>
          <w:sz w:val="17"/>
        </w:rPr>
      </w:pPr>
    </w:p>
    <w:p>
      <w:pPr>
        <w:spacing w:before="0"/>
        <w:ind w:left="0" w:right="38" w:firstLine="0"/>
        <w:jc w:val="right"/>
        <w:rPr>
          <w:sz w:val="12"/>
        </w:rPr>
      </w:pPr>
      <w:r>
        <w:rPr>
          <w:sz w:val="12"/>
        </w:rPr>
        <w:t>3</w:t>
      </w:r>
    </w:p>
    <w:p>
      <w:pPr>
        <w:pStyle w:val="BodyText"/>
        <w:rPr>
          <w:sz w:val="12"/>
        </w:rPr>
      </w:pPr>
    </w:p>
    <w:p>
      <w:pPr>
        <w:pStyle w:val="BodyText"/>
        <w:spacing w:before="8"/>
        <w:rPr>
          <w:sz w:val="17"/>
        </w:rPr>
      </w:pPr>
    </w:p>
    <w:p>
      <w:pPr>
        <w:spacing w:before="0"/>
        <w:ind w:left="0" w:right="38" w:firstLine="0"/>
        <w:jc w:val="right"/>
        <w:rPr>
          <w:sz w:val="12"/>
        </w:rPr>
      </w:pPr>
      <w:r>
        <w:rPr>
          <w:sz w:val="12"/>
        </w:rPr>
        <w:t>2</w:t>
      </w:r>
    </w:p>
    <w:p>
      <w:pPr>
        <w:pStyle w:val="BodyText"/>
        <w:rPr>
          <w:sz w:val="12"/>
        </w:rPr>
      </w:pPr>
    </w:p>
    <w:p>
      <w:pPr>
        <w:pStyle w:val="BodyText"/>
        <w:spacing w:before="8"/>
        <w:rPr>
          <w:sz w:val="17"/>
        </w:rPr>
      </w:pPr>
    </w:p>
    <w:p>
      <w:pPr>
        <w:spacing w:before="1"/>
        <w:ind w:left="0" w:right="38" w:firstLine="0"/>
        <w:jc w:val="right"/>
        <w:rPr>
          <w:sz w:val="12"/>
        </w:rPr>
      </w:pPr>
      <w:r>
        <w:rPr>
          <w:sz w:val="12"/>
        </w:rPr>
        <w:t>1</w:t>
      </w:r>
    </w:p>
    <w:p>
      <w:pPr>
        <w:pStyle w:val="BodyText"/>
        <w:rPr>
          <w:sz w:val="12"/>
        </w:rPr>
      </w:pPr>
    </w:p>
    <w:p>
      <w:pPr>
        <w:pStyle w:val="BodyText"/>
        <w:spacing w:before="8"/>
        <w:rPr>
          <w:sz w:val="17"/>
        </w:rPr>
      </w:pPr>
    </w:p>
    <w:p>
      <w:pPr>
        <w:spacing w:line="133" w:lineRule="exact" w:before="0"/>
        <w:ind w:left="3423" w:right="0" w:firstLine="0"/>
        <w:jc w:val="left"/>
        <w:rPr>
          <w:sz w:val="12"/>
        </w:rPr>
      </w:pPr>
      <w:r>
        <w:rPr>
          <w:sz w:val="12"/>
        </w:rPr>
        <w:t>0</w:t>
      </w:r>
    </w:p>
    <w:p>
      <w:pPr>
        <w:tabs>
          <w:tab w:pos="1262" w:val="left" w:leader="none"/>
          <w:tab w:pos="1650" w:val="left" w:leader="none"/>
          <w:tab w:pos="2037" w:val="left" w:leader="none"/>
          <w:tab w:pos="2415" w:val="left" w:leader="none"/>
          <w:tab w:pos="2802" w:val="left" w:leader="none"/>
        </w:tabs>
        <w:spacing w:line="133" w:lineRule="exact" w:before="0"/>
        <w:ind w:left="445" w:right="0" w:firstLine="0"/>
        <w:jc w:val="left"/>
        <w:rPr>
          <w:sz w:val="12"/>
        </w:rPr>
      </w:pPr>
      <w:r>
        <w:rPr>
          <w:sz w:val="12"/>
        </w:rPr>
        <w:t>1993     </w:t>
      </w:r>
      <w:r>
        <w:rPr>
          <w:spacing w:val="9"/>
          <w:sz w:val="12"/>
        </w:rPr>
        <w:t> </w:t>
      </w:r>
      <w:r>
        <w:rPr>
          <w:sz w:val="12"/>
        </w:rPr>
        <w:t>94</w:t>
        <w:tab/>
        <w:t>95</w:t>
        <w:tab/>
        <w:t>96</w:t>
        <w:tab/>
        <w:t>97</w:t>
        <w:tab/>
        <w:t>98</w:t>
        <w:tab/>
        <w:t>99</w:t>
      </w:r>
      <w:r>
        <w:rPr>
          <w:spacing w:val="24"/>
          <w:sz w:val="12"/>
        </w:rPr>
        <w:t> </w:t>
      </w:r>
      <w:r>
        <w:rPr>
          <w:sz w:val="12"/>
        </w:rPr>
        <w:t>2000</w:t>
      </w:r>
    </w:p>
    <w:p>
      <w:pPr>
        <w:pStyle w:val="BodyText"/>
        <w:spacing w:before="2"/>
        <w:rPr>
          <w:sz w:val="14"/>
        </w:rPr>
      </w:pPr>
    </w:p>
    <w:p>
      <w:pPr>
        <w:spacing w:before="0"/>
        <w:ind w:left="185" w:right="0" w:firstLine="0"/>
        <w:jc w:val="left"/>
        <w:rPr>
          <w:sz w:val="12"/>
        </w:rPr>
      </w:pPr>
      <w:r>
        <w:rPr>
          <w:sz w:val="12"/>
        </w:rPr>
        <w:t>(a) At constant 1995 market prices.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3"/>
        </w:rPr>
      </w:pPr>
    </w:p>
    <w:p>
      <w:pPr>
        <w:pStyle w:val="Heading6"/>
        <w:spacing w:before="1"/>
        <w:ind w:left="205"/>
      </w:pPr>
      <w:r>
        <w:rPr>
          <w:color w:val="0092C7"/>
        </w:rPr>
        <w:t>Chart 2.15</w:t>
      </w:r>
    </w:p>
    <w:p>
      <w:pPr>
        <w:pStyle w:val="Heading6"/>
        <w:ind w:left="205"/>
        <w:rPr>
          <w:b w:val="0"/>
          <w:sz w:val="12"/>
        </w:rPr>
      </w:pPr>
      <w:r>
        <w:rPr>
          <w:color w:val="0092C7"/>
        </w:rPr>
        <w:t>Sectoral GDP growth</w:t>
      </w:r>
      <w:r>
        <w:rPr>
          <w:b w:val="0"/>
          <w:position w:val="4"/>
          <w:sz w:val="12"/>
        </w:rPr>
        <w:t>(a)</w:t>
      </w:r>
    </w:p>
    <w:p>
      <w:pPr>
        <w:spacing w:line="125" w:lineRule="exact" w:before="123"/>
        <w:ind w:left="1616" w:right="0" w:firstLine="0"/>
        <w:jc w:val="left"/>
        <w:rPr>
          <w:sz w:val="12"/>
        </w:rPr>
      </w:pPr>
      <w:r>
        <w:rPr>
          <w:sz w:val="12"/>
        </w:rPr>
        <w:t>Percentage changes on a year earlier</w:t>
      </w:r>
    </w:p>
    <w:p>
      <w:pPr>
        <w:spacing w:line="125" w:lineRule="exact" w:before="0"/>
        <w:ind w:left="3421" w:right="0" w:firstLine="0"/>
        <w:jc w:val="left"/>
        <w:rPr>
          <w:sz w:val="12"/>
        </w:rPr>
      </w:pPr>
      <w:r>
        <w:rPr/>
        <w:pict>
          <v:group style="position:absolute;margin-left:41.558998pt;margin-top:6.673737pt;width:163.25pt;height:142.8pt;mso-position-horizontal-relative:page;mso-position-vertical-relative:paragraph;z-index:16056320" coordorigin="831,133" coordsize="3265,2856">
            <v:line style="position:absolute" from="971,2489" to="3847,2489" stroked="true" strokeweight=".5pt" strokecolor="#000000">
              <v:stroke dashstyle="solid"/>
            </v:line>
            <v:line style="position:absolute" from="976,651" to="1051,636" stroked="true" strokeweight="1pt" strokecolor="#f6bd61">
              <v:stroke dashstyle="solid"/>
            </v:line>
            <v:line style="position:absolute" from="1041,637" to="1126,637" stroked="true" strokeweight="1.125pt" strokecolor="#f6bd61">
              <v:stroke dashstyle="solid"/>
            </v:line>
            <v:shape style="position:absolute;left:1115;top:143;width:915;height:493" coordorigin="1116,143" coordsize="915,493" path="m1116,636l1191,581m1191,581l1256,511m1256,511l1331,453m1331,453l1471,243m1471,243l1536,143m1536,143l1611,171m1611,171l1676,186m1676,186l1751,213m1751,213l1816,243m1816,243l1891,256m1891,256l1956,283m1956,283l2031,298e" filled="false" stroked="true" strokeweight="1pt" strokecolor="#f6bd61">
              <v:path arrowok="t"/>
              <v:stroke dashstyle="solid"/>
            </v:shape>
            <v:line style="position:absolute" from="2021,300" to="2103,300" stroked="true" strokeweight="1.125pt" strokecolor="#f6bd61">
              <v:stroke dashstyle="solid"/>
            </v:line>
            <v:shape style="position:absolute;left:2093;top:298;width:980;height:888" coordorigin="2093,298" coordsize="980,888" path="m2093,298l2171,313m2171,313l2233,398m2233,398l2308,481m2308,481l2373,566m2373,566l2448,651m2448,651l2513,721m2513,721l2588,806m2588,806l2653,848m2653,848l2728,906m2728,906l2793,946m2793,946l2868,1031m2868,1031l2933,1116m2933,1116l3008,1186m3008,1186l3073,1173e" filled="false" stroked="true" strokeweight="1pt" strokecolor="#f6bd61">
              <v:path arrowok="t"/>
              <v:stroke dashstyle="solid"/>
            </v:shape>
            <v:line style="position:absolute" from="3063,1175" to="3158,1175" stroked="true" strokeweight="1.125pt" strokecolor="#f6bd61">
              <v:stroke dashstyle="solid"/>
            </v:line>
            <v:shape style="position:absolute;left:3148;top:750;width:698;height:423" coordorigin="3148,751" coordsize="698,423" path="m3148,1173l3213,1158m3213,1158l3288,1061m3288,1061l3353,961m3353,961l3428,863m3428,863l3491,876m3491,876l3568,891m3568,891l3631,918m3631,918l3846,751e" filled="false" stroked="true" strokeweight="1pt" strokecolor="#f6bd61">
              <v:path arrowok="t"/>
              <v:stroke dashstyle="solid"/>
            </v:shape>
            <v:shape style="position:absolute;left:975;top:593;width:2870;height:1088" coordorigin="976,593" coordsize="2870,1088" path="m976,1046l1051,1003m1051,1003l1116,961m1116,961l1191,906m1191,906l1256,833m1256,833l1331,778m1331,778l1396,721m1396,721l1471,651m1471,651l1536,593m1536,593l1611,666m1611,666l1676,736m1676,736l1751,806m1751,806l1816,848m1816,848l1891,906m1891,906l1956,961m1956,961l2031,988m2031,988l2093,1031m2093,1031l2171,1061m2171,1061l2233,1143m2233,1143l2308,1228m2308,1228l2373,1313m2373,1313l2448,1371m2448,1371l2513,1426m2513,1426l2588,1496m2588,1496l2653,1553m2653,1553l2728,1623m2728,1623l2793,1681m2793,1681l2868,1666m2868,1666l2933,1651m2933,1651l3008,1638m3008,1638l3073,1568m3073,1568l3148,1496m3148,1496l3213,1426m3213,1426l3353,1216m3353,1216l3428,1116m3428,1116l3491,1088m3491,1088l3568,1061m3568,1061l3631,1031m3631,1031l3846,946e" filled="false" stroked="true" strokeweight="1pt" strokecolor="#008360">
              <v:path arrowok="t"/>
              <v:stroke dashstyle="solid"/>
            </v:shape>
            <v:shape style="position:absolute;left:975;top:1708;width:1118;height:875" coordorigin="976,1708" coordsize="1118,875" path="m976,1778l1051,1751m1051,1751l1116,2018m1116,2018l1191,2046m1191,2046l1256,2231m1256,2231l1331,1976m1331,1976l1396,1863m1396,1863l1471,1708m1471,1708l1536,1836m1536,1836l1611,2033m1611,2033l1676,2188m1676,2188l1751,2216m1751,2216l1816,2553m1816,2553l1891,2583m1891,2583l1956,2313m1956,2313l2031,1933m2031,1933l2093,1778e" filled="false" stroked="true" strokeweight="1pt" strokecolor="#972140">
              <v:path arrowok="t"/>
              <v:stroke dashstyle="solid"/>
            </v:shape>
            <v:line style="position:absolute" from="2083,1780" to="2181,1780" stroked="true" strokeweight="1.125pt" strokecolor="#972140">
              <v:stroke dashstyle="solid"/>
            </v:line>
            <v:shape style="position:absolute;left:2170;top:1440;width:1600;height:1368" coordorigin="2171,1441" coordsize="1600,1368" path="m2171,1778l2233,2046m2233,2046l2308,2033m2308,2033l2373,2131m2373,2131l2448,2033m2448,2033l2513,2103m2513,2103l2588,2201m2588,2201l2653,2286m2653,2286l2728,2456m2728,2456l2793,2638m2793,2638l2868,2808m2868,2808l2933,2751m2933,2751l3008,2778m3008,2778l3073,2511m3073,2511l3148,2313m3148,2313l3213,2033m3213,2033l3288,1878m3288,1878l3353,1708m3353,1708l3428,1623m3428,1623l3491,1608m3491,1608l3568,1751m3568,1751l3631,1763m3631,1763l3706,1623m3706,1623l3771,1441e" filled="false" stroked="true" strokeweight="1pt" strokecolor="#972140">
              <v:path arrowok="t"/>
              <v:stroke dashstyle="solid"/>
            </v:shape>
            <v:shape style="position:absolute;left:831;top:541;width:3175;height:2444" coordorigin="831,541" coordsize="3175,2444" path="m982,2984l3847,2984m983,2868l983,2984m1123,2937l1123,2984m1262,2937l1262,2984m1332,2937l1332,2984m1402,2937l1402,2984m1472,2937l1472,2984m1612,2937l1612,2984m1542,2937l1542,2984m1681,2937l1681,2984m1751,2937l1751,2984m1053,2937l1053,2984m1193,2937l1193,2984m1821,2868l1821,2984m1961,2937l1961,2984m2100,2937l2100,2984m2170,2937l2170,2984m2240,2937l2240,2984m2310,2937l2310,2984m2449,2937l2449,2984m2380,2937l2380,2984m2519,2937l2519,2984m2589,2937l2589,2984m1891,2937l1891,2984m2031,2937l2031,2984m2659,2868l2659,2984m2799,2937l2799,2984m2938,2937l2938,2984m3008,2937l3008,2984m3078,2937l3078,2984m3148,2937l3148,2984m3287,2937l3287,2984m3218,2937l3218,2984m3357,2937l3357,2984m3427,2937l3427,2984m2729,2937l2729,2984m2868,2937l2868,2984m3497,2868l3497,2984m3636,2937l3636,2984m3776,2937l3776,2984m3846,2937l3846,2984m3567,2937l3567,2984m3706,2937l3706,2984m3919,541l4005,541m3919,1028l4005,1028m3919,1515l4005,1515m3919,2489l4005,2489m3919,2002l4005,2002m3919,2976l4005,2976m831,541l918,541m831,1028l918,1028m831,1515l918,1515m831,2489l918,2489m831,2002l918,2002m831,2976l918,2976e" filled="false" stroked="true" strokeweight=".5pt" strokecolor="#000000">
              <v:path arrowok="t"/>
              <v:stroke dashstyle="solid"/>
            </v:shape>
            <v:shape style="position:absolute;left:2409;top:421;width:427;height:133" type="#_x0000_t202" filled="false" stroked="false">
              <v:textbox inset="0,0,0,0">
                <w:txbxContent>
                  <w:p>
                    <w:pPr>
                      <w:spacing w:line="133" w:lineRule="exact" w:before="0"/>
                      <w:ind w:left="0" w:right="0" w:firstLine="0"/>
                      <w:jc w:val="left"/>
                      <w:rPr>
                        <w:sz w:val="12"/>
                      </w:rPr>
                    </w:pPr>
                    <w:r>
                      <w:rPr>
                        <w:sz w:val="12"/>
                      </w:rPr>
                      <w:t>Services</w:t>
                    </w:r>
                  </w:p>
                </w:txbxContent>
              </v:textbox>
              <w10:wrap type="none"/>
            </v:shape>
            <v:shape style="position:absolute;left:1569;top:1042;width:544;height:133" type="#_x0000_t202" filled="false" stroked="false">
              <v:textbox inset="0,0,0,0">
                <w:txbxContent>
                  <w:p>
                    <w:pPr>
                      <w:spacing w:line="133" w:lineRule="exact" w:before="0"/>
                      <w:ind w:left="0" w:right="0" w:firstLine="0"/>
                      <w:jc w:val="left"/>
                      <w:rPr>
                        <w:sz w:val="12"/>
                      </w:rPr>
                    </w:pPr>
                    <w:r>
                      <w:rPr>
                        <w:sz w:val="12"/>
                      </w:rPr>
                      <w:t>Total GDP</w:t>
                    </w:r>
                  </w:p>
                </w:txbxContent>
              </v:textbox>
              <w10:wrap type="none"/>
            </v:shape>
            <v:shape style="position:absolute;left:2231;top:1851;width:547;height:133" type="#_x0000_t202" filled="false" stroked="false">
              <v:textbox inset="0,0,0,0">
                <w:txbxContent>
                  <w:p>
                    <w:pPr>
                      <w:spacing w:line="133" w:lineRule="exact" w:before="0"/>
                      <w:ind w:left="0" w:right="0" w:firstLine="0"/>
                      <w:jc w:val="left"/>
                      <w:rPr>
                        <w:sz w:val="12"/>
                      </w:rPr>
                    </w:pPr>
                    <w:r>
                      <w:rPr>
                        <w:sz w:val="12"/>
                      </w:rPr>
                      <w:t>Production</w:t>
                    </w:r>
                  </w:p>
                </w:txbxContent>
              </v:textbox>
              <w10:wrap type="none"/>
            </v:shape>
            <v:shape style="position:absolute;left:3985;top:2191;width:111;height:520" type="#_x0000_t202" filled="false" stroked="false">
              <v:textbox inset="0,0,0,0">
                <w:txbxContent>
                  <w:p>
                    <w:pPr>
                      <w:spacing w:line="177" w:lineRule="exact" w:before="0"/>
                      <w:ind w:left="0" w:right="0" w:firstLine="0"/>
                      <w:jc w:val="left"/>
                      <w:rPr>
                        <w:sz w:val="16"/>
                      </w:rPr>
                    </w:pPr>
                    <w:r>
                      <w:rPr>
                        <w:sz w:val="16"/>
                      </w:rPr>
                      <w:t>+</w:t>
                    </w:r>
                  </w:p>
                  <w:p>
                    <w:pPr>
                      <w:spacing w:before="158"/>
                      <w:ind w:left="10" w:right="0" w:firstLine="0"/>
                      <w:jc w:val="left"/>
                      <w:rPr>
                        <w:sz w:val="16"/>
                      </w:rPr>
                    </w:pPr>
                    <w:r>
                      <w:rPr>
                        <w:sz w:val="16"/>
                      </w:rPr>
                      <w:t>_</w:t>
                    </w:r>
                  </w:p>
                </w:txbxContent>
              </v:textbox>
              <w10:wrap type="none"/>
            </v:shape>
            <w10:wrap type="none"/>
          </v:group>
        </w:pict>
      </w:r>
      <w:r>
        <w:rPr/>
        <w:pict>
          <v:line style="position:absolute;mso-position-horizontal-relative:page;mso-position-vertical-relative:paragraph;z-index:16056832" from="195.934006pt,2.699737pt" to="200.266006pt,2.699737pt" stroked="true" strokeweight=".5pt" strokecolor="#000000">
            <v:stroke dashstyle="solid"/>
            <w10:wrap type="none"/>
          </v:line>
        </w:pict>
      </w:r>
      <w:r>
        <w:rPr/>
        <w:pict>
          <v:line style="position:absolute;mso-position-horizontal-relative:page;mso-position-vertical-relative:paragraph;z-index:16057344" from="41.558998pt,2.699737pt" to="45.890998pt,2.699737pt" stroked="true" strokeweight=".5pt" strokecolor="#000000">
            <v:stroke dashstyle="solid"/>
            <w10:wrap type="none"/>
          </v:line>
        </w:pict>
      </w:r>
      <w:r>
        <w:rPr>
          <w:sz w:val="12"/>
        </w:rPr>
        <w:t>5</w:t>
      </w:r>
    </w:p>
    <w:p>
      <w:pPr>
        <w:pStyle w:val="BodyText"/>
        <w:rPr>
          <w:sz w:val="12"/>
        </w:rPr>
      </w:pPr>
    </w:p>
    <w:p>
      <w:pPr>
        <w:pStyle w:val="BodyText"/>
        <w:rPr>
          <w:sz w:val="12"/>
        </w:rPr>
      </w:pPr>
    </w:p>
    <w:p>
      <w:pPr>
        <w:spacing w:before="73"/>
        <w:ind w:left="0" w:right="40" w:firstLine="0"/>
        <w:jc w:val="right"/>
        <w:rPr>
          <w:sz w:val="12"/>
        </w:rPr>
      </w:pPr>
      <w:r>
        <w:rPr>
          <w:sz w:val="12"/>
        </w:rPr>
        <w:t>4</w:t>
      </w:r>
    </w:p>
    <w:p>
      <w:pPr>
        <w:pStyle w:val="BodyText"/>
        <w:rPr>
          <w:sz w:val="12"/>
        </w:rPr>
      </w:pPr>
    </w:p>
    <w:p>
      <w:pPr>
        <w:pStyle w:val="BodyText"/>
        <w:rPr>
          <w:sz w:val="12"/>
        </w:rPr>
      </w:pPr>
    </w:p>
    <w:p>
      <w:pPr>
        <w:spacing w:before="72"/>
        <w:ind w:left="0" w:right="40" w:firstLine="0"/>
        <w:jc w:val="right"/>
        <w:rPr>
          <w:sz w:val="12"/>
        </w:rPr>
      </w:pPr>
      <w:r>
        <w:rPr>
          <w:sz w:val="12"/>
        </w:rPr>
        <w:t>3</w:t>
      </w:r>
    </w:p>
    <w:p>
      <w:pPr>
        <w:pStyle w:val="BodyText"/>
        <w:rPr>
          <w:sz w:val="12"/>
        </w:rPr>
      </w:pPr>
    </w:p>
    <w:p>
      <w:pPr>
        <w:pStyle w:val="BodyText"/>
        <w:rPr>
          <w:sz w:val="12"/>
        </w:rPr>
      </w:pPr>
    </w:p>
    <w:p>
      <w:pPr>
        <w:spacing w:before="72"/>
        <w:ind w:left="0" w:right="40" w:firstLine="0"/>
        <w:jc w:val="right"/>
        <w:rPr>
          <w:sz w:val="12"/>
        </w:rPr>
      </w:pPr>
      <w:r>
        <w:rPr>
          <w:sz w:val="12"/>
        </w:rPr>
        <w:t>2</w:t>
      </w:r>
    </w:p>
    <w:p>
      <w:pPr>
        <w:pStyle w:val="BodyText"/>
        <w:rPr>
          <w:sz w:val="12"/>
        </w:rPr>
      </w:pPr>
    </w:p>
    <w:p>
      <w:pPr>
        <w:pStyle w:val="BodyText"/>
        <w:rPr>
          <w:sz w:val="12"/>
        </w:rPr>
      </w:pPr>
    </w:p>
    <w:p>
      <w:pPr>
        <w:spacing w:before="73"/>
        <w:ind w:left="0" w:right="40" w:firstLine="0"/>
        <w:jc w:val="right"/>
        <w:rPr>
          <w:sz w:val="12"/>
        </w:rPr>
      </w:pPr>
      <w:r>
        <w:rPr>
          <w:sz w:val="12"/>
        </w:rPr>
        <w:t>1</w:t>
      </w:r>
    </w:p>
    <w:p>
      <w:pPr>
        <w:pStyle w:val="BodyText"/>
        <w:rPr>
          <w:sz w:val="12"/>
        </w:rPr>
      </w:pPr>
    </w:p>
    <w:p>
      <w:pPr>
        <w:pStyle w:val="BodyText"/>
        <w:rPr>
          <w:sz w:val="12"/>
        </w:rPr>
      </w:pPr>
    </w:p>
    <w:p>
      <w:pPr>
        <w:spacing w:before="72"/>
        <w:ind w:left="0" w:right="40" w:firstLine="0"/>
        <w:jc w:val="right"/>
        <w:rPr>
          <w:sz w:val="12"/>
        </w:rPr>
      </w:pPr>
      <w:r>
        <w:rPr>
          <w:sz w:val="12"/>
        </w:rPr>
        <w:t>0</w:t>
      </w:r>
    </w:p>
    <w:p>
      <w:pPr>
        <w:pStyle w:val="BodyText"/>
        <w:rPr>
          <w:sz w:val="12"/>
        </w:rPr>
      </w:pPr>
    </w:p>
    <w:p>
      <w:pPr>
        <w:pStyle w:val="BodyText"/>
        <w:rPr>
          <w:sz w:val="12"/>
        </w:rPr>
      </w:pPr>
    </w:p>
    <w:p>
      <w:pPr>
        <w:spacing w:line="133" w:lineRule="exact" w:before="72"/>
        <w:ind w:left="3421" w:right="0" w:firstLine="0"/>
        <w:jc w:val="left"/>
        <w:rPr>
          <w:sz w:val="12"/>
        </w:rPr>
      </w:pPr>
      <w:r>
        <w:rPr>
          <w:sz w:val="12"/>
        </w:rPr>
        <w:t>1</w:t>
      </w:r>
    </w:p>
    <w:p>
      <w:pPr>
        <w:tabs>
          <w:tab w:pos="1544" w:val="left" w:leader="none"/>
          <w:tab w:pos="2382" w:val="left" w:leader="none"/>
          <w:tab w:pos="2931" w:val="left" w:leader="none"/>
        </w:tabs>
        <w:spacing w:line="133" w:lineRule="exact" w:before="0"/>
        <w:ind w:left="642" w:right="0" w:firstLine="0"/>
        <w:jc w:val="left"/>
        <w:rPr>
          <w:sz w:val="12"/>
        </w:rPr>
      </w:pPr>
      <w:r>
        <w:rPr>
          <w:sz w:val="12"/>
        </w:rPr>
        <w:t>1997</w:t>
        <w:tab/>
        <w:t>98</w:t>
        <w:tab/>
        <w:t>99</w:t>
        <w:tab/>
        <w:t>2000</w:t>
      </w:r>
    </w:p>
    <w:p>
      <w:pPr>
        <w:spacing w:line="208" w:lineRule="auto" w:before="44"/>
        <w:ind w:left="425" w:right="113" w:hanging="240"/>
        <w:jc w:val="left"/>
        <w:rPr>
          <w:sz w:val="12"/>
        </w:rPr>
      </w:pPr>
      <w:r>
        <w:rPr>
          <w:sz w:val="12"/>
        </w:rPr>
        <w:t>(a) GDP at 1995 market prices, production and service sector output at 1995 basic prices.</w:t>
      </w:r>
    </w:p>
    <w:p>
      <w:pPr>
        <w:spacing w:line="242" w:lineRule="auto" w:before="5"/>
        <w:ind w:left="185" w:right="157" w:firstLine="0"/>
        <w:jc w:val="left"/>
        <w:rPr>
          <w:sz w:val="24"/>
        </w:rPr>
      </w:pPr>
      <w:r>
        <w:rPr/>
        <w:br w:type="column"/>
      </w:r>
      <w:r>
        <w:rPr>
          <w:sz w:val="24"/>
        </w:rPr>
        <w:t>wholesale stocks rose unusually sharply—by the largest amount since records began. But there is little evidence of a marked involuntary build-up in stocks. Retail goods sales were strong in 2000 Q1 and the CBI distributive trades survey reported that stocks were not unusually high relative to sales. Moreover, a recent survey by the Bank’s Agents found that most stockbuilding in the distribution sector had been voluntary. One potential explanation was pre-emptive stockbuilding of tobacco products to pay duty in advance of rises in the Budget.</w:t>
      </w:r>
    </w:p>
    <w:p>
      <w:pPr>
        <w:pStyle w:val="BodyText"/>
        <w:spacing w:before="5"/>
        <w:rPr>
          <w:sz w:val="25"/>
        </w:rPr>
      </w:pPr>
    </w:p>
    <w:p>
      <w:pPr>
        <w:spacing w:line="242" w:lineRule="auto" w:before="0"/>
        <w:ind w:left="185" w:right="363" w:firstLine="0"/>
        <w:jc w:val="left"/>
        <w:rPr>
          <w:sz w:val="24"/>
        </w:rPr>
      </w:pPr>
      <w:r>
        <w:rPr>
          <w:sz w:val="24"/>
        </w:rPr>
        <w:t>Forward-looking surveys pointed to some rundown in stocks in Q2. In the medium term, the MPC has maintained the assumption that the stock-output ratio across the economy as a whole will resume its decline, reflecting further improvements in stock management techniques.</w:t>
      </w:r>
    </w:p>
    <w:p>
      <w:pPr>
        <w:pStyle w:val="BodyText"/>
        <w:spacing w:before="2"/>
        <w:rPr>
          <w:sz w:val="25"/>
        </w:rPr>
      </w:pPr>
    </w:p>
    <w:p>
      <w:pPr>
        <w:pStyle w:val="ListParagraph"/>
        <w:numPr>
          <w:ilvl w:val="1"/>
          <w:numId w:val="15"/>
        </w:numPr>
        <w:tabs>
          <w:tab w:pos="4594" w:val="left" w:leader="none"/>
          <w:tab w:pos="4595" w:val="left" w:leader="none"/>
          <w:tab w:pos="5675" w:val="left" w:leader="none"/>
        </w:tabs>
        <w:spacing w:line="240" w:lineRule="auto" w:before="1" w:after="0"/>
        <w:ind w:left="4594" w:right="0" w:hanging="4410"/>
        <w:jc w:val="left"/>
        <w:rPr>
          <w:b/>
          <w:sz w:val="28"/>
        </w:rPr>
      </w:pPr>
      <w:r>
        <w:rPr>
          <w:b/>
          <w:color w:val="009391"/>
          <w:sz w:val="28"/>
          <w:u w:val="thick" w:color="0092C7"/>
        </w:rPr>
        <w:t>Output</w:t>
        <w:tab/>
      </w:r>
    </w:p>
    <w:p>
      <w:pPr>
        <w:pStyle w:val="BodyText"/>
        <w:spacing w:before="10"/>
        <w:rPr>
          <w:b/>
          <w:sz w:val="23"/>
        </w:rPr>
      </w:pPr>
    </w:p>
    <w:p>
      <w:pPr>
        <w:spacing w:line="242" w:lineRule="auto" w:before="0"/>
        <w:ind w:left="185" w:right="183" w:firstLine="0"/>
        <w:jc w:val="left"/>
        <w:rPr>
          <w:sz w:val="24"/>
        </w:rPr>
      </w:pPr>
      <w:r>
        <w:rPr>
          <w:sz w:val="24"/>
        </w:rPr>
        <w:t>According to the preliminary estimate, real GDP rose by 0.9% in 2000 Q2, and by 3.1% on a year earlier, following quarterly growth of 0.5% in Q1 (see</w:t>
      </w:r>
    </w:p>
    <w:p>
      <w:pPr>
        <w:spacing w:line="242" w:lineRule="auto" w:before="4"/>
        <w:ind w:left="185" w:right="349" w:firstLine="0"/>
        <w:jc w:val="left"/>
        <w:rPr>
          <w:sz w:val="24"/>
        </w:rPr>
      </w:pPr>
      <w:r>
        <w:rPr>
          <w:sz w:val="24"/>
        </w:rPr>
        <w:t>Chart 2.14). Nominal GDP rose by 1.0% in Q1 and by 5.8% on a year earlier. The National Accounts release on 29 June revised up past estimates of real GDP. As a result, measured output in Q1 was 0.6% higher than previously estimated. Revisions to nominal GDP were much smaller. As a consequence, the GDP deflator is now around 0.5% lower than previously thought (see Section 4).</w:t>
      </w:r>
    </w:p>
    <w:p>
      <w:pPr>
        <w:pStyle w:val="BodyText"/>
        <w:spacing w:before="3"/>
        <w:rPr>
          <w:sz w:val="25"/>
        </w:rPr>
      </w:pPr>
    </w:p>
    <w:p>
      <w:pPr>
        <w:spacing w:line="242" w:lineRule="auto" w:before="0"/>
        <w:ind w:left="185" w:right="201" w:firstLine="0"/>
        <w:jc w:val="left"/>
        <w:rPr>
          <w:sz w:val="24"/>
        </w:rPr>
      </w:pPr>
      <w:r>
        <w:rPr>
          <w:sz w:val="24"/>
        </w:rPr>
        <w:t>Production sector growth remained below growth in the service sector in 2000 Q1, although the gap has narrowed over the past year (see Chart 2.15). In Q1</w:t>
      </w:r>
    </w:p>
    <w:p>
      <w:pPr>
        <w:spacing w:after="0" w:line="242" w:lineRule="auto"/>
        <w:jc w:val="left"/>
        <w:rPr>
          <w:sz w:val="24"/>
        </w:rPr>
        <w:sectPr>
          <w:type w:val="continuous"/>
          <w:pgSz w:w="11900" w:h="16840"/>
          <w:pgMar w:top="1260" w:bottom="280" w:left="640" w:right="640"/>
          <w:cols w:num="2" w:equalWidth="0">
            <w:col w:w="3524" w:space="1276"/>
            <w:col w:w="5820"/>
          </w:cols>
        </w:sectPr>
      </w:pPr>
    </w:p>
    <w:p>
      <w:pPr>
        <w:pStyle w:val="BodyText"/>
        <w:rPr>
          <w:sz w:val="20"/>
        </w:rPr>
      </w:pPr>
    </w:p>
    <w:p>
      <w:pPr>
        <w:spacing w:after="0"/>
        <w:rPr>
          <w:sz w:val="20"/>
        </w:rPr>
        <w:sectPr>
          <w:pgSz w:w="11900" w:h="16840"/>
          <w:pgMar w:header="586" w:footer="592" w:top="780" w:bottom="780" w:left="640" w:right="640"/>
        </w:sectPr>
      </w:pPr>
    </w:p>
    <w:p>
      <w:pPr>
        <w:pStyle w:val="BodyText"/>
        <w:spacing w:before="6"/>
        <w:rPr>
          <w:sz w:val="20"/>
        </w:rPr>
      </w:pPr>
    </w:p>
    <w:p>
      <w:pPr>
        <w:pStyle w:val="Heading6"/>
        <w:spacing w:before="0"/>
        <w:ind w:left="154"/>
      </w:pPr>
      <w:r>
        <w:rPr>
          <w:color w:val="0092C7"/>
        </w:rPr>
        <w:t>Table 2.D</w:t>
      </w:r>
    </w:p>
    <w:p>
      <w:pPr>
        <w:pStyle w:val="Heading6"/>
        <w:ind w:left="154"/>
        <w:rPr>
          <w:b w:val="0"/>
          <w:sz w:val="12"/>
        </w:rPr>
      </w:pPr>
      <w:r>
        <w:rPr>
          <w:color w:val="0092C7"/>
        </w:rPr>
        <w:t>Manufacturing output prospects</w:t>
      </w:r>
      <w:r>
        <w:rPr>
          <w:b w:val="0"/>
          <w:position w:val="4"/>
          <w:sz w:val="12"/>
        </w:rPr>
        <w:t>(a)</w:t>
      </w:r>
    </w:p>
    <w:p>
      <w:pPr>
        <w:spacing w:before="106"/>
        <w:ind w:left="154" w:right="0" w:firstLine="0"/>
        <w:jc w:val="left"/>
        <w:rPr>
          <w:sz w:val="14"/>
        </w:rPr>
      </w:pPr>
      <w:r>
        <w:rPr/>
        <w:pict>
          <v:shape style="position:absolute;margin-left:37.224201pt;margin-top:19.597374pt;width:220.25pt;height:88.8pt;mso-position-horizontal-relative:page;mso-position-vertical-relative:paragraph;z-index:160783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78"/>
                    <w:gridCol w:w="525"/>
                    <w:gridCol w:w="491"/>
                    <w:gridCol w:w="448"/>
                    <w:gridCol w:w="484"/>
                    <w:gridCol w:w="413"/>
                    <w:gridCol w:w="467"/>
                  </w:tblGrid>
                  <w:tr>
                    <w:trPr>
                      <w:trHeight w:val="295" w:hRule="atLeast"/>
                    </w:trPr>
                    <w:tc>
                      <w:tcPr>
                        <w:tcW w:w="3526" w:type="dxa"/>
                        <w:gridSpan w:val="5"/>
                      </w:tcPr>
                      <w:p>
                        <w:pPr>
                          <w:pStyle w:val="TableParagraph"/>
                          <w:tabs>
                            <w:tab w:pos="3467" w:val="right" w:leader="none"/>
                          </w:tabs>
                          <w:spacing w:line="145" w:lineRule="exact"/>
                          <w:ind w:left="1603"/>
                          <w:rPr>
                            <w:sz w:val="14"/>
                          </w:rPr>
                        </w:pPr>
                        <w:r>
                          <w:rPr>
                            <w:sz w:val="14"/>
                          </w:rPr>
                          <w:t>Series</w:t>
                          <w:tab/>
                        </w:r>
                        <w:r>
                          <w:rPr>
                            <w:sz w:val="14"/>
                            <w:u w:val="single"/>
                          </w:rPr>
                          <w:t>1999</w:t>
                          <w:tab/>
                        </w:r>
                      </w:p>
                      <w:p>
                        <w:pPr>
                          <w:pStyle w:val="TableParagraph"/>
                          <w:tabs>
                            <w:tab w:pos="3193" w:val="left" w:leader="none"/>
                          </w:tabs>
                          <w:spacing w:line="130" w:lineRule="exact"/>
                          <w:ind w:left="1603"/>
                          <w:rPr>
                            <w:sz w:val="14"/>
                          </w:rPr>
                        </w:pPr>
                        <w:r>
                          <w:rPr>
                            <w:sz w:val="14"/>
                            <w:u w:val="single"/>
                          </w:rPr>
                          <w:t>average </w:t>
                        </w:r>
                        <w:r>
                          <w:rPr>
                            <w:sz w:val="12"/>
                            <w:u w:val="single"/>
                          </w:rPr>
                          <w:t>(b</w:t>
                        </w:r>
                        <w:r>
                          <w:rPr>
                            <w:sz w:val="12"/>
                          </w:rPr>
                          <w:t>) </w:t>
                        </w:r>
                        <w:r>
                          <w:rPr>
                            <w:spacing w:val="25"/>
                            <w:sz w:val="12"/>
                          </w:rPr>
                          <w:t> </w:t>
                        </w:r>
                        <w:r>
                          <w:rPr>
                            <w:sz w:val="14"/>
                            <w:u w:val="single"/>
                          </w:rPr>
                          <w:t>Q2  </w:t>
                        </w:r>
                        <w:r>
                          <w:rPr>
                            <w:sz w:val="14"/>
                          </w:rPr>
                          <w:t>    </w:t>
                        </w:r>
                        <w:r>
                          <w:rPr>
                            <w:spacing w:val="25"/>
                            <w:sz w:val="14"/>
                            <w:u w:val="single"/>
                          </w:rPr>
                          <w:t> </w:t>
                        </w:r>
                        <w:r>
                          <w:rPr>
                            <w:sz w:val="14"/>
                            <w:u w:val="single"/>
                          </w:rPr>
                          <w:t>Q3</w:t>
                        </w:r>
                        <w:r>
                          <w:rPr>
                            <w:sz w:val="14"/>
                          </w:rPr>
                          <w:tab/>
                        </w:r>
                        <w:r>
                          <w:rPr>
                            <w:sz w:val="14"/>
                            <w:u w:val="single"/>
                          </w:rPr>
                          <w:t>Q4</w:t>
                        </w:r>
                        <w:r>
                          <w:rPr>
                            <w:spacing w:val="-13"/>
                            <w:sz w:val="14"/>
                            <w:u w:val="single"/>
                          </w:rPr>
                          <w:t> </w:t>
                        </w:r>
                      </w:p>
                    </w:tc>
                    <w:tc>
                      <w:tcPr>
                        <w:tcW w:w="880" w:type="dxa"/>
                        <w:gridSpan w:val="2"/>
                      </w:tcPr>
                      <w:p>
                        <w:pPr>
                          <w:pStyle w:val="TableParagraph"/>
                          <w:tabs>
                            <w:tab w:pos="828" w:val="left" w:leader="none"/>
                          </w:tabs>
                          <w:spacing w:line="145" w:lineRule="exact"/>
                          <w:ind w:left="108"/>
                          <w:rPr>
                            <w:sz w:val="14"/>
                          </w:rPr>
                        </w:pPr>
                        <w:r>
                          <w:rPr>
                            <w:sz w:val="14"/>
                            <w:u w:val="single"/>
                          </w:rPr>
                          <w:t>2000</w:t>
                          <w:tab/>
                        </w:r>
                      </w:p>
                      <w:p>
                        <w:pPr>
                          <w:pStyle w:val="TableParagraph"/>
                          <w:tabs>
                            <w:tab w:pos="562" w:val="left" w:leader="none"/>
                          </w:tabs>
                          <w:spacing w:line="130" w:lineRule="exact"/>
                          <w:ind w:left="108"/>
                          <w:rPr>
                            <w:sz w:val="14"/>
                          </w:rPr>
                        </w:pPr>
                        <w:r>
                          <w:rPr>
                            <w:sz w:val="14"/>
                            <w:u w:val="single"/>
                          </w:rPr>
                          <w:t>Q1</w:t>
                        </w:r>
                        <w:r>
                          <w:rPr>
                            <w:sz w:val="14"/>
                          </w:rPr>
                          <w:tab/>
                        </w:r>
                        <w:r>
                          <w:rPr>
                            <w:sz w:val="14"/>
                            <w:u w:val="single"/>
                          </w:rPr>
                          <w:t> Q2</w:t>
                        </w:r>
                        <w:r>
                          <w:rPr>
                            <w:spacing w:val="-9"/>
                            <w:sz w:val="14"/>
                            <w:u w:val="single"/>
                          </w:rPr>
                          <w:t> </w:t>
                        </w:r>
                      </w:p>
                    </w:tc>
                  </w:tr>
                  <w:tr>
                    <w:trPr>
                      <w:trHeight w:val="352" w:hRule="atLeast"/>
                    </w:trPr>
                    <w:tc>
                      <w:tcPr>
                        <w:tcW w:w="1578" w:type="dxa"/>
                      </w:tcPr>
                      <w:p>
                        <w:pPr>
                          <w:pStyle w:val="TableParagraph"/>
                          <w:spacing w:line="140" w:lineRule="exact" w:before="77"/>
                          <w:ind w:left="120" w:right="152" w:hanging="70"/>
                          <w:rPr>
                            <w:sz w:val="14"/>
                          </w:rPr>
                        </w:pPr>
                        <w:r>
                          <w:rPr>
                            <w:sz w:val="14"/>
                          </w:rPr>
                          <w:t>CBI total new orders past four months</w:t>
                        </w:r>
                      </w:p>
                    </w:tc>
                    <w:tc>
                      <w:tcPr>
                        <w:tcW w:w="525" w:type="dxa"/>
                      </w:tcPr>
                      <w:p>
                        <w:pPr>
                          <w:pStyle w:val="TableParagraph"/>
                          <w:spacing w:line="240" w:lineRule="auto" w:before="3"/>
                          <w:rPr>
                            <w:sz w:val="17"/>
                          </w:rPr>
                        </w:pPr>
                      </w:p>
                      <w:p>
                        <w:pPr>
                          <w:pStyle w:val="TableParagraph"/>
                          <w:spacing w:line="133" w:lineRule="exact"/>
                          <w:ind w:right="135"/>
                          <w:jc w:val="right"/>
                          <w:rPr>
                            <w:sz w:val="14"/>
                          </w:rPr>
                        </w:pPr>
                        <w:r>
                          <w:rPr>
                            <w:sz w:val="14"/>
                          </w:rPr>
                          <w:t>-1</w:t>
                        </w:r>
                      </w:p>
                    </w:tc>
                    <w:tc>
                      <w:tcPr>
                        <w:tcW w:w="491" w:type="dxa"/>
                      </w:tcPr>
                      <w:p>
                        <w:pPr>
                          <w:pStyle w:val="TableParagraph"/>
                          <w:spacing w:line="240" w:lineRule="auto" w:before="3"/>
                          <w:rPr>
                            <w:sz w:val="17"/>
                          </w:rPr>
                        </w:pPr>
                      </w:p>
                      <w:p>
                        <w:pPr>
                          <w:pStyle w:val="TableParagraph"/>
                          <w:spacing w:line="133" w:lineRule="exact"/>
                          <w:ind w:right="106"/>
                          <w:jc w:val="right"/>
                          <w:rPr>
                            <w:sz w:val="14"/>
                          </w:rPr>
                        </w:pPr>
                        <w:r>
                          <w:rPr>
                            <w:sz w:val="14"/>
                          </w:rPr>
                          <w:t>-19</w:t>
                        </w:r>
                      </w:p>
                    </w:tc>
                    <w:tc>
                      <w:tcPr>
                        <w:tcW w:w="448" w:type="dxa"/>
                      </w:tcPr>
                      <w:p>
                        <w:pPr>
                          <w:pStyle w:val="TableParagraph"/>
                          <w:spacing w:line="240" w:lineRule="auto" w:before="3"/>
                          <w:rPr>
                            <w:sz w:val="17"/>
                          </w:rPr>
                        </w:pPr>
                      </w:p>
                      <w:p>
                        <w:pPr>
                          <w:pStyle w:val="TableParagraph"/>
                          <w:spacing w:line="133" w:lineRule="exact"/>
                          <w:ind w:left="194" w:right="51"/>
                          <w:jc w:val="center"/>
                          <w:rPr>
                            <w:sz w:val="14"/>
                          </w:rPr>
                        </w:pPr>
                        <w:r>
                          <w:rPr>
                            <w:sz w:val="14"/>
                          </w:rPr>
                          <w:t>-5</w:t>
                        </w:r>
                      </w:p>
                    </w:tc>
                    <w:tc>
                      <w:tcPr>
                        <w:tcW w:w="484" w:type="dxa"/>
                      </w:tcPr>
                      <w:p>
                        <w:pPr>
                          <w:pStyle w:val="TableParagraph"/>
                          <w:spacing w:line="240" w:lineRule="auto" w:before="3"/>
                          <w:rPr>
                            <w:sz w:val="17"/>
                          </w:rPr>
                        </w:pPr>
                      </w:p>
                      <w:p>
                        <w:pPr>
                          <w:pStyle w:val="TableParagraph"/>
                          <w:spacing w:line="133" w:lineRule="exact"/>
                          <w:ind w:right="142"/>
                          <w:jc w:val="right"/>
                          <w:rPr>
                            <w:sz w:val="14"/>
                          </w:rPr>
                        </w:pPr>
                        <w:r>
                          <w:rPr>
                            <w:sz w:val="14"/>
                          </w:rPr>
                          <w:t>9</w:t>
                        </w:r>
                      </w:p>
                    </w:tc>
                    <w:tc>
                      <w:tcPr>
                        <w:tcW w:w="413" w:type="dxa"/>
                      </w:tcPr>
                      <w:p>
                        <w:pPr>
                          <w:pStyle w:val="TableParagraph"/>
                          <w:spacing w:line="240" w:lineRule="auto" w:before="3"/>
                          <w:rPr>
                            <w:sz w:val="17"/>
                          </w:rPr>
                        </w:pPr>
                      </w:p>
                      <w:p>
                        <w:pPr>
                          <w:pStyle w:val="TableParagraph"/>
                          <w:spacing w:line="133" w:lineRule="exact"/>
                          <w:ind w:right="107"/>
                          <w:jc w:val="right"/>
                          <w:rPr>
                            <w:sz w:val="14"/>
                          </w:rPr>
                        </w:pPr>
                        <w:r>
                          <w:rPr>
                            <w:sz w:val="14"/>
                          </w:rPr>
                          <w:t>-4</w:t>
                        </w:r>
                      </w:p>
                    </w:tc>
                    <w:tc>
                      <w:tcPr>
                        <w:tcW w:w="467" w:type="dxa"/>
                      </w:tcPr>
                      <w:p>
                        <w:pPr>
                          <w:pStyle w:val="TableParagraph"/>
                          <w:spacing w:line="240" w:lineRule="auto" w:before="3"/>
                          <w:rPr>
                            <w:sz w:val="17"/>
                          </w:rPr>
                        </w:pPr>
                      </w:p>
                      <w:p>
                        <w:pPr>
                          <w:pStyle w:val="TableParagraph"/>
                          <w:spacing w:line="133" w:lineRule="exact"/>
                          <w:ind w:right="111"/>
                          <w:jc w:val="right"/>
                          <w:rPr>
                            <w:sz w:val="14"/>
                          </w:rPr>
                        </w:pPr>
                        <w:r>
                          <w:rPr>
                            <w:sz w:val="14"/>
                          </w:rPr>
                          <w:t>-8</w:t>
                        </w:r>
                      </w:p>
                    </w:tc>
                  </w:tr>
                  <w:tr>
                    <w:trPr>
                      <w:trHeight w:val="275" w:hRule="atLeast"/>
                    </w:trPr>
                    <w:tc>
                      <w:tcPr>
                        <w:tcW w:w="1578" w:type="dxa"/>
                      </w:tcPr>
                      <w:p>
                        <w:pPr>
                          <w:pStyle w:val="TableParagraph"/>
                          <w:spacing w:line="140" w:lineRule="exact"/>
                          <w:ind w:left="120" w:right="152" w:hanging="70"/>
                          <w:rPr>
                            <w:sz w:val="14"/>
                          </w:rPr>
                        </w:pPr>
                        <w:r>
                          <w:rPr>
                            <w:sz w:val="14"/>
                          </w:rPr>
                          <w:t>CBI volume of output next four months</w:t>
                        </w:r>
                      </w:p>
                    </w:tc>
                    <w:tc>
                      <w:tcPr>
                        <w:tcW w:w="525" w:type="dxa"/>
                      </w:tcPr>
                      <w:p>
                        <w:pPr>
                          <w:pStyle w:val="TableParagraph"/>
                          <w:spacing w:line="133" w:lineRule="exact" w:before="122"/>
                          <w:ind w:right="135"/>
                          <w:jc w:val="right"/>
                          <w:rPr>
                            <w:sz w:val="14"/>
                          </w:rPr>
                        </w:pPr>
                        <w:r>
                          <w:rPr>
                            <w:sz w:val="14"/>
                          </w:rPr>
                          <w:t>+8</w:t>
                        </w:r>
                      </w:p>
                    </w:tc>
                    <w:tc>
                      <w:tcPr>
                        <w:tcW w:w="491" w:type="dxa"/>
                      </w:tcPr>
                      <w:p>
                        <w:pPr>
                          <w:pStyle w:val="TableParagraph"/>
                          <w:spacing w:line="133" w:lineRule="exact" w:before="122"/>
                          <w:ind w:right="106"/>
                          <w:jc w:val="right"/>
                          <w:rPr>
                            <w:sz w:val="14"/>
                          </w:rPr>
                        </w:pPr>
                        <w:r>
                          <w:rPr>
                            <w:sz w:val="14"/>
                          </w:rPr>
                          <w:t>-4</w:t>
                        </w:r>
                      </w:p>
                    </w:tc>
                    <w:tc>
                      <w:tcPr>
                        <w:tcW w:w="448" w:type="dxa"/>
                      </w:tcPr>
                      <w:p>
                        <w:pPr>
                          <w:pStyle w:val="TableParagraph"/>
                          <w:spacing w:line="133" w:lineRule="exact" w:before="122"/>
                          <w:ind w:left="194" w:right="74"/>
                          <w:jc w:val="center"/>
                          <w:rPr>
                            <w:sz w:val="14"/>
                          </w:rPr>
                        </w:pPr>
                        <w:r>
                          <w:rPr>
                            <w:sz w:val="14"/>
                          </w:rPr>
                          <w:t>12</w:t>
                        </w:r>
                      </w:p>
                    </w:tc>
                    <w:tc>
                      <w:tcPr>
                        <w:tcW w:w="484" w:type="dxa"/>
                      </w:tcPr>
                      <w:p>
                        <w:pPr>
                          <w:pStyle w:val="TableParagraph"/>
                          <w:spacing w:line="133" w:lineRule="exact" w:before="122"/>
                          <w:ind w:right="142"/>
                          <w:jc w:val="right"/>
                          <w:rPr>
                            <w:sz w:val="14"/>
                          </w:rPr>
                        </w:pPr>
                        <w:r>
                          <w:rPr>
                            <w:sz w:val="14"/>
                          </w:rPr>
                          <w:t>11</w:t>
                        </w:r>
                      </w:p>
                    </w:tc>
                    <w:tc>
                      <w:tcPr>
                        <w:tcW w:w="413" w:type="dxa"/>
                      </w:tcPr>
                      <w:p>
                        <w:pPr>
                          <w:pStyle w:val="TableParagraph"/>
                          <w:spacing w:line="133" w:lineRule="exact" w:before="122"/>
                          <w:ind w:right="107"/>
                          <w:jc w:val="right"/>
                          <w:rPr>
                            <w:sz w:val="14"/>
                          </w:rPr>
                        </w:pPr>
                        <w:r>
                          <w:rPr>
                            <w:sz w:val="14"/>
                          </w:rPr>
                          <w:t>1</w:t>
                        </w:r>
                      </w:p>
                    </w:tc>
                    <w:tc>
                      <w:tcPr>
                        <w:tcW w:w="467" w:type="dxa"/>
                      </w:tcPr>
                      <w:p>
                        <w:pPr>
                          <w:pStyle w:val="TableParagraph"/>
                          <w:spacing w:line="133" w:lineRule="exact" w:before="122"/>
                          <w:ind w:right="111"/>
                          <w:jc w:val="right"/>
                          <w:rPr>
                            <w:sz w:val="14"/>
                          </w:rPr>
                        </w:pPr>
                        <w:r>
                          <w:rPr>
                            <w:sz w:val="14"/>
                          </w:rPr>
                          <w:t>3</w:t>
                        </w:r>
                      </w:p>
                    </w:tc>
                  </w:tr>
                  <w:tr>
                    <w:trPr>
                      <w:trHeight w:val="275" w:hRule="atLeast"/>
                    </w:trPr>
                    <w:tc>
                      <w:tcPr>
                        <w:tcW w:w="1578" w:type="dxa"/>
                      </w:tcPr>
                      <w:p>
                        <w:pPr>
                          <w:pStyle w:val="TableParagraph"/>
                          <w:spacing w:line="140" w:lineRule="exact"/>
                          <w:ind w:left="120" w:right="152" w:hanging="70"/>
                          <w:rPr>
                            <w:sz w:val="12"/>
                          </w:rPr>
                        </w:pPr>
                        <w:r>
                          <w:rPr>
                            <w:sz w:val="14"/>
                          </w:rPr>
                          <w:t>CIPS new orders index past month </w:t>
                        </w:r>
                        <w:r>
                          <w:rPr>
                            <w:sz w:val="12"/>
                          </w:rPr>
                          <w:t>(c)</w:t>
                        </w:r>
                      </w:p>
                    </w:tc>
                    <w:tc>
                      <w:tcPr>
                        <w:tcW w:w="525" w:type="dxa"/>
                      </w:tcPr>
                      <w:p>
                        <w:pPr>
                          <w:pStyle w:val="TableParagraph"/>
                          <w:spacing w:line="133" w:lineRule="exact" w:before="122"/>
                          <w:ind w:right="135"/>
                          <w:jc w:val="right"/>
                          <w:rPr>
                            <w:sz w:val="14"/>
                          </w:rPr>
                        </w:pPr>
                        <w:r>
                          <w:rPr>
                            <w:sz w:val="14"/>
                          </w:rPr>
                          <w:t>52.9</w:t>
                        </w:r>
                      </w:p>
                    </w:tc>
                    <w:tc>
                      <w:tcPr>
                        <w:tcW w:w="491" w:type="dxa"/>
                      </w:tcPr>
                      <w:p>
                        <w:pPr>
                          <w:pStyle w:val="TableParagraph"/>
                          <w:spacing w:line="133" w:lineRule="exact" w:before="122"/>
                          <w:ind w:right="106"/>
                          <w:jc w:val="right"/>
                          <w:rPr>
                            <w:sz w:val="14"/>
                          </w:rPr>
                        </w:pPr>
                        <w:r>
                          <w:rPr>
                            <w:sz w:val="14"/>
                          </w:rPr>
                          <w:t>52.9</w:t>
                        </w:r>
                      </w:p>
                    </w:tc>
                    <w:tc>
                      <w:tcPr>
                        <w:tcW w:w="448" w:type="dxa"/>
                      </w:tcPr>
                      <w:p>
                        <w:pPr>
                          <w:pStyle w:val="TableParagraph"/>
                          <w:spacing w:line="133" w:lineRule="exact" w:before="122"/>
                          <w:ind w:left="89" w:right="74"/>
                          <w:jc w:val="center"/>
                          <w:rPr>
                            <w:sz w:val="14"/>
                          </w:rPr>
                        </w:pPr>
                        <w:r>
                          <w:rPr>
                            <w:sz w:val="14"/>
                          </w:rPr>
                          <w:t>58.6</w:t>
                        </w:r>
                      </w:p>
                    </w:tc>
                    <w:tc>
                      <w:tcPr>
                        <w:tcW w:w="484" w:type="dxa"/>
                      </w:tcPr>
                      <w:p>
                        <w:pPr>
                          <w:pStyle w:val="TableParagraph"/>
                          <w:spacing w:line="133" w:lineRule="exact" w:before="122"/>
                          <w:ind w:right="142"/>
                          <w:jc w:val="right"/>
                          <w:rPr>
                            <w:sz w:val="14"/>
                          </w:rPr>
                        </w:pPr>
                        <w:r>
                          <w:rPr>
                            <w:sz w:val="14"/>
                          </w:rPr>
                          <w:t>56.7</w:t>
                        </w:r>
                      </w:p>
                    </w:tc>
                    <w:tc>
                      <w:tcPr>
                        <w:tcW w:w="413" w:type="dxa"/>
                      </w:tcPr>
                      <w:p>
                        <w:pPr>
                          <w:pStyle w:val="TableParagraph"/>
                          <w:spacing w:line="133" w:lineRule="exact" w:before="122"/>
                          <w:ind w:right="107"/>
                          <w:jc w:val="right"/>
                          <w:rPr>
                            <w:sz w:val="14"/>
                          </w:rPr>
                        </w:pPr>
                        <w:r>
                          <w:rPr>
                            <w:sz w:val="14"/>
                          </w:rPr>
                          <w:t>52.4</w:t>
                        </w:r>
                      </w:p>
                    </w:tc>
                    <w:tc>
                      <w:tcPr>
                        <w:tcW w:w="467" w:type="dxa"/>
                      </w:tcPr>
                      <w:p>
                        <w:pPr>
                          <w:pStyle w:val="TableParagraph"/>
                          <w:spacing w:line="133" w:lineRule="exact" w:before="122"/>
                          <w:ind w:right="111"/>
                          <w:jc w:val="right"/>
                          <w:rPr>
                            <w:sz w:val="14"/>
                          </w:rPr>
                        </w:pPr>
                        <w:r>
                          <w:rPr>
                            <w:sz w:val="14"/>
                          </w:rPr>
                          <w:t>51.4</w:t>
                        </w:r>
                      </w:p>
                    </w:tc>
                  </w:tr>
                  <w:tr>
                    <w:trPr>
                      <w:trHeight w:val="275" w:hRule="atLeast"/>
                    </w:trPr>
                    <w:tc>
                      <w:tcPr>
                        <w:tcW w:w="1578" w:type="dxa"/>
                      </w:tcPr>
                      <w:p>
                        <w:pPr>
                          <w:pStyle w:val="TableParagraph"/>
                          <w:spacing w:line="140" w:lineRule="exact"/>
                          <w:ind w:left="120" w:right="450" w:hanging="70"/>
                          <w:rPr>
                            <w:sz w:val="14"/>
                          </w:rPr>
                        </w:pPr>
                        <w:r>
                          <w:rPr>
                            <w:sz w:val="14"/>
                          </w:rPr>
                          <w:t>BCC home orders past three months</w:t>
                        </w:r>
                      </w:p>
                    </w:tc>
                    <w:tc>
                      <w:tcPr>
                        <w:tcW w:w="525" w:type="dxa"/>
                      </w:tcPr>
                      <w:p>
                        <w:pPr>
                          <w:pStyle w:val="TableParagraph"/>
                          <w:spacing w:line="133" w:lineRule="exact" w:before="122"/>
                          <w:ind w:right="135"/>
                          <w:jc w:val="right"/>
                          <w:rPr>
                            <w:sz w:val="14"/>
                          </w:rPr>
                        </w:pPr>
                        <w:r>
                          <w:rPr>
                            <w:sz w:val="14"/>
                          </w:rPr>
                          <w:t>+6</w:t>
                        </w:r>
                      </w:p>
                    </w:tc>
                    <w:tc>
                      <w:tcPr>
                        <w:tcW w:w="491" w:type="dxa"/>
                      </w:tcPr>
                      <w:p>
                        <w:pPr>
                          <w:pStyle w:val="TableParagraph"/>
                          <w:spacing w:line="133" w:lineRule="exact" w:before="122"/>
                          <w:ind w:right="106"/>
                          <w:jc w:val="right"/>
                          <w:rPr>
                            <w:sz w:val="14"/>
                          </w:rPr>
                        </w:pPr>
                        <w:r>
                          <w:rPr>
                            <w:sz w:val="14"/>
                          </w:rPr>
                          <w:t>5</w:t>
                        </w:r>
                      </w:p>
                    </w:tc>
                    <w:tc>
                      <w:tcPr>
                        <w:tcW w:w="448" w:type="dxa"/>
                      </w:tcPr>
                      <w:p>
                        <w:pPr>
                          <w:pStyle w:val="TableParagraph"/>
                          <w:spacing w:line="133" w:lineRule="exact" w:before="122"/>
                          <w:ind w:left="194" w:right="74"/>
                          <w:jc w:val="center"/>
                          <w:rPr>
                            <w:sz w:val="14"/>
                          </w:rPr>
                        </w:pPr>
                        <w:r>
                          <w:rPr>
                            <w:sz w:val="14"/>
                          </w:rPr>
                          <w:t>19</w:t>
                        </w:r>
                      </w:p>
                    </w:tc>
                    <w:tc>
                      <w:tcPr>
                        <w:tcW w:w="484" w:type="dxa"/>
                      </w:tcPr>
                      <w:p>
                        <w:pPr>
                          <w:pStyle w:val="TableParagraph"/>
                          <w:spacing w:line="133" w:lineRule="exact" w:before="122"/>
                          <w:ind w:right="142"/>
                          <w:jc w:val="right"/>
                          <w:rPr>
                            <w:sz w:val="14"/>
                          </w:rPr>
                        </w:pPr>
                        <w:r>
                          <w:rPr>
                            <w:sz w:val="14"/>
                          </w:rPr>
                          <w:t>20</w:t>
                        </w:r>
                      </w:p>
                    </w:tc>
                    <w:tc>
                      <w:tcPr>
                        <w:tcW w:w="413" w:type="dxa"/>
                      </w:tcPr>
                      <w:p>
                        <w:pPr>
                          <w:pStyle w:val="TableParagraph"/>
                          <w:spacing w:line="133" w:lineRule="exact" w:before="122"/>
                          <w:ind w:right="107"/>
                          <w:jc w:val="right"/>
                          <w:rPr>
                            <w:sz w:val="14"/>
                          </w:rPr>
                        </w:pPr>
                        <w:r>
                          <w:rPr>
                            <w:sz w:val="14"/>
                          </w:rPr>
                          <w:t>15</w:t>
                        </w:r>
                      </w:p>
                    </w:tc>
                    <w:tc>
                      <w:tcPr>
                        <w:tcW w:w="467" w:type="dxa"/>
                      </w:tcPr>
                      <w:p>
                        <w:pPr>
                          <w:pStyle w:val="TableParagraph"/>
                          <w:spacing w:line="133" w:lineRule="exact" w:before="122"/>
                          <w:ind w:right="111"/>
                          <w:jc w:val="right"/>
                          <w:rPr>
                            <w:sz w:val="14"/>
                          </w:rPr>
                        </w:pPr>
                        <w:r>
                          <w:rPr>
                            <w:sz w:val="14"/>
                          </w:rPr>
                          <w:t>5</w:t>
                        </w:r>
                      </w:p>
                    </w:tc>
                  </w:tr>
                  <w:tr>
                    <w:trPr>
                      <w:trHeight w:val="282" w:hRule="atLeast"/>
                    </w:trPr>
                    <w:tc>
                      <w:tcPr>
                        <w:tcW w:w="1578" w:type="dxa"/>
                      </w:tcPr>
                      <w:p>
                        <w:pPr>
                          <w:pStyle w:val="TableParagraph"/>
                          <w:spacing w:line="140" w:lineRule="exact"/>
                          <w:ind w:left="120" w:right="-1" w:hanging="70"/>
                          <w:rPr>
                            <w:sz w:val="14"/>
                          </w:rPr>
                        </w:pPr>
                        <w:r>
                          <w:rPr>
                            <w:sz w:val="14"/>
                          </w:rPr>
                          <w:t>EEF volume of new orders past three months</w:t>
                        </w:r>
                      </w:p>
                    </w:tc>
                    <w:tc>
                      <w:tcPr>
                        <w:tcW w:w="525" w:type="dxa"/>
                      </w:tcPr>
                      <w:p>
                        <w:pPr>
                          <w:pStyle w:val="TableParagraph"/>
                          <w:spacing w:line="141" w:lineRule="exact" w:before="122"/>
                          <w:ind w:right="135"/>
                          <w:jc w:val="right"/>
                          <w:rPr>
                            <w:sz w:val="14"/>
                          </w:rPr>
                        </w:pPr>
                        <w:r>
                          <w:rPr>
                            <w:sz w:val="14"/>
                          </w:rPr>
                          <w:t>+7</w:t>
                        </w:r>
                      </w:p>
                    </w:tc>
                    <w:tc>
                      <w:tcPr>
                        <w:tcW w:w="491" w:type="dxa"/>
                      </w:tcPr>
                      <w:p>
                        <w:pPr>
                          <w:pStyle w:val="TableParagraph"/>
                          <w:spacing w:line="141" w:lineRule="exact" w:before="122"/>
                          <w:ind w:right="106"/>
                          <w:jc w:val="right"/>
                          <w:rPr>
                            <w:sz w:val="14"/>
                          </w:rPr>
                        </w:pPr>
                        <w:r>
                          <w:rPr>
                            <w:sz w:val="14"/>
                          </w:rPr>
                          <w:t>-20</w:t>
                        </w:r>
                      </w:p>
                    </w:tc>
                    <w:tc>
                      <w:tcPr>
                        <w:tcW w:w="448" w:type="dxa"/>
                      </w:tcPr>
                      <w:p>
                        <w:pPr>
                          <w:pStyle w:val="TableParagraph"/>
                          <w:spacing w:line="141" w:lineRule="exact" w:before="122"/>
                          <w:ind w:left="190"/>
                          <w:jc w:val="center"/>
                          <w:rPr>
                            <w:sz w:val="14"/>
                          </w:rPr>
                        </w:pPr>
                        <w:r>
                          <w:rPr>
                            <w:sz w:val="14"/>
                          </w:rPr>
                          <w:t>4</w:t>
                        </w:r>
                      </w:p>
                    </w:tc>
                    <w:tc>
                      <w:tcPr>
                        <w:tcW w:w="484" w:type="dxa"/>
                      </w:tcPr>
                      <w:p>
                        <w:pPr>
                          <w:pStyle w:val="TableParagraph"/>
                          <w:spacing w:line="141" w:lineRule="exact" w:before="122"/>
                          <w:ind w:right="142"/>
                          <w:jc w:val="right"/>
                          <w:rPr>
                            <w:sz w:val="14"/>
                          </w:rPr>
                        </w:pPr>
                        <w:r>
                          <w:rPr>
                            <w:sz w:val="14"/>
                          </w:rPr>
                          <w:t>7</w:t>
                        </w:r>
                      </w:p>
                    </w:tc>
                    <w:tc>
                      <w:tcPr>
                        <w:tcW w:w="413" w:type="dxa"/>
                      </w:tcPr>
                      <w:p>
                        <w:pPr>
                          <w:pStyle w:val="TableParagraph"/>
                          <w:spacing w:line="141" w:lineRule="exact" w:before="122"/>
                          <w:ind w:right="107"/>
                          <w:jc w:val="right"/>
                          <w:rPr>
                            <w:sz w:val="14"/>
                          </w:rPr>
                        </w:pPr>
                        <w:r>
                          <w:rPr>
                            <w:sz w:val="14"/>
                          </w:rPr>
                          <w:t>8</w:t>
                        </w:r>
                      </w:p>
                    </w:tc>
                    <w:tc>
                      <w:tcPr>
                        <w:tcW w:w="467" w:type="dxa"/>
                      </w:tcPr>
                      <w:p>
                        <w:pPr>
                          <w:pStyle w:val="TableParagraph"/>
                          <w:spacing w:line="141" w:lineRule="exact" w:before="122"/>
                          <w:ind w:right="111"/>
                          <w:jc w:val="right"/>
                          <w:rPr>
                            <w:sz w:val="14"/>
                          </w:rPr>
                        </w:pPr>
                        <w:r>
                          <w:rPr>
                            <w:sz w:val="14"/>
                          </w:rPr>
                          <w:t>-7</w:t>
                        </w:r>
                      </w:p>
                    </w:tc>
                  </w:tr>
                </w:tbl>
                <w:p>
                  <w:pPr>
                    <w:pStyle w:val="BodyText"/>
                  </w:pPr>
                </w:p>
              </w:txbxContent>
            </v:textbox>
            <w10:wrap type="none"/>
          </v:shape>
        </w:pict>
      </w:r>
      <w:r>
        <w:rPr>
          <w:sz w:val="14"/>
        </w:rPr>
        <w:t>Percentage balances</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6"/>
        <w:rPr>
          <w:sz w:val="15"/>
        </w:rPr>
      </w:pPr>
    </w:p>
    <w:p>
      <w:pPr>
        <w:spacing w:before="0"/>
        <w:ind w:left="154" w:right="0" w:firstLine="0"/>
        <w:jc w:val="left"/>
        <w:rPr>
          <w:sz w:val="12"/>
        </w:rPr>
      </w:pPr>
      <w:r>
        <w:rPr>
          <w:sz w:val="12"/>
        </w:rPr>
        <w:t>Sources: BCC, CIPS, CBI and EEF.</w:t>
      </w:r>
    </w:p>
    <w:p>
      <w:pPr>
        <w:pStyle w:val="BodyText"/>
        <w:spacing w:before="1"/>
        <w:rPr>
          <w:sz w:val="10"/>
        </w:rPr>
      </w:pPr>
    </w:p>
    <w:p>
      <w:pPr>
        <w:pStyle w:val="ListParagraph"/>
        <w:numPr>
          <w:ilvl w:val="0"/>
          <w:numId w:val="18"/>
        </w:numPr>
        <w:tabs>
          <w:tab w:pos="395" w:val="left" w:leader="none"/>
        </w:tabs>
        <w:spacing w:line="208" w:lineRule="auto" w:before="0" w:after="0"/>
        <w:ind w:left="394" w:right="38" w:hanging="240"/>
        <w:jc w:val="left"/>
        <w:rPr>
          <w:sz w:val="12"/>
        </w:rPr>
      </w:pPr>
      <w:r>
        <w:rPr>
          <w:sz w:val="12"/>
        </w:rPr>
        <w:t>Numbers reported are survey balances. An increase suggests a rise in the proportion</w:t>
      </w:r>
      <w:r>
        <w:rPr>
          <w:spacing w:val="-4"/>
          <w:sz w:val="12"/>
        </w:rPr>
        <w:t> </w:t>
      </w:r>
      <w:r>
        <w:rPr>
          <w:sz w:val="12"/>
        </w:rPr>
        <w:t>of</w:t>
      </w:r>
      <w:r>
        <w:rPr>
          <w:spacing w:val="-3"/>
          <w:sz w:val="12"/>
        </w:rPr>
        <w:t> </w:t>
      </w:r>
      <w:r>
        <w:rPr>
          <w:sz w:val="12"/>
        </w:rPr>
        <w:t>respondents</w:t>
      </w:r>
      <w:r>
        <w:rPr>
          <w:spacing w:val="-3"/>
          <w:sz w:val="12"/>
        </w:rPr>
        <w:t> </w:t>
      </w:r>
      <w:r>
        <w:rPr>
          <w:sz w:val="12"/>
        </w:rPr>
        <w:t>reporting</w:t>
      </w:r>
      <w:r>
        <w:rPr>
          <w:spacing w:val="-2"/>
          <w:sz w:val="12"/>
        </w:rPr>
        <w:t> </w:t>
      </w:r>
      <w:r>
        <w:rPr>
          <w:sz w:val="12"/>
        </w:rPr>
        <w:t>‘higher’</w:t>
      </w:r>
      <w:r>
        <w:rPr>
          <w:spacing w:val="-11"/>
          <w:sz w:val="12"/>
        </w:rPr>
        <w:t> </w:t>
      </w:r>
      <w:r>
        <w:rPr>
          <w:sz w:val="12"/>
        </w:rPr>
        <w:t>relative</w:t>
      </w:r>
      <w:r>
        <w:rPr>
          <w:spacing w:val="-3"/>
          <w:sz w:val="12"/>
        </w:rPr>
        <w:t> </w:t>
      </w:r>
      <w:r>
        <w:rPr>
          <w:sz w:val="12"/>
        </w:rPr>
        <w:t>to</w:t>
      </w:r>
      <w:r>
        <w:rPr>
          <w:spacing w:val="-2"/>
          <w:sz w:val="12"/>
        </w:rPr>
        <w:t> </w:t>
      </w:r>
      <w:r>
        <w:rPr>
          <w:sz w:val="12"/>
        </w:rPr>
        <w:t>‘lower’.</w:t>
      </w:r>
    </w:p>
    <w:p>
      <w:pPr>
        <w:pStyle w:val="ListParagraph"/>
        <w:numPr>
          <w:ilvl w:val="0"/>
          <w:numId w:val="18"/>
        </w:numPr>
        <w:tabs>
          <w:tab w:pos="395" w:val="left" w:leader="none"/>
        </w:tabs>
        <w:spacing w:line="114" w:lineRule="exact" w:before="0" w:after="0"/>
        <w:ind w:left="394" w:right="0" w:hanging="241"/>
        <w:jc w:val="left"/>
        <w:rPr>
          <w:sz w:val="12"/>
        </w:rPr>
      </w:pPr>
      <w:r>
        <w:rPr>
          <w:sz w:val="12"/>
        </w:rPr>
        <w:t>CBI since 1975; CIPS since 1992; BCC since 1989; EEF since</w:t>
      </w:r>
      <w:r>
        <w:rPr>
          <w:spacing w:val="20"/>
          <w:sz w:val="12"/>
        </w:rPr>
        <w:t> </w:t>
      </w:r>
      <w:r>
        <w:rPr>
          <w:sz w:val="12"/>
        </w:rPr>
        <w:t>1994.</w:t>
      </w:r>
    </w:p>
    <w:p>
      <w:pPr>
        <w:pStyle w:val="ListParagraph"/>
        <w:numPr>
          <w:ilvl w:val="0"/>
          <w:numId w:val="18"/>
        </w:numPr>
        <w:tabs>
          <w:tab w:pos="395" w:val="left" w:leader="none"/>
        </w:tabs>
        <w:spacing w:line="208" w:lineRule="auto" w:before="6" w:after="0"/>
        <w:ind w:left="394" w:right="63" w:hanging="240"/>
        <w:jc w:val="left"/>
        <w:rPr>
          <w:sz w:val="12"/>
        </w:rPr>
      </w:pPr>
      <w:r>
        <w:rPr>
          <w:spacing w:val="-3"/>
          <w:sz w:val="12"/>
        </w:rPr>
        <w:t>Average </w:t>
      </w:r>
      <w:r>
        <w:rPr>
          <w:sz w:val="12"/>
        </w:rPr>
        <w:t>of monthly balances. A reading above 50 suggests expansion, a reading below 50 suggests</w:t>
      </w:r>
      <w:r>
        <w:rPr>
          <w:spacing w:val="-7"/>
          <w:sz w:val="12"/>
        </w:rPr>
        <w:t> </w:t>
      </w:r>
      <w:r>
        <w:rPr>
          <w:sz w:val="12"/>
        </w:rPr>
        <w:t>contraction.</w:t>
      </w:r>
    </w:p>
    <w:p>
      <w:pPr>
        <w:pStyle w:val="BodyText"/>
        <w:rPr>
          <w:sz w:val="12"/>
        </w:rPr>
      </w:pPr>
    </w:p>
    <w:p>
      <w:pPr>
        <w:pStyle w:val="Heading6"/>
        <w:spacing w:before="73"/>
        <w:ind w:left="200"/>
      </w:pPr>
      <w:r>
        <w:rPr>
          <w:color w:val="0092C7"/>
        </w:rPr>
        <w:t>Chart 2.16</w:t>
      </w:r>
    </w:p>
    <w:p>
      <w:pPr>
        <w:pStyle w:val="Heading6"/>
        <w:ind w:left="200"/>
      </w:pPr>
      <w:r>
        <w:rPr>
          <w:color w:val="0092C7"/>
        </w:rPr>
        <w:t>Measures of service sector output</w:t>
      </w:r>
    </w:p>
    <w:p>
      <w:pPr>
        <w:pStyle w:val="BodyText"/>
        <w:spacing w:before="5"/>
        <w:rPr>
          <w:b/>
          <w:sz w:val="21"/>
        </w:rPr>
      </w:pPr>
      <w:r>
        <w:rPr/>
        <w:br w:type="column"/>
      </w:r>
      <w:r>
        <w:rPr>
          <w:b/>
          <w:sz w:val="21"/>
        </w:rPr>
      </w:r>
    </w:p>
    <w:p>
      <w:pPr>
        <w:spacing w:line="242" w:lineRule="auto" w:before="0"/>
        <w:ind w:left="154" w:right="122" w:firstLine="0"/>
        <w:jc w:val="left"/>
        <w:rPr>
          <w:sz w:val="24"/>
        </w:rPr>
      </w:pPr>
      <w:r>
        <w:rPr>
          <w:sz w:val="24"/>
        </w:rPr>
        <w:t>service sector growth slowed to 0.7% (3.3% higher than a year earlier), as growth in the post and communications and</w:t>
      </w:r>
      <w:r>
        <w:rPr>
          <w:spacing w:val="-7"/>
          <w:sz w:val="24"/>
        </w:rPr>
        <w:t> </w:t>
      </w:r>
      <w:r>
        <w:rPr>
          <w:sz w:val="24"/>
        </w:rPr>
        <w:t>other</w:t>
      </w:r>
      <w:r>
        <w:rPr>
          <w:spacing w:val="-6"/>
          <w:sz w:val="24"/>
        </w:rPr>
        <w:t> </w:t>
      </w:r>
      <w:r>
        <w:rPr>
          <w:sz w:val="24"/>
        </w:rPr>
        <w:t>business</w:t>
      </w:r>
      <w:r>
        <w:rPr>
          <w:spacing w:val="-6"/>
          <w:sz w:val="24"/>
        </w:rPr>
        <w:t> </w:t>
      </w:r>
      <w:r>
        <w:rPr>
          <w:sz w:val="24"/>
        </w:rPr>
        <w:t>services</w:t>
      </w:r>
      <w:r>
        <w:rPr>
          <w:spacing w:val="-6"/>
          <w:sz w:val="24"/>
        </w:rPr>
        <w:t> </w:t>
      </w:r>
      <w:r>
        <w:rPr>
          <w:sz w:val="24"/>
        </w:rPr>
        <w:t>sectors</w:t>
      </w:r>
      <w:r>
        <w:rPr>
          <w:spacing w:val="-6"/>
          <w:sz w:val="24"/>
        </w:rPr>
        <w:t> </w:t>
      </w:r>
      <w:r>
        <w:rPr>
          <w:sz w:val="24"/>
        </w:rPr>
        <w:t>eased</w:t>
      </w:r>
      <w:r>
        <w:rPr>
          <w:spacing w:val="-7"/>
          <w:sz w:val="24"/>
        </w:rPr>
        <w:t> </w:t>
      </w:r>
      <w:r>
        <w:rPr>
          <w:sz w:val="24"/>
        </w:rPr>
        <w:t>from</w:t>
      </w:r>
      <w:r>
        <w:rPr>
          <w:spacing w:val="-6"/>
          <w:sz w:val="24"/>
        </w:rPr>
        <w:t> </w:t>
      </w:r>
      <w:r>
        <w:rPr>
          <w:sz w:val="24"/>
        </w:rPr>
        <w:t>high</w:t>
      </w:r>
      <w:r>
        <w:rPr>
          <w:spacing w:val="-6"/>
          <w:sz w:val="24"/>
        </w:rPr>
        <w:t> </w:t>
      </w:r>
      <w:r>
        <w:rPr>
          <w:sz w:val="24"/>
        </w:rPr>
        <w:t>rates. And production sector output fell by 0.8%, leaving output 1.5% higher than a year </w:t>
      </w:r>
      <w:r>
        <w:rPr>
          <w:spacing w:val="-3"/>
          <w:sz w:val="24"/>
        </w:rPr>
        <w:t>earlier. </w:t>
      </w:r>
      <w:r>
        <w:rPr>
          <w:sz w:val="24"/>
        </w:rPr>
        <w:t>The decline in  Q1 partly reflected a fall in output of energy-related sectors, perhaps linked to unseasonally warm</w:t>
      </w:r>
      <w:r>
        <w:rPr>
          <w:spacing w:val="-22"/>
          <w:sz w:val="24"/>
        </w:rPr>
        <w:t> </w:t>
      </w:r>
      <w:r>
        <w:rPr>
          <w:spacing w:val="-3"/>
          <w:sz w:val="24"/>
        </w:rPr>
        <w:t>weather.</w:t>
      </w:r>
    </w:p>
    <w:p>
      <w:pPr>
        <w:spacing w:line="242" w:lineRule="auto" w:before="9"/>
        <w:ind w:left="154" w:right="122" w:firstLine="0"/>
        <w:jc w:val="left"/>
        <w:rPr>
          <w:sz w:val="24"/>
        </w:rPr>
      </w:pPr>
      <w:r>
        <w:rPr>
          <w:sz w:val="24"/>
        </w:rPr>
        <w:t>But manufacturing output growth also fell by 0.5% in 2000 Q1.</w:t>
      </w:r>
    </w:p>
    <w:p>
      <w:pPr>
        <w:pStyle w:val="BodyText"/>
        <w:spacing w:before="7"/>
        <w:rPr>
          <w:sz w:val="24"/>
        </w:rPr>
      </w:pPr>
    </w:p>
    <w:p>
      <w:pPr>
        <w:spacing w:line="242" w:lineRule="auto" w:before="0"/>
        <w:ind w:left="154" w:right="159" w:firstLine="0"/>
        <w:jc w:val="left"/>
        <w:rPr>
          <w:sz w:val="24"/>
        </w:rPr>
      </w:pPr>
      <w:r>
        <w:rPr>
          <w:sz w:val="24"/>
        </w:rPr>
        <w:t>More recent monthly data point to a moderate recovery in industrial output in the second quarter. Industrial production rose by 0.9% in the three months to May (2.1% higher than a year earlier), with a strong bounceback in output in energy-related industries.</w:t>
      </w:r>
    </w:p>
    <w:p>
      <w:pPr>
        <w:spacing w:line="204" w:lineRule="exact" w:before="6"/>
        <w:ind w:left="154" w:right="0" w:firstLine="0"/>
        <w:jc w:val="left"/>
        <w:rPr>
          <w:sz w:val="24"/>
        </w:rPr>
      </w:pPr>
      <w:r>
        <w:rPr>
          <w:sz w:val="24"/>
        </w:rPr>
        <w:t>Despite further falls in production in the chemicals and</w:t>
      </w:r>
    </w:p>
    <w:p>
      <w:pPr>
        <w:spacing w:after="0" w:line="204" w:lineRule="exact"/>
        <w:jc w:val="left"/>
        <w:rPr>
          <w:sz w:val="24"/>
        </w:rPr>
        <w:sectPr>
          <w:type w:val="continuous"/>
          <w:pgSz w:w="11900" w:h="16840"/>
          <w:pgMar w:top="1260" w:bottom="280" w:left="640" w:right="640"/>
          <w:cols w:num="2" w:equalWidth="0">
            <w:col w:w="3946" w:space="889"/>
            <w:col w:w="5785"/>
          </w:cols>
        </w:sectPr>
      </w:pPr>
    </w:p>
    <w:p>
      <w:pPr>
        <w:spacing w:line="111" w:lineRule="exact" w:before="0"/>
        <w:ind w:left="340" w:right="0" w:firstLine="0"/>
        <w:jc w:val="left"/>
        <w:rPr>
          <w:sz w:val="12"/>
        </w:rPr>
      </w:pPr>
      <w:r>
        <w:rPr>
          <w:sz w:val="12"/>
        </w:rPr>
        <w:t>Index</w:t>
      </w:r>
    </w:p>
    <w:p>
      <w:pPr>
        <w:spacing w:line="115" w:lineRule="exact" w:before="0"/>
        <w:ind w:left="181" w:right="0" w:firstLine="0"/>
        <w:jc w:val="left"/>
        <w:rPr>
          <w:sz w:val="12"/>
        </w:rPr>
      </w:pPr>
      <w:r>
        <w:rPr/>
        <w:pict>
          <v:line style="position:absolute;mso-position-horizontal-relative:page;mso-position-vertical-relative:paragraph;z-index:16060416" from="49pt,2.575928pt" to="53.333pt,2.575928pt" stroked="true" strokeweight=".5pt" strokecolor="#000000">
            <v:stroke dashstyle="solid"/>
            <w10:wrap type="none"/>
          </v:line>
        </w:pict>
      </w:r>
      <w:r>
        <w:rPr>
          <w:sz w:val="12"/>
        </w:rPr>
        <w:t>65</w:t>
      </w:r>
    </w:p>
    <w:p>
      <w:pPr>
        <w:pStyle w:val="BodyText"/>
        <w:spacing w:before="7"/>
        <w:rPr>
          <w:sz w:val="15"/>
        </w:rPr>
      </w:pPr>
    </w:p>
    <w:p>
      <w:pPr>
        <w:spacing w:before="0"/>
        <w:ind w:left="181" w:right="0" w:firstLine="0"/>
        <w:jc w:val="left"/>
        <w:rPr>
          <w:sz w:val="12"/>
        </w:rPr>
      </w:pPr>
      <w:r>
        <w:rPr/>
        <w:pict>
          <v:group style="position:absolute;margin-left:49pt;margin-top:-2.584004pt;width:154.15pt;height:108.9pt;mso-position-horizontal-relative:page;mso-position-vertical-relative:paragraph;z-index:16058880" coordorigin="980,-52" coordsize="3083,2178">
            <v:shape style="position:absolute;left:1140;top:528;width:1785;height:1373" coordorigin="1140,529" coordsize="1785,1373" path="m1140,794l1360,661m1360,661l1593,529m1593,529l1813,1141m1813,1141l2033,1026m2033,1026l2265,744m2265,744l2485,1339m2485,1339l2705,1901m2705,1901l2925,1489e" filled="false" stroked="true" strokeweight="1pt" strokecolor="#f6bd61">
              <v:path arrowok="t"/>
              <v:stroke dashstyle="solid"/>
            </v:shape>
            <v:line style="position:absolute" from="2915,1498" to="3170,1498" stroked="true" strokeweight="1.875pt" strokecolor="#f6bd61">
              <v:stroke dashstyle="solid"/>
            </v:line>
            <v:shape style="position:absolute;left:3160;top:976;width:893;height:695" coordorigin="3160,976" coordsize="893,695" path="m3160,1506l3380,1224m3380,1224l3600,976m3600,976l3833,1671m3833,1671l4053,994e" filled="false" stroked="true" strokeweight="1pt" strokecolor="#f6bd61">
              <v:path arrowok="t"/>
              <v:stroke dashstyle="solid"/>
            </v:shape>
            <v:shape style="position:absolute;left:1140;top:-17;width:1565;height:2133" coordorigin="1140,-16" coordsize="1565,2133" path="m1140,396l1360,-16m1360,-16l1593,564m1593,564l1813,876m1813,876l2033,629m2033,629l2265,976m2265,976l2485,1389m2485,1389l2705,2116e" filled="false" stroked="true" strokeweight="1pt" strokecolor="#0099d9">
              <v:path arrowok="t"/>
              <v:stroke dashstyle="solid"/>
            </v:shape>
            <v:line style="position:absolute" from="2695,2109" to="2935,2109" stroked="true" strokeweight="1.75pt" strokecolor="#0099d9">
              <v:stroke dashstyle="solid"/>
            </v:line>
            <v:shape style="position:absolute;left:2925;top:826;width:1128;height:1275" coordorigin="2925,826" coordsize="1128,1275" path="m2925,2101l3160,1109m3160,1109l3380,944m3380,944l3600,826m3600,826l3833,944m3833,944l4053,844e" filled="false" stroked="true" strokeweight="1pt" strokecolor="#0099d9">
              <v:path arrowok="t"/>
              <v:stroke dashstyle="solid"/>
            </v:shape>
            <v:shape style="position:absolute;left:980;top:73;width:87;height:1905" coordorigin="980,74" coordsize="87,1905" path="m980,391l1067,391m980,1026l1067,1026m980,1661l1067,1661m980,709l1067,709m980,1344l1067,1344m980,1979l1067,1979m980,74l1067,74e" filled="false" stroked="true" strokeweight=".5pt" strokecolor="#000000">
              <v:path arrowok="t"/>
              <v:stroke dashstyle="solid"/>
            </v:shape>
            <v:shape style="position:absolute;left:1411;top:-52;width:1560;height:254" type="#_x0000_t202" filled="false" stroked="false">
              <v:textbox inset="0,0,0,0">
                <w:txbxContent>
                  <w:p>
                    <w:pPr>
                      <w:spacing w:line="208" w:lineRule="auto" w:before="9"/>
                      <w:ind w:left="60" w:right="18" w:hanging="60"/>
                      <w:jc w:val="left"/>
                      <w:rPr>
                        <w:sz w:val="12"/>
                      </w:rPr>
                    </w:pPr>
                    <w:r>
                      <w:rPr>
                        <w:sz w:val="12"/>
                      </w:rPr>
                      <w:t>CIPS business activity index (a) (left-hand scale)</w:t>
                    </w:r>
                  </w:p>
                </w:txbxContent>
              </v:textbox>
              <w10:wrap type="none"/>
            </v:shape>
            <v:shape style="position:absolute;left:2306;top:672;width:1014;height:254" type="#_x0000_t202" filled="false" stroked="false">
              <v:textbox inset="0,0,0,0">
                <w:txbxContent>
                  <w:p>
                    <w:pPr>
                      <w:spacing w:line="208" w:lineRule="auto" w:before="9"/>
                      <w:ind w:left="60" w:right="18" w:hanging="60"/>
                      <w:jc w:val="left"/>
                      <w:rPr>
                        <w:sz w:val="12"/>
                      </w:rPr>
                    </w:pPr>
                    <w:r>
                      <w:rPr>
                        <w:sz w:val="12"/>
                      </w:rPr>
                      <w:t>ONS services output (right-hand scale)</w:t>
                    </w:r>
                  </w:p>
                </w:txbxContent>
              </v:textbox>
              <w10:wrap type="none"/>
            </v:shape>
            <w10:wrap type="none"/>
          </v:group>
        </w:pict>
      </w:r>
      <w:r>
        <w:rPr>
          <w:sz w:val="12"/>
        </w:rPr>
        <w:t>63</w:t>
      </w:r>
    </w:p>
    <w:p>
      <w:pPr>
        <w:pStyle w:val="BodyText"/>
        <w:spacing w:before="7"/>
        <w:rPr>
          <w:sz w:val="15"/>
        </w:rPr>
      </w:pPr>
    </w:p>
    <w:p>
      <w:pPr>
        <w:spacing w:before="0"/>
        <w:ind w:left="181" w:right="0" w:firstLine="0"/>
        <w:jc w:val="left"/>
        <w:rPr>
          <w:sz w:val="12"/>
        </w:rPr>
      </w:pPr>
      <w:r>
        <w:rPr>
          <w:sz w:val="12"/>
        </w:rPr>
        <w:t>61</w:t>
      </w:r>
    </w:p>
    <w:p>
      <w:pPr>
        <w:pStyle w:val="BodyText"/>
        <w:spacing w:before="7"/>
        <w:rPr>
          <w:sz w:val="15"/>
        </w:rPr>
      </w:pPr>
    </w:p>
    <w:p>
      <w:pPr>
        <w:spacing w:before="1"/>
        <w:ind w:left="181" w:right="0" w:firstLine="0"/>
        <w:jc w:val="left"/>
        <w:rPr>
          <w:sz w:val="12"/>
        </w:rPr>
      </w:pPr>
      <w:r>
        <w:rPr>
          <w:sz w:val="12"/>
        </w:rPr>
        <w:t>59</w:t>
      </w:r>
    </w:p>
    <w:p>
      <w:pPr>
        <w:pStyle w:val="BodyText"/>
        <w:spacing w:before="7"/>
        <w:rPr>
          <w:sz w:val="15"/>
        </w:rPr>
      </w:pPr>
    </w:p>
    <w:p>
      <w:pPr>
        <w:spacing w:before="0"/>
        <w:ind w:left="181" w:right="0" w:firstLine="0"/>
        <w:jc w:val="left"/>
        <w:rPr>
          <w:sz w:val="12"/>
        </w:rPr>
      </w:pPr>
      <w:r>
        <w:rPr>
          <w:sz w:val="12"/>
        </w:rPr>
        <w:t>57</w:t>
      </w:r>
    </w:p>
    <w:p>
      <w:pPr>
        <w:pStyle w:val="BodyText"/>
        <w:spacing w:before="7"/>
        <w:rPr>
          <w:sz w:val="15"/>
        </w:rPr>
      </w:pPr>
    </w:p>
    <w:p>
      <w:pPr>
        <w:spacing w:before="0"/>
        <w:ind w:left="181" w:right="0" w:firstLine="0"/>
        <w:jc w:val="left"/>
        <w:rPr>
          <w:sz w:val="12"/>
        </w:rPr>
      </w:pPr>
      <w:r>
        <w:rPr>
          <w:sz w:val="12"/>
        </w:rPr>
        <w:t>55</w:t>
      </w:r>
    </w:p>
    <w:p>
      <w:pPr>
        <w:pStyle w:val="BodyText"/>
        <w:spacing w:before="7"/>
        <w:rPr>
          <w:sz w:val="15"/>
        </w:rPr>
      </w:pPr>
    </w:p>
    <w:p>
      <w:pPr>
        <w:spacing w:before="0"/>
        <w:ind w:left="181" w:right="0" w:firstLine="0"/>
        <w:jc w:val="left"/>
        <w:rPr>
          <w:sz w:val="12"/>
        </w:rPr>
      </w:pPr>
      <w:r>
        <w:rPr>
          <w:sz w:val="12"/>
        </w:rPr>
        <w:t>53</w:t>
      </w:r>
    </w:p>
    <w:p>
      <w:pPr>
        <w:pStyle w:val="BodyText"/>
        <w:spacing w:before="8"/>
        <w:rPr>
          <w:sz w:val="15"/>
        </w:rPr>
      </w:pPr>
    </w:p>
    <w:p>
      <w:pPr>
        <w:spacing w:before="0"/>
        <w:ind w:left="181" w:right="0" w:firstLine="0"/>
        <w:jc w:val="left"/>
        <w:rPr>
          <w:sz w:val="12"/>
        </w:rPr>
      </w:pPr>
      <w:r>
        <w:rPr>
          <w:sz w:val="12"/>
        </w:rPr>
        <w:t>51</w:t>
      </w:r>
    </w:p>
    <w:p>
      <w:pPr>
        <w:pStyle w:val="BodyText"/>
        <w:spacing w:before="7"/>
        <w:rPr>
          <w:sz w:val="15"/>
        </w:rPr>
      </w:pPr>
    </w:p>
    <w:p>
      <w:pPr>
        <w:spacing w:before="0"/>
        <w:ind w:left="181" w:right="0" w:firstLine="0"/>
        <w:jc w:val="left"/>
        <w:rPr>
          <w:sz w:val="12"/>
        </w:rPr>
      </w:pPr>
      <w:r>
        <w:rPr/>
        <w:pict>
          <v:line style="position:absolute;mso-position-horizontal-relative:page;mso-position-vertical-relative:paragraph;z-index:16059392" from="49pt,3.595215pt" to="53.333pt,3.595215pt" stroked="true" strokeweight=".5pt" strokecolor="#000000">
            <v:stroke dashstyle="solid"/>
            <w10:wrap type="none"/>
          </v:line>
        </w:pict>
      </w:r>
      <w:r>
        <w:rPr>
          <w:sz w:val="12"/>
        </w:rPr>
        <w:t>49</w:t>
      </w:r>
    </w:p>
    <w:p>
      <w:pPr>
        <w:spacing w:line="230" w:lineRule="auto" w:before="0"/>
        <w:ind w:left="181" w:right="0" w:firstLine="0"/>
        <w:jc w:val="left"/>
        <w:rPr>
          <w:sz w:val="12"/>
        </w:rPr>
      </w:pPr>
      <w:r>
        <w:rPr/>
        <w:br w:type="column"/>
      </w:r>
      <w:r>
        <w:rPr>
          <w:sz w:val="12"/>
        </w:rPr>
        <w:t>Percentage change on a quarter earlier</w:t>
      </w:r>
      <w:r>
        <w:rPr>
          <w:spacing w:val="6"/>
          <w:sz w:val="12"/>
        </w:rPr>
        <w:t> </w:t>
      </w:r>
      <w:r>
        <w:rPr>
          <w:position w:val="-8"/>
          <w:sz w:val="12"/>
        </w:rPr>
        <w:t>1.8</w:t>
      </w:r>
    </w:p>
    <w:p>
      <w:pPr>
        <w:spacing w:before="176"/>
        <w:ind w:left="0" w:right="38" w:firstLine="0"/>
        <w:jc w:val="right"/>
        <w:rPr>
          <w:sz w:val="12"/>
        </w:rPr>
      </w:pPr>
      <w:r>
        <w:rPr/>
        <w:pict>
          <v:line style="position:absolute;mso-position-horizontal-relative:page;mso-position-vertical-relative:paragraph;z-index:-23235072" from="206.667007pt,-3.007617pt" to="210.999007pt,-3.007617pt" stroked="true" strokeweight=".5pt" strokecolor="#000000">
            <v:stroke dashstyle="solid"/>
            <w10:wrap type="none"/>
          </v:line>
        </w:pict>
      </w:r>
      <w:r>
        <w:rPr/>
        <w:pict>
          <v:line style="position:absolute;mso-position-horizontal-relative:page;mso-position-vertical-relative:paragraph;z-index:16065024" from="206.667007pt,12.883383pt" to="210.999007pt,12.883383pt" stroked="true" strokeweight=".5pt" strokecolor="#000000">
            <v:stroke dashstyle="solid"/>
            <w10:wrap type="none"/>
          </v:line>
        </w:pict>
      </w:r>
      <w:r>
        <w:rPr>
          <w:sz w:val="12"/>
        </w:rPr>
        <w:t>1.6</w:t>
      </w:r>
    </w:p>
    <w:p>
      <w:pPr>
        <w:pStyle w:val="BodyText"/>
        <w:spacing w:before="7"/>
        <w:rPr>
          <w:sz w:val="15"/>
        </w:rPr>
      </w:pPr>
    </w:p>
    <w:p>
      <w:pPr>
        <w:spacing w:before="0"/>
        <w:ind w:left="0" w:right="38" w:firstLine="0"/>
        <w:jc w:val="right"/>
        <w:rPr>
          <w:sz w:val="12"/>
        </w:rPr>
      </w:pPr>
      <w:r>
        <w:rPr/>
        <w:pict>
          <v:line style="position:absolute;mso-position-horizontal-relative:page;mso-position-vertical-relative:paragraph;z-index:16060928" from="206.667007pt,4.085772pt" to="210.999007pt,4.085772pt" stroked="true" strokeweight=".5pt" strokecolor="#000000">
            <v:stroke dashstyle="solid"/>
            <w10:wrap type="none"/>
          </v:line>
        </w:pict>
      </w:r>
      <w:r>
        <w:rPr>
          <w:sz w:val="12"/>
        </w:rPr>
        <w:t>1.4</w:t>
      </w:r>
    </w:p>
    <w:p>
      <w:pPr>
        <w:pStyle w:val="BodyText"/>
        <w:spacing w:before="8"/>
        <w:rPr>
          <w:sz w:val="15"/>
        </w:rPr>
      </w:pPr>
    </w:p>
    <w:p>
      <w:pPr>
        <w:spacing w:before="0"/>
        <w:ind w:left="0" w:right="38" w:firstLine="0"/>
        <w:jc w:val="right"/>
        <w:rPr>
          <w:sz w:val="12"/>
        </w:rPr>
      </w:pPr>
      <w:r>
        <w:rPr/>
        <w:pict>
          <v:line style="position:absolute;mso-position-horizontal-relative:page;mso-position-vertical-relative:paragraph;z-index:16063488" from="206.667007pt,4.088161pt" to="210.999007pt,4.088161pt" stroked="true" strokeweight=".5pt" strokecolor="#000000">
            <v:stroke dashstyle="solid"/>
            <w10:wrap type="none"/>
          </v:line>
        </w:pict>
      </w:r>
      <w:r>
        <w:rPr>
          <w:sz w:val="12"/>
        </w:rPr>
        <w:t>1.2</w:t>
      </w:r>
    </w:p>
    <w:p>
      <w:pPr>
        <w:pStyle w:val="BodyText"/>
        <w:spacing w:before="7"/>
        <w:rPr>
          <w:sz w:val="15"/>
        </w:rPr>
      </w:pPr>
    </w:p>
    <w:p>
      <w:pPr>
        <w:spacing w:before="0"/>
        <w:ind w:left="0" w:right="38" w:firstLine="0"/>
        <w:jc w:val="right"/>
        <w:rPr>
          <w:sz w:val="12"/>
        </w:rPr>
      </w:pPr>
      <w:r>
        <w:rPr/>
        <w:pict>
          <v:line style="position:absolute;mso-position-horizontal-relative:page;mso-position-vertical-relative:paragraph;z-index:16061440" from="206.667007pt,4.09155pt" to="210.999007pt,4.09155pt" stroked="true" strokeweight=".5pt" strokecolor="#000000">
            <v:stroke dashstyle="solid"/>
            <w10:wrap type="none"/>
          </v:line>
        </w:pict>
      </w:r>
      <w:r>
        <w:rPr>
          <w:sz w:val="12"/>
        </w:rPr>
        <w:t>1.0</w:t>
      </w:r>
    </w:p>
    <w:p>
      <w:pPr>
        <w:pStyle w:val="BodyText"/>
        <w:spacing w:before="7"/>
        <w:rPr>
          <w:sz w:val="15"/>
        </w:rPr>
      </w:pPr>
    </w:p>
    <w:p>
      <w:pPr>
        <w:spacing w:before="0"/>
        <w:ind w:left="0" w:right="38" w:firstLine="0"/>
        <w:jc w:val="right"/>
        <w:rPr>
          <w:sz w:val="12"/>
        </w:rPr>
      </w:pPr>
      <w:r>
        <w:rPr/>
        <w:pict>
          <v:line style="position:absolute;mso-position-horizontal-relative:page;mso-position-vertical-relative:paragraph;z-index:16064000" from="206.667007pt,4.09297pt" to="210.999007pt,4.09297pt" stroked="true" strokeweight=".5pt" strokecolor="#000000">
            <v:stroke dashstyle="solid"/>
            <w10:wrap type="none"/>
          </v:line>
        </w:pict>
      </w:r>
      <w:r>
        <w:rPr>
          <w:sz w:val="12"/>
        </w:rPr>
        <w:t>0.8</w:t>
      </w:r>
    </w:p>
    <w:p>
      <w:pPr>
        <w:pStyle w:val="BodyText"/>
        <w:spacing w:before="7"/>
        <w:rPr>
          <w:sz w:val="15"/>
        </w:rPr>
      </w:pPr>
    </w:p>
    <w:p>
      <w:pPr>
        <w:spacing w:before="1"/>
        <w:ind w:left="0" w:right="38" w:firstLine="0"/>
        <w:jc w:val="right"/>
        <w:rPr>
          <w:sz w:val="12"/>
        </w:rPr>
      </w:pPr>
      <w:r>
        <w:rPr/>
        <w:pict>
          <v:line style="position:absolute;mso-position-horizontal-relative:page;mso-position-vertical-relative:paragraph;z-index:16062464" from="206.667007pt,4.145359pt" to="210.999007pt,4.145359pt" stroked="true" strokeweight=".5pt" strokecolor="#000000">
            <v:stroke dashstyle="solid"/>
            <w10:wrap type="none"/>
          </v:line>
        </w:pict>
      </w:r>
      <w:r>
        <w:rPr>
          <w:sz w:val="12"/>
        </w:rPr>
        <w:t>0.6</w:t>
      </w:r>
    </w:p>
    <w:p>
      <w:pPr>
        <w:pStyle w:val="BodyText"/>
        <w:spacing w:before="7"/>
        <w:rPr>
          <w:sz w:val="15"/>
        </w:rPr>
      </w:pPr>
    </w:p>
    <w:p>
      <w:pPr>
        <w:spacing w:before="0"/>
        <w:ind w:left="0" w:right="38" w:firstLine="0"/>
        <w:jc w:val="right"/>
        <w:rPr>
          <w:sz w:val="12"/>
        </w:rPr>
      </w:pPr>
      <w:r>
        <w:rPr/>
        <w:pict>
          <v:line style="position:absolute;mso-position-horizontal-relative:page;mso-position-vertical-relative:paragraph;z-index:16064512" from="206.667007pt,4.097748pt" to="210.999007pt,4.097748pt" stroked="true" strokeweight=".5pt" strokecolor="#000000">
            <v:stroke dashstyle="solid"/>
            <w10:wrap type="none"/>
          </v:line>
        </w:pict>
      </w:r>
      <w:r>
        <w:rPr>
          <w:sz w:val="12"/>
        </w:rPr>
        <w:t>0.4</w:t>
      </w:r>
    </w:p>
    <w:p>
      <w:pPr>
        <w:pStyle w:val="BodyText"/>
        <w:spacing w:before="7"/>
        <w:rPr>
          <w:sz w:val="15"/>
        </w:rPr>
      </w:pPr>
    </w:p>
    <w:p>
      <w:pPr>
        <w:spacing w:before="0"/>
        <w:ind w:left="0" w:right="38" w:firstLine="0"/>
        <w:jc w:val="right"/>
        <w:rPr>
          <w:sz w:val="12"/>
        </w:rPr>
      </w:pPr>
      <w:r>
        <w:rPr/>
        <w:pict>
          <v:line style="position:absolute;mso-position-horizontal-relative:page;mso-position-vertical-relative:paragraph;z-index:16061952" from="206.667007pt,4.101168pt" to="210.999007pt,4.101168pt" stroked="true" strokeweight=".5pt" strokecolor="#000000">
            <v:stroke dashstyle="solid"/>
            <w10:wrap type="none"/>
          </v:line>
        </w:pict>
      </w:r>
      <w:r>
        <w:rPr>
          <w:sz w:val="12"/>
        </w:rPr>
        <w:t>0.2</w:t>
      </w:r>
    </w:p>
    <w:p>
      <w:pPr>
        <w:spacing w:line="242" w:lineRule="auto" w:before="76"/>
        <w:ind w:left="181" w:right="129" w:firstLine="0"/>
        <w:jc w:val="left"/>
        <w:rPr>
          <w:sz w:val="24"/>
        </w:rPr>
      </w:pPr>
      <w:r>
        <w:rPr/>
        <w:br w:type="column"/>
      </w:r>
      <w:r>
        <w:rPr>
          <w:sz w:val="24"/>
        </w:rPr>
        <w:t>transport equipment sectors, overall manufacturing output rose by 0.3% </w:t>
      </w:r>
      <w:r>
        <w:rPr>
          <w:spacing w:val="-3"/>
          <w:sz w:val="24"/>
        </w:rPr>
        <w:t>over </w:t>
      </w:r>
      <w:r>
        <w:rPr>
          <w:sz w:val="24"/>
        </w:rPr>
        <w:t>the same period. Looking forward, survey evidence points to sluggish manufacturing output growth in coming months (see </w:t>
      </w:r>
      <w:r>
        <w:rPr>
          <w:spacing w:val="-5"/>
          <w:sz w:val="24"/>
        </w:rPr>
        <w:t>Table </w:t>
      </w:r>
      <w:r>
        <w:rPr>
          <w:sz w:val="24"/>
        </w:rPr>
        <w:t>2.D). Output expectations picked up slightly in the latest CBI quarterly industrial trends </w:t>
      </w:r>
      <w:r>
        <w:rPr>
          <w:spacing w:val="-4"/>
          <w:sz w:val="24"/>
        </w:rPr>
        <w:t>survey, </w:t>
      </w:r>
      <w:r>
        <w:rPr>
          <w:sz w:val="24"/>
        </w:rPr>
        <w:t>and the CIPS </w:t>
      </w:r>
      <w:r>
        <w:rPr>
          <w:spacing w:val="-3"/>
          <w:sz w:val="24"/>
        </w:rPr>
        <w:t>new </w:t>
      </w:r>
      <w:r>
        <w:rPr>
          <w:sz w:val="24"/>
        </w:rPr>
        <w:t>orders index rose in </w:t>
      </w:r>
      <w:r>
        <w:rPr>
          <w:spacing w:val="-4"/>
          <w:sz w:val="24"/>
        </w:rPr>
        <w:t>July. </w:t>
      </w:r>
      <w:r>
        <w:rPr>
          <w:sz w:val="24"/>
        </w:rPr>
        <w:t>But other surveys, and reports from the </w:t>
      </w:r>
      <w:r>
        <w:rPr>
          <w:spacing w:val="-3"/>
          <w:sz w:val="24"/>
        </w:rPr>
        <w:t>Bank’s </w:t>
      </w:r>
      <w:r>
        <w:rPr>
          <w:sz w:val="24"/>
        </w:rPr>
        <w:t>regional Agents, pointed to flat or weaker output.  In the service </w:t>
      </w:r>
      <w:r>
        <w:rPr>
          <w:spacing w:val="-3"/>
          <w:sz w:val="24"/>
        </w:rPr>
        <w:t>sector, </w:t>
      </w:r>
      <w:r>
        <w:rPr>
          <w:sz w:val="24"/>
        </w:rPr>
        <w:t>output growth picked up to 1.0% in 2000 Q2 (3.6% higher</w:t>
      </w:r>
      <w:r>
        <w:rPr>
          <w:spacing w:val="-43"/>
          <w:sz w:val="24"/>
        </w:rPr>
        <w:t> </w:t>
      </w:r>
      <w:r>
        <w:rPr>
          <w:sz w:val="24"/>
        </w:rPr>
        <w:t>than</w:t>
      </w:r>
    </w:p>
    <w:p>
      <w:pPr>
        <w:spacing w:after="0" w:line="242" w:lineRule="auto"/>
        <w:jc w:val="left"/>
        <w:rPr>
          <w:sz w:val="24"/>
        </w:rPr>
        <w:sectPr>
          <w:type w:val="continuous"/>
          <w:pgSz w:w="11900" w:h="16840"/>
          <w:pgMar w:top="1260" w:bottom="280" w:left="640" w:right="640"/>
          <w:cols w:num="3" w:equalWidth="0">
            <w:col w:w="654" w:space="909"/>
            <w:col w:w="2244" w:space="1002"/>
            <w:col w:w="5811"/>
          </w:cols>
        </w:sectPr>
      </w:pPr>
    </w:p>
    <w:p>
      <w:pPr>
        <w:spacing w:line="121" w:lineRule="exact" w:before="85"/>
        <w:ind w:left="181" w:right="0" w:firstLine="0"/>
        <w:jc w:val="left"/>
        <w:rPr>
          <w:sz w:val="12"/>
        </w:rPr>
      </w:pPr>
      <w:r>
        <w:rPr/>
        <w:pict>
          <v:shape style="position:absolute;margin-left:49pt;margin-top:2.560604pt;width:162pt;height:5.8pt;mso-position-horizontal-relative:page;mso-position-vertical-relative:paragraph;z-index:16059904" coordorigin="980,51" coordsize="3240,116" path="m980,157l1067,157m4133,160l4220,160m1137,167l4063,167m1138,51l1138,167m1362,120l1362,167m1586,120l1586,167m1810,120l1810,167m2034,51l2034,167m2259,120l2259,167m2483,120l2483,167m2707,120l2707,167m2931,51l2931,167m3155,120l3155,167m3379,120l3379,167m3603,120l3603,167m3827,51l3827,167m4051,120l4051,167e" filled="false" stroked="true" strokeweight=".5pt" strokecolor="#000000">
            <v:path arrowok="t"/>
            <v:stroke dashstyle="solid"/>
            <w10:wrap type="none"/>
          </v:shape>
        </w:pict>
      </w:r>
      <w:r>
        <w:rPr>
          <w:sz w:val="12"/>
        </w:rPr>
        <w:t>47</w:t>
      </w:r>
    </w:p>
    <w:p>
      <w:pPr>
        <w:tabs>
          <w:tab w:pos="1780" w:val="left" w:leader="none"/>
          <w:tab w:pos="2679" w:val="left" w:leader="none"/>
          <w:tab w:pos="3190" w:val="left" w:leader="none"/>
        </w:tabs>
        <w:spacing w:line="121" w:lineRule="exact" w:before="0"/>
        <w:ind w:left="828" w:right="0" w:firstLine="0"/>
        <w:jc w:val="left"/>
        <w:rPr>
          <w:sz w:val="12"/>
        </w:rPr>
      </w:pPr>
      <w:r>
        <w:rPr>
          <w:sz w:val="12"/>
        </w:rPr>
        <w:t>1997</w:t>
        <w:tab/>
        <w:t>98</w:t>
        <w:tab/>
        <w:t>99</w:t>
        <w:tab/>
        <w:t>2000</w:t>
      </w:r>
    </w:p>
    <w:p>
      <w:pPr>
        <w:spacing w:before="26"/>
        <w:ind w:left="180" w:right="0" w:firstLine="0"/>
        <w:jc w:val="left"/>
        <w:rPr>
          <w:sz w:val="12"/>
        </w:rPr>
      </w:pPr>
      <w:r>
        <w:rPr>
          <w:sz w:val="12"/>
        </w:rPr>
        <w:t>Sources: ONS and CIPS.</w:t>
      </w:r>
    </w:p>
    <w:p>
      <w:pPr>
        <w:pStyle w:val="BodyText"/>
        <w:spacing w:before="1"/>
        <w:rPr>
          <w:sz w:val="10"/>
        </w:rPr>
      </w:pPr>
    </w:p>
    <w:p>
      <w:pPr>
        <w:spacing w:line="208" w:lineRule="auto" w:before="0"/>
        <w:ind w:left="420" w:right="0" w:hanging="240"/>
        <w:jc w:val="left"/>
        <w:rPr>
          <w:sz w:val="12"/>
        </w:rPr>
      </w:pPr>
      <w:r>
        <w:rPr>
          <w:sz w:val="12"/>
        </w:rPr>
        <w:t>(a) Average of monthly balances. A reading above 50 suggests expansion, a reading below 50 suggests contraction.</w:t>
      </w:r>
    </w:p>
    <w:p>
      <w:pPr>
        <w:pStyle w:val="BodyText"/>
        <w:rPr>
          <w:sz w:val="12"/>
        </w:rPr>
      </w:pPr>
    </w:p>
    <w:p>
      <w:pPr>
        <w:pStyle w:val="BodyText"/>
        <w:rPr>
          <w:sz w:val="12"/>
        </w:rPr>
      </w:pPr>
    </w:p>
    <w:p>
      <w:pPr>
        <w:pStyle w:val="BodyText"/>
        <w:rPr>
          <w:sz w:val="12"/>
        </w:rPr>
      </w:pPr>
    </w:p>
    <w:p>
      <w:pPr>
        <w:pStyle w:val="BodyText"/>
        <w:spacing w:before="6"/>
        <w:rPr>
          <w:sz w:val="11"/>
        </w:rPr>
      </w:pPr>
    </w:p>
    <w:p>
      <w:pPr>
        <w:pStyle w:val="Heading6"/>
        <w:spacing w:before="0"/>
        <w:ind w:left="200"/>
      </w:pPr>
      <w:r>
        <w:rPr>
          <w:color w:val="0092C7"/>
        </w:rPr>
        <w:t>Chart 2.17</w:t>
      </w:r>
    </w:p>
    <w:p>
      <w:pPr>
        <w:pStyle w:val="Heading6"/>
        <w:spacing w:line="249" w:lineRule="auto"/>
        <w:ind w:left="200"/>
        <w:rPr>
          <w:b w:val="0"/>
          <w:sz w:val="12"/>
        </w:rPr>
      </w:pPr>
      <w:r>
        <w:rPr>
          <w:color w:val="0092C7"/>
        </w:rPr>
        <w:t>Import penetration and recent output growth of the main UK industries</w:t>
      </w:r>
      <w:r>
        <w:rPr>
          <w:b w:val="0"/>
          <w:position w:val="4"/>
          <w:sz w:val="12"/>
        </w:rPr>
        <w:t>(a)(b)</w:t>
      </w:r>
    </w:p>
    <w:p>
      <w:pPr>
        <w:spacing w:before="79"/>
        <w:ind w:left="1986" w:right="0" w:firstLine="0"/>
        <w:jc w:val="left"/>
        <w:rPr>
          <w:sz w:val="12"/>
        </w:rPr>
      </w:pPr>
      <w:r>
        <w:rPr/>
        <w:pict>
          <v:line style="position:absolute;mso-position-horizontal-relative:page;mso-position-vertical-relative:paragraph;z-index:16074752" from="41.851002pt,13.191363pt" to="46.184002pt,13.191363pt" stroked="true" strokeweight=".5pt" strokecolor="#000000">
            <v:stroke dashstyle="solid"/>
            <w10:wrap type="none"/>
          </v:line>
        </w:pict>
      </w:r>
      <w:r>
        <w:rPr/>
        <w:pict>
          <v:line style="position:absolute;mso-position-horizontal-relative:page;mso-position-vertical-relative:paragraph;z-index:-23220224" from="196.955994pt,12.634363pt" to="201.287994pt,12.634363pt" stroked="true" strokeweight=".5pt" strokecolor="#000000">
            <v:stroke dashstyle="solid"/>
            <w10:wrap type="none"/>
          </v:line>
        </w:pict>
      </w:r>
      <w:r>
        <w:rPr>
          <w:sz w:val="12"/>
        </w:rPr>
        <w:t>Output growth of each sector</w:t>
      </w:r>
      <w:r>
        <w:rPr>
          <w:spacing w:val="29"/>
          <w:sz w:val="12"/>
        </w:rPr>
        <w:t> </w:t>
      </w:r>
      <w:r>
        <w:rPr>
          <w:spacing w:val="-20"/>
          <w:position w:val="-8"/>
          <w:sz w:val="12"/>
        </w:rPr>
        <w:t>4</w:t>
      </w:r>
    </w:p>
    <w:p>
      <w:pPr>
        <w:tabs>
          <w:tab w:pos="1919" w:val="left" w:leader="none"/>
          <w:tab w:pos="3505" w:val="right" w:leader="none"/>
        </w:tabs>
        <w:spacing w:before="153"/>
        <w:ind w:left="447" w:right="0" w:firstLine="0"/>
        <w:jc w:val="left"/>
        <w:rPr>
          <w:sz w:val="12"/>
        </w:rPr>
      </w:pPr>
      <w:r>
        <w:rPr/>
        <w:drawing>
          <wp:anchor distT="0" distB="0" distL="0" distR="0" allowOverlap="1" layoutInCell="1" locked="0" behindDoc="1" simplePos="0" relativeHeight="480083968">
            <wp:simplePos x="0" y="0"/>
            <wp:positionH relativeFrom="page">
              <wp:posOffset>2295245</wp:posOffset>
            </wp:positionH>
            <wp:positionV relativeFrom="paragraph">
              <wp:posOffset>116183</wp:posOffset>
            </wp:positionV>
            <wp:extent cx="78663" cy="78663"/>
            <wp:effectExtent l="0" t="0" r="0" b="0"/>
            <wp:wrapNone/>
            <wp:docPr id="113" name="image42.png"/>
            <wp:cNvGraphicFramePr>
              <a:graphicFrameLocks noChangeAspect="1"/>
            </wp:cNvGraphicFramePr>
            <a:graphic>
              <a:graphicData uri="http://schemas.openxmlformats.org/drawingml/2006/picture">
                <pic:pic>
                  <pic:nvPicPr>
                    <pic:cNvPr id="114" name="image42.png"/>
                    <pic:cNvPicPr/>
                  </pic:nvPicPr>
                  <pic:blipFill>
                    <a:blip r:embed="rId91" cstate="print"/>
                    <a:stretch>
                      <a:fillRect/>
                    </a:stretch>
                  </pic:blipFill>
                  <pic:spPr>
                    <a:xfrm>
                      <a:off x="0" y="0"/>
                      <a:ext cx="78663" cy="78663"/>
                    </a:xfrm>
                    <a:prstGeom prst="rect">
                      <a:avLst/>
                    </a:prstGeom>
                  </pic:spPr>
                </pic:pic>
              </a:graphicData>
            </a:graphic>
          </wp:anchor>
        </w:drawing>
      </w:r>
      <w:r>
        <w:rPr/>
        <w:pict>
          <v:group style="position:absolute;margin-left:41.851002pt;margin-top:15.187342pt;width:12.85pt;height:6.2pt;mso-position-horizontal-relative:page;mso-position-vertical-relative:paragraph;z-index:16071680" coordorigin="837,304" coordsize="257,124">
            <v:shape style="position:absolute;left:969;top:303;width:124;height:124" type="#_x0000_t75" stroked="false">
              <v:imagedata r:id="rId92" o:title=""/>
            </v:shape>
            <v:line style="position:absolute" from="837,366" to="924,366" stroked="true" strokeweight=".5pt" strokecolor="#000000">
              <v:stroke dashstyle="solid"/>
            </v:line>
            <w10:wrap type="none"/>
          </v:group>
        </w:pict>
      </w:r>
      <w:r>
        <w:rPr/>
        <w:pict>
          <v:line style="position:absolute;mso-position-horizontal-relative:page;mso-position-vertical-relative:paragraph;z-index:-23222784" from="196.955994pt,17.734341pt" to="201.287994pt,17.734341pt" stroked="true" strokeweight=".5pt" strokecolor="#000000">
            <v:stroke dashstyle="solid"/>
            <w10:wrap type="none"/>
          </v:line>
        </w:pict>
      </w:r>
      <w:r>
        <w:rPr>
          <w:position w:val="-7"/>
          <w:sz w:val="12"/>
        </w:rPr>
        <w:t>Construction</w:t>
        <w:tab/>
      </w:r>
      <w:r>
        <w:rPr>
          <w:sz w:val="12"/>
        </w:rPr>
        <w:t>Electrical and optical</w:t>
        <w:tab/>
      </w:r>
      <w:r>
        <w:rPr>
          <w:position w:val="-11"/>
          <w:sz w:val="12"/>
        </w:rPr>
        <w:t>3</w:t>
      </w:r>
    </w:p>
    <w:p>
      <w:pPr>
        <w:pStyle w:val="BodyText"/>
        <w:spacing w:before="2"/>
        <w:rPr>
          <w:sz w:val="23"/>
        </w:rPr>
      </w:pPr>
    </w:p>
    <w:p>
      <w:pPr>
        <w:spacing w:before="0"/>
        <w:ind w:left="0" w:right="0" w:firstLine="0"/>
        <w:jc w:val="right"/>
        <w:rPr>
          <w:sz w:val="12"/>
        </w:rPr>
      </w:pPr>
      <w:r>
        <w:rPr/>
        <w:drawing>
          <wp:anchor distT="0" distB="0" distL="0" distR="0" allowOverlap="1" layoutInCell="1" locked="0" behindDoc="0" simplePos="0" relativeHeight="16069632">
            <wp:simplePos x="0" y="0"/>
            <wp:positionH relativeFrom="page">
              <wp:posOffset>661771</wp:posOffset>
            </wp:positionH>
            <wp:positionV relativeFrom="paragraph">
              <wp:posOffset>33738</wp:posOffset>
            </wp:positionV>
            <wp:extent cx="114465" cy="124663"/>
            <wp:effectExtent l="0" t="0" r="0" b="0"/>
            <wp:wrapNone/>
            <wp:docPr id="115" name="image44.png"/>
            <wp:cNvGraphicFramePr>
              <a:graphicFrameLocks noChangeAspect="1"/>
            </wp:cNvGraphicFramePr>
            <a:graphic>
              <a:graphicData uri="http://schemas.openxmlformats.org/drawingml/2006/picture">
                <pic:pic>
                  <pic:nvPicPr>
                    <pic:cNvPr id="116" name="image44.png"/>
                    <pic:cNvPicPr/>
                  </pic:nvPicPr>
                  <pic:blipFill>
                    <a:blip r:embed="rId93" cstate="print"/>
                    <a:stretch>
                      <a:fillRect/>
                    </a:stretch>
                  </pic:blipFill>
                  <pic:spPr>
                    <a:xfrm>
                      <a:off x="0" y="0"/>
                      <a:ext cx="114465" cy="124663"/>
                    </a:xfrm>
                    <a:prstGeom prst="rect">
                      <a:avLst/>
                    </a:prstGeom>
                  </pic:spPr>
                </pic:pic>
              </a:graphicData>
            </a:graphic>
          </wp:anchor>
        </w:drawing>
      </w:r>
      <w:r>
        <w:rPr/>
        <w:pict>
          <v:line style="position:absolute;mso-position-horizontal-relative:page;mso-position-vertical-relative:paragraph;z-index:16072704" from="41.851002pt,4.852560pt" to="46.184002pt,4.852560pt" stroked="true" strokeweight=".5pt" strokecolor="#000000">
            <v:stroke dashstyle="solid"/>
            <w10:wrap type="none"/>
          </v:line>
        </w:pict>
      </w:r>
      <w:r>
        <w:rPr/>
        <w:pict>
          <v:line style="position:absolute;mso-position-horizontal-relative:page;mso-position-vertical-relative:paragraph;z-index:16075776" from="196.955994pt,4.29556pt" to="201.287994pt,4.29556pt" stroked="true" strokeweight=".5pt" strokecolor="#000000">
            <v:stroke dashstyle="solid"/>
            <w10:wrap type="none"/>
          </v:line>
        </w:pict>
      </w:r>
      <w:r>
        <w:rPr>
          <w:sz w:val="12"/>
        </w:rPr>
        <w:t>2</w:t>
      </w:r>
    </w:p>
    <w:p>
      <w:pPr>
        <w:pStyle w:val="BodyText"/>
        <w:spacing w:before="10"/>
        <w:rPr>
          <w:sz w:val="5"/>
        </w:rPr>
      </w:pPr>
    </w:p>
    <w:p>
      <w:pPr>
        <w:pStyle w:val="BodyText"/>
        <w:spacing w:line="124" w:lineRule="exact"/>
        <w:ind w:left="1577"/>
        <w:rPr>
          <w:sz w:val="12"/>
        </w:rPr>
      </w:pPr>
      <w:r>
        <w:rPr>
          <w:position w:val="-1"/>
          <w:sz w:val="12"/>
        </w:rPr>
        <w:drawing>
          <wp:inline distT="0" distB="0" distL="0" distR="0">
            <wp:extent cx="79356" cy="79343"/>
            <wp:effectExtent l="0" t="0" r="0" b="0"/>
            <wp:docPr id="117" name="image45.png"/>
            <wp:cNvGraphicFramePr>
              <a:graphicFrameLocks noChangeAspect="1"/>
            </wp:cNvGraphicFramePr>
            <a:graphic>
              <a:graphicData uri="http://schemas.openxmlformats.org/drawingml/2006/picture">
                <pic:pic>
                  <pic:nvPicPr>
                    <pic:cNvPr id="118" name="image45.png"/>
                    <pic:cNvPicPr/>
                  </pic:nvPicPr>
                  <pic:blipFill>
                    <a:blip r:embed="rId94" cstate="print"/>
                    <a:stretch>
                      <a:fillRect/>
                    </a:stretch>
                  </pic:blipFill>
                  <pic:spPr>
                    <a:xfrm>
                      <a:off x="0" y="0"/>
                      <a:ext cx="79356" cy="79343"/>
                    </a:xfrm>
                    <a:prstGeom prst="rect">
                      <a:avLst/>
                    </a:prstGeom>
                  </pic:spPr>
                </pic:pic>
              </a:graphicData>
            </a:graphic>
          </wp:inline>
        </w:drawing>
      </w:r>
      <w:r>
        <w:rPr>
          <w:position w:val="-1"/>
          <w:sz w:val="12"/>
        </w:rPr>
      </w:r>
    </w:p>
    <w:p>
      <w:pPr>
        <w:pStyle w:val="Heading7"/>
        <w:spacing w:before="79"/>
        <w:ind w:left="0" w:right="0"/>
        <w:jc w:val="right"/>
        <w:rPr>
          <w:sz w:val="12"/>
        </w:rPr>
      </w:pPr>
      <w:r>
        <w:rPr/>
        <w:drawing>
          <wp:anchor distT="0" distB="0" distL="0" distR="0" allowOverlap="1" layoutInCell="1" locked="0" behindDoc="0" simplePos="0" relativeHeight="16067584">
            <wp:simplePos x="0" y="0"/>
            <wp:positionH relativeFrom="page">
              <wp:posOffset>1648498</wp:posOffset>
            </wp:positionH>
            <wp:positionV relativeFrom="paragraph">
              <wp:posOffset>110766</wp:posOffset>
            </wp:positionV>
            <wp:extent cx="78663" cy="78651"/>
            <wp:effectExtent l="0" t="0" r="0" b="0"/>
            <wp:wrapNone/>
            <wp:docPr id="119" name="image46.png"/>
            <wp:cNvGraphicFramePr>
              <a:graphicFrameLocks noChangeAspect="1"/>
            </wp:cNvGraphicFramePr>
            <a:graphic>
              <a:graphicData uri="http://schemas.openxmlformats.org/drawingml/2006/picture">
                <pic:pic>
                  <pic:nvPicPr>
                    <pic:cNvPr id="120" name="image46.png"/>
                    <pic:cNvPicPr/>
                  </pic:nvPicPr>
                  <pic:blipFill>
                    <a:blip r:embed="rId95" cstate="print"/>
                    <a:stretch>
                      <a:fillRect/>
                    </a:stretch>
                  </pic:blipFill>
                  <pic:spPr>
                    <a:xfrm>
                      <a:off x="0" y="0"/>
                      <a:ext cx="78663" cy="78651"/>
                    </a:xfrm>
                    <a:prstGeom prst="rect">
                      <a:avLst/>
                    </a:prstGeom>
                  </pic:spPr>
                </pic:pic>
              </a:graphicData>
            </a:graphic>
          </wp:anchor>
        </w:drawing>
      </w:r>
      <w:r>
        <w:rPr/>
        <w:pict>
          <v:group style="position:absolute;margin-left:76.262001pt;margin-top:-1.343243pt;width:11.05pt;height:14.65pt;mso-position-horizontal-relative:page;mso-position-vertical-relative:paragraph;z-index:16069120" coordorigin="1525,-27" coordsize="221,293">
            <v:shape style="position:absolute;left:1525;top:134;width:221;height:132" type="#_x0000_t75" stroked="false">
              <v:imagedata r:id="rId96" o:title=""/>
            </v:shape>
            <v:shape style="position:absolute;left:1525;top:-27;width:124;height:124" type="#_x0000_t75" stroked="false">
              <v:imagedata r:id="rId95" o:title=""/>
            </v:shape>
            <w10:wrap type="none"/>
          </v:group>
        </w:pict>
      </w:r>
      <w:r>
        <w:rPr/>
        <w:pict>
          <v:group style="position:absolute;margin-left:41.851002pt;margin-top:2.279757pt;width:20.1pt;height:32pt;mso-position-horizontal-relative:page;mso-position-vertical-relative:paragraph;z-index:-23227904" coordorigin="837,46" coordsize="402,640">
            <v:shape style="position:absolute;left:961;top:45;width:124;height:124" type="#_x0000_t75" stroked="false">
              <v:imagedata r:id="rId95" o:title=""/>
            </v:shape>
            <v:shape style="position:absolute;left:961;top:230;width:261;height:277" type="#_x0000_t75" stroked="false">
              <v:imagedata r:id="rId97" o:title=""/>
            </v:shape>
            <v:shape style="position:absolute;left:985;top:552;width:253;height:132" type="#_x0000_t75" stroked="false">
              <v:imagedata r:id="rId98" o:title=""/>
            </v:shape>
            <v:line style="position:absolute" from="837,176" to="924,176" stroked="true" strokeweight=".5pt" strokecolor="#000000">
              <v:stroke dashstyle="solid"/>
            </v:line>
            <w10:wrap type="none"/>
          </v:group>
        </w:pict>
      </w:r>
      <w:r>
        <w:rPr/>
        <w:pict>
          <v:line style="position:absolute;mso-position-horizontal-relative:page;mso-position-vertical-relative:paragraph;z-index:-23221760" from="196.955994pt,8.245757pt" to="201.287994pt,8.245757pt" stroked="true" strokeweight=".5pt" strokecolor="#000000">
            <v:stroke dashstyle="solid"/>
            <w10:wrap type="none"/>
          </v:line>
        </w:pict>
      </w:r>
      <w:r>
        <w:rPr>
          <w:position w:val="-2"/>
        </w:rPr>
        <w:drawing>
          <wp:inline distT="0" distB="0" distL="0" distR="0">
            <wp:extent cx="78663" cy="78663"/>
            <wp:effectExtent l="0" t="0" r="0" b="0"/>
            <wp:docPr id="121" name="image50.png"/>
            <wp:cNvGraphicFramePr>
              <a:graphicFrameLocks noChangeAspect="1"/>
            </wp:cNvGraphicFramePr>
            <a:graphic>
              <a:graphicData uri="http://schemas.openxmlformats.org/drawingml/2006/picture">
                <pic:pic>
                  <pic:nvPicPr>
                    <pic:cNvPr id="122" name="image50.png"/>
                    <pic:cNvPicPr/>
                  </pic:nvPicPr>
                  <pic:blipFill>
                    <a:blip r:embed="rId99" cstate="print"/>
                    <a:stretch>
                      <a:fillRect/>
                    </a:stretch>
                  </pic:blipFill>
                  <pic:spPr>
                    <a:xfrm>
                      <a:off x="0" y="0"/>
                      <a:ext cx="78663" cy="78663"/>
                    </a:xfrm>
                    <a:prstGeom prst="rect">
                      <a:avLst/>
                    </a:prstGeom>
                  </pic:spPr>
                </pic:pic>
              </a:graphicData>
            </a:graphic>
          </wp:inline>
        </w:drawing>
      </w:r>
      <w:r>
        <w:rPr>
          <w:position w:val="-2"/>
        </w:rPr>
      </w:r>
      <w:r>
        <w:rPr/>
        <w:t>          </w:t>
      </w:r>
      <w:r>
        <w:rPr>
          <w:spacing w:val="2"/>
        </w:rPr>
        <w:t> </w:t>
      </w:r>
      <w:r>
        <w:rPr>
          <w:sz w:val="12"/>
        </w:rPr>
        <w:t>1</w:t>
      </w:r>
    </w:p>
    <w:p>
      <w:pPr>
        <w:tabs>
          <w:tab w:pos="3351" w:val="left" w:leader="none"/>
        </w:tabs>
        <w:spacing w:line="200" w:lineRule="exact" w:before="66"/>
        <w:ind w:left="886" w:right="0" w:firstLine="0"/>
        <w:jc w:val="left"/>
        <w:rPr>
          <w:sz w:val="16"/>
        </w:rPr>
      </w:pPr>
      <w:r>
        <w:rPr/>
        <w:drawing>
          <wp:anchor distT="0" distB="0" distL="0" distR="0" allowOverlap="1" layoutInCell="1" locked="0" behindDoc="1" simplePos="0" relativeHeight="480084480">
            <wp:simplePos x="0" y="0"/>
            <wp:positionH relativeFrom="page">
              <wp:posOffset>2267115</wp:posOffset>
            </wp:positionH>
            <wp:positionV relativeFrom="paragraph">
              <wp:posOffset>59418</wp:posOffset>
            </wp:positionV>
            <wp:extent cx="78663" cy="78651"/>
            <wp:effectExtent l="0" t="0" r="0" b="0"/>
            <wp:wrapNone/>
            <wp:docPr id="123" name="image51.png"/>
            <wp:cNvGraphicFramePr>
              <a:graphicFrameLocks noChangeAspect="1"/>
            </wp:cNvGraphicFramePr>
            <a:graphic>
              <a:graphicData uri="http://schemas.openxmlformats.org/drawingml/2006/picture">
                <pic:pic>
                  <pic:nvPicPr>
                    <pic:cNvPr id="124" name="image51.png"/>
                    <pic:cNvPicPr/>
                  </pic:nvPicPr>
                  <pic:blipFill>
                    <a:blip r:embed="rId100" cstate="print"/>
                    <a:stretch>
                      <a:fillRect/>
                    </a:stretch>
                  </pic:blipFill>
                  <pic:spPr>
                    <a:xfrm>
                      <a:off x="0" y="0"/>
                      <a:ext cx="78663" cy="78651"/>
                    </a:xfrm>
                    <a:prstGeom prst="rect">
                      <a:avLst/>
                    </a:prstGeom>
                  </pic:spPr>
                </pic:pic>
              </a:graphicData>
            </a:graphic>
          </wp:anchor>
        </w:drawing>
      </w:r>
      <w:r>
        <w:rPr/>
        <w:pict>
          <v:group style="position:absolute;margin-left:92.767998pt;margin-top:8.703612pt;width:30.35pt;height:15.05pt;mso-position-horizontal-relative:page;mso-position-vertical-relative:paragraph;z-index:-23229952" coordorigin="1855,174" coordsize="607,301">
            <v:shape style="position:absolute;left:2338;top:270;width:124;height:124" type="#_x0000_t75" stroked="false">
              <v:imagedata r:id="rId101" o:title=""/>
            </v:shape>
            <v:shape style="position:absolute;left:2158;top:356;width:114;height:114" coordorigin="2158,356" coordsize="114,114" path="m2215,356l2158,413,2215,470,2272,413,2215,356xe" filled="true" fillcolor="#006caa" stroked="false">
              <v:path arrowok="t"/>
              <v:fill type="solid"/>
            </v:shape>
            <v:shape style="position:absolute;left:2158;top:356;width:114;height:114" coordorigin="2158,356" coordsize="114,114" path="m2272,413l2215,470,2158,413,2215,356,2272,413xe" filled="false" stroked="true" strokeweight=".5pt" strokecolor="#000000">
              <v:path arrowok="t"/>
              <v:stroke dashstyle="solid"/>
            </v:shape>
            <v:shape style="position:absolute;left:2021;top:275;width:114;height:114" coordorigin="2021,276" coordsize="114,114" path="m2078,276l2021,333,2078,390,2135,333,2078,276xe" filled="true" fillcolor="#006caa" stroked="false">
              <v:path arrowok="t"/>
              <v:fill type="solid"/>
            </v:shape>
            <v:shape style="position:absolute;left:2021;top:275;width:114;height:114" coordorigin="2021,276" coordsize="114,114" path="m2135,333l2078,390,2021,333,2078,276,2135,333xe" filled="false" stroked="true" strokeweight=".5pt" strokecolor="#000000">
              <v:path arrowok="t"/>
              <v:stroke dashstyle="solid"/>
            </v:shape>
            <v:shape style="position:absolute;left:1965;top:243;width:114;height:114" coordorigin="1965,243" coordsize="114,114" path="m2022,243l1965,300,2022,357,2079,300,2022,243xe" filled="true" fillcolor="#006caa" stroked="false">
              <v:path arrowok="t"/>
              <v:fill type="solid"/>
            </v:shape>
            <v:shape style="position:absolute;left:1965;top:243;width:114;height:114" coordorigin="1965,243" coordsize="114,114" path="m2079,300l2022,357,1965,300,2022,243,2079,300xe" filled="false" stroked="true" strokeweight=".5pt" strokecolor="#000000">
              <v:path arrowok="t"/>
              <v:stroke dashstyle="solid"/>
            </v:shape>
            <v:shape style="position:absolute;left:1860;top:179;width:114;height:114" coordorigin="1860,179" coordsize="114,114" path="m1917,179l1860,236,1917,293,1974,236,1917,179xe" filled="true" fillcolor="#f5d4e1" stroked="false">
              <v:path arrowok="t"/>
              <v:fill type="solid"/>
            </v:shape>
            <v:shape style="position:absolute;left:1860;top:179;width:114;height:114" coordorigin="1860,179" coordsize="114,114" path="m1974,236l1917,293,1860,236,1917,179,1974,236xe" filled="false" stroked="true" strokeweight=".5pt" strokecolor="#000000">
              <v:path arrowok="t"/>
              <v:stroke dashstyle="solid"/>
            </v:shape>
            <w10:wrap type="none"/>
          </v:group>
        </w:pict>
      </w:r>
      <w:r>
        <w:rPr>
          <w:sz w:val="12"/>
        </w:rPr>
        <w:t>Hotels</w:t>
        <w:tab/>
      </w:r>
      <w:r>
        <w:rPr>
          <w:position w:val="5"/>
          <w:sz w:val="16"/>
        </w:rPr>
        <w:t>+</w:t>
      </w:r>
    </w:p>
    <w:p>
      <w:pPr>
        <w:spacing w:before="77"/>
        <w:ind w:left="70" w:right="0" w:firstLine="0"/>
        <w:jc w:val="left"/>
        <w:rPr>
          <w:sz w:val="12"/>
        </w:rPr>
      </w:pPr>
      <w:r>
        <w:rPr/>
        <w:br w:type="column"/>
      </w:r>
      <w:r>
        <w:rPr>
          <w:sz w:val="12"/>
        </w:rPr>
        <w:t>0.0</w:t>
      </w:r>
    </w:p>
    <w:p>
      <w:pPr>
        <w:spacing w:line="242" w:lineRule="auto" w:before="13"/>
        <w:ind w:left="180" w:right="172" w:firstLine="0"/>
        <w:jc w:val="left"/>
        <w:rPr>
          <w:sz w:val="24"/>
        </w:rPr>
      </w:pPr>
      <w:r>
        <w:rPr/>
        <w:br w:type="column"/>
      </w:r>
      <w:r>
        <w:rPr>
          <w:sz w:val="24"/>
        </w:rPr>
        <w:t>a year earlier). The increase was somewhat larger than suggested by the modest rise in the CIPS index of business activity in Q2 (see Chart 2.16) and intelligence gathered by the Bank’s regional Agents.</w:t>
      </w:r>
    </w:p>
    <w:p>
      <w:pPr>
        <w:pStyle w:val="BodyText"/>
        <w:spacing w:before="9"/>
        <w:rPr>
          <w:sz w:val="24"/>
        </w:rPr>
      </w:pPr>
    </w:p>
    <w:p>
      <w:pPr>
        <w:spacing w:line="242" w:lineRule="auto" w:before="0"/>
        <w:ind w:left="180" w:right="172" w:firstLine="0"/>
        <w:jc w:val="left"/>
        <w:rPr>
          <w:sz w:val="24"/>
        </w:rPr>
      </w:pPr>
      <w:r>
        <w:rPr>
          <w:sz w:val="24"/>
        </w:rPr>
        <w:t>Relatively</w:t>
      </w:r>
      <w:r>
        <w:rPr>
          <w:spacing w:val="-8"/>
          <w:sz w:val="24"/>
        </w:rPr>
        <w:t> </w:t>
      </w:r>
      <w:r>
        <w:rPr>
          <w:sz w:val="24"/>
        </w:rPr>
        <w:t>slower</w:t>
      </w:r>
      <w:r>
        <w:rPr>
          <w:spacing w:val="-8"/>
          <w:sz w:val="24"/>
        </w:rPr>
        <w:t> </w:t>
      </w:r>
      <w:r>
        <w:rPr>
          <w:sz w:val="24"/>
        </w:rPr>
        <w:t>growth</w:t>
      </w:r>
      <w:r>
        <w:rPr>
          <w:spacing w:val="-8"/>
          <w:sz w:val="24"/>
        </w:rPr>
        <w:t> </w:t>
      </w:r>
      <w:r>
        <w:rPr>
          <w:sz w:val="24"/>
        </w:rPr>
        <w:t>in</w:t>
      </w:r>
      <w:r>
        <w:rPr>
          <w:spacing w:val="-7"/>
          <w:sz w:val="24"/>
        </w:rPr>
        <w:t> </w:t>
      </w:r>
      <w:r>
        <w:rPr>
          <w:sz w:val="24"/>
        </w:rPr>
        <w:t>the</w:t>
      </w:r>
      <w:r>
        <w:rPr>
          <w:spacing w:val="-8"/>
          <w:sz w:val="24"/>
        </w:rPr>
        <w:t> </w:t>
      </w:r>
      <w:r>
        <w:rPr>
          <w:sz w:val="24"/>
        </w:rPr>
        <w:t>production</w:t>
      </w:r>
      <w:r>
        <w:rPr>
          <w:spacing w:val="-8"/>
          <w:sz w:val="24"/>
        </w:rPr>
        <w:t> </w:t>
      </w:r>
      <w:r>
        <w:rPr>
          <w:sz w:val="24"/>
        </w:rPr>
        <w:t>sector</w:t>
      </w:r>
      <w:r>
        <w:rPr>
          <w:spacing w:val="-8"/>
          <w:sz w:val="24"/>
        </w:rPr>
        <w:t> </w:t>
      </w:r>
      <w:r>
        <w:rPr>
          <w:sz w:val="24"/>
        </w:rPr>
        <w:t>than</w:t>
      </w:r>
      <w:r>
        <w:rPr>
          <w:spacing w:val="-7"/>
          <w:sz w:val="24"/>
        </w:rPr>
        <w:t> </w:t>
      </w:r>
      <w:r>
        <w:rPr>
          <w:sz w:val="24"/>
        </w:rPr>
        <w:t>in the service sector in recent years has partly reflected the effects of the appreciation of the exchange rate. The May 2000 </w:t>
      </w:r>
      <w:r>
        <w:rPr>
          <w:i/>
          <w:sz w:val="24"/>
        </w:rPr>
        <w:t>Report </w:t>
      </w:r>
      <w:r>
        <w:rPr>
          <w:sz w:val="24"/>
        </w:rPr>
        <w:t>noted that industries that export a high proportion of their output had tended to experience somewhat weaker output growth than sectors more orientated towards domestic markets. Manufacturing surveys and contacts of the Banks’ regional Agents </w:t>
      </w:r>
      <w:r>
        <w:rPr>
          <w:spacing w:val="-3"/>
          <w:sz w:val="24"/>
        </w:rPr>
        <w:t>have </w:t>
      </w:r>
      <w:r>
        <w:rPr>
          <w:sz w:val="24"/>
        </w:rPr>
        <w:t>also reported intense competition from</w:t>
      </w:r>
      <w:r>
        <w:rPr>
          <w:spacing w:val="-14"/>
          <w:sz w:val="24"/>
        </w:rPr>
        <w:t> </w:t>
      </w:r>
      <w:r>
        <w:rPr>
          <w:sz w:val="24"/>
        </w:rPr>
        <w:t>imports.</w:t>
      </w:r>
    </w:p>
    <w:p>
      <w:pPr>
        <w:spacing w:after="0" w:line="242" w:lineRule="auto"/>
        <w:jc w:val="left"/>
        <w:rPr>
          <w:sz w:val="24"/>
        </w:rPr>
        <w:sectPr>
          <w:type w:val="continuous"/>
          <w:pgSz w:w="11900" w:h="16840"/>
          <w:pgMar w:top="1260" w:bottom="280" w:left="640" w:right="640"/>
          <w:cols w:num="3" w:equalWidth="0">
            <w:col w:w="3506" w:space="40"/>
            <w:col w:w="261" w:space="1003"/>
            <w:col w:w="5810"/>
          </w:cols>
        </w:sectPr>
      </w:pPr>
    </w:p>
    <w:p>
      <w:pPr>
        <w:tabs>
          <w:tab w:pos="3217" w:val="left" w:leader="none"/>
        </w:tabs>
        <w:spacing w:line="96" w:lineRule="exact" w:before="0"/>
        <w:ind w:left="197" w:right="0" w:firstLine="0"/>
        <w:jc w:val="left"/>
        <w:rPr>
          <w:sz w:val="12"/>
        </w:rPr>
      </w:pPr>
      <w:r>
        <w:rPr>
          <w:sz w:val="12"/>
          <w:u w:val="single"/>
        </w:rPr>
        <w:t> </w:t>
        <w:tab/>
      </w:r>
      <w:r>
        <w:rPr>
          <w:sz w:val="12"/>
        </w:rPr>
        <w:t>  </w:t>
      </w:r>
      <w:r>
        <w:rPr>
          <w:spacing w:val="-9"/>
          <w:sz w:val="12"/>
        </w:rPr>
        <w:t> </w:t>
      </w:r>
      <w:r>
        <w:rPr>
          <w:sz w:val="12"/>
          <w:u w:val="single"/>
        </w:rPr>
        <w:t>  </w:t>
      </w:r>
      <w:r>
        <w:rPr>
          <w:spacing w:val="-4"/>
          <w:sz w:val="12"/>
          <w:u w:val="single"/>
        </w:rPr>
        <w:t> </w:t>
      </w:r>
      <w:r>
        <w:rPr>
          <w:sz w:val="12"/>
        </w:rPr>
        <w:t> </w:t>
      </w:r>
      <w:r>
        <w:rPr>
          <w:spacing w:val="-1"/>
          <w:sz w:val="12"/>
        </w:rPr>
        <w:t> </w:t>
      </w:r>
      <w:r>
        <w:rPr>
          <w:sz w:val="12"/>
        </w:rPr>
        <w:t>0</w:t>
      </w:r>
    </w:p>
    <w:p>
      <w:pPr>
        <w:spacing w:line="150" w:lineRule="exact" w:before="0"/>
        <w:ind w:left="3367" w:right="0" w:firstLine="0"/>
        <w:jc w:val="left"/>
        <w:rPr>
          <w:sz w:val="16"/>
        </w:rPr>
      </w:pPr>
      <w:r>
        <w:rPr>
          <w:sz w:val="16"/>
        </w:rPr>
        <w:t>_</w:t>
      </w:r>
    </w:p>
    <w:p>
      <w:pPr>
        <w:spacing w:after="0" w:line="150" w:lineRule="exact"/>
        <w:jc w:val="left"/>
        <w:rPr>
          <w:sz w:val="16"/>
        </w:rPr>
        <w:sectPr>
          <w:type w:val="continuous"/>
          <w:pgSz w:w="11900" w:h="16840"/>
          <w:pgMar w:top="1260" w:bottom="280" w:left="640" w:right="640"/>
        </w:sectPr>
      </w:pPr>
    </w:p>
    <w:p>
      <w:pPr>
        <w:tabs>
          <w:tab w:pos="3505" w:val="right" w:leader="none"/>
        </w:tabs>
        <w:spacing w:before="116"/>
        <w:ind w:left="1947" w:right="0" w:firstLine="0"/>
        <w:jc w:val="left"/>
        <w:rPr>
          <w:sz w:val="12"/>
        </w:rPr>
      </w:pPr>
      <w:r>
        <w:rPr/>
        <w:drawing>
          <wp:anchor distT="0" distB="0" distL="0" distR="0" allowOverlap="1" layoutInCell="1" locked="0" behindDoc="0" simplePos="0" relativeHeight="16066560">
            <wp:simplePos x="0" y="0"/>
            <wp:positionH relativeFrom="page">
              <wp:posOffset>2267127</wp:posOffset>
            </wp:positionH>
            <wp:positionV relativeFrom="paragraph">
              <wp:posOffset>8270</wp:posOffset>
            </wp:positionV>
            <wp:extent cx="78663" cy="78663"/>
            <wp:effectExtent l="0" t="0" r="0" b="0"/>
            <wp:wrapNone/>
            <wp:docPr id="125" name="image51.png"/>
            <wp:cNvGraphicFramePr>
              <a:graphicFrameLocks noChangeAspect="1"/>
            </wp:cNvGraphicFramePr>
            <a:graphic>
              <a:graphicData uri="http://schemas.openxmlformats.org/drawingml/2006/picture">
                <pic:pic>
                  <pic:nvPicPr>
                    <pic:cNvPr id="126" name="image51.png"/>
                    <pic:cNvPicPr/>
                  </pic:nvPicPr>
                  <pic:blipFill>
                    <a:blip r:embed="rId100" cstate="print"/>
                    <a:stretch>
                      <a:fillRect/>
                    </a:stretch>
                  </pic:blipFill>
                  <pic:spPr>
                    <a:xfrm>
                      <a:off x="0" y="0"/>
                      <a:ext cx="78663" cy="78663"/>
                    </a:xfrm>
                    <a:prstGeom prst="rect">
                      <a:avLst/>
                    </a:prstGeom>
                  </pic:spPr>
                </pic:pic>
              </a:graphicData>
            </a:graphic>
          </wp:anchor>
        </w:drawing>
      </w:r>
      <w:r>
        <w:rPr/>
        <w:drawing>
          <wp:anchor distT="0" distB="0" distL="0" distR="0" allowOverlap="1" layoutInCell="1" locked="0" behindDoc="0" simplePos="0" relativeHeight="16068608">
            <wp:simplePos x="0" y="0"/>
            <wp:positionH relativeFrom="page">
              <wp:posOffset>1178140</wp:posOffset>
            </wp:positionH>
            <wp:positionV relativeFrom="paragraph">
              <wp:posOffset>156530</wp:posOffset>
            </wp:positionV>
            <wp:extent cx="78663" cy="78663"/>
            <wp:effectExtent l="0" t="0" r="0" b="0"/>
            <wp:wrapNone/>
            <wp:docPr id="127" name="image53.png"/>
            <wp:cNvGraphicFramePr>
              <a:graphicFrameLocks noChangeAspect="1"/>
            </wp:cNvGraphicFramePr>
            <a:graphic>
              <a:graphicData uri="http://schemas.openxmlformats.org/drawingml/2006/picture">
                <pic:pic>
                  <pic:nvPicPr>
                    <pic:cNvPr id="128" name="image53.png"/>
                    <pic:cNvPicPr/>
                  </pic:nvPicPr>
                  <pic:blipFill>
                    <a:blip r:embed="rId102" cstate="print"/>
                    <a:stretch>
                      <a:fillRect/>
                    </a:stretch>
                  </pic:blipFill>
                  <pic:spPr>
                    <a:xfrm>
                      <a:off x="0" y="0"/>
                      <a:ext cx="78663" cy="78663"/>
                    </a:xfrm>
                    <a:prstGeom prst="rect">
                      <a:avLst/>
                    </a:prstGeom>
                  </pic:spPr>
                </pic:pic>
              </a:graphicData>
            </a:graphic>
          </wp:anchor>
        </w:drawing>
      </w:r>
      <w:r>
        <w:rPr/>
        <w:drawing>
          <wp:anchor distT="0" distB="0" distL="0" distR="0" allowOverlap="1" layoutInCell="1" locked="0" behindDoc="1" simplePos="0" relativeHeight="480089088">
            <wp:simplePos x="0" y="0"/>
            <wp:positionH relativeFrom="page">
              <wp:posOffset>1980831</wp:posOffset>
            </wp:positionH>
            <wp:positionV relativeFrom="paragraph">
              <wp:posOffset>69611</wp:posOffset>
            </wp:positionV>
            <wp:extent cx="78651" cy="78663"/>
            <wp:effectExtent l="0" t="0" r="0" b="0"/>
            <wp:wrapNone/>
            <wp:docPr id="129" name="image54.png"/>
            <wp:cNvGraphicFramePr>
              <a:graphicFrameLocks noChangeAspect="1"/>
            </wp:cNvGraphicFramePr>
            <a:graphic>
              <a:graphicData uri="http://schemas.openxmlformats.org/drawingml/2006/picture">
                <pic:pic>
                  <pic:nvPicPr>
                    <pic:cNvPr id="130" name="image54.png"/>
                    <pic:cNvPicPr/>
                  </pic:nvPicPr>
                  <pic:blipFill>
                    <a:blip r:embed="rId103" cstate="print"/>
                    <a:stretch>
                      <a:fillRect/>
                    </a:stretch>
                  </pic:blipFill>
                  <pic:spPr>
                    <a:xfrm>
                      <a:off x="0" y="0"/>
                      <a:ext cx="78651" cy="78663"/>
                    </a:xfrm>
                    <a:prstGeom prst="rect">
                      <a:avLst/>
                    </a:prstGeom>
                  </pic:spPr>
                </pic:pic>
              </a:graphicData>
            </a:graphic>
          </wp:anchor>
        </w:drawing>
      </w:r>
      <w:r>
        <w:rPr/>
        <w:pict>
          <v:line style="position:absolute;mso-position-horizontal-relative:page;mso-position-vertical-relative:paragraph;z-index:16073728" from="41.851002pt,12.605216pt" to="46.184002pt,12.605216pt" stroked="true" strokeweight=".5pt" strokecolor="#000000">
            <v:stroke dashstyle="solid"/>
            <w10:wrap type="none"/>
          </v:line>
        </w:pict>
      </w:r>
      <w:r>
        <w:rPr/>
        <w:pict>
          <v:line style="position:absolute;mso-position-horizontal-relative:page;mso-position-vertical-relative:paragraph;z-index:-23220736" from="196.955994pt,12.048216pt" to="201.287994pt,12.048216pt" stroked="true" strokeweight=".5pt" strokecolor="#000000">
            <v:stroke dashstyle="solid"/>
            <w10:wrap type="none"/>
          </v:line>
        </w:pict>
      </w:r>
      <w:r>
        <w:rPr>
          <w:sz w:val="12"/>
        </w:rPr>
        <w:t>Chemicals</w:t>
        <w:tab/>
      </w:r>
      <w:r>
        <w:rPr>
          <w:position w:val="-3"/>
          <w:sz w:val="12"/>
        </w:rPr>
        <w:t>1</w:t>
      </w:r>
    </w:p>
    <w:p>
      <w:pPr>
        <w:pStyle w:val="BodyText"/>
        <w:spacing w:before="5"/>
        <w:rPr>
          <w:sz w:val="23"/>
        </w:rPr>
      </w:pPr>
    </w:p>
    <w:p>
      <w:pPr>
        <w:spacing w:before="0"/>
        <w:ind w:left="3445" w:right="0" w:firstLine="0"/>
        <w:jc w:val="left"/>
        <w:rPr>
          <w:sz w:val="12"/>
        </w:rPr>
      </w:pPr>
      <w:r>
        <w:rPr/>
        <w:drawing>
          <wp:anchor distT="0" distB="0" distL="0" distR="0" allowOverlap="1" layoutInCell="1" locked="0" behindDoc="0" simplePos="0" relativeHeight="16067072">
            <wp:simplePos x="0" y="0"/>
            <wp:positionH relativeFrom="page">
              <wp:posOffset>1980819</wp:posOffset>
            </wp:positionH>
            <wp:positionV relativeFrom="paragraph">
              <wp:posOffset>-37790</wp:posOffset>
            </wp:positionV>
            <wp:extent cx="78663" cy="78663"/>
            <wp:effectExtent l="0" t="0" r="0" b="0"/>
            <wp:wrapNone/>
            <wp:docPr id="131" name="image55.png"/>
            <wp:cNvGraphicFramePr>
              <a:graphicFrameLocks noChangeAspect="1"/>
            </wp:cNvGraphicFramePr>
            <a:graphic>
              <a:graphicData uri="http://schemas.openxmlformats.org/drawingml/2006/picture">
                <pic:pic>
                  <pic:nvPicPr>
                    <pic:cNvPr id="132" name="image55.png"/>
                    <pic:cNvPicPr/>
                  </pic:nvPicPr>
                  <pic:blipFill>
                    <a:blip r:embed="rId104" cstate="print"/>
                    <a:stretch>
                      <a:fillRect/>
                    </a:stretch>
                  </pic:blipFill>
                  <pic:spPr>
                    <a:xfrm>
                      <a:off x="0" y="0"/>
                      <a:ext cx="78663" cy="78663"/>
                    </a:xfrm>
                    <a:prstGeom prst="rect">
                      <a:avLst/>
                    </a:prstGeom>
                  </pic:spPr>
                </pic:pic>
              </a:graphicData>
            </a:graphic>
          </wp:anchor>
        </w:drawing>
      </w:r>
      <w:r>
        <w:rPr/>
        <w:drawing>
          <wp:anchor distT="0" distB="0" distL="0" distR="0" allowOverlap="1" layoutInCell="1" locked="0" behindDoc="1" simplePos="0" relativeHeight="480089600">
            <wp:simplePos x="0" y="0"/>
            <wp:positionH relativeFrom="page">
              <wp:posOffset>2262022</wp:posOffset>
            </wp:positionH>
            <wp:positionV relativeFrom="paragraph">
              <wp:posOffset>64469</wp:posOffset>
            </wp:positionV>
            <wp:extent cx="78663" cy="78663"/>
            <wp:effectExtent l="0" t="0" r="0" b="0"/>
            <wp:wrapNone/>
            <wp:docPr id="133" name="image42.png"/>
            <wp:cNvGraphicFramePr>
              <a:graphicFrameLocks noChangeAspect="1"/>
            </wp:cNvGraphicFramePr>
            <a:graphic>
              <a:graphicData uri="http://schemas.openxmlformats.org/drawingml/2006/picture">
                <pic:pic>
                  <pic:nvPicPr>
                    <pic:cNvPr id="134" name="image42.png"/>
                    <pic:cNvPicPr/>
                  </pic:nvPicPr>
                  <pic:blipFill>
                    <a:blip r:embed="rId91" cstate="print"/>
                    <a:stretch>
                      <a:fillRect/>
                    </a:stretch>
                  </pic:blipFill>
                  <pic:spPr>
                    <a:xfrm>
                      <a:off x="0" y="0"/>
                      <a:ext cx="78663" cy="78663"/>
                    </a:xfrm>
                    <a:prstGeom prst="rect">
                      <a:avLst/>
                    </a:prstGeom>
                  </pic:spPr>
                </pic:pic>
              </a:graphicData>
            </a:graphic>
          </wp:anchor>
        </w:drawing>
      </w:r>
      <w:r>
        <w:rPr/>
        <w:pict>
          <v:line style="position:absolute;mso-position-horizontal-relative:page;mso-position-vertical-relative:paragraph;z-index:16073216" from="41.851002pt,4.851365pt" to="46.184002pt,4.851365pt" stroked="true" strokeweight=".5pt" strokecolor="#000000">
            <v:stroke dashstyle="solid"/>
            <w10:wrap type="none"/>
          </v:line>
        </w:pict>
      </w:r>
      <w:r>
        <w:rPr/>
        <w:pict>
          <v:line style="position:absolute;mso-position-horizontal-relative:page;mso-position-vertical-relative:paragraph;z-index:16076800" from="196.955994pt,4.295365pt" to="201.287994pt,4.295365pt" stroked="true" strokeweight=".5pt" strokecolor="#000000">
            <v:stroke dashstyle="solid"/>
            <w10:wrap type="none"/>
          </v:line>
        </w:pict>
      </w:r>
      <w:r>
        <w:rPr>
          <w:sz w:val="12"/>
        </w:rPr>
        <w:t>2</w:t>
      </w:r>
    </w:p>
    <w:p>
      <w:pPr>
        <w:spacing w:before="43"/>
        <w:ind w:left="2301" w:right="0" w:firstLine="0"/>
        <w:jc w:val="left"/>
        <w:rPr>
          <w:sz w:val="12"/>
        </w:rPr>
      </w:pPr>
      <w:r>
        <w:rPr>
          <w:sz w:val="12"/>
        </w:rPr>
        <w:t>Leather goods</w:t>
      </w:r>
    </w:p>
    <w:p>
      <w:pPr>
        <w:spacing w:line="123" w:lineRule="exact" w:before="90"/>
        <w:ind w:left="3445" w:right="0" w:firstLine="0"/>
        <w:jc w:val="left"/>
        <w:rPr>
          <w:sz w:val="12"/>
        </w:rPr>
      </w:pPr>
      <w:r>
        <w:rPr/>
        <w:pict>
          <v:shape style="position:absolute;margin-left:51.140999pt;margin-top:5.441563pt;width:150.15pt;height:3.4pt;mso-position-horizontal-relative:page;mso-position-vertical-relative:paragraph;z-index:16072192" coordorigin="1023,109" coordsize="3003,68" path="m1025,176l3862,176m1023,109l1023,176m1497,109l1497,176m1971,109l1971,176m2445,109l2445,176m2920,109l2920,176m3394,109l3394,176m3868,109l3868,176m3939,176l4026,176e" filled="false" stroked="true" strokeweight=".5pt" strokecolor="#000000">
            <v:path arrowok="t"/>
            <v:stroke dashstyle="solid"/>
            <w10:wrap type="none"/>
          </v:shape>
        </w:pict>
      </w:r>
      <w:r>
        <w:rPr/>
        <w:pict>
          <v:line style="position:absolute;mso-position-horizontal-relative:page;mso-position-vertical-relative:paragraph;z-index:16074240" from="41.851002pt,9.351563pt" to="46.184002pt,9.351563pt" stroked="true" strokeweight=".5pt" strokecolor="#000000">
            <v:stroke dashstyle="solid"/>
            <w10:wrap type="none"/>
          </v:line>
        </w:pict>
      </w:r>
      <w:r>
        <w:rPr>
          <w:sz w:val="12"/>
        </w:rPr>
        <w:t>3</w:t>
      </w:r>
    </w:p>
    <w:p>
      <w:pPr>
        <w:tabs>
          <w:tab w:pos="802" w:val="left" w:leader="none"/>
          <w:tab w:pos="1273" w:val="left" w:leader="none"/>
          <w:tab w:pos="1745" w:val="left" w:leader="none"/>
          <w:tab w:pos="2216" w:val="left" w:leader="none"/>
          <w:tab w:pos="2688" w:val="left" w:leader="none"/>
          <w:tab w:pos="3159" w:val="left" w:leader="none"/>
        </w:tabs>
        <w:spacing w:line="123" w:lineRule="exact" w:before="0"/>
        <w:ind w:left="361" w:right="0" w:firstLine="0"/>
        <w:jc w:val="left"/>
        <w:rPr>
          <w:sz w:val="12"/>
        </w:rPr>
      </w:pPr>
      <w:r>
        <w:rPr>
          <w:sz w:val="12"/>
        </w:rPr>
        <w:t>0</w:t>
        <w:tab/>
        <w:t>10</w:t>
        <w:tab/>
        <w:t>20</w:t>
        <w:tab/>
        <w:t>30</w:t>
        <w:tab/>
        <w:t>40</w:t>
        <w:tab/>
        <w:t>50</w:t>
        <w:tab/>
        <w:t>60</w:t>
      </w:r>
    </w:p>
    <w:p>
      <w:pPr>
        <w:spacing w:before="40"/>
        <w:ind w:left="836" w:right="0" w:firstLine="0"/>
        <w:jc w:val="left"/>
        <w:rPr>
          <w:sz w:val="12"/>
        </w:rPr>
      </w:pPr>
      <w:r>
        <w:rPr>
          <w:sz w:val="12"/>
        </w:rPr>
        <w:t>Estimated import penetration in each industry</w:t>
      </w:r>
    </w:p>
    <w:p>
      <w:pPr>
        <w:pStyle w:val="ListParagraph"/>
        <w:numPr>
          <w:ilvl w:val="0"/>
          <w:numId w:val="19"/>
        </w:numPr>
        <w:tabs>
          <w:tab w:pos="421" w:val="left" w:leader="none"/>
        </w:tabs>
        <w:spacing w:line="208" w:lineRule="auto" w:before="75" w:after="0"/>
        <w:ind w:left="420" w:right="156" w:hanging="240"/>
        <w:jc w:val="left"/>
        <w:rPr>
          <w:sz w:val="12"/>
        </w:rPr>
      </w:pPr>
      <w:r>
        <w:rPr>
          <w:sz w:val="12"/>
        </w:rPr>
        <w:t>Import penetration is defined as import sales in each sector expressed as a share of gross domestic output plus imports, as measured by UK input-output tables. Production and service sector</w:t>
      </w:r>
      <w:r>
        <w:rPr>
          <w:spacing w:val="-6"/>
          <w:sz w:val="12"/>
        </w:rPr>
        <w:t> </w:t>
      </w:r>
      <w:r>
        <w:rPr>
          <w:sz w:val="12"/>
        </w:rPr>
        <w:t>industries</w:t>
      </w:r>
      <w:r>
        <w:rPr>
          <w:spacing w:val="-6"/>
          <w:sz w:val="12"/>
        </w:rPr>
        <w:t> </w:t>
      </w:r>
      <w:r>
        <w:rPr>
          <w:sz w:val="12"/>
        </w:rPr>
        <w:t>are</w:t>
      </w:r>
      <w:r>
        <w:rPr>
          <w:spacing w:val="-6"/>
          <w:sz w:val="12"/>
        </w:rPr>
        <w:t> </w:t>
      </w:r>
      <w:r>
        <w:rPr>
          <w:sz w:val="12"/>
        </w:rPr>
        <w:t>disaggregated</w:t>
      </w:r>
      <w:r>
        <w:rPr>
          <w:spacing w:val="-6"/>
          <w:sz w:val="12"/>
        </w:rPr>
        <w:t> </w:t>
      </w:r>
      <w:r>
        <w:rPr>
          <w:sz w:val="12"/>
        </w:rPr>
        <w:t>to</w:t>
      </w:r>
      <w:r>
        <w:rPr>
          <w:spacing w:val="-6"/>
          <w:sz w:val="12"/>
        </w:rPr>
        <w:t> </w:t>
      </w:r>
      <w:r>
        <w:rPr>
          <w:sz w:val="12"/>
        </w:rPr>
        <w:t>the</w:t>
      </w:r>
      <w:r>
        <w:rPr>
          <w:spacing w:val="-6"/>
          <w:sz w:val="12"/>
        </w:rPr>
        <w:t> </w:t>
      </w:r>
      <w:r>
        <w:rPr>
          <w:sz w:val="12"/>
        </w:rPr>
        <w:t>level</w:t>
      </w:r>
      <w:r>
        <w:rPr>
          <w:spacing w:val="-6"/>
          <w:sz w:val="12"/>
        </w:rPr>
        <w:t> </w:t>
      </w:r>
      <w:r>
        <w:rPr>
          <w:sz w:val="12"/>
        </w:rPr>
        <w:t>available</w:t>
      </w:r>
      <w:r>
        <w:rPr>
          <w:spacing w:val="-6"/>
          <w:sz w:val="12"/>
        </w:rPr>
        <w:t> </w:t>
      </w:r>
      <w:r>
        <w:rPr>
          <w:sz w:val="12"/>
        </w:rPr>
        <w:t>in</w:t>
      </w:r>
      <w:r>
        <w:rPr>
          <w:spacing w:val="-6"/>
          <w:sz w:val="12"/>
        </w:rPr>
        <w:t> </w:t>
      </w:r>
      <w:r>
        <w:rPr>
          <w:sz w:val="12"/>
        </w:rPr>
        <w:t>the ONS</w:t>
      </w:r>
      <w:r>
        <w:rPr>
          <w:spacing w:val="-8"/>
          <w:sz w:val="12"/>
        </w:rPr>
        <w:t> </w:t>
      </w:r>
      <w:r>
        <w:rPr>
          <w:sz w:val="12"/>
        </w:rPr>
        <w:t>Index</w:t>
      </w:r>
      <w:r>
        <w:rPr>
          <w:spacing w:val="-7"/>
          <w:sz w:val="12"/>
        </w:rPr>
        <w:t> </w:t>
      </w:r>
      <w:r>
        <w:rPr>
          <w:sz w:val="12"/>
        </w:rPr>
        <w:t>of</w:t>
      </w:r>
      <w:r>
        <w:rPr>
          <w:spacing w:val="-8"/>
          <w:sz w:val="12"/>
        </w:rPr>
        <w:t> </w:t>
      </w:r>
      <w:r>
        <w:rPr>
          <w:sz w:val="12"/>
        </w:rPr>
        <w:t>Production</w:t>
      </w:r>
      <w:r>
        <w:rPr>
          <w:spacing w:val="-7"/>
          <w:sz w:val="12"/>
        </w:rPr>
        <w:t> </w:t>
      </w:r>
      <w:r>
        <w:rPr>
          <w:sz w:val="12"/>
        </w:rPr>
        <w:t>and</w:t>
      </w:r>
      <w:r>
        <w:rPr>
          <w:spacing w:val="-8"/>
          <w:sz w:val="12"/>
        </w:rPr>
        <w:t> </w:t>
      </w:r>
      <w:r>
        <w:rPr>
          <w:sz w:val="12"/>
        </w:rPr>
        <w:t>National</w:t>
      </w:r>
      <w:r>
        <w:rPr>
          <w:spacing w:val="-12"/>
          <w:sz w:val="12"/>
        </w:rPr>
        <w:t> </w:t>
      </w:r>
      <w:r>
        <w:rPr>
          <w:sz w:val="12"/>
        </w:rPr>
        <w:t>Accounts</w:t>
      </w:r>
      <w:r>
        <w:rPr>
          <w:spacing w:val="-8"/>
          <w:sz w:val="12"/>
        </w:rPr>
        <w:t> </w:t>
      </w:r>
      <w:r>
        <w:rPr>
          <w:sz w:val="12"/>
        </w:rPr>
        <w:t>respectively.</w:t>
      </w:r>
    </w:p>
    <w:p>
      <w:pPr>
        <w:pStyle w:val="ListParagraph"/>
        <w:numPr>
          <w:ilvl w:val="0"/>
          <w:numId w:val="19"/>
        </w:numPr>
        <w:tabs>
          <w:tab w:pos="421" w:val="left" w:leader="none"/>
        </w:tabs>
        <w:spacing w:line="208" w:lineRule="auto" w:before="0" w:after="0"/>
        <w:ind w:left="420" w:right="38" w:hanging="240"/>
        <w:jc w:val="left"/>
        <w:rPr>
          <w:sz w:val="12"/>
        </w:rPr>
      </w:pPr>
      <w:r>
        <w:rPr>
          <w:sz w:val="12"/>
        </w:rPr>
        <w:t>Output</w:t>
      </w:r>
      <w:r>
        <w:rPr>
          <w:spacing w:val="-6"/>
          <w:sz w:val="12"/>
        </w:rPr>
        <w:t> </w:t>
      </w:r>
      <w:r>
        <w:rPr>
          <w:sz w:val="12"/>
        </w:rPr>
        <w:t>growth</w:t>
      </w:r>
      <w:r>
        <w:rPr>
          <w:spacing w:val="-6"/>
          <w:sz w:val="12"/>
        </w:rPr>
        <w:t> </w:t>
      </w:r>
      <w:r>
        <w:rPr>
          <w:sz w:val="12"/>
        </w:rPr>
        <w:t>rates</w:t>
      </w:r>
      <w:r>
        <w:rPr>
          <w:spacing w:val="-6"/>
          <w:sz w:val="12"/>
        </w:rPr>
        <w:t> </w:t>
      </w:r>
      <w:r>
        <w:rPr>
          <w:sz w:val="12"/>
        </w:rPr>
        <w:t>for</w:t>
      </w:r>
      <w:r>
        <w:rPr>
          <w:spacing w:val="-5"/>
          <w:sz w:val="12"/>
        </w:rPr>
        <w:t> </w:t>
      </w:r>
      <w:r>
        <w:rPr>
          <w:sz w:val="12"/>
        </w:rPr>
        <w:t>the</w:t>
      </w:r>
      <w:r>
        <w:rPr>
          <w:spacing w:val="-6"/>
          <w:sz w:val="12"/>
        </w:rPr>
        <w:t> </w:t>
      </w:r>
      <w:r>
        <w:rPr>
          <w:sz w:val="12"/>
        </w:rPr>
        <w:t>production</w:t>
      </w:r>
      <w:r>
        <w:rPr>
          <w:spacing w:val="-6"/>
          <w:sz w:val="12"/>
        </w:rPr>
        <w:t> </w:t>
      </w:r>
      <w:r>
        <w:rPr>
          <w:sz w:val="12"/>
        </w:rPr>
        <w:t>industries</w:t>
      </w:r>
      <w:r>
        <w:rPr>
          <w:spacing w:val="-5"/>
          <w:sz w:val="12"/>
        </w:rPr>
        <w:t> </w:t>
      </w:r>
      <w:r>
        <w:rPr>
          <w:sz w:val="12"/>
        </w:rPr>
        <w:t>refer</w:t>
      </w:r>
      <w:r>
        <w:rPr>
          <w:spacing w:val="-6"/>
          <w:sz w:val="12"/>
        </w:rPr>
        <w:t> </w:t>
      </w:r>
      <w:r>
        <w:rPr>
          <w:sz w:val="12"/>
        </w:rPr>
        <w:t>to</w:t>
      </w:r>
      <w:r>
        <w:rPr>
          <w:spacing w:val="-6"/>
          <w:sz w:val="12"/>
        </w:rPr>
        <w:t> </w:t>
      </w:r>
      <w:r>
        <w:rPr>
          <w:sz w:val="12"/>
        </w:rPr>
        <w:t>growth in the three months to May 2000, compared with the previous three months. Output growth rates in industries within the service, construction and agriculture sectors refer to growth in the three months to March 2000, compared with the previous three</w:t>
      </w:r>
      <w:r>
        <w:rPr>
          <w:spacing w:val="-2"/>
          <w:sz w:val="12"/>
        </w:rPr>
        <w:t> </w:t>
      </w:r>
      <w:r>
        <w:rPr>
          <w:sz w:val="12"/>
        </w:rPr>
        <w:t>months.</w:t>
      </w:r>
    </w:p>
    <w:p>
      <w:pPr>
        <w:spacing w:line="242" w:lineRule="auto" w:before="46"/>
        <w:ind w:left="180" w:right="57" w:firstLine="0"/>
        <w:jc w:val="left"/>
        <w:rPr>
          <w:sz w:val="24"/>
        </w:rPr>
      </w:pPr>
      <w:r>
        <w:rPr/>
        <w:br w:type="column"/>
      </w:r>
      <w:r>
        <w:rPr>
          <w:sz w:val="24"/>
        </w:rPr>
        <w:t>Import competition is likely to vary across industries, reflecting differences in the tradability of goods and services and in the presence of established foreign competitors. Estimates of import penetration may offer insights on the most exposed sectors. Chart 2.17 shows that there has been some tendency for output to rise more slowly in recent months in industries with historically high import penetration, such as chemicals, leather goods and the tourism-affected hotels and catering sector. By contrast, output grew more rapidly in construction, which</w:t>
      </w:r>
    </w:p>
    <w:p>
      <w:pPr>
        <w:spacing w:after="0" w:line="242" w:lineRule="auto"/>
        <w:jc w:val="left"/>
        <w:rPr>
          <w:sz w:val="24"/>
        </w:rPr>
        <w:sectPr>
          <w:type w:val="continuous"/>
          <w:pgSz w:w="11900" w:h="16840"/>
          <w:pgMar w:top="1260" w:bottom="280" w:left="640" w:right="640"/>
          <w:cols w:num="2" w:equalWidth="0">
            <w:col w:w="3556" w:space="1254"/>
            <w:col w:w="5810"/>
          </w:cols>
        </w:sectPr>
      </w:pPr>
    </w:p>
    <w:p>
      <w:pPr>
        <w:pStyle w:val="BodyText"/>
        <w:rPr>
          <w:sz w:val="20"/>
        </w:rPr>
      </w:pPr>
    </w:p>
    <w:p>
      <w:pPr>
        <w:spacing w:after="0"/>
        <w:rPr>
          <w:sz w:val="20"/>
        </w:rPr>
        <w:sectPr>
          <w:pgSz w:w="11900" w:h="16840"/>
          <w:pgMar w:header="601" w:footer="612" w:top="800" w:bottom="800" w:left="640" w:right="640"/>
        </w:sectPr>
      </w:pPr>
    </w:p>
    <w:p>
      <w:pPr>
        <w:pStyle w:val="BodyText"/>
        <w:spacing w:before="8"/>
        <w:rPr>
          <w:sz w:val="29"/>
        </w:rPr>
      </w:pPr>
    </w:p>
    <w:p>
      <w:pPr>
        <w:pStyle w:val="Heading6"/>
        <w:spacing w:before="0"/>
        <w:ind w:left="205"/>
      </w:pPr>
      <w:bookmarkStart w:name="Summary" w:id="43"/>
      <w:bookmarkEnd w:id="43"/>
      <w:r>
        <w:rPr>
          <w:b w:val="0"/>
        </w:rPr>
      </w:r>
      <w:bookmarkStart w:name="_bookmark16" w:id="44"/>
      <w:bookmarkEnd w:id="44"/>
      <w:r>
        <w:rPr>
          <w:b w:val="0"/>
        </w:rPr>
      </w:r>
      <w:r>
        <w:rPr>
          <w:color w:val="0092C7"/>
        </w:rPr>
        <w:t>Chart 2.18</w:t>
      </w:r>
    </w:p>
    <w:p>
      <w:pPr>
        <w:pStyle w:val="Heading6"/>
        <w:ind w:left="205"/>
        <w:rPr>
          <w:b w:val="0"/>
          <w:sz w:val="12"/>
        </w:rPr>
      </w:pPr>
      <w:r>
        <w:rPr/>
        <w:pict>
          <v:group style="position:absolute;margin-left:50.029999pt;margin-top:33.461926pt;width:153pt;height:116.2pt;mso-position-horizontal-relative:page;mso-position-vertical-relative:paragraph;z-index:16085504" coordorigin="1001,669" coordsize="3060,2324">
            <v:shape style="position:absolute;left:1010;top:1234;width:2033;height:1365" coordorigin="1011,1234" coordsize="2033,1365" path="m1011,1504l1113,1234m1113,1234l1203,1294m1203,1294l1306,1549m1306,1549l1396,1654m1396,1654l1501,1684m1501,1684l1591,1834m1591,1834l1693,2149m1693,2149l1783,2449m1783,2449l1886,2554m1886,2554l1976,2599m1976,2599l2078,2554m2078,2554l2168,2359m2168,2359l2271,2089m2271,2089l2361,1864m2361,1864l2466,1594m2466,1594l2556,1354m2556,1354l2658,1264m2658,1264l2748,1369m2748,1369l2851,1504m2851,1504l2941,1609m2941,1609l3043,1684e" filled="false" stroked="true" strokeweight="1pt" strokecolor="#de0035">
              <v:path arrowok="t"/>
              <v:stroke dashstyle="solid"/>
            </v:shape>
            <v:line style="position:absolute" from="3033,1685" to="3143,1685" stroked="true" strokeweight="1.125pt" strokecolor="#de0035">
              <v:stroke dashstyle="solid"/>
            </v:line>
            <v:shape style="position:absolute;left:3133;top:1309;width:773;height:375" coordorigin="3133,1309" coordsize="773,375" path="m3133,1684l3236,1654m3236,1654l3326,1519m3326,1519l3431,1339m3431,1339l3521,1309m3521,1309l3623,1399m3623,1399l3713,1429m3713,1429l3816,1444m3816,1444l3906,1609e" filled="false" stroked="true" strokeweight="1pt" strokecolor="#de0035">
              <v:path arrowok="t"/>
              <v:stroke dashstyle="solid"/>
            </v:shape>
            <v:shape style="position:absolute;left:1010;top:979;width:2895;height:1575" coordorigin="1011,979" coordsize="2895,1575" path="m1011,1969l1113,1684m1113,1684l1203,1744m1203,1744l1306,1969m1306,1969l1396,1909m1396,1909l1501,1864m1501,1864l1591,1969m1591,1969l1693,2269m1693,2269l1783,2554m1783,2554l1886,2449m1886,2449l1976,2284m1976,2284l2078,2464m2078,2464l2168,2434m2168,2434l2271,1849m2271,1849l2361,1474m2361,1474l2466,1234m2466,1234l2556,994m2556,994l2658,979m2658,979l2748,1069m2748,1069l2851,1114m2851,1114l2941,1279m2941,1279l3043,1384m3043,1384l3133,1279m3133,1279l3236,1384m3236,1384l3326,1489m3326,1489l3431,1279m3431,1279l3521,1039m3521,1039l3623,1099m3623,1099l3713,1279m3713,1279l3816,1384m3816,1384l3906,1714e" filled="false" stroked="true" strokeweight="1pt" strokecolor="#009391">
              <v:path arrowok="t"/>
              <v:stroke dashstyle="solid"/>
            </v:shape>
            <v:shape style="position:absolute;left:1010;top:679;width:2895;height:1860" coordorigin="1011,679" coordsize="2895,1860" path="m1011,1054l1113,679m1113,679l1203,754m1203,754l1306,1129m1306,1129l1396,1384m1396,1384l1501,1399m1501,1399l1591,1549m1591,1549l1693,1969m1693,1969l1783,2269m1783,2269l1886,2449m1886,2449l1976,2539m1976,2539l2078,2374m2078,2374l2168,2119m2168,2119l2271,1984m2271,1984l2361,1819m2361,1819l2466,1594m2466,1594l2556,1354m2556,1354l2658,1114m2658,1114l2748,1069m2748,1069l2851,1279m2851,1279l2941,1519m2941,1519l3043,1669m3043,1669l3133,1624m3133,1624l3236,1489m3236,1489l3326,1324m3326,1324l3431,1159m3431,1159l3521,1204m3521,1204l3623,1414m3623,1414l3713,1459m3713,1459l3816,1369m3816,1369l3906,1489e" filled="false" stroked="true" strokeweight="1pt" strokecolor="#b3dabb">
              <v:path arrowok="t"/>
              <v:stroke dashstyle="solid"/>
            </v:shape>
            <v:shape style="position:absolute;left:1010;top:1984;width:385;height:570" coordorigin="1011,1984" coordsize="385,570" path="m1011,2149l1113,1984m1113,1984l1203,2014m1203,2014l1306,2299m1306,2299l1396,2554e" filled="false" stroked="true" strokeweight="1pt" strokecolor="#0099d9">
              <v:path arrowok="t"/>
              <v:stroke dashstyle="solid"/>
            </v:shape>
            <v:line style="position:absolute" from="1386,2555" to="1511,2555" stroked="true" strokeweight="1.125pt" strokecolor="#0099d9">
              <v:stroke dashstyle="solid"/>
            </v:line>
            <v:shape style="position:absolute;left:1500;top:1924;width:1248;height:1035" coordorigin="1501,1924" coordsize="1248,1035" path="m1501,2554l1591,2404m1591,2404l1693,2449m1693,2449l1783,2629m1783,2629l1886,2779m1886,2779l1976,2914m1976,2914l2078,2959m2078,2959l2168,2734m2168,2734l2271,2494m2271,2494l2361,2404m2361,2404l2466,2209m2466,2209l2556,1924m2556,1924l2658,1954m2658,1954l2748,2209e" filled="false" stroked="true" strokeweight="1pt" strokecolor="#0099d9">
              <v:path arrowok="t"/>
              <v:stroke dashstyle="solid"/>
            </v:shape>
            <v:line style="position:absolute" from="2738,2210" to="2861,2210" stroked="true" strokeweight="1.125pt" strokecolor="#0099d9">
              <v:stroke dashstyle="solid"/>
            </v:line>
            <v:shape style="position:absolute;left:2850;top:1579;width:965;height:735" coordorigin="2851,1579" coordsize="965,735" path="m2851,2209l2941,1954m2941,1954l3043,1849m3043,1849l3133,2119m3133,2119l3236,2314m3236,2314l3326,2089m3326,2089l3431,1984m3431,1984l3521,2194m3521,2194l3623,2044m3623,2044l3713,1699m3713,1699l3816,1579e" filled="false" stroked="true" strokeweight="1pt" strokecolor="#0099d9">
              <v:path arrowok="t"/>
              <v:stroke dashstyle="solid"/>
            </v:shape>
            <v:line style="position:absolute" from="3806,1580" to="3916,1580" stroked="true" strokeweight="1.125pt" strokecolor="#0099d9">
              <v:stroke dashstyle="solid"/>
            </v:line>
            <v:line style="position:absolute" from="2898,1696" to="2773,2552" stroked="true" strokeweight=".5pt" strokecolor="#000000">
              <v:stroke dashstyle="solid"/>
            </v:line>
            <v:shape style="position:absolute;left:2870;top:1628;width:50;height:88" coordorigin="2871,1628" coordsize="50,88" path="m2908,1628l2871,1709,2921,1716,2909,1648,2908,1637,2908,1628xe" filled="true" fillcolor="#000000" stroked="false">
              <v:path arrowok="t"/>
              <v:fill type="solid"/>
            </v:shape>
            <v:shape style="position:absolute;left:3973;top:800;width:87;height:2172" coordorigin="3974,801" coordsize="87,2172" path="m3974,801l4060,801m3974,1162l4060,1162m3974,1524l4060,1524m3974,1886l4060,1886m3974,2248l4060,2248m3974,2972l4060,2972m3974,2610l4060,2610e" filled="false" stroked="true" strokeweight=".5pt" strokecolor="#000000">
              <v:path arrowok="t"/>
              <v:stroke dashstyle="solid"/>
            </v:shape>
            <v:shape style="position:absolute;left:1233;top:697;width:614;height:133" type="#_x0000_t202" filled="false" stroked="false">
              <v:textbox inset="0,0,0,0">
                <w:txbxContent>
                  <w:p>
                    <w:pPr>
                      <w:spacing w:line="133" w:lineRule="exact" w:before="0"/>
                      <w:ind w:left="0" w:right="0" w:firstLine="0"/>
                      <w:jc w:val="left"/>
                      <w:rPr>
                        <w:sz w:val="12"/>
                      </w:rPr>
                    </w:pPr>
                    <w:r>
                      <w:rPr>
                        <w:sz w:val="12"/>
                      </w:rPr>
                      <w:t>Commercial</w:t>
                    </w:r>
                  </w:p>
                </w:txbxContent>
              </v:textbox>
              <w10:wrap type="none"/>
            </v:shape>
            <v:shape style="position:absolute;left:2681;top:842;width:427;height:133" type="#_x0000_t202" filled="false" stroked="false">
              <v:textbox inset="0,0,0,0">
                <w:txbxContent>
                  <w:p>
                    <w:pPr>
                      <w:spacing w:line="133" w:lineRule="exact" w:before="0"/>
                      <w:ind w:left="0" w:right="0" w:firstLine="0"/>
                      <w:jc w:val="left"/>
                      <w:rPr>
                        <w:sz w:val="12"/>
                      </w:rPr>
                    </w:pPr>
                    <w:r>
                      <w:rPr>
                        <w:sz w:val="12"/>
                      </w:rPr>
                      <w:t>Housing</w:t>
                    </w:r>
                  </w:p>
                </w:txbxContent>
              </v:textbox>
              <w10:wrap type="none"/>
            </v:shape>
            <v:shape style="position:absolute;left:2489;top:2527;width:897;height:254" type="#_x0000_t202" filled="false" stroked="false">
              <v:textbox inset="0,0,0,0">
                <w:txbxContent>
                  <w:p>
                    <w:pPr>
                      <w:spacing w:line="208" w:lineRule="auto" w:before="9"/>
                      <w:ind w:left="60" w:right="0" w:hanging="60"/>
                      <w:jc w:val="left"/>
                      <w:rPr>
                        <w:sz w:val="12"/>
                      </w:rPr>
                    </w:pPr>
                    <w:r>
                      <w:rPr>
                        <w:sz w:val="12"/>
                      </w:rPr>
                      <w:t>Total construction activity</w:t>
                    </w:r>
                  </w:p>
                </w:txbxContent>
              </v:textbox>
              <w10:wrap type="none"/>
            </v:shape>
            <v:shape style="position:absolute;left:1106;top:2859;width:857;height:134" type="#_x0000_t202" filled="false" stroked="false">
              <v:textbox inset="0,0,0,0">
                <w:txbxContent>
                  <w:p>
                    <w:pPr>
                      <w:spacing w:line="133" w:lineRule="exact" w:before="0"/>
                      <w:ind w:left="0" w:right="0" w:firstLine="0"/>
                      <w:jc w:val="left"/>
                      <w:rPr>
                        <w:sz w:val="12"/>
                      </w:rPr>
                    </w:pPr>
                    <w:r>
                      <w:rPr>
                        <w:sz w:val="12"/>
                      </w:rPr>
                      <w:t>Civil engineering</w:t>
                    </w:r>
                  </w:p>
                </w:txbxContent>
              </v:textbox>
              <w10:wrap type="none"/>
            </v:shape>
            <w10:wrap type="none"/>
          </v:group>
        </w:pict>
      </w:r>
      <w:r>
        <w:rPr>
          <w:color w:val="0092C7"/>
        </w:rPr>
        <w:t>CIPS construction survey</w:t>
      </w:r>
      <w:r>
        <w:rPr>
          <w:b w:val="0"/>
          <w:position w:val="4"/>
          <w:sz w:val="12"/>
        </w:rPr>
        <w:t>(a)</w:t>
      </w:r>
    </w:p>
    <w:p>
      <w:pPr>
        <w:pStyle w:val="BodyText"/>
        <w:spacing w:before="6"/>
        <w:rPr>
          <w:sz w:val="13"/>
        </w:rPr>
      </w:pPr>
      <w:r>
        <w:rPr/>
        <w:pict>
          <v:shape style="position:absolute;margin-left:41.879002pt;margin-top:9.981846pt;width:4.350pt;height:.1pt;mso-position-horizontal-relative:page;mso-position-vertical-relative:paragraph;z-index:-15378432;mso-wrap-distance-left:0;mso-wrap-distance-right:0" coordorigin="838,200" coordsize="87,0" path="m838,200l924,200e" filled="false" stroked="true" strokeweight=".5pt" strokecolor="#000000">
            <v:path arrowok="t"/>
            <v:stroke dashstyle="solid"/>
            <w10:wrap type="topAndBottom"/>
          </v:shape>
        </w:pict>
      </w:r>
      <w:r>
        <w:rPr/>
        <w:pict>
          <v:shape style="position:absolute;margin-left:41.879002pt;margin-top:28.075846pt;width:4.350pt;height:.1pt;mso-position-horizontal-relative:page;mso-position-vertical-relative:paragraph;z-index:-15377920;mso-wrap-distance-left:0;mso-wrap-distance-right:0" coordorigin="838,562" coordsize="87,0" path="m838,562l924,562e" filled="false" stroked="true" strokeweight=".5pt" strokecolor="#000000">
            <v:path arrowok="t"/>
            <v:stroke dashstyle="solid"/>
            <w10:wrap type="topAndBottom"/>
          </v:shape>
        </w:pict>
      </w:r>
      <w:r>
        <w:rPr/>
        <w:pict>
          <v:shape style="position:absolute;margin-left:41.879002pt;margin-top:46.168846pt;width:4.350pt;height:.1pt;mso-position-horizontal-relative:page;mso-position-vertical-relative:paragraph;z-index:-15377408;mso-wrap-distance-left:0;mso-wrap-distance-right:0" coordorigin="838,923" coordsize="87,0" path="m838,923l924,923e" filled="false" stroked="true" strokeweight=".5pt" strokecolor="#000000">
            <v:path arrowok="t"/>
            <v:stroke dashstyle="solid"/>
            <w10:wrap type="topAndBottom"/>
          </v:shape>
        </w:pict>
      </w:r>
      <w:r>
        <w:rPr/>
        <w:pict>
          <v:shape style="position:absolute;margin-left:41.879002pt;margin-top:64.262848pt;width:4.350pt;height:.1pt;mso-position-horizontal-relative:page;mso-position-vertical-relative:paragraph;z-index:-15376896;mso-wrap-distance-left:0;mso-wrap-distance-right:0" coordorigin="838,1285" coordsize="87,0" path="m838,1285l924,1285e" filled="false" stroked="true" strokeweight=".5pt" strokecolor="#000000">
            <v:path arrowok="t"/>
            <v:stroke dashstyle="solid"/>
            <w10:wrap type="topAndBottom"/>
          </v:shape>
        </w:pict>
      </w:r>
      <w:r>
        <w:rPr/>
        <w:pict>
          <v:shape style="position:absolute;margin-left:41.879002pt;margin-top:82.356842pt;width:4.350pt;height:.1pt;mso-position-horizontal-relative:page;mso-position-vertical-relative:paragraph;z-index:-15376384;mso-wrap-distance-left:0;mso-wrap-distance-right:0" coordorigin="838,1647" coordsize="87,0" path="m838,1647l924,1647e" filled="false" stroked="true" strokeweight=".5pt" strokecolor="#000000">
            <v:path arrowok="t"/>
            <v:stroke dashstyle="solid"/>
            <w10:wrap type="topAndBottom"/>
          </v:shape>
        </w:pict>
      </w:r>
      <w:r>
        <w:rPr/>
        <w:pict>
          <v:shape style="position:absolute;margin-left:41.879002pt;margin-top:100.450844pt;width:4.350pt;height:.1pt;mso-position-horizontal-relative:page;mso-position-vertical-relative:paragraph;z-index:-15375872;mso-wrap-distance-left:0;mso-wrap-distance-right:0" coordorigin="838,2009" coordsize="87,0" path="m838,2009l924,2009e" filled="false" stroked="true" strokeweight=".5pt" strokecolor="#000000">
            <v:path arrowok="t"/>
            <v:stroke dashstyle="solid"/>
            <w10:wrap type="topAndBottom"/>
          </v:shape>
        </w:pict>
      </w:r>
      <w:r>
        <w:rPr/>
        <w:pict>
          <v:shape style="position:absolute;margin-left:41.879002pt;margin-top:118.543846pt;width:4.350pt;height:.1pt;mso-position-horizontal-relative:page;mso-position-vertical-relative:paragraph;z-index:-15375360;mso-wrap-distance-left:0;mso-wrap-distance-right:0" coordorigin="838,2371" coordsize="87,0" path="m838,2371l924,2371e" filled="false" stroked="true" strokeweight=".5pt" strokecolor="#000000">
            <v:path arrowok="t"/>
            <v:stroke dashstyle="solid"/>
            <w10:wrap type="topAndBottom"/>
          </v:shape>
        </w:pict>
      </w:r>
      <w:r>
        <w:rPr/>
        <w:pict>
          <v:shape style="position:absolute;margin-left:41.879002pt;margin-top:136.637848pt;width:4.350pt;height:.1pt;mso-position-horizontal-relative:page;mso-position-vertical-relative:paragraph;z-index:-15374848;mso-wrap-distance-left:0;mso-wrap-distance-right:0" coordorigin="838,2733" coordsize="87,0" path="m838,2733l924,2733e" filled="false" stroked="true" strokeweight=".5pt" strokecolor="#000000">
            <v:path arrowok="t"/>
            <v:stroke dashstyle="solid"/>
            <w10:wrap type="topAndBottom"/>
          </v:shape>
        </w:pict>
      </w:r>
      <w:r>
        <w:rPr/>
        <w:pict>
          <v:shape style="position:absolute;margin-left:41.879002pt;margin-top:154.731842pt;width:4.350pt;height:.1pt;mso-position-horizontal-relative:page;mso-position-vertical-relative:paragraph;z-index:-15374336;mso-wrap-distance-left:0;mso-wrap-distance-right:0" coordorigin="838,3095" coordsize="87,0" path="m838,3095l924,3095e" filled="false" stroked="true" strokeweight=".5pt" strokecolor="#000000">
            <v:path arrowok="t"/>
            <v:stroke dashstyle="solid"/>
            <w10:wrap type="topAndBottom"/>
          </v:shape>
        </w:pict>
      </w:r>
    </w:p>
    <w:p>
      <w:pPr>
        <w:pStyle w:val="BodyText"/>
        <w:spacing w:before="7"/>
        <w:rPr>
          <w:sz w:val="24"/>
        </w:rPr>
      </w:pPr>
    </w:p>
    <w:p>
      <w:pPr>
        <w:pStyle w:val="BodyText"/>
        <w:spacing w:before="7"/>
        <w:rPr>
          <w:sz w:val="24"/>
        </w:rPr>
      </w:pPr>
    </w:p>
    <w:p>
      <w:pPr>
        <w:pStyle w:val="BodyText"/>
        <w:spacing w:before="7"/>
        <w:rPr>
          <w:sz w:val="24"/>
        </w:rPr>
      </w:pPr>
    </w:p>
    <w:p>
      <w:pPr>
        <w:pStyle w:val="BodyText"/>
        <w:spacing w:before="7"/>
        <w:rPr>
          <w:sz w:val="24"/>
        </w:rPr>
      </w:pPr>
    </w:p>
    <w:p>
      <w:pPr>
        <w:pStyle w:val="BodyText"/>
        <w:spacing w:before="7"/>
        <w:rPr>
          <w:sz w:val="24"/>
        </w:rPr>
      </w:pPr>
    </w:p>
    <w:p>
      <w:pPr>
        <w:pStyle w:val="BodyText"/>
        <w:spacing w:before="7"/>
        <w:rPr>
          <w:sz w:val="24"/>
        </w:rPr>
      </w:pPr>
    </w:p>
    <w:p>
      <w:pPr>
        <w:pStyle w:val="BodyText"/>
        <w:spacing w:before="7"/>
        <w:rPr>
          <w:sz w:val="24"/>
        </w:rPr>
      </w:pPr>
    </w:p>
    <w:p>
      <w:pPr>
        <w:pStyle w:val="BodyText"/>
        <w:spacing w:before="7"/>
        <w:rPr>
          <w:sz w:val="24"/>
        </w:rPr>
      </w:pPr>
    </w:p>
    <w:p>
      <w:pPr>
        <w:tabs>
          <w:tab w:pos="2055" w:val="left" w:leader="none"/>
          <w:tab w:pos="2905" w:val="left" w:leader="none"/>
        </w:tabs>
        <w:spacing w:before="1"/>
        <w:ind w:left="816" w:right="0" w:firstLine="0"/>
        <w:jc w:val="left"/>
        <w:rPr>
          <w:sz w:val="12"/>
        </w:rPr>
      </w:pPr>
      <w:r>
        <w:rPr>
          <w:sz w:val="12"/>
        </w:rPr>
        <w:t>1998</w:t>
        <w:tab/>
        <w:t>99</w:t>
        <w:tab/>
      </w:r>
      <w:r>
        <w:rPr>
          <w:spacing w:val="-5"/>
          <w:sz w:val="12"/>
        </w:rPr>
        <w:t>2000</w:t>
      </w:r>
    </w:p>
    <w:p>
      <w:pPr>
        <w:spacing w:before="91"/>
        <w:ind w:left="185" w:right="0" w:firstLine="0"/>
        <w:jc w:val="left"/>
        <w:rPr>
          <w:sz w:val="12"/>
        </w:rPr>
      </w:pPr>
      <w:r>
        <w:rPr/>
        <w:pict>
          <v:shape style="position:absolute;margin-left:50.769001pt;margin-top:-14.362408pt;width:152.25pt;height:5.8pt;mso-position-horizontal-relative:page;mso-position-vertical-relative:paragraph;z-index:16086016" coordorigin="1015,-287" coordsize="3045,116" path="m3974,-174l4060,-174m1015,-171l3917,-171m1017,-287l1017,-171m1210,-218l1210,-171m1403,-218l1403,-171m1500,-218l1500,-171m1596,-218l1596,-171m1693,-218l1693,-171m1886,-218l1886,-171m1790,-218l1790,-171m1983,-218l1983,-171m2079,-218l2079,-171m1113,-218l1113,-171m1306,-218l1306,-171m2176,-287l2176,-171m2369,-218l2369,-171m2562,-218l2562,-171m2659,-218l2659,-171m2756,-218l2756,-171m2852,-218l2852,-171m3046,-218l3046,-171m2949,-218l2949,-171m3142,-218l3142,-171m3239,-218l3239,-171m2273,-218l2273,-171m2466,-218l2466,-171m3335,-287l3335,-171m3625,-218l3625,-171m3818,-218l3818,-171m3915,-218l3915,-171m3432,-218l3432,-171m3722,-218l3722,-171m3529,-218l3529,-171e" filled="false" stroked="true" strokeweight=".5pt" strokecolor="#000000">
            <v:path arrowok="t"/>
            <v:stroke dashstyle="solid"/>
            <w10:wrap type="none"/>
          </v:shape>
        </w:pict>
      </w:r>
      <w:r>
        <w:rPr>
          <w:sz w:val="12"/>
        </w:rPr>
        <w:t>Source: CIPS.</w:t>
      </w:r>
    </w:p>
    <w:p>
      <w:pPr>
        <w:pStyle w:val="BodyText"/>
        <w:rPr>
          <w:sz w:val="22"/>
        </w:rPr>
      </w:pPr>
      <w:r>
        <w:rPr/>
        <w:br w:type="column"/>
      </w:r>
      <w:r>
        <w:rPr>
          <w:sz w:val="22"/>
        </w:rPr>
      </w:r>
    </w:p>
    <w:p>
      <w:pPr>
        <w:pStyle w:val="BodyText"/>
        <w:rPr>
          <w:sz w:val="22"/>
        </w:rPr>
      </w:pPr>
    </w:p>
    <w:p>
      <w:pPr>
        <w:pStyle w:val="BodyText"/>
        <w:spacing w:before="9"/>
        <w:rPr>
          <w:sz w:val="29"/>
        </w:rPr>
      </w:pPr>
    </w:p>
    <w:p>
      <w:pPr>
        <w:spacing w:before="0"/>
        <w:ind w:left="-39" w:right="0" w:firstLine="0"/>
        <w:jc w:val="left"/>
        <w:rPr>
          <w:sz w:val="12"/>
        </w:rPr>
      </w:pPr>
      <w:r>
        <w:rPr>
          <w:sz w:val="12"/>
        </w:rPr>
        <w:t>Index</w:t>
      </w:r>
      <w:r>
        <w:rPr>
          <w:spacing w:val="5"/>
          <w:sz w:val="12"/>
        </w:rPr>
        <w:t> </w:t>
      </w:r>
      <w:r>
        <w:rPr>
          <w:position w:val="-7"/>
          <w:sz w:val="12"/>
        </w:rPr>
        <w:t>75</w:t>
      </w:r>
    </w:p>
    <w:p>
      <w:pPr>
        <w:pStyle w:val="BodyText"/>
        <w:spacing w:before="8"/>
        <w:rPr>
          <w:sz w:val="19"/>
        </w:rPr>
      </w:pPr>
    </w:p>
    <w:p>
      <w:pPr>
        <w:spacing w:before="0"/>
        <w:ind w:left="270" w:right="0" w:firstLine="0"/>
        <w:jc w:val="left"/>
        <w:rPr>
          <w:sz w:val="12"/>
        </w:rPr>
      </w:pPr>
      <w:r>
        <w:rPr/>
        <w:pict>
          <v:line style="position:absolute;mso-position-horizontal-relative:page;mso-position-vertical-relative:paragraph;z-index:-23211520" from="198.684006pt,-14.155249pt" to="203.016006pt,-14.155249pt" stroked="true" strokeweight=".5pt" strokecolor="#000000">
            <v:stroke dashstyle="solid"/>
            <w10:wrap type="none"/>
          </v:line>
        </w:pict>
      </w:r>
      <w:r>
        <w:rPr>
          <w:sz w:val="12"/>
        </w:rPr>
        <w:t>70</w:t>
      </w:r>
    </w:p>
    <w:p>
      <w:pPr>
        <w:pStyle w:val="BodyText"/>
        <w:rPr>
          <w:sz w:val="12"/>
        </w:rPr>
      </w:pPr>
    </w:p>
    <w:p>
      <w:pPr>
        <w:spacing w:before="86"/>
        <w:ind w:left="270" w:right="0" w:firstLine="0"/>
        <w:jc w:val="left"/>
        <w:rPr>
          <w:sz w:val="12"/>
        </w:rPr>
      </w:pPr>
      <w:r>
        <w:rPr>
          <w:sz w:val="12"/>
        </w:rPr>
        <w:t>65</w:t>
      </w:r>
    </w:p>
    <w:p>
      <w:pPr>
        <w:pStyle w:val="BodyText"/>
        <w:rPr>
          <w:sz w:val="12"/>
        </w:rPr>
      </w:pPr>
    </w:p>
    <w:p>
      <w:pPr>
        <w:spacing w:before="86"/>
        <w:ind w:left="270" w:right="0" w:firstLine="0"/>
        <w:jc w:val="left"/>
        <w:rPr>
          <w:sz w:val="12"/>
        </w:rPr>
      </w:pPr>
      <w:r>
        <w:rPr>
          <w:sz w:val="12"/>
        </w:rPr>
        <w:t>60</w:t>
      </w:r>
    </w:p>
    <w:p>
      <w:pPr>
        <w:pStyle w:val="BodyText"/>
        <w:rPr>
          <w:sz w:val="12"/>
        </w:rPr>
      </w:pPr>
    </w:p>
    <w:p>
      <w:pPr>
        <w:spacing w:before="86"/>
        <w:ind w:left="270" w:right="0" w:firstLine="0"/>
        <w:jc w:val="left"/>
        <w:rPr>
          <w:sz w:val="12"/>
        </w:rPr>
      </w:pPr>
      <w:r>
        <w:rPr>
          <w:sz w:val="12"/>
        </w:rPr>
        <w:t>55</w:t>
      </w:r>
    </w:p>
    <w:p>
      <w:pPr>
        <w:pStyle w:val="BodyText"/>
        <w:rPr>
          <w:sz w:val="12"/>
        </w:rPr>
      </w:pPr>
    </w:p>
    <w:p>
      <w:pPr>
        <w:spacing w:before="86"/>
        <w:ind w:left="270" w:right="0" w:firstLine="0"/>
        <w:jc w:val="left"/>
        <w:rPr>
          <w:sz w:val="12"/>
        </w:rPr>
      </w:pPr>
      <w:r>
        <w:rPr>
          <w:sz w:val="12"/>
        </w:rPr>
        <w:t>50</w:t>
      </w:r>
    </w:p>
    <w:p>
      <w:pPr>
        <w:pStyle w:val="BodyText"/>
        <w:rPr>
          <w:sz w:val="12"/>
        </w:rPr>
      </w:pPr>
    </w:p>
    <w:p>
      <w:pPr>
        <w:spacing w:before="86"/>
        <w:ind w:left="270" w:right="0" w:firstLine="0"/>
        <w:jc w:val="left"/>
        <w:rPr>
          <w:sz w:val="12"/>
        </w:rPr>
      </w:pPr>
      <w:r>
        <w:rPr>
          <w:sz w:val="12"/>
        </w:rPr>
        <w:t>45</w:t>
      </w:r>
    </w:p>
    <w:p>
      <w:pPr>
        <w:pStyle w:val="BodyText"/>
        <w:rPr>
          <w:sz w:val="12"/>
        </w:rPr>
      </w:pPr>
    </w:p>
    <w:p>
      <w:pPr>
        <w:spacing w:before="86"/>
        <w:ind w:left="270" w:right="0" w:firstLine="0"/>
        <w:jc w:val="left"/>
        <w:rPr>
          <w:sz w:val="12"/>
        </w:rPr>
      </w:pPr>
      <w:r>
        <w:rPr>
          <w:sz w:val="12"/>
        </w:rPr>
        <w:t>40</w:t>
      </w:r>
    </w:p>
    <w:p>
      <w:pPr>
        <w:pStyle w:val="BodyText"/>
        <w:rPr>
          <w:sz w:val="12"/>
        </w:rPr>
      </w:pPr>
    </w:p>
    <w:p>
      <w:pPr>
        <w:spacing w:before="86"/>
        <w:ind w:left="270" w:right="0" w:firstLine="0"/>
        <w:jc w:val="left"/>
        <w:rPr>
          <w:sz w:val="12"/>
        </w:rPr>
      </w:pPr>
      <w:r>
        <w:rPr>
          <w:sz w:val="12"/>
        </w:rPr>
        <w:t>35</w:t>
      </w:r>
    </w:p>
    <w:p>
      <w:pPr>
        <w:spacing w:line="242" w:lineRule="auto" w:before="232"/>
        <w:ind w:left="185" w:right="201" w:firstLine="0"/>
        <w:jc w:val="left"/>
        <w:rPr>
          <w:sz w:val="24"/>
        </w:rPr>
      </w:pPr>
      <w:r>
        <w:rPr/>
        <w:br w:type="column"/>
      </w:r>
      <w:r>
        <w:rPr>
          <w:sz w:val="24"/>
        </w:rPr>
        <w:t>faces less direct competition from overseas. However, the chart also shows the importance of sector-specific developments. For example, growth in the</w:t>
      </w:r>
    </w:p>
    <w:p>
      <w:pPr>
        <w:spacing w:line="242" w:lineRule="auto" w:before="4"/>
        <w:ind w:left="185" w:right="277" w:firstLine="0"/>
        <w:jc w:val="left"/>
        <w:rPr>
          <w:sz w:val="24"/>
        </w:rPr>
      </w:pPr>
      <w:r>
        <w:rPr>
          <w:sz w:val="24"/>
        </w:rPr>
        <w:t>high-technology electrical and optical equipment sector has remained robust, despite its historically high exposure to import competition.</w:t>
      </w:r>
    </w:p>
    <w:p>
      <w:pPr>
        <w:pStyle w:val="BodyText"/>
        <w:spacing w:before="8"/>
        <w:rPr>
          <w:sz w:val="24"/>
        </w:rPr>
      </w:pPr>
    </w:p>
    <w:p>
      <w:pPr>
        <w:spacing w:line="242" w:lineRule="auto" w:before="0"/>
        <w:ind w:left="185" w:right="163" w:firstLine="0"/>
        <w:jc w:val="left"/>
        <w:rPr>
          <w:sz w:val="24"/>
        </w:rPr>
      </w:pPr>
      <w:r>
        <w:rPr>
          <w:sz w:val="24"/>
        </w:rPr>
        <w:t>Construction</w:t>
      </w:r>
      <w:r>
        <w:rPr>
          <w:spacing w:val="-6"/>
          <w:sz w:val="24"/>
        </w:rPr>
        <w:t> </w:t>
      </w:r>
      <w:r>
        <w:rPr>
          <w:sz w:val="24"/>
        </w:rPr>
        <w:t>output</w:t>
      </w:r>
      <w:r>
        <w:rPr>
          <w:spacing w:val="-5"/>
          <w:sz w:val="24"/>
        </w:rPr>
        <w:t> </w:t>
      </w:r>
      <w:r>
        <w:rPr>
          <w:sz w:val="24"/>
        </w:rPr>
        <w:t>rose</w:t>
      </w:r>
      <w:r>
        <w:rPr>
          <w:spacing w:val="-5"/>
          <w:sz w:val="24"/>
        </w:rPr>
        <w:t> </w:t>
      </w:r>
      <w:r>
        <w:rPr>
          <w:sz w:val="24"/>
        </w:rPr>
        <w:t>by</w:t>
      </w:r>
      <w:r>
        <w:rPr>
          <w:spacing w:val="-6"/>
          <w:sz w:val="24"/>
        </w:rPr>
        <w:t> </w:t>
      </w:r>
      <w:r>
        <w:rPr>
          <w:sz w:val="24"/>
        </w:rPr>
        <w:t>3.0%</w:t>
      </w:r>
      <w:r>
        <w:rPr>
          <w:spacing w:val="-5"/>
          <w:sz w:val="24"/>
        </w:rPr>
        <w:t> </w:t>
      </w:r>
      <w:r>
        <w:rPr>
          <w:sz w:val="24"/>
        </w:rPr>
        <w:t>in</w:t>
      </w:r>
      <w:r>
        <w:rPr>
          <w:spacing w:val="-5"/>
          <w:sz w:val="24"/>
        </w:rPr>
        <w:t> </w:t>
      </w:r>
      <w:r>
        <w:rPr>
          <w:sz w:val="24"/>
        </w:rPr>
        <w:t>2000</w:t>
      </w:r>
      <w:r>
        <w:rPr>
          <w:spacing w:val="-5"/>
          <w:sz w:val="24"/>
        </w:rPr>
        <w:t> </w:t>
      </w:r>
      <w:r>
        <w:rPr>
          <w:sz w:val="24"/>
        </w:rPr>
        <w:t>Q1,</w:t>
      </w:r>
      <w:r>
        <w:rPr>
          <w:spacing w:val="-5"/>
          <w:sz w:val="24"/>
        </w:rPr>
        <w:t> </w:t>
      </w:r>
      <w:r>
        <w:rPr>
          <w:sz w:val="24"/>
        </w:rPr>
        <w:t>the</w:t>
      </w:r>
      <w:r>
        <w:rPr>
          <w:spacing w:val="-5"/>
          <w:sz w:val="24"/>
        </w:rPr>
        <w:t> </w:t>
      </w:r>
      <w:r>
        <w:rPr>
          <w:sz w:val="24"/>
        </w:rPr>
        <w:t>largest quarterly rise since 1990. In Q2 </w:t>
      </w:r>
      <w:r>
        <w:rPr>
          <w:spacing w:val="-3"/>
          <w:sz w:val="24"/>
        </w:rPr>
        <w:t>new </w:t>
      </w:r>
      <w:r>
        <w:rPr>
          <w:sz w:val="24"/>
        </w:rPr>
        <w:t>construction orders rose by 8.5%, but these data tend to be rather volatile and were boosted by a small number of large contracts. Survey evidence pointed to less rapid activity in the second </w:t>
      </w:r>
      <w:r>
        <w:rPr>
          <w:spacing w:val="-3"/>
          <w:sz w:val="24"/>
        </w:rPr>
        <w:t>quarter. </w:t>
      </w:r>
      <w:r>
        <w:rPr>
          <w:sz w:val="24"/>
        </w:rPr>
        <w:t>The July CIPS survey suggested that construction activity continued to rise, but more slowly than in March, in large part due to slower growth</w:t>
      </w:r>
      <w:r>
        <w:rPr>
          <w:spacing w:val="-33"/>
          <w:sz w:val="24"/>
        </w:rPr>
        <w:t> </w:t>
      </w:r>
      <w:r>
        <w:rPr>
          <w:sz w:val="24"/>
        </w:rPr>
        <w:t>in</w:t>
      </w:r>
    </w:p>
    <w:p>
      <w:pPr>
        <w:spacing w:after="0" w:line="242" w:lineRule="auto"/>
        <w:jc w:val="left"/>
        <w:rPr>
          <w:sz w:val="24"/>
        </w:rPr>
        <w:sectPr>
          <w:type w:val="continuous"/>
          <w:pgSz w:w="11900" w:h="16840"/>
          <w:pgMar w:top="1260" w:bottom="280" w:left="640" w:right="640"/>
          <w:cols w:num="3" w:equalWidth="0">
            <w:col w:w="3146" w:space="40"/>
            <w:col w:w="431" w:space="1183"/>
            <w:col w:w="5820"/>
          </w:cols>
        </w:sectPr>
      </w:pPr>
    </w:p>
    <w:p>
      <w:pPr>
        <w:spacing w:line="208" w:lineRule="auto" w:before="3"/>
        <w:ind w:left="425" w:right="0" w:hanging="240"/>
        <w:jc w:val="left"/>
        <w:rPr>
          <w:sz w:val="12"/>
        </w:rPr>
      </w:pPr>
      <w:r>
        <w:rPr>
          <w:sz w:val="12"/>
        </w:rPr>
        <w:t>(a) A reading above 50 suggests expansion, a reading below 50 suggests contraction.</w:t>
      </w: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104"/>
        <w:ind w:left="185"/>
      </w:pPr>
      <w:r>
        <w:rPr>
          <w:color w:val="0092C7"/>
        </w:rPr>
        <w:t>Chart 2.19</w:t>
      </w:r>
    </w:p>
    <w:p>
      <w:pPr>
        <w:pStyle w:val="Heading6"/>
        <w:spacing w:line="249" w:lineRule="auto"/>
        <w:ind w:left="185"/>
        <w:rPr>
          <w:b w:val="0"/>
          <w:sz w:val="12"/>
        </w:rPr>
      </w:pPr>
      <w:r>
        <w:rPr>
          <w:color w:val="0092C7"/>
        </w:rPr>
        <w:t>Private housing starts, net site visits and reservations</w:t>
      </w:r>
      <w:r>
        <w:rPr>
          <w:b w:val="0"/>
          <w:position w:val="4"/>
          <w:sz w:val="12"/>
        </w:rPr>
        <w:t>(a)</w:t>
      </w:r>
    </w:p>
    <w:p>
      <w:pPr>
        <w:spacing w:line="242" w:lineRule="auto" w:before="10"/>
        <w:ind w:left="185" w:right="201" w:firstLine="0"/>
        <w:jc w:val="left"/>
        <w:rPr>
          <w:sz w:val="24"/>
        </w:rPr>
      </w:pPr>
      <w:r>
        <w:rPr/>
        <w:br w:type="column"/>
      </w:r>
      <w:r>
        <w:rPr>
          <w:sz w:val="24"/>
        </w:rPr>
        <w:t>housing activity (see Chart 2.18). Other indicators confirm the picture of softer activity in the housing sector. Private housing starts fell by 3.7% in Q2 compared with the previous quarter. And recent House Builders’ Federation surveys have reported that net reservations and site visits are falling compared with a</w:t>
      </w:r>
    </w:p>
    <w:p>
      <w:pPr>
        <w:spacing w:after="0" w:line="242" w:lineRule="auto"/>
        <w:jc w:val="left"/>
        <w:rPr>
          <w:sz w:val="24"/>
        </w:rPr>
        <w:sectPr>
          <w:type w:val="continuous"/>
          <w:pgSz w:w="11900" w:h="16840"/>
          <w:pgMar w:top="1260" w:bottom="280" w:left="640" w:right="640"/>
          <w:cols w:num="2" w:equalWidth="0">
            <w:col w:w="3766" w:space="1034"/>
            <w:col w:w="5820"/>
          </w:cols>
        </w:sectPr>
      </w:pPr>
    </w:p>
    <w:p>
      <w:pPr>
        <w:spacing w:before="137"/>
        <w:ind w:left="182" w:right="0" w:firstLine="0"/>
        <w:jc w:val="left"/>
        <w:rPr>
          <w:sz w:val="12"/>
        </w:rPr>
      </w:pPr>
      <w:r>
        <w:rPr/>
        <w:pict>
          <v:line style="position:absolute;mso-position-horizontal-relative:page;mso-position-vertical-relative:paragraph;z-index:-23204352" from="48.75pt,14.832108pt" to="53.083pt,14.832108pt" stroked="true" strokeweight=".5pt" strokecolor="#000000">
            <v:stroke dashstyle="solid"/>
            <w10:wrap type="none"/>
          </v:line>
        </w:pict>
      </w:r>
      <w:r>
        <w:rPr>
          <w:position w:val="-6"/>
          <w:sz w:val="12"/>
        </w:rPr>
        <w:t>50 </w:t>
      </w:r>
      <w:r>
        <w:rPr>
          <w:sz w:val="12"/>
        </w:rPr>
        <w:t>Net balance</w:t>
      </w:r>
    </w:p>
    <w:p>
      <w:pPr>
        <w:spacing w:before="141"/>
        <w:ind w:left="182" w:right="0" w:firstLine="0"/>
        <w:jc w:val="left"/>
        <w:rPr>
          <w:sz w:val="12"/>
        </w:rPr>
      </w:pPr>
      <w:r>
        <w:rPr>
          <w:sz w:val="12"/>
        </w:rPr>
        <w:t>4</w:t>
      </w:r>
    </w:p>
    <w:p>
      <w:pPr>
        <w:pStyle w:val="BodyText"/>
        <w:spacing w:before="5"/>
        <w:rPr>
          <w:sz w:val="12"/>
        </w:rPr>
      </w:pPr>
    </w:p>
    <w:p>
      <w:pPr>
        <w:spacing w:before="0"/>
        <w:ind w:left="182" w:right="0" w:firstLine="0"/>
        <w:jc w:val="left"/>
        <w:rPr>
          <w:sz w:val="12"/>
        </w:rPr>
      </w:pPr>
      <w:r>
        <w:rPr>
          <w:sz w:val="12"/>
        </w:rPr>
        <w:t>3</w:t>
      </w:r>
    </w:p>
    <w:p>
      <w:pPr>
        <w:pStyle w:val="BodyText"/>
        <w:spacing w:before="5"/>
        <w:rPr>
          <w:sz w:val="12"/>
        </w:rPr>
      </w:pPr>
    </w:p>
    <w:p>
      <w:pPr>
        <w:spacing w:before="0"/>
        <w:ind w:left="182" w:right="0" w:firstLine="0"/>
        <w:jc w:val="left"/>
        <w:rPr>
          <w:sz w:val="12"/>
        </w:rPr>
      </w:pPr>
      <w:r>
        <w:rPr>
          <w:sz w:val="12"/>
        </w:rPr>
        <w:t>2</w:t>
      </w:r>
    </w:p>
    <w:p>
      <w:pPr>
        <w:pStyle w:val="BodyText"/>
        <w:spacing w:before="5"/>
        <w:rPr>
          <w:sz w:val="12"/>
        </w:rPr>
      </w:pPr>
    </w:p>
    <w:p>
      <w:pPr>
        <w:spacing w:before="0"/>
        <w:ind w:left="182" w:right="0" w:firstLine="0"/>
        <w:jc w:val="left"/>
        <w:rPr>
          <w:sz w:val="12"/>
        </w:rPr>
      </w:pPr>
      <w:r>
        <w:rPr>
          <w:sz w:val="12"/>
        </w:rPr>
        <w:t>1</w:t>
      </w:r>
    </w:p>
    <w:p>
      <w:pPr>
        <w:pStyle w:val="BodyText"/>
        <w:rPr>
          <w:sz w:val="12"/>
        </w:rPr>
      </w:pPr>
    </w:p>
    <w:p>
      <w:pPr>
        <w:pStyle w:val="BodyText"/>
        <w:rPr>
          <w:sz w:val="12"/>
        </w:rPr>
      </w:pPr>
    </w:p>
    <w:p>
      <w:pPr>
        <w:pStyle w:val="BodyText"/>
        <w:spacing w:before="11"/>
        <w:rPr>
          <w:sz w:val="12"/>
        </w:rPr>
      </w:pPr>
    </w:p>
    <w:p>
      <w:pPr>
        <w:spacing w:before="0"/>
        <w:ind w:left="182" w:right="0" w:firstLine="0"/>
        <w:jc w:val="left"/>
        <w:rPr>
          <w:sz w:val="12"/>
        </w:rPr>
      </w:pPr>
      <w:r>
        <w:rPr>
          <w:sz w:val="12"/>
        </w:rPr>
        <w:t>1</w:t>
      </w:r>
    </w:p>
    <w:p>
      <w:pPr>
        <w:pStyle w:val="BodyText"/>
        <w:spacing w:before="5"/>
        <w:rPr>
          <w:sz w:val="12"/>
        </w:rPr>
      </w:pPr>
    </w:p>
    <w:p>
      <w:pPr>
        <w:spacing w:before="0"/>
        <w:ind w:left="182" w:right="0" w:firstLine="0"/>
        <w:jc w:val="left"/>
        <w:rPr>
          <w:sz w:val="12"/>
        </w:rPr>
      </w:pPr>
      <w:r>
        <w:rPr>
          <w:sz w:val="12"/>
        </w:rPr>
        <w:t>2</w:t>
      </w:r>
    </w:p>
    <w:p>
      <w:pPr>
        <w:pStyle w:val="BodyText"/>
        <w:spacing w:before="5"/>
        <w:rPr>
          <w:sz w:val="12"/>
        </w:rPr>
      </w:pPr>
    </w:p>
    <w:p>
      <w:pPr>
        <w:spacing w:before="0"/>
        <w:ind w:left="182" w:right="0" w:firstLine="0"/>
        <w:jc w:val="left"/>
        <w:rPr>
          <w:sz w:val="12"/>
        </w:rPr>
      </w:pPr>
      <w:r>
        <w:rPr/>
        <w:pict>
          <v:line style="position:absolute;mso-position-horizontal-relative:page;mso-position-vertical-relative:paragraph;z-index:16092672" from="48.75pt,4.72299pt" to="53.083pt,4.72299pt" stroked="true" strokeweight=".5pt" strokecolor="#000000">
            <v:stroke dashstyle="solid"/>
            <w10:wrap type="none"/>
          </v:line>
        </w:pict>
      </w:r>
      <w:r>
        <w:rPr>
          <w:sz w:val="12"/>
        </w:rPr>
        <w:t>30</w:t>
      </w:r>
    </w:p>
    <w:p>
      <w:pPr>
        <w:pStyle w:val="BodyText"/>
        <w:spacing w:before="5"/>
        <w:rPr>
          <w:sz w:val="12"/>
        </w:rPr>
      </w:pPr>
    </w:p>
    <w:p>
      <w:pPr>
        <w:spacing w:before="1"/>
        <w:ind w:left="182" w:right="0" w:firstLine="0"/>
        <w:jc w:val="left"/>
        <w:rPr>
          <w:sz w:val="12"/>
        </w:rPr>
      </w:pPr>
      <w:r>
        <w:rPr/>
        <w:pict>
          <v:line style="position:absolute;mso-position-horizontal-relative:page;mso-position-vertical-relative:paragraph;z-index:16092160" from="48.75pt,4.788795pt" to="53.083pt,4.788795pt" stroked="true" strokeweight=".5pt" strokecolor="#000000">
            <v:stroke dashstyle="solid"/>
            <w10:wrap type="none"/>
          </v:line>
        </w:pict>
      </w:r>
      <w:r>
        <w:rPr>
          <w:sz w:val="12"/>
        </w:rPr>
        <w:t>40</w:t>
      </w:r>
    </w:p>
    <w:p>
      <w:pPr>
        <w:pStyle w:val="BodyText"/>
        <w:spacing w:before="5"/>
        <w:rPr>
          <w:sz w:val="12"/>
        </w:rPr>
      </w:pPr>
    </w:p>
    <w:p>
      <w:pPr>
        <w:spacing w:line="121" w:lineRule="exact" w:before="0"/>
        <w:ind w:left="182" w:right="0" w:firstLine="0"/>
        <w:jc w:val="left"/>
        <w:rPr>
          <w:sz w:val="12"/>
        </w:rPr>
      </w:pPr>
      <w:r>
        <w:rPr>
          <w:sz w:val="12"/>
        </w:rPr>
        <w:t>50</w:t>
      </w:r>
    </w:p>
    <w:p>
      <w:pPr>
        <w:spacing w:line="208" w:lineRule="auto" w:before="31"/>
        <w:ind w:left="219" w:right="0" w:hanging="37"/>
        <w:jc w:val="left"/>
        <w:rPr>
          <w:sz w:val="12"/>
        </w:rPr>
      </w:pPr>
      <w:r>
        <w:rPr/>
        <w:br w:type="column"/>
      </w:r>
      <w:r>
        <w:rPr>
          <w:sz w:val="12"/>
        </w:rPr>
        <w:t>Percentage change, three months on a year earlier</w:t>
      </w:r>
      <w:r>
        <w:rPr>
          <w:spacing w:val="8"/>
          <w:sz w:val="12"/>
        </w:rPr>
        <w:t> </w:t>
      </w:r>
      <w:r>
        <w:rPr>
          <w:spacing w:val="-9"/>
          <w:position w:val="-6"/>
          <w:sz w:val="12"/>
        </w:rPr>
        <w:t>40</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2"/>
        </w:rPr>
      </w:pPr>
    </w:p>
    <w:p>
      <w:pPr>
        <w:spacing w:before="0"/>
        <w:ind w:left="1416" w:right="0" w:firstLine="0"/>
        <w:jc w:val="left"/>
        <w:rPr>
          <w:sz w:val="12"/>
        </w:rPr>
      </w:pPr>
      <w:r>
        <w:rPr/>
        <w:pict>
          <v:group style="position:absolute;margin-left:44.132599pt;margin-top:-109.320244pt;width:172.85pt;height:98.65pt;mso-position-horizontal-relative:page;mso-position-vertical-relative:paragraph;z-index:16091648" coordorigin="883,-2186" coordsize="3457,1973">
            <v:line style="position:absolute" from="4074,-968" to="4161,-968" stroked="true" strokeweight=".5pt" strokecolor="#000000">
              <v:stroke dashstyle="solid"/>
            </v:line>
            <v:line style="position:absolute" from="1099,-968" to="3995,-968" stroked="true" strokeweight=".5pt" strokecolor="#000000">
              <v:stroke dashstyle="solid"/>
            </v:line>
            <v:shape style="position:absolute;left:1103;top:-2084;width:553;height:1368" coordorigin="1103,-2084" coordsize="553,1368" path="m1103,-716l1158,-826m1158,-826l1213,-921m1213,-921l1268,-1094m1268,-1094l1323,-1376m1323,-1376l1378,-1706m1378,-1706l1433,-1801m1433,-1801l1491,-1956m1491,-1956l1546,-1941m1546,-1941l1601,-2084m1601,-2084l1656,-2066e" filled="false" stroked="true" strokeweight="1pt" strokecolor="#00a2a0">
              <v:path arrowok="t"/>
              <v:stroke dashstyle="solid"/>
            </v:shape>
            <v:line style="position:absolute" from="1646,-2065" to="1721,-2065" stroked="true" strokeweight="1.125pt" strokecolor="#00a2a0">
              <v:stroke dashstyle="solid"/>
            </v:line>
            <v:shape style="position:absolute;left:1710;top:-2084;width:1033;height:1195" coordorigin="1711,-2084" coordsize="1033,1195" path="m1711,-2066l1766,-2084m1766,-2084l1821,-2036m1821,-2036l1861,-1956m1861,-1956l1918,-1769m1918,-1769l1973,-1549m1973,-1549l2028,-1611m2028,-1611l2083,-1706m2083,-1706l2138,-1721m2138,-1721l2193,-1596m2193,-1596l2248,-1361m2248,-1361l2303,-1296m2303,-1296l2358,-1251m2358,-1251l2413,-1141m2413,-1141l2468,-999m2468,-999l2523,-966m2523,-966l2578,-999m2578,-999l2633,-1046m2633,-1046l2688,-999m2688,-999l2743,-889e" filled="false" stroked="true" strokeweight="1pt" strokecolor="#00a2a0">
              <v:path arrowok="t"/>
              <v:stroke dashstyle="solid"/>
            </v:shape>
            <v:line style="position:absolute" from="2733,-888" to="2811,-888" stroked="true" strokeweight="1.125pt" strokecolor="#00a2a0">
              <v:stroke dashstyle="solid"/>
            </v:line>
            <v:shape style="position:absolute;left:2800;top:-2177;width:1198;height:1493" coordorigin="2801,-2176" coordsize="1198,1493" path="m2801,-889l2856,-779m2856,-779l2911,-936m2911,-936l2966,-874m2966,-874l3021,-921m3021,-921l3076,-1031m3076,-1031l3131,-1344m3131,-1344l3186,-1501m3186,-1501l3241,-1471m3241,-1471l3283,-1439m3283,-1439l3338,-1644m3338,-1644l3393,-1911m3393,-1911l3448,-2099m3448,-2099l3503,-2176m3503,-2176l3558,-2051m3558,-2051l3613,-1911m3613,-1911l3723,-1501m3723,-1501l3778,-1219m3778,-1219l3833,-1046m3833,-1046l3888,-966m3888,-966l3943,-889m3943,-889l3998,-684e" filled="false" stroked="true" strokeweight="1pt" strokecolor="#00a2a0">
              <v:path arrowok="t"/>
              <v:stroke dashstyle="solid"/>
            </v:shape>
            <v:shape style="position:absolute;left:1103;top:-1282;width:275;height:723" coordorigin="1103,-1281" coordsize="275,723" path="m1103,-559l1213,-684m1213,-684l1268,-764m1268,-764l1323,-1031m1323,-1031l1378,-1281e" filled="false" stroked="true" strokeweight="1pt" strokecolor="#a64991">
              <v:path arrowok="t"/>
              <v:stroke dashstyle="solid"/>
            </v:shape>
            <v:line style="position:absolute" from="1368,-1280" to="1443,-1280" stroked="true" strokeweight="1.125pt" strokecolor="#a64991">
              <v:stroke dashstyle="solid"/>
            </v:line>
            <v:shape style="position:absolute;left:1433;top:-1754;width:1035;height:755" coordorigin="1433,-1754" coordsize="1035,755" path="m1433,-1281l1491,-1361m1491,-1361l1546,-1424m1546,-1424l1601,-1659m1601,-1659l1656,-1674m1656,-1674l1711,-1754m1711,-1754l1766,-1721m1766,-1721l1821,-1549m1821,-1549l1861,-1534m1861,-1534l1918,-1344m1918,-1344l1973,-1219m1973,-1219l2028,-1171m2028,-1171l2083,-1454m2083,-1454l2138,-1501m2138,-1501l2193,-1329m2193,-1329l2248,-1109m2248,-1109l2303,-1156m2303,-1156l2358,-1186m2358,-1186l2413,-1076m2413,-1076l2468,-999e" filled="false" stroked="true" strokeweight="1pt" strokecolor="#a64991">
              <v:path arrowok="t"/>
              <v:stroke dashstyle="solid"/>
            </v:shape>
            <v:line style="position:absolute" from="2458,-998" to="2533,-998" stroked="true" strokeweight="1.125pt" strokecolor="#a64991">
              <v:stroke dashstyle="solid"/>
            </v:line>
            <v:shape style="position:absolute;left:2523;top:-1094;width:110;height:95" coordorigin="2523,-1094" coordsize="110,95" path="m2523,-999l2578,-1061m2578,-1061l2633,-1094e" filled="false" stroked="true" strokeweight="1pt" strokecolor="#a64991">
              <v:path arrowok="t"/>
              <v:stroke dashstyle="solid"/>
            </v:shape>
            <v:line style="position:absolute" from="2623,-1093" to="2698,-1093" stroked="true" strokeweight="1.125pt" strokecolor="#a64991">
              <v:stroke dashstyle="solid"/>
            </v:line>
            <v:shape style="position:absolute;left:2688;top:-1707;width:1310;height:1180" coordorigin="2688,-1706" coordsize="1310,1180" path="m2688,-1094l2743,-1076m2743,-1076l2801,-984m2801,-984l2856,-889m2856,-889l2911,-731m2911,-731l2966,-701m2966,-701l3021,-654m3021,-654l3076,-779m3076,-779l3131,-936m3131,-936l3186,-1031m3186,-1031l3241,-999m3241,-999l3283,-984m3283,-984l3338,-1061m3338,-1061l3393,-1234m3393,-1234l3448,-1439m3448,-1439l3503,-1564m3503,-1564l3558,-1706m3558,-1706l3668,-1391m3668,-1391l3723,-1171m3723,-1171l3778,-1061m3778,-1061l3833,-984m3833,-984l3888,-904m3888,-904l3943,-701m3943,-701l3998,-526e" filled="false" stroked="true" strokeweight="1pt" strokecolor="#a64991">
              <v:path arrowok="t"/>
              <v:stroke dashstyle="solid"/>
            </v:shape>
            <v:line style="position:absolute" from="2781,-823" to="2856,-823" stroked="true" strokeweight="1.125pt" strokecolor="#f5b37a">
              <v:stroke dashstyle="solid"/>
            </v:line>
            <v:shape style="position:absolute;left:2190;top:-987;width:1080;height:50" coordorigin="2191,-986" coordsize="1080,50" path="m3228,-986l3271,-936m2191,-954l2243,-986e" filled="false" stroked="true" strokeweight="1pt" strokecolor="#f5b37a">
              <v:path arrowok="t"/>
              <v:stroke dashstyle="solid"/>
            </v:shape>
            <v:line style="position:absolute" from="3056,-775" to="3131,-775" stroked="true" strokeweight="1.125pt" strokecolor="#f5b37a">
              <v:stroke dashstyle="solid"/>
            </v:line>
            <v:shape style="position:absolute;left:1110;top:-2069;width:2545;height:1778" coordorigin="1111,-2069" coordsize="2545,1778" path="m2026,-1309l2081,-1211m1658,-1971l1713,-1841m1823,-1954l1863,-2069m3601,-1164l3656,-1146m1111,-291l1166,-421m1166,-421l1221,-614m1221,-614l1276,-711m1276,-711l1331,-841m1331,-841l1386,-711m1386,-711l1441,-791m1441,-791l1493,-936m1493,-936l1548,-1421m1548,-1421l1603,-1649m1603,-1649l1658,-1971m1713,-1841l1768,-2004m1768,-2004l1823,-1954m1863,-2069l1918,-1761m1918,-1761l1973,-1471m1973,-1471l2028,-1309m2083,-1211l2138,-1164m2138,-1164l2193,-954e" filled="false" stroked="true" strokeweight="1pt" strokecolor="#f5b37a">
              <v:path arrowok="t"/>
              <v:stroke dashstyle="solid"/>
            </v:shape>
            <v:shape style="position:absolute;left:2235;top:-1142;width:568;height:505" type="#_x0000_t75" stroked="false">
              <v:imagedata r:id="rId105" o:title=""/>
            </v:shape>
            <v:shape style="position:absolute;left:2848;top:-824;width:220;height:290" coordorigin="2848,-824" coordsize="220,290" path="m2848,-824l2903,-534m2903,-534l2958,-631m2958,-631l3013,-664m3013,-664l3068,-776e" filled="false" stroked="true" strokeweight="1pt" strokecolor="#f5b37a">
              <v:path arrowok="t"/>
              <v:stroke dashstyle="solid"/>
            </v:shape>
            <v:shape style="position:absolute;left:3113;top:-1239;width:498;height:475" type="#_x0000_t75" stroked="false">
              <v:imagedata r:id="rId106" o:title=""/>
            </v:shape>
            <v:shape style="position:absolute;left:3645;top:-1174;width:348;height:280" type="#_x0000_t75" stroked="false">
              <v:imagedata r:id="rId107" o:title=""/>
            </v:shape>
            <v:line style="position:absolute" from="1959,-1081" to="1779,-501" stroked="true" strokeweight=".5pt" strokecolor="#000000">
              <v:stroke dashstyle="solid"/>
            </v:line>
            <v:shape style="position:absolute;left:1929;top:-1146;width:50;height:89" coordorigin="1930,-1146" coordsize="50,89" path="m1979,-1146l1930,-1072,1978,-1057,1977,-1074,1976,-1087,1976,-1100,1976,-1114,1977,-1126,1978,-1137,1979,-1146xe" filled="true" fillcolor="#000000" stroked="false">
              <v:path arrowok="t"/>
              <v:fill type="solid"/>
            </v:shape>
            <v:shape style="position:absolute;left:975;top:-2093;width:3187;height:1828" coordorigin="975,-2092" coordsize="3187,1828" path="m975,-2092l1062,-2092m975,-1811l1062,-1811m975,-1529l1062,-1529m975,-1248l1062,-1248m975,-968l1062,-968m975,-684l1062,-684m975,-403l1062,-403m4074,-2024l4161,-2024m4074,-1672l4161,-1672m4074,-1320l4161,-1320m4074,-616l4161,-616m4074,-264l4161,-264e" filled="false" stroked="true" strokeweight=".5pt" strokecolor="#000000">
              <v:path arrowok="t"/>
              <v:stroke dashstyle="solid"/>
            </v:shape>
            <v:shape style="position:absolute;left:882;top:-2180;width:80;height:133" type="#_x0000_t202" filled="false" stroked="false">
              <v:textbox inset="0,0,0,0">
                <w:txbxContent>
                  <w:p>
                    <w:pPr>
                      <w:spacing w:line="133" w:lineRule="exact" w:before="0"/>
                      <w:ind w:left="0" w:right="0" w:firstLine="0"/>
                      <w:jc w:val="left"/>
                      <w:rPr>
                        <w:sz w:val="12"/>
                      </w:rPr>
                    </w:pPr>
                    <w:r>
                      <w:rPr>
                        <w:sz w:val="12"/>
                      </w:rPr>
                      <w:t>0</w:t>
                    </w:r>
                  </w:p>
                </w:txbxContent>
              </v:textbox>
              <w10:wrap type="none"/>
            </v:shape>
            <v:shape style="position:absolute;left:2264;top:-2148;width:1170;height:254" type="#_x0000_t202" filled="false" stroked="false">
              <v:textbox inset="0,0,0,0">
                <w:txbxContent>
                  <w:p>
                    <w:pPr>
                      <w:spacing w:line="208" w:lineRule="auto" w:before="9"/>
                      <w:ind w:left="60" w:right="18" w:hanging="60"/>
                      <w:jc w:val="left"/>
                      <w:rPr>
                        <w:sz w:val="12"/>
                      </w:rPr>
                    </w:pPr>
                    <w:r>
                      <w:rPr>
                        <w:sz w:val="12"/>
                      </w:rPr>
                      <w:t>Net site reservations (b) (left-hand scale)</w:t>
                    </w:r>
                  </w:p>
                </w:txbxContent>
              </v:textbox>
              <w10:wrap type="none"/>
            </v:shape>
            <v:shape style="position:absolute;left:4199;top:-2105;width:140;height:133" type="#_x0000_t202" filled="false" stroked="false">
              <v:textbox inset="0,0,0,0">
                <w:txbxContent>
                  <w:p>
                    <w:pPr>
                      <w:spacing w:line="133" w:lineRule="exact" w:before="0"/>
                      <w:ind w:left="0" w:right="0" w:firstLine="0"/>
                      <w:jc w:val="left"/>
                      <w:rPr>
                        <w:sz w:val="12"/>
                      </w:rPr>
                    </w:pPr>
                    <w:r>
                      <w:rPr>
                        <w:sz w:val="12"/>
                      </w:rPr>
                      <w:t>30</w:t>
                    </w:r>
                  </w:p>
                </w:txbxContent>
              </v:textbox>
              <w10:wrap type="none"/>
            </v:shape>
            <v:shape style="position:absolute;left:882;top:-1899;width:80;height:133" type="#_x0000_t202" filled="false" stroked="false">
              <v:textbox inset="0,0,0,0">
                <w:txbxContent>
                  <w:p>
                    <w:pPr>
                      <w:spacing w:line="133" w:lineRule="exact" w:before="0"/>
                      <w:ind w:left="0" w:right="0" w:firstLine="0"/>
                      <w:jc w:val="left"/>
                      <w:rPr>
                        <w:sz w:val="12"/>
                      </w:rPr>
                    </w:pPr>
                    <w:r>
                      <w:rPr>
                        <w:sz w:val="12"/>
                      </w:rPr>
                      <w:t>0</w:t>
                    </w:r>
                  </w:p>
                </w:txbxContent>
              </v:textbox>
              <w10:wrap type="none"/>
            </v:shape>
            <v:shape style="position:absolute;left:4199;top:-1753;width:140;height:133" type="#_x0000_t202" filled="false" stroked="false">
              <v:textbox inset="0,0,0,0">
                <w:txbxContent>
                  <w:p>
                    <w:pPr>
                      <w:spacing w:line="133" w:lineRule="exact" w:before="0"/>
                      <w:ind w:left="0" w:right="0" w:firstLine="0"/>
                      <w:jc w:val="left"/>
                      <w:rPr>
                        <w:sz w:val="12"/>
                      </w:rPr>
                    </w:pPr>
                    <w:r>
                      <w:rPr>
                        <w:sz w:val="12"/>
                      </w:rPr>
                      <w:t>20</w:t>
                    </w:r>
                  </w:p>
                </w:txbxContent>
              </v:textbox>
              <w10:wrap type="none"/>
            </v:shape>
            <v:shape style="position:absolute;left:882;top:-1617;width:143;height:977" type="#_x0000_t202" filled="false" stroked="false">
              <v:textbox inset="0,0,0,0">
                <w:txbxContent>
                  <w:p>
                    <w:pPr>
                      <w:spacing w:line="133" w:lineRule="exact" w:before="0"/>
                      <w:ind w:left="0" w:right="0" w:firstLine="0"/>
                      <w:jc w:val="left"/>
                      <w:rPr>
                        <w:sz w:val="12"/>
                      </w:rPr>
                    </w:pPr>
                    <w:r>
                      <w:rPr>
                        <w:sz w:val="12"/>
                      </w:rPr>
                      <w:t>0</w:t>
                    </w:r>
                  </w:p>
                  <w:p>
                    <w:pPr>
                      <w:spacing w:line="240" w:lineRule="auto" w:before="5"/>
                      <w:rPr>
                        <w:sz w:val="12"/>
                      </w:rPr>
                    </w:pPr>
                  </w:p>
                  <w:p>
                    <w:pPr>
                      <w:spacing w:before="0"/>
                      <w:ind w:left="0" w:right="0" w:firstLine="0"/>
                      <w:jc w:val="left"/>
                      <w:rPr>
                        <w:sz w:val="12"/>
                      </w:rPr>
                    </w:pPr>
                    <w:r>
                      <w:rPr>
                        <w:sz w:val="12"/>
                      </w:rPr>
                      <w:t>0</w:t>
                    </w:r>
                  </w:p>
                  <w:p>
                    <w:pPr>
                      <w:spacing w:line="161" w:lineRule="exact" w:before="4"/>
                      <w:ind w:left="32" w:right="0" w:firstLine="0"/>
                      <w:jc w:val="left"/>
                      <w:rPr>
                        <w:sz w:val="16"/>
                      </w:rPr>
                    </w:pPr>
                    <w:r>
                      <w:rPr>
                        <w:sz w:val="16"/>
                      </w:rPr>
                      <w:t>+</w:t>
                    </w:r>
                  </w:p>
                  <w:p>
                    <w:pPr>
                      <w:spacing w:line="141" w:lineRule="auto" w:before="6"/>
                      <w:ind w:left="0" w:right="0" w:firstLine="0"/>
                      <w:jc w:val="left"/>
                      <w:rPr>
                        <w:sz w:val="16"/>
                      </w:rPr>
                    </w:pPr>
                    <w:r>
                      <w:rPr>
                        <w:sz w:val="12"/>
                      </w:rPr>
                      <w:t>0</w:t>
                    </w:r>
                    <w:r>
                      <w:rPr>
                        <w:position w:val="-7"/>
                        <w:sz w:val="16"/>
                      </w:rPr>
                      <w:t>_</w:t>
                    </w:r>
                  </w:p>
                  <w:p>
                    <w:pPr>
                      <w:spacing w:before="100"/>
                      <w:ind w:left="0" w:right="0" w:firstLine="0"/>
                      <w:jc w:val="left"/>
                      <w:rPr>
                        <w:sz w:val="12"/>
                      </w:rPr>
                    </w:pPr>
                    <w:r>
                      <w:rPr>
                        <w:sz w:val="12"/>
                      </w:rPr>
                      <w:t>0</w:t>
                    </w:r>
                  </w:p>
                </w:txbxContent>
              </v:textbox>
              <w10:wrap type="none"/>
            </v:shape>
            <v:shape style="position:absolute;left:4172;top:-1402;width:167;height:837" type="#_x0000_t202" filled="false" stroked="false">
              <v:textbox inset="0,0,0,0">
                <w:txbxContent>
                  <w:p>
                    <w:pPr>
                      <w:spacing w:line="133" w:lineRule="exact" w:before="0"/>
                      <w:ind w:left="26" w:right="0" w:firstLine="0"/>
                      <w:jc w:val="left"/>
                      <w:rPr>
                        <w:sz w:val="12"/>
                      </w:rPr>
                    </w:pPr>
                    <w:r>
                      <w:rPr>
                        <w:sz w:val="12"/>
                      </w:rPr>
                      <w:t>10</w:t>
                    </w:r>
                  </w:p>
                  <w:p>
                    <w:pPr>
                      <w:spacing w:line="163" w:lineRule="exact" w:before="71"/>
                      <w:ind w:left="0" w:right="0" w:firstLine="0"/>
                      <w:jc w:val="left"/>
                      <w:rPr>
                        <w:sz w:val="16"/>
                      </w:rPr>
                    </w:pPr>
                    <w:r>
                      <w:rPr>
                        <w:sz w:val="16"/>
                      </w:rPr>
                      <w:t>+</w:t>
                    </w:r>
                  </w:p>
                  <w:p>
                    <w:pPr>
                      <w:spacing w:line="146" w:lineRule="auto" w:before="10"/>
                      <w:ind w:left="6" w:right="0" w:firstLine="0"/>
                      <w:jc w:val="left"/>
                      <w:rPr>
                        <w:sz w:val="12"/>
                      </w:rPr>
                    </w:pPr>
                    <w:r>
                      <w:rPr>
                        <w:position w:val="-6"/>
                        <w:sz w:val="16"/>
                      </w:rPr>
                      <w:t>_</w:t>
                    </w:r>
                    <w:r>
                      <w:rPr>
                        <w:sz w:val="12"/>
                      </w:rPr>
                      <w:t>0</w:t>
                    </w:r>
                  </w:p>
                  <w:p>
                    <w:pPr>
                      <w:spacing w:before="176"/>
                      <w:ind w:left="26" w:right="0" w:firstLine="0"/>
                      <w:jc w:val="left"/>
                      <w:rPr>
                        <w:sz w:val="12"/>
                      </w:rPr>
                    </w:pPr>
                    <w:r>
                      <w:rPr>
                        <w:sz w:val="12"/>
                      </w:rPr>
                      <w:t>10</w:t>
                    </w:r>
                  </w:p>
                </w:txbxContent>
              </v:textbox>
              <w10:wrap type="none"/>
            </v:shape>
            <v:shape style="position:absolute;left:882;top:-519;width:2938;height:277" type="#_x0000_t202" filled="false" stroked="false">
              <v:textbox inset="0,0,0,0">
                <w:txbxContent>
                  <w:p>
                    <w:pPr>
                      <w:tabs>
                        <w:tab w:pos="596" w:val="left" w:leader="none"/>
                        <w:tab w:pos="2007" w:val="left" w:leader="none"/>
                        <w:tab w:pos="2067" w:val="left" w:leader="none"/>
                      </w:tabs>
                      <w:spacing w:line="163" w:lineRule="auto" w:before="27"/>
                      <w:ind w:left="657" w:right="18" w:hanging="658"/>
                      <w:jc w:val="left"/>
                      <w:rPr>
                        <w:sz w:val="12"/>
                      </w:rPr>
                    </w:pPr>
                    <w:r>
                      <w:rPr>
                        <w:sz w:val="12"/>
                      </w:rPr>
                      <w:t>0</w:t>
                      <w:tab/>
                      <w:t>Site visits (b)</w:t>
                      <w:tab/>
                    </w:r>
                    <w:r>
                      <w:rPr>
                        <w:position w:val="3"/>
                        <w:sz w:val="12"/>
                      </w:rPr>
                      <w:t>Housing starts</w:t>
                    </w:r>
                    <w:r>
                      <w:rPr>
                        <w:position w:val="-1"/>
                        <w:sz w:val="12"/>
                      </w:rPr>
                      <w:t> (left-hand scale)</w:t>
                      <w:tab/>
                      <w:tab/>
                    </w:r>
                    <w:r>
                      <w:rPr>
                        <w:sz w:val="12"/>
                      </w:rPr>
                      <w:t>(right-hand </w:t>
                    </w:r>
                    <w:r>
                      <w:rPr>
                        <w:spacing w:val="-3"/>
                        <w:sz w:val="12"/>
                      </w:rPr>
                      <w:t>scale)</w:t>
                    </w:r>
                  </w:p>
                </w:txbxContent>
              </v:textbox>
              <w10:wrap type="none"/>
            </v:shape>
            <v:shape style="position:absolute;left:4199;top:-347;width:140;height:133" type="#_x0000_t202" filled="false" stroked="false">
              <v:textbox inset="0,0,0,0">
                <w:txbxContent>
                  <w:p>
                    <w:pPr>
                      <w:spacing w:line="133" w:lineRule="exact" w:before="0"/>
                      <w:ind w:left="0" w:right="0" w:firstLine="0"/>
                      <w:jc w:val="left"/>
                      <w:rPr>
                        <w:sz w:val="12"/>
                      </w:rPr>
                    </w:pPr>
                    <w:r>
                      <w:rPr>
                        <w:sz w:val="12"/>
                      </w:rPr>
                      <w:t>20</w:t>
                    </w:r>
                  </w:p>
                </w:txbxContent>
              </v:textbox>
              <w10:wrap type="none"/>
            </v:shape>
            <w10:wrap type="none"/>
          </v:group>
        </w:pict>
      </w:r>
      <w:r>
        <w:rPr/>
        <w:pict>
          <v:line style="position:absolute;mso-position-horizontal-relative:page;mso-position-vertical-relative:paragraph;z-index:16094208" from="203.720001pt,4.373758pt" to="208.052001pt,4.373758pt" stroked="true" strokeweight=".5pt" strokecolor="#000000">
            <v:stroke dashstyle="solid"/>
            <w10:wrap type="none"/>
          </v:line>
        </w:pict>
      </w:r>
      <w:r>
        <w:rPr/>
        <w:pict>
          <v:line style="position:absolute;mso-position-horizontal-relative:page;mso-position-vertical-relative:paragraph;z-index:-23203328" from="203.720001pt,-118.808243pt" to="208.052001pt,-118.808243pt" stroked="true" strokeweight=".5pt" strokecolor="#000000">
            <v:stroke dashstyle="solid"/>
            <w10:wrap type="none"/>
          </v:line>
        </w:pict>
      </w:r>
      <w:r>
        <w:rPr>
          <w:sz w:val="12"/>
        </w:rPr>
        <w:t>30</w:t>
      </w:r>
    </w:p>
    <w:p>
      <w:pPr>
        <w:pStyle w:val="BodyText"/>
        <w:rPr>
          <w:sz w:val="12"/>
        </w:rPr>
      </w:pPr>
    </w:p>
    <w:p>
      <w:pPr>
        <w:spacing w:line="116" w:lineRule="exact" w:before="76"/>
        <w:ind w:left="1416" w:right="0" w:firstLine="0"/>
        <w:jc w:val="left"/>
        <w:rPr>
          <w:sz w:val="12"/>
        </w:rPr>
      </w:pPr>
      <w:r>
        <w:rPr/>
        <w:pict>
          <v:shape style="position:absolute;margin-left:48.75pt;margin-top:4.959572pt;width:159.35pt;height:3.4pt;mso-position-horizontal-relative:page;mso-position-vertical-relative:paragraph;z-index:16093184" coordorigin="975,99" coordsize="3187,68" path="m975,166l1062,166m4074,164l4161,164m1108,166l4008,166m1106,99l1106,166m1761,99l1761,166m2415,99l2415,166m3070,99l3070,166m3725,99l3725,166e" filled="false" stroked="true" strokeweight=".5pt" strokecolor="#000000">
            <v:path arrowok="t"/>
            <v:stroke dashstyle="solid"/>
            <w10:wrap type="none"/>
          </v:shape>
        </w:pict>
      </w:r>
      <w:r>
        <w:rPr>
          <w:sz w:val="12"/>
        </w:rPr>
        <w:t>40</w:t>
      </w:r>
    </w:p>
    <w:p>
      <w:pPr>
        <w:spacing w:line="242" w:lineRule="auto" w:before="8"/>
        <w:ind w:left="182" w:right="178" w:firstLine="0"/>
        <w:jc w:val="left"/>
        <w:rPr>
          <w:sz w:val="24"/>
        </w:rPr>
      </w:pPr>
      <w:r>
        <w:rPr/>
        <w:br w:type="column"/>
      </w:r>
      <w:r>
        <w:rPr>
          <w:sz w:val="24"/>
        </w:rPr>
        <w:t>year earlier (see Chart 2.19); the latter at its fastest rate for almost five years.</w:t>
      </w:r>
    </w:p>
    <w:p>
      <w:pPr>
        <w:pStyle w:val="BodyText"/>
        <w:spacing w:before="8"/>
        <w:rPr>
          <w:sz w:val="24"/>
        </w:rPr>
      </w:pPr>
    </w:p>
    <w:p>
      <w:pPr>
        <w:pStyle w:val="ListParagraph"/>
        <w:numPr>
          <w:ilvl w:val="1"/>
          <w:numId w:val="15"/>
        </w:numPr>
        <w:tabs>
          <w:tab w:pos="4280" w:val="left" w:leader="none"/>
          <w:tab w:pos="4281" w:val="left" w:leader="none"/>
          <w:tab w:pos="5672" w:val="left" w:leader="none"/>
        </w:tabs>
        <w:spacing w:line="240" w:lineRule="auto" w:before="1" w:after="0"/>
        <w:ind w:left="4280" w:right="0" w:hanging="4099"/>
        <w:jc w:val="left"/>
        <w:rPr>
          <w:b/>
          <w:sz w:val="28"/>
        </w:rPr>
      </w:pPr>
      <w:r>
        <w:rPr>
          <w:b/>
          <w:color w:val="009391"/>
          <w:sz w:val="28"/>
          <w:u w:val="thick" w:color="0092C7"/>
        </w:rPr>
        <w:t>Summary</w:t>
        <w:tab/>
      </w:r>
    </w:p>
    <w:p>
      <w:pPr>
        <w:pStyle w:val="BodyText"/>
        <w:spacing w:before="10"/>
        <w:rPr>
          <w:b/>
          <w:sz w:val="23"/>
        </w:rPr>
      </w:pPr>
    </w:p>
    <w:p>
      <w:pPr>
        <w:spacing w:line="242" w:lineRule="auto" w:before="1"/>
        <w:ind w:left="182" w:right="178" w:firstLine="0"/>
        <w:jc w:val="left"/>
        <w:rPr>
          <w:sz w:val="24"/>
        </w:rPr>
      </w:pPr>
      <w:r>
        <w:rPr>
          <w:sz w:val="24"/>
        </w:rPr>
        <w:t>Prospects for growth </w:t>
      </w:r>
      <w:r>
        <w:rPr>
          <w:spacing w:val="-3"/>
          <w:sz w:val="24"/>
        </w:rPr>
        <w:t>have </w:t>
      </w:r>
      <w:r>
        <w:rPr>
          <w:sz w:val="24"/>
        </w:rPr>
        <w:t>remained favourable since the May </w:t>
      </w:r>
      <w:r>
        <w:rPr>
          <w:i/>
          <w:sz w:val="24"/>
        </w:rPr>
        <w:t>Report</w:t>
      </w:r>
      <w:r>
        <w:rPr>
          <w:sz w:val="24"/>
        </w:rPr>
        <w:t>. Revisions to the National Accounts </w:t>
      </w:r>
      <w:r>
        <w:rPr>
          <w:spacing w:val="-3"/>
          <w:sz w:val="24"/>
        </w:rPr>
        <w:t>have </w:t>
      </w:r>
      <w:r>
        <w:rPr>
          <w:sz w:val="24"/>
        </w:rPr>
        <w:t>raised the estimated </w:t>
      </w:r>
      <w:r>
        <w:rPr>
          <w:spacing w:val="-3"/>
          <w:sz w:val="24"/>
        </w:rPr>
        <w:t>level </w:t>
      </w:r>
      <w:r>
        <w:rPr>
          <w:sz w:val="24"/>
        </w:rPr>
        <w:t>of output, and particularly consumption. </w:t>
      </w:r>
      <w:r>
        <w:rPr>
          <w:spacing w:val="-4"/>
          <w:sz w:val="24"/>
        </w:rPr>
        <w:t>However, </w:t>
      </w:r>
      <w:r>
        <w:rPr>
          <w:sz w:val="24"/>
        </w:rPr>
        <w:t>less rapidly increasing household wealth and attempts to rebuild savings from current </w:t>
      </w:r>
      <w:r>
        <w:rPr>
          <w:spacing w:val="-3"/>
          <w:sz w:val="24"/>
        </w:rPr>
        <w:t>low levels </w:t>
      </w:r>
      <w:r>
        <w:rPr>
          <w:sz w:val="24"/>
        </w:rPr>
        <w:t>may point to slower consumption</w:t>
      </w:r>
    </w:p>
    <w:p>
      <w:pPr>
        <w:spacing w:after="0" w:line="242" w:lineRule="auto"/>
        <w:jc w:val="left"/>
        <w:rPr>
          <w:sz w:val="24"/>
        </w:rPr>
        <w:sectPr>
          <w:type w:val="continuous"/>
          <w:pgSz w:w="11900" w:h="16840"/>
          <w:pgMar w:top="1260" w:bottom="280" w:left="640" w:right="640"/>
          <w:cols w:num="3" w:equalWidth="0">
            <w:col w:w="945" w:space="1197"/>
            <w:col w:w="1577" w:space="1084"/>
            <w:col w:w="5817"/>
          </w:cols>
        </w:sectPr>
      </w:pPr>
    </w:p>
    <w:p>
      <w:pPr>
        <w:tabs>
          <w:tab w:pos="1373" w:val="left" w:leader="none"/>
          <w:tab w:pos="2020" w:val="left" w:leader="none"/>
          <w:tab w:pos="2683" w:val="left" w:leader="none"/>
          <w:tab w:pos="3121" w:val="left" w:leader="none"/>
        </w:tabs>
        <w:spacing w:before="10"/>
        <w:ind w:left="670" w:right="0" w:firstLine="0"/>
        <w:jc w:val="left"/>
        <w:rPr>
          <w:sz w:val="12"/>
        </w:rPr>
      </w:pPr>
      <w:r>
        <w:rPr>
          <w:sz w:val="12"/>
        </w:rPr>
        <w:t>1996</w:t>
        <w:tab/>
        <w:t>97</w:t>
        <w:tab/>
        <w:t>98</w:t>
        <w:tab/>
        <w:t>99</w:t>
        <w:tab/>
        <w:t>2000</w:t>
      </w:r>
    </w:p>
    <w:p>
      <w:pPr>
        <w:pStyle w:val="BodyText"/>
        <w:spacing w:before="2"/>
        <w:rPr>
          <w:sz w:val="12"/>
        </w:rPr>
      </w:pPr>
    </w:p>
    <w:p>
      <w:pPr>
        <w:spacing w:before="0"/>
        <w:ind w:left="165" w:right="0" w:firstLine="0"/>
        <w:jc w:val="left"/>
        <w:rPr>
          <w:sz w:val="12"/>
        </w:rPr>
      </w:pPr>
      <w:r>
        <w:rPr>
          <w:sz w:val="12"/>
        </w:rPr>
        <w:t>Sources: DETR and House Builders’ Federation.</w:t>
      </w:r>
    </w:p>
    <w:p>
      <w:pPr>
        <w:pStyle w:val="ListParagraph"/>
        <w:numPr>
          <w:ilvl w:val="0"/>
          <w:numId w:val="20"/>
        </w:numPr>
        <w:tabs>
          <w:tab w:pos="406" w:val="left" w:leader="none"/>
        </w:tabs>
        <w:spacing w:line="129" w:lineRule="exact" w:before="102" w:after="0"/>
        <w:ind w:left="405" w:right="0" w:hanging="241"/>
        <w:jc w:val="left"/>
        <w:rPr>
          <w:sz w:val="12"/>
        </w:rPr>
      </w:pPr>
      <w:r>
        <w:rPr>
          <w:sz w:val="12"/>
        </w:rPr>
        <w:t>Three-month backward-looking moving</w:t>
      </w:r>
      <w:r>
        <w:rPr>
          <w:spacing w:val="-7"/>
          <w:sz w:val="12"/>
        </w:rPr>
        <w:t> </w:t>
      </w:r>
      <w:r>
        <w:rPr>
          <w:sz w:val="12"/>
        </w:rPr>
        <w:t>average.</w:t>
      </w:r>
    </w:p>
    <w:p>
      <w:pPr>
        <w:pStyle w:val="ListParagraph"/>
        <w:numPr>
          <w:ilvl w:val="0"/>
          <w:numId w:val="20"/>
        </w:numPr>
        <w:tabs>
          <w:tab w:pos="406" w:val="left" w:leader="none"/>
        </w:tabs>
        <w:spacing w:line="208" w:lineRule="auto" w:before="6" w:after="0"/>
        <w:ind w:left="405" w:right="38" w:hanging="240"/>
        <w:jc w:val="left"/>
        <w:rPr>
          <w:sz w:val="12"/>
        </w:rPr>
      </w:pPr>
      <w:r>
        <w:rPr>
          <w:sz w:val="12"/>
        </w:rPr>
        <w:t>Net</w:t>
      </w:r>
      <w:r>
        <w:rPr>
          <w:spacing w:val="-6"/>
          <w:sz w:val="12"/>
        </w:rPr>
        <w:t> </w:t>
      </w:r>
      <w:r>
        <w:rPr>
          <w:sz w:val="12"/>
        </w:rPr>
        <w:t>balance</w:t>
      </w:r>
      <w:r>
        <w:rPr>
          <w:spacing w:val="-5"/>
          <w:sz w:val="12"/>
        </w:rPr>
        <w:t> </w:t>
      </w:r>
      <w:r>
        <w:rPr>
          <w:sz w:val="12"/>
        </w:rPr>
        <w:t>of</w:t>
      </w:r>
      <w:r>
        <w:rPr>
          <w:spacing w:val="-5"/>
          <w:sz w:val="12"/>
        </w:rPr>
        <w:t> </w:t>
      </w:r>
      <w:r>
        <w:rPr>
          <w:sz w:val="12"/>
        </w:rPr>
        <w:t>survey</w:t>
      </w:r>
      <w:r>
        <w:rPr>
          <w:spacing w:val="-6"/>
          <w:sz w:val="12"/>
        </w:rPr>
        <w:t> </w:t>
      </w:r>
      <w:r>
        <w:rPr>
          <w:sz w:val="12"/>
        </w:rPr>
        <w:t>respondents</w:t>
      </w:r>
      <w:r>
        <w:rPr>
          <w:spacing w:val="-5"/>
          <w:sz w:val="12"/>
        </w:rPr>
        <w:t> </w:t>
      </w:r>
      <w:r>
        <w:rPr>
          <w:sz w:val="12"/>
        </w:rPr>
        <w:t>reporting</w:t>
      </w:r>
      <w:r>
        <w:rPr>
          <w:spacing w:val="-5"/>
          <w:sz w:val="12"/>
        </w:rPr>
        <w:t> </w:t>
      </w:r>
      <w:r>
        <w:rPr>
          <w:sz w:val="12"/>
        </w:rPr>
        <w:t>an</w:t>
      </w:r>
      <w:r>
        <w:rPr>
          <w:spacing w:val="-6"/>
          <w:sz w:val="12"/>
        </w:rPr>
        <w:t> </w:t>
      </w:r>
      <w:r>
        <w:rPr>
          <w:sz w:val="12"/>
        </w:rPr>
        <w:t>increase</w:t>
      </w:r>
      <w:r>
        <w:rPr>
          <w:spacing w:val="-5"/>
          <w:sz w:val="12"/>
        </w:rPr>
        <w:t> </w:t>
      </w:r>
      <w:r>
        <w:rPr>
          <w:sz w:val="12"/>
        </w:rPr>
        <w:t>in</w:t>
      </w:r>
      <w:r>
        <w:rPr>
          <w:spacing w:val="-5"/>
          <w:sz w:val="12"/>
        </w:rPr>
        <w:t> </w:t>
      </w:r>
      <w:r>
        <w:rPr>
          <w:sz w:val="12"/>
        </w:rPr>
        <w:t>site</w:t>
      </w:r>
      <w:r>
        <w:rPr>
          <w:spacing w:val="-5"/>
          <w:sz w:val="12"/>
        </w:rPr>
        <w:t> </w:t>
      </w:r>
      <w:r>
        <w:rPr>
          <w:sz w:val="12"/>
        </w:rPr>
        <w:t>visits or reservations compared with a year</w:t>
      </w:r>
      <w:r>
        <w:rPr>
          <w:spacing w:val="-12"/>
          <w:sz w:val="12"/>
        </w:rPr>
        <w:t> </w:t>
      </w:r>
      <w:r>
        <w:rPr>
          <w:sz w:val="12"/>
        </w:rPr>
        <w:t>earlier.</w:t>
      </w:r>
    </w:p>
    <w:p>
      <w:pPr>
        <w:spacing w:line="242" w:lineRule="auto" w:before="0"/>
        <w:ind w:left="165" w:right="215" w:firstLine="0"/>
        <w:jc w:val="left"/>
        <w:rPr>
          <w:sz w:val="24"/>
        </w:rPr>
      </w:pPr>
      <w:r>
        <w:rPr/>
        <w:br w:type="column"/>
      </w:r>
      <w:r>
        <w:rPr>
          <w:sz w:val="24"/>
        </w:rPr>
        <w:t>growth in coming quarters. Survey data on investment intentions suggest that the fall in investment in 2000 Q1 is likely to prove temporary. The near-term outlook for world demand has improved since the May </w:t>
      </w:r>
      <w:r>
        <w:rPr>
          <w:i/>
          <w:sz w:val="24"/>
        </w:rPr>
        <w:t>Report </w:t>
      </w:r>
      <w:r>
        <w:rPr>
          <w:sz w:val="24"/>
        </w:rPr>
        <w:t>and sterling has depreciated by around 4% on a</w:t>
      </w:r>
    </w:p>
    <w:p>
      <w:pPr>
        <w:spacing w:line="242" w:lineRule="auto" w:before="0"/>
        <w:ind w:left="165" w:right="215" w:firstLine="0"/>
        <w:jc w:val="left"/>
        <w:rPr>
          <w:sz w:val="24"/>
        </w:rPr>
      </w:pPr>
      <w:r>
        <w:rPr>
          <w:sz w:val="24"/>
        </w:rPr>
        <w:t>trade-weighted basis. Looking forward, that suggests some easing of current imbalances between domestic and external demand. Overall, the MPC expects annual GDP growth to soften in coming quarters to around 2</w:t>
      </w:r>
      <w:r>
        <w:rPr>
          <w:position w:val="8"/>
          <w:sz w:val="12"/>
        </w:rPr>
        <w:t>1</w:t>
      </w:r>
      <w:r>
        <w:rPr>
          <w:sz w:val="24"/>
        </w:rPr>
        <w:t>/</w:t>
      </w:r>
      <w:r>
        <w:rPr>
          <w:sz w:val="12"/>
        </w:rPr>
        <w:t>2</w:t>
      </w:r>
      <w:r>
        <w:rPr>
          <w:sz w:val="24"/>
        </w:rPr>
        <w:t>%—near trend—before rising slightly in the second year of the projection.</w:t>
      </w:r>
    </w:p>
    <w:p>
      <w:pPr>
        <w:spacing w:after="0" w:line="242" w:lineRule="auto"/>
        <w:jc w:val="left"/>
        <w:rPr>
          <w:sz w:val="24"/>
        </w:rPr>
        <w:sectPr>
          <w:type w:val="continuous"/>
          <w:pgSz w:w="11900" w:h="16840"/>
          <w:pgMar w:top="1260" w:bottom="280" w:left="640" w:right="640"/>
          <w:cols w:num="2" w:equalWidth="0">
            <w:col w:w="3734" w:space="1086"/>
            <w:col w:w="5800"/>
          </w:cols>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000000">
              <v:stroke dashstyle="solid"/>
            </v:line>
          </v:group>
        </w:pict>
      </w:r>
      <w:r>
        <w:rPr>
          <w:sz w:val="2"/>
        </w:rPr>
      </w:r>
    </w:p>
    <w:p>
      <w:pPr>
        <w:pStyle w:val="BodyText"/>
        <w:rPr>
          <w:sz w:val="20"/>
        </w:rPr>
      </w:pPr>
    </w:p>
    <w:p>
      <w:pPr>
        <w:pStyle w:val="BodyText"/>
        <w:spacing w:before="9"/>
      </w:pPr>
      <w:r>
        <w:rPr/>
        <w:pict>
          <v:shape style="position:absolute;margin-left:40pt;margin-top:12.000977pt;width:516pt;height:48pt;mso-position-horizontal-relative:page;mso-position-vertical-relative:paragraph;z-index:-15361536;mso-wrap-distance-left:0;mso-wrap-distance-right:0" type="#_x0000_t202" filled="true" fillcolor="#cee2e0" stroked="false">
            <v:textbox inset="0,0,0,0">
              <w:txbxContent>
                <w:p>
                  <w:pPr>
                    <w:tabs>
                      <w:tab w:pos="6212" w:val="left" w:leader="none"/>
                    </w:tabs>
                    <w:spacing w:before="51"/>
                    <w:ind w:left="260" w:right="0" w:firstLine="0"/>
                    <w:jc w:val="left"/>
                    <w:rPr>
                      <w:b/>
                      <w:sz w:val="48"/>
                    </w:rPr>
                  </w:pPr>
                  <w:bookmarkStart w:name="The labour market" w:id="45"/>
                  <w:bookmarkEnd w:id="45"/>
                  <w:r>
                    <w:rPr/>
                  </w:r>
                  <w:bookmarkStart w:name="Employment and unemployment" w:id="46"/>
                  <w:bookmarkEnd w:id="46"/>
                  <w:r>
                    <w:rPr/>
                  </w:r>
                  <w:bookmarkStart w:name="_bookmark17" w:id="47"/>
                  <w:bookmarkEnd w:id="47"/>
                  <w:r>
                    <w:rPr/>
                  </w:r>
                  <w:r>
                    <w:rPr>
                      <w:b/>
                      <w:color w:val="009391"/>
                      <w:sz w:val="72"/>
                    </w:rPr>
                    <w:t>3</w:t>
                    <w:tab/>
                  </w:r>
                  <w:r>
                    <w:rPr>
                      <w:b/>
                      <w:color w:val="009391"/>
                      <w:sz w:val="48"/>
                    </w:rPr>
                    <w:t>The labour</w:t>
                  </w:r>
                  <w:r>
                    <w:rPr>
                      <w:b/>
                      <w:color w:val="009391"/>
                      <w:spacing w:val="-11"/>
                      <w:sz w:val="48"/>
                    </w:rPr>
                    <w:t> </w:t>
                  </w:r>
                  <w:r>
                    <w:rPr>
                      <w:b/>
                      <w:color w:val="009391"/>
                      <w:sz w:val="48"/>
                    </w:rPr>
                    <w:t>market</w:t>
                  </w:r>
                </w:p>
              </w:txbxContent>
            </v:textbox>
            <v:fill type="solid"/>
            <w10:wrap type="topAndBottom"/>
          </v:shape>
        </w:pict>
      </w:r>
    </w:p>
    <w:p>
      <w:pPr>
        <w:pStyle w:val="BodyText"/>
        <w:rPr>
          <w:sz w:val="20"/>
        </w:rPr>
      </w:pPr>
    </w:p>
    <w:p>
      <w:pPr>
        <w:pStyle w:val="BodyText"/>
        <w:rPr>
          <w:sz w:val="20"/>
        </w:rPr>
      </w:pPr>
    </w:p>
    <w:p>
      <w:pPr>
        <w:spacing w:after="0"/>
        <w:rPr>
          <w:sz w:val="20"/>
        </w:rPr>
        <w:sectPr>
          <w:headerReference w:type="even" r:id="rId108"/>
          <w:footerReference w:type="even" r:id="rId109"/>
          <w:footerReference w:type="default" r:id="rId110"/>
          <w:pgSz w:w="11900" w:h="16840"/>
          <w:pgMar w:header="0" w:footer="592" w:top="800" w:bottom="780" w:left="640" w:right="640"/>
          <w:pgNumType w:start="24"/>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6"/>
        <w:rPr>
          <w:sz w:val="17"/>
        </w:rPr>
      </w:pPr>
    </w:p>
    <w:p>
      <w:pPr>
        <w:pStyle w:val="Heading6"/>
        <w:spacing w:before="1"/>
      </w:pPr>
      <w:r>
        <w:rPr>
          <w:color w:val="0092C7"/>
        </w:rPr>
        <w:t>Chart 3.1</w:t>
      </w:r>
    </w:p>
    <w:p>
      <w:pPr>
        <w:pStyle w:val="Heading6"/>
        <w:spacing w:line="249" w:lineRule="auto"/>
        <w:ind w:right="119"/>
      </w:pPr>
      <w:r>
        <w:rPr>
          <w:color w:val="0092C7"/>
        </w:rPr>
        <w:t>Growth in LFS employment and hours worked</w:t>
      </w:r>
    </w:p>
    <w:p>
      <w:pPr>
        <w:spacing w:line="121" w:lineRule="exact" w:before="69"/>
        <w:ind w:left="1223" w:right="0" w:firstLine="0"/>
        <w:jc w:val="left"/>
        <w:rPr>
          <w:sz w:val="12"/>
        </w:rPr>
      </w:pPr>
      <w:r>
        <w:rPr>
          <w:sz w:val="12"/>
        </w:rPr>
        <w:t>Percentage changes on three months earlier</w:t>
      </w:r>
    </w:p>
    <w:p>
      <w:pPr>
        <w:spacing w:line="121" w:lineRule="exact" w:before="0"/>
        <w:ind w:left="3356" w:right="0" w:firstLine="0"/>
        <w:jc w:val="left"/>
        <w:rPr>
          <w:sz w:val="12"/>
        </w:rPr>
      </w:pPr>
      <w:r>
        <w:rPr/>
        <w:pict>
          <v:line style="position:absolute;mso-position-horizontal-relative:page;mso-position-vertical-relative:paragraph;z-index:16108544" from="44.713pt,3.651555pt" to="41.562pt,3.651555pt" stroked="true" strokeweight=".5pt" strokecolor="#000000">
            <v:stroke dashstyle="solid"/>
            <w10:wrap type="none"/>
          </v:line>
        </w:pict>
      </w:r>
      <w:r>
        <w:rPr/>
        <w:pict>
          <v:line style="position:absolute;mso-position-horizontal-relative:page;mso-position-vertical-relative:paragraph;z-index:16113152" from="197.091002pt,3.778555pt" to="193.940002pt,3.778555pt" stroked="true" strokeweight=".5pt" strokecolor="#000000">
            <v:stroke dashstyle="solid"/>
            <w10:wrap type="none"/>
          </v:line>
        </w:pict>
      </w:r>
      <w:r>
        <w:rPr>
          <w:sz w:val="12"/>
        </w:rPr>
        <w:t>0.8</w:t>
      </w:r>
    </w:p>
    <w:p>
      <w:pPr>
        <w:pStyle w:val="BodyText"/>
        <w:spacing w:before="6"/>
        <w:rPr>
          <w:sz w:val="15"/>
        </w:rPr>
      </w:pPr>
    </w:p>
    <w:p>
      <w:pPr>
        <w:spacing w:before="1"/>
        <w:ind w:left="0" w:right="38" w:firstLine="0"/>
        <w:jc w:val="right"/>
        <w:rPr>
          <w:sz w:val="12"/>
        </w:rPr>
      </w:pPr>
      <w:r>
        <w:rPr/>
        <w:pict>
          <v:group style="position:absolute;margin-left:41.562pt;margin-top:3.776567pt;width:148.9pt;height:118.9pt;mso-position-horizontal-relative:page;mso-position-vertical-relative:paragraph;z-index:16103936" coordorigin="831,76" coordsize="2978,2378">
            <v:rect style="position:absolute;left:1205;top:245;width:123;height:793" filled="true" fillcolor="#9ed01a" stroked="false">
              <v:fill type="solid"/>
            </v:rect>
            <v:rect style="position:absolute;left:1205;top:245;width:123;height:793" filled="false" stroked="true" strokeweight=".5pt" strokecolor="#000000">
              <v:stroke dashstyle="solid"/>
            </v:rect>
            <v:rect style="position:absolute;left:1205;top:85;width:123;height:163" filled="true" fillcolor="#44af34" stroked="false">
              <v:fill type="solid"/>
            </v:rect>
            <v:rect style="position:absolute;left:1205;top:85;width:123;height:163" filled="false" stroked="true" strokeweight=".5pt" strokecolor="#000000">
              <v:stroke dashstyle="solid"/>
            </v:rect>
            <v:rect style="position:absolute;left:1773;top:1035;width:123;height:1098" filled="true" fillcolor="#9ed01a" stroked="false">
              <v:fill type="solid"/>
            </v:rect>
            <v:rect style="position:absolute;left:1773;top:1035;width:123;height:1098" filled="false" stroked="true" strokeweight=".5pt" strokecolor="#000000">
              <v:stroke dashstyle="solid"/>
            </v:rect>
            <v:rect style="position:absolute;left:1773;top:560;width:123;height:478" filled="true" fillcolor="#44af34" stroked="false">
              <v:fill type="solid"/>
            </v:rect>
            <v:rect style="position:absolute;left:1773;top:560;width:123;height:478" filled="false" stroked="true" strokeweight=".5pt" strokecolor="#000000">
              <v:stroke dashstyle="solid"/>
            </v:rect>
            <v:rect style="position:absolute;left:2334;top:1035;width:132;height:1413" filled="true" fillcolor="#9ed01a" stroked="false">
              <v:fill type="solid"/>
            </v:rect>
            <v:rect style="position:absolute;left:2334;top:1035;width:132;height:1413" filled="false" stroked="true" strokeweight=".5pt" strokecolor="#000000">
              <v:stroke dashstyle="solid"/>
            </v:rect>
            <v:rect style="position:absolute;left:2334;top:720;width:132;height:318" filled="true" fillcolor="#44af34" stroked="false">
              <v:fill type="solid"/>
            </v:rect>
            <v:rect style="position:absolute;left:2334;top:720;width:132;height:318" filled="false" stroked="true" strokeweight=".5pt" strokecolor="#000000">
              <v:stroke dashstyle="solid"/>
            </v:rect>
            <v:rect style="position:absolute;left:2903;top:720;width:123;height:318" filled="true" fillcolor="#9ed01a" stroked="false">
              <v:fill type="solid"/>
            </v:rect>
            <v:rect style="position:absolute;left:2903;top:720;width:123;height:318" filled="false" stroked="true" strokeweight=".5pt" strokecolor="#000000">
              <v:stroke dashstyle="solid"/>
            </v:rect>
            <v:rect style="position:absolute;left:2903;top:403;width:123;height:320" filled="true" fillcolor="#44af34" stroked="false">
              <v:fill type="solid"/>
            </v:rect>
            <v:rect style="position:absolute;left:2903;top:403;width:123;height:320" filled="false" stroked="true" strokeweight=".5pt" strokecolor="#000000">
              <v:stroke dashstyle="solid"/>
            </v:rect>
            <v:rect style="position:absolute;left:3472;top:1038;width:123;height:160" filled="true" fillcolor="#9ed01a" stroked="false">
              <v:fill type="solid"/>
            </v:rect>
            <v:rect style="position:absolute;left:3472;top:1035;width:123;height:163" filled="false" stroked="true" strokeweight=".5pt" strokecolor="#000000">
              <v:stroke dashstyle="solid"/>
            </v:rect>
            <v:rect style="position:absolute;left:3472;top:245;width:123;height:793" filled="true" fillcolor="#44af34" stroked="false">
              <v:fill type="solid"/>
            </v:rect>
            <v:rect style="position:absolute;left:3472;top:245;width:123;height:793" filled="false" stroked="true" strokeweight=".5pt" strokecolor="#000000">
              <v:stroke dashstyle="solid"/>
            </v:rect>
            <v:shape style="position:absolute;left:1270;top:85;width:2266;height:1728" coordorigin="1271,86" coordsize="2266,1728" path="m1271,86l1840,1656,2408,1813,2967,561,3536,563e" filled="false" stroked="true" strokeweight="1.0pt" strokecolor="#de8508">
              <v:path arrowok="t"/>
              <v:stroke dashstyle="solid"/>
            </v:shape>
            <v:shape style="position:absolute;left:831;top:1040;width:2978;height:2" coordorigin="831,1041" coordsize="2978,0" path="m894,1041l831,1041m955,1041l3809,1041e" filled="false" stroked="true" strokeweight=".5pt" strokecolor="#000000">
              <v:path arrowok="t"/>
              <v:stroke dashstyle="solid"/>
            </v:shape>
            <v:shape style="position:absolute;left:1766;top:384;width:640;height:134" type="#_x0000_t202" filled="false" stroked="false">
              <v:textbox inset="0,0,0,0">
                <w:txbxContent>
                  <w:p>
                    <w:pPr>
                      <w:spacing w:line="133" w:lineRule="exact" w:before="0"/>
                      <w:ind w:left="0" w:right="0" w:firstLine="0"/>
                      <w:jc w:val="left"/>
                      <w:rPr>
                        <w:sz w:val="12"/>
                      </w:rPr>
                    </w:pPr>
                    <w:r>
                      <w:rPr>
                        <w:sz w:val="12"/>
                      </w:rPr>
                      <w:t>Employment</w:t>
                    </w:r>
                  </w:p>
                </w:txbxContent>
              </v:textbox>
              <w10:wrap type="none"/>
            </v:shape>
            <v:shape style="position:absolute;left:2629;top:1390;width:960;height:134" type="#_x0000_t202" filled="false" stroked="false">
              <v:textbox inset="0,0,0,0">
                <w:txbxContent>
                  <w:p>
                    <w:pPr>
                      <w:spacing w:line="133" w:lineRule="exact" w:before="0"/>
                      <w:ind w:left="0" w:right="0" w:firstLine="0"/>
                      <w:jc w:val="left"/>
                      <w:rPr>
                        <w:sz w:val="12"/>
                      </w:rPr>
                    </w:pPr>
                    <w:r>
                      <w:rPr>
                        <w:sz w:val="12"/>
                      </w:rPr>
                      <w:t>Total hours worked</w:t>
                    </w:r>
                  </w:p>
                </w:txbxContent>
              </v:textbox>
              <w10:wrap type="none"/>
            </v:shape>
            <v:shape style="position:absolute;left:1396;top:2154;width:724;height:251" type="#_x0000_t202" filled="false" stroked="false">
              <v:textbox inset="0,0,0,0">
                <w:txbxContent>
                  <w:p>
                    <w:pPr>
                      <w:spacing w:line="204" w:lineRule="auto" w:before="12"/>
                      <w:ind w:left="84" w:right="1" w:hanging="85"/>
                      <w:jc w:val="left"/>
                      <w:rPr>
                        <w:sz w:val="12"/>
                      </w:rPr>
                    </w:pPr>
                    <w:r>
                      <w:rPr>
                        <w:sz w:val="12"/>
                      </w:rPr>
                      <w:t>Average hours worked</w:t>
                    </w:r>
                  </w:p>
                </w:txbxContent>
              </v:textbox>
              <w10:wrap type="none"/>
            </v:shape>
            <w10:wrap type="none"/>
          </v:group>
        </w:pict>
      </w:r>
      <w:r>
        <w:rPr/>
        <w:pict>
          <v:line style="position:absolute;mso-position-horizontal-relative:page;mso-position-vertical-relative:paragraph;z-index:16107008" from="44.713pt,4.401567pt" to="41.562pt,4.401567pt" stroked="true" strokeweight=".5pt" strokecolor="#000000">
            <v:stroke dashstyle="solid"/>
            <w10:wrap type="none"/>
          </v:line>
        </w:pict>
      </w:r>
      <w:r>
        <w:rPr/>
        <w:pict>
          <v:line style="position:absolute;mso-position-horizontal-relative:page;mso-position-vertical-relative:paragraph;z-index:16111104" from="197.091002pt,4.528567pt" to="193.940002pt,4.528567pt" stroked="true" strokeweight=".5pt" strokecolor="#000000">
            <v:stroke dashstyle="solid"/>
            <w10:wrap type="none"/>
          </v:line>
        </w:pict>
      </w:r>
      <w:r>
        <w:rPr>
          <w:sz w:val="12"/>
        </w:rPr>
        <w:t>0.6</w:t>
      </w:r>
    </w:p>
    <w:p>
      <w:pPr>
        <w:pStyle w:val="BodyText"/>
        <w:spacing w:before="7"/>
        <w:rPr>
          <w:sz w:val="15"/>
        </w:rPr>
      </w:pPr>
    </w:p>
    <w:p>
      <w:pPr>
        <w:spacing w:before="0"/>
        <w:ind w:left="0" w:right="38" w:firstLine="0"/>
        <w:jc w:val="right"/>
        <w:rPr>
          <w:sz w:val="12"/>
        </w:rPr>
      </w:pPr>
      <w:r>
        <w:rPr/>
        <w:pict>
          <v:line style="position:absolute;mso-position-horizontal-relative:page;mso-position-vertical-relative:paragraph;z-index:16107520" from="44.713pt,4.35175pt" to="41.562pt,4.35175pt" stroked="true" strokeweight=".5pt" strokecolor="#000000">
            <v:stroke dashstyle="solid"/>
            <w10:wrap type="none"/>
          </v:line>
        </w:pict>
      </w:r>
      <w:r>
        <w:rPr/>
        <w:pict>
          <v:line style="position:absolute;mso-position-horizontal-relative:page;mso-position-vertical-relative:paragraph;z-index:16111616" from="197.091002pt,4.478751pt" to="193.940002pt,4.478751pt" stroked="true" strokeweight=".5pt" strokecolor="#000000">
            <v:stroke dashstyle="solid"/>
            <w10:wrap type="none"/>
          </v:line>
        </w:pict>
      </w:r>
      <w:r>
        <w:rPr>
          <w:sz w:val="12"/>
        </w:rPr>
        <w:t>0.4</w:t>
      </w:r>
    </w:p>
    <w:p>
      <w:pPr>
        <w:pStyle w:val="BodyText"/>
        <w:spacing w:before="4"/>
        <w:rPr>
          <w:sz w:val="15"/>
        </w:rPr>
      </w:pPr>
    </w:p>
    <w:p>
      <w:pPr>
        <w:spacing w:before="0"/>
        <w:ind w:left="0" w:right="38" w:firstLine="0"/>
        <w:jc w:val="right"/>
        <w:rPr>
          <w:sz w:val="12"/>
        </w:rPr>
      </w:pPr>
      <w:r>
        <w:rPr/>
        <w:pict>
          <v:line style="position:absolute;mso-position-horizontal-relative:page;mso-position-vertical-relative:paragraph;z-index:16108032" from="44.713pt,4.47675pt" to="41.562pt,4.47675pt" stroked="true" strokeweight=".5pt" strokecolor="#000000">
            <v:stroke dashstyle="solid"/>
            <w10:wrap type="none"/>
          </v:line>
        </w:pict>
      </w:r>
      <w:r>
        <w:rPr/>
        <w:pict>
          <v:line style="position:absolute;mso-position-horizontal-relative:page;mso-position-vertical-relative:paragraph;z-index:16112128" from="197.091002pt,4.603751pt" to="193.940002pt,4.603751pt" stroked="true" strokeweight=".5pt" strokecolor="#000000">
            <v:stroke dashstyle="solid"/>
            <w10:wrap type="none"/>
          </v:line>
        </w:pict>
      </w:r>
      <w:r>
        <w:rPr>
          <w:sz w:val="12"/>
        </w:rPr>
        <w:t>0.2</w:t>
      </w:r>
    </w:p>
    <w:p>
      <w:pPr>
        <w:spacing w:before="15"/>
        <w:ind w:left="3331" w:right="0" w:firstLine="0"/>
        <w:jc w:val="left"/>
        <w:rPr>
          <w:sz w:val="16"/>
        </w:rPr>
      </w:pPr>
      <w:r>
        <w:rPr>
          <w:sz w:val="16"/>
        </w:rPr>
        <w:t>+</w:t>
      </w:r>
    </w:p>
    <w:p>
      <w:pPr>
        <w:spacing w:before="1"/>
        <w:ind w:left="3335" w:right="0" w:firstLine="0"/>
        <w:jc w:val="left"/>
        <w:rPr>
          <w:sz w:val="12"/>
        </w:rPr>
      </w:pPr>
      <w:r>
        <w:rPr/>
        <w:pict>
          <v:line style="position:absolute;mso-position-horizontal-relative:page;mso-position-vertical-relative:paragraph;z-index:16112640" from="197.091002pt,3.52875pt" to="193.940002pt,3.52875pt" stroked="true" strokeweight=".5pt" strokecolor="#000000">
            <v:stroke dashstyle="solid"/>
            <w10:wrap type="none"/>
          </v:line>
        </w:pict>
      </w:r>
      <w:r>
        <w:rPr>
          <w:spacing w:val="-59"/>
          <w:position w:val="-8"/>
          <w:sz w:val="16"/>
        </w:rPr>
        <w:t>_</w:t>
      </w:r>
      <w:r>
        <w:rPr>
          <w:sz w:val="12"/>
        </w:rPr>
        <w:t>0.0</w:t>
      </w:r>
    </w:p>
    <w:p>
      <w:pPr>
        <w:spacing w:before="46"/>
        <w:ind w:left="0" w:right="38" w:firstLine="0"/>
        <w:jc w:val="right"/>
        <w:rPr>
          <w:sz w:val="12"/>
        </w:rPr>
      </w:pPr>
      <w:r>
        <w:rPr/>
        <w:pict>
          <v:line style="position:absolute;mso-position-horizontal-relative:page;mso-position-vertical-relative:paragraph;z-index:16104448" from="44.713pt,6.651567pt" to="41.562pt,6.651567pt" stroked="true" strokeweight=".5pt" strokecolor="#000000">
            <v:stroke dashstyle="solid"/>
            <w10:wrap type="none"/>
          </v:line>
        </w:pict>
      </w:r>
      <w:r>
        <w:rPr/>
        <w:pict>
          <v:line style="position:absolute;mso-position-horizontal-relative:page;mso-position-vertical-relative:paragraph;z-index:16109056" from="197.091002pt,6.778567pt" to="193.940002pt,6.778567pt" stroked="true" strokeweight=".5pt" strokecolor="#000000">
            <v:stroke dashstyle="solid"/>
            <w10:wrap type="none"/>
          </v:line>
        </w:pict>
      </w:r>
      <w:r>
        <w:rPr>
          <w:sz w:val="12"/>
        </w:rPr>
        <w:t>0.2</w:t>
      </w:r>
    </w:p>
    <w:p>
      <w:pPr>
        <w:pStyle w:val="BodyText"/>
        <w:spacing w:before="4"/>
        <w:rPr>
          <w:sz w:val="15"/>
        </w:rPr>
      </w:pPr>
    </w:p>
    <w:p>
      <w:pPr>
        <w:spacing w:before="0"/>
        <w:ind w:left="0" w:right="38" w:firstLine="0"/>
        <w:jc w:val="right"/>
        <w:rPr>
          <w:sz w:val="12"/>
        </w:rPr>
      </w:pPr>
      <w:r>
        <w:rPr/>
        <w:pict>
          <v:line style="position:absolute;mso-position-horizontal-relative:page;mso-position-vertical-relative:paragraph;z-index:16104960" from="44.713pt,4.476178pt" to="41.562pt,4.476178pt" stroked="true" strokeweight=".5pt" strokecolor="#000000">
            <v:stroke dashstyle="solid"/>
            <w10:wrap type="none"/>
          </v:line>
        </w:pict>
      </w:r>
      <w:r>
        <w:rPr/>
        <w:pict>
          <v:line style="position:absolute;mso-position-horizontal-relative:page;mso-position-vertical-relative:paragraph;z-index:16109568" from="197.091002pt,4.604178pt" to="193.940002pt,4.604178pt" stroked="true" strokeweight=".5pt" strokecolor="#000000">
            <v:stroke dashstyle="solid"/>
            <w10:wrap type="none"/>
          </v:line>
        </w:pict>
      </w:r>
      <w:r>
        <w:rPr>
          <w:sz w:val="12"/>
        </w:rPr>
        <w:t>0.4</w:t>
      </w:r>
    </w:p>
    <w:p>
      <w:pPr>
        <w:pStyle w:val="BodyText"/>
        <w:spacing w:before="7"/>
        <w:rPr>
          <w:sz w:val="15"/>
        </w:rPr>
      </w:pPr>
    </w:p>
    <w:p>
      <w:pPr>
        <w:spacing w:before="0"/>
        <w:ind w:left="0" w:right="38" w:firstLine="0"/>
        <w:jc w:val="right"/>
        <w:rPr>
          <w:sz w:val="12"/>
        </w:rPr>
      </w:pPr>
      <w:r>
        <w:rPr/>
        <w:pict>
          <v:line style="position:absolute;mso-position-horizontal-relative:page;mso-position-vertical-relative:paragraph;z-index:16105472" from="44.713pt,4.351361pt" to="41.562pt,4.351361pt" stroked="true" strokeweight=".5pt" strokecolor="#000000">
            <v:stroke dashstyle="solid"/>
            <w10:wrap type="none"/>
          </v:line>
        </w:pict>
      </w:r>
      <w:r>
        <w:rPr/>
        <w:pict>
          <v:line style="position:absolute;mso-position-horizontal-relative:page;mso-position-vertical-relative:paragraph;z-index:16110080" from="197.091002pt,4.479361pt" to="193.940002pt,4.479361pt" stroked="true" strokeweight=".5pt" strokecolor="#000000">
            <v:stroke dashstyle="solid"/>
            <w10:wrap type="none"/>
          </v:line>
        </w:pict>
      </w:r>
      <w:r>
        <w:rPr>
          <w:sz w:val="12"/>
        </w:rPr>
        <w:t>0.6</w:t>
      </w:r>
    </w:p>
    <w:p>
      <w:pPr>
        <w:pStyle w:val="BodyText"/>
        <w:spacing w:before="7"/>
        <w:rPr>
          <w:sz w:val="15"/>
        </w:rPr>
      </w:pPr>
    </w:p>
    <w:p>
      <w:pPr>
        <w:spacing w:before="0"/>
        <w:ind w:left="0" w:right="38" w:firstLine="0"/>
        <w:jc w:val="right"/>
        <w:rPr>
          <w:sz w:val="12"/>
        </w:rPr>
      </w:pPr>
      <w:r>
        <w:rPr/>
        <w:pict>
          <v:line style="position:absolute;mso-position-horizontal-relative:page;mso-position-vertical-relative:paragraph;z-index:16105984" from="44.713pt,4.351574pt" to="41.562pt,4.351574pt" stroked="true" strokeweight=".5pt" strokecolor="#000000">
            <v:stroke dashstyle="solid"/>
            <w10:wrap type="none"/>
          </v:line>
        </w:pict>
      </w:r>
      <w:r>
        <w:rPr/>
        <w:pict>
          <v:line style="position:absolute;mso-position-horizontal-relative:page;mso-position-vertical-relative:paragraph;z-index:16110592" from="197.091002pt,4.479575pt" to="193.940002pt,4.479575pt" stroked="true" strokeweight=".5pt" strokecolor="#000000">
            <v:stroke dashstyle="solid"/>
            <w10:wrap type="none"/>
          </v:line>
        </w:pict>
      </w:r>
      <w:r>
        <w:rPr>
          <w:sz w:val="12"/>
        </w:rPr>
        <w:t>0.8</w:t>
      </w:r>
    </w:p>
    <w:p>
      <w:pPr>
        <w:pStyle w:val="BodyText"/>
        <w:spacing w:before="5"/>
        <w:rPr>
          <w:sz w:val="15"/>
        </w:rPr>
      </w:pPr>
    </w:p>
    <w:p>
      <w:pPr>
        <w:spacing w:line="124" w:lineRule="exact" w:before="0"/>
        <w:ind w:left="3356" w:right="0" w:firstLine="0"/>
        <w:jc w:val="left"/>
        <w:rPr>
          <w:sz w:val="12"/>
        </w:rPr>
      </w:pPr>
      <w:r>
        <w:rPr/>
        <w:pict>
          <v:shape style="position:absolute;margin-left:41.562pt;margin-top:.500574pt;width:155.550pt;height:4.25pt;mso-position-horizontal-relative:page;mso-position-vertical-relative:paragraph;z-index:16106496" coordorigin="831,10" coordsize="3111,85" path="m894,90l831,90m3942,90l3879,90m955,90l3819,90m1567,41l1567,95m2139,41l2139,95m959,41l959,95m3273,41l3273,95m2651,10l2651,95m3815,41l3815,95e" filled="false" stroked="true" strokeweight=".5pt" strokecolor="#000000">
            <v:path arrowok="t"/>
            <v:stroke dashstyle="solid"/>
            <w10:wrap type="none"/>
          </v:shape>
        </w:pict>
      </w:r>
      <w:r>
        <w:rPr>
          <w:sz w:val="12"/>
        </w:rPr>
        <w:t>1.0</w:t>
      </w:r>
    </w:p>
    <w:p>
      <w:pPr>
        <w:tabs>
          <w:tab w:pos="1102" w:val="left" w:leader="none"/>
          <w:tab w:pos="1659" w:val="left" w:leader="none"/>
          <w:tab w:pos="2230" w:val="left" w:leader="none"/>
          <w:tab w:pos="2801" w:val="left" w:leader="none"/>
        </w:tabs>
        <w:spacing w:line="124" w:lineRule="exact" w:before="0"/>
        <w:ind w:left="543" w:right="0" w:firstLine="0"/>
        <w:jc w:val="left"/>
        <w:rPr>
          <w:sz w:val="12"/>
        </w:rPr>
      </w:pPr>
      <w:r>
        <w:rPr>
          <w:sz w:val="12"/>
        </w:rPr>
        <w:t>May</w:t>
        <w:tab/>
        <w:t>Aug.</w:t>
        <w:tab/>
        <w:t>Nov.</w:t>
        <w:tab/>
        <w:t>Feb.</w:t>
        <w:tab/>
        <w:t>May</w:t>
      </w:r>
    </w:p>
    <w:p>
      <w:pPr>
        <w:tabs>
          <w:tab w:pos="2521" w:val="left" w:leader="none"/>
        </w:tabs>
        <w:spacing w:before="23"/>
        <w:ind w:left="1093" w:right="0" w:firstLine="0"/>
        <w:jc w:val="left"/>
        <w:rPr>
          <w:sz w:val="12"/>
        </w:rPr>
      </w:pPr>
      <w:r>
        <w:rPr>
          <w:sz w:val="12"/>
        </w:rPr>
        <w:t>1999</w:t>
        <w:tab/>
        <w:t>2000</w:t>
      </w:r>
    </w:p>
    <w:p>
      <w:pPr>
        <w:pStyle w:val="BodyText"/>
        <w:rPr>
          <w:sz w:val="12"/>
        </w:rPr>
      </w:pPr>
    </w:p>
    <w:p>
      <w:pPr>
        <w:pStyle w:val="BodyText"/>
        <w:rPr>
          <w:sz w:val="12"/>
        </w:rPr>
      </w:pPr>
    </w:p>
    <w:p>
      <w:pPr>
        <w:pStyle w:val="BodyText"/>
        <w:rPr>
          <w:sz w:val="12"/>
        </w:rPr>
      </w:pPr>
    </w:p>
    <w:p>
      <w:pPr>
        <w:pStyle w:val="Heading6"/>
        <w:spacing w:before="79"/>
      </w:pPr>
      <w:r>
        <w:rPr>
          <w:color w:val="0092C7"/>
        </w:rPr>
        <w:t>Chart 3.2</w:t>
      </w:r>
    </w:p>
    <w:p>
      <w:pPr>
        <w:pStyle w:val="Heading6"/>
      </w:pPr>
      <w:r>
        <w:rPr>
          <w:color w:val="0092C7"/>
        </w:rPr>
        <w:t>Changes in LFS employment</w:t>
      </w:r>
    </w:p>
    <w:p>
      <w:pPr>
        <w:spacing w:line="103" w:lineRule="exact" w:before="76"/>
        <w:ind w:left="1287" w:right="0" w:firstLine="0"/>
        <w:jc w:val="left"/>
        <w:rPr>
          <w:sz w:val="12"/>
        </w:rPr>
      </w:pPr>
      <w:r>
        <w:rPr/>
        <w:pict>
          <v:line style="position:absolute;mso-position-horizontal-relative:page;mso-position-vertical-relative:paragraph;z-index:16116736" from="197.514999pt,12.268559pt" to="201.846999pt,12.268559pt" stroked="true" strokeweight=".5pt" strokecolor="#000000">
            <v:stroke dashstyle="solid"/>
            <w10:wrap type="none"/>
          </v:line>
        </w:pict>
      </w:r>
      <w:r>
        <w:rPr>
          <w:sz w:val="12"/>
        </w:rPr>
        <w:t>Changes on three months earlier, thousands</w:t>
      </w:r>
    </w:p>
    <w:p>
      <w:pPr>
        <w:spacing w:line="242" w:lineRule="auto" w:before="208"/>
        <w:ind w:left="180" w:right="172" w:firstLine="0"/>
        <w:jc w:val="left"/>
        <w:rPr>
          <w:sz w:val="24"/>
        </w:rPr>
      </w:pPr>
      <w:r>
        <w:rPr/>
        <w:br w:type="column"/>
      </w:r>
      <w:r>
        <w:rPr>
          <w:sz w:val="24"/>
        </w:rPr>
        <w:t>The demand for labour remains strong. Total hours worked and LFS employment continue to rise, and surveys suggest that further growth in employment is likely. Unemployment has continued to fall on both the LFS and claimant count measures—the latter to its lowest rate since 1975. Skill shortages remain high.</w:t>
      </w:r>
    </w:p>
    <w:p>
      <w:pPr>
        <w:spacing w:line="242" w:lineRule="auto" w:before="8"/>
        <w:ind w:left="180" w:right="172" w:firstLine="0"/>
        <w:jc w:val="left"/>
        <w:rPr>
          <w:sz w:val="24"/>
        </w:rPr>
      </w:pPr>
      <w:r>
        <w:rPr>
          <w:sz w:val="24"/>
        </w:rPr>
        <w:t>Despite the strength of labour demand, however, measured earnings growth has slowed substantially. The headline measure of average earnings growth fell from 6.0% in February to 4.6% in May, partly due to the ending of millennium-related payments. But that decline also reflected falling bonuses, particularly in private sector services. Regular pay growth has fallen less sharply than headline earnings. Wage settlements are little changed. Productivity growth has increased to slightly above its long-run average and unit labour cost growth has slowed.</w:t>
      </w:r>
    </w:p>
    <w:p>
      <w:pPr>
        <w:pStyle w:val="BodyText"/>
        <w:spacing w:before="6"/>
        <w:rPr>
          <w:sz w:val="27"/>
        </w:rPr>
      </w:pPr>
    </w:p>
    <w:p>
      <w:pPr>
        <w:pStyle w:val="ListParagraph"/>
        <w:numPr>
          <w:ilvl w:val="1"/>
          <w:numId w:val="21"/>
        </w:numPr>
        <w:tabs>
          <w:tab w:pos="1540" w:val="left" w:leader="none"/>
          <w:tab w:pos="1541" w:val="left" w:leader="none"/>
          <w:tab w:pos="5679" w:val="left" w:leader="none"/>
        </w:tabs>
        <w:spacing w:line="240" w:lineRule="auto" w:before="0" w:after="0"/>
        <w:ind w:left="1540" w:right="0" w:hanging="1361"/>
        <w:jc w:val="left"/>
        <w:rPr>
          <w:b/>
          <w:color w:val="009391"/>
          <w:sz w:val="28"/>
        </w:rPr>
      </w:pPr>
      <w:r>
        <w:rPr>
          <w:b/>
          <w:color w:val="009391"/>
          <w:sz w:val="28"/>
          <w:u w:val="thick" w:color="0092C7"/>
        </w:rPr>
        <w:t>Employment and</w:t>
      </w:r>
      <w:r>
        <w:rPr>
          <w:b/>
          <w:color w:val="009391"/>
          <w:spacing w:val="-24"/>
          <w:sz w:val="28"/>
          <w:u w:val="thick" w:color="0092C7"/>
        </w:rPr>
        <w:t> </w:t>
      </w:r>
      <w:r>
        <w:rPr>
          <w:b/>
          <w:color w:val="009391"/>
          <w:sz w:val="28"/>
          <w:u w:val="thick" w:color="0092C7"/>
        </w:rPr>
        <w:t>unemployment</w:t>
        <w:tab/>
      </w:r>
    </w:p>
    <w:p>
      <w:pPr>
        <w:spacing w:line="242" w:lineRule="auto" w:before="264"/>
        <w:ind w:left="180" w:right="169" w:firstLine="0"/>
        <w:jc w:val="left"/>
        <w:rPr>
          <w:sz w:val="24"/>
        </w:rPr>
      </w:pPr>
      <w:r>
        <w:rPr>
          <w:spacing w:val="-5"/>
          <w:sz w:val="24"/>
        </w:rPr>
        <w:t>Total </w:t>
      </w:r>
      <w:r>
        <w:rPr>
          <w:sz w:val="24"/>
        </w:rPr>
        <w:t>hours worked, in principle the most comprehensive measure of labour usage, rose by 0.3% in the three months to May (see Chart 3.1). Changes in total hours worked</w:t>
      </w:r>
      <w:r>
        <w:rPr>
          <w:spacing w:val="-6"/>
          <w:sz w:val="24"/>
        </w:rPr>
        <w:t> </w:t>
      </w:r>
      <w:r>
        <w:rPr>
          <w:sz w:val="24"/>
        </w:rPr>
        <w:t>reflect</w:t>
      </w:r>
      <w:r>
        <w:rPr>
          <w:spacing w:val="-6"/>
          <w:sz w:val="24"/>
        </w:rPr>
        <w:t> </w:t>
      </w:r>
      <w:r>
        <w:rPr>
          <w:sz w:val="24"/>
        </w:rPr>
        <w:t>both</w:t>
      </w:r>
      <w:r>
        <w:rPr>
          <w:spacing w:val="-6"/>
          <w:sz w:val="24"/>
        </w:rPr>
        <w:t> </w:t>
      </w:r>
      <w:r>
        <w:rPr>
          <w:sz w:val="24"/>
        </w:rPr>
        <w:t>variations</w:t>
      </w:r>
      <w:r>
        <w:rPr>
          <w:spacing w:val="-6"/>
          <w:sz w:val="24"/>
        </w:rPr>
        <w:t> </w:t>
      </w:r>
      <w:r>
        <w:rPr>
          <w:sz w:val="24"/>
        </w:rPr>
        <w:t>in</w:t>
      </w:r>
      <w:r>
        <w:rPr>
          <w:spacing w:val="-6"/>
          <w:sz w:val="24"/>
        </w:rPr>
        <w:t> </w:t>
      </w:r>
      <w:r>
        <w:rPr>
          <w:sz w:val="24"/>
        </w:rPr>
        <w:t>the</w:t>
      </w:r>
      <w:r>
        <w:rPr>
          <w:spacing w:val="-5"/>
          <w:sz w:val="24"/>
        </w:rPr>
        <w:t> </w:t>
      </w:r>
      <w:r>
        <w:rPr>
          <w:sz w:val="24"/>
        </w:rPr>
        <w:t>number</w:t>
      </w:r>
      <w:r>
        <w:rPr>
          <w:spacing w:val="-6"/>
          <w:sz w:val="24"/>
        </w:rPr>
        <w:t> </w:t>
      </w:r>
      <w:r>
        <w:rPr>
          <w:sz w:val="24"/>
        </w:rPr>
        <w:t>of</w:t>
      </w:r>
      <w:r>
        <w:rPr>
          <w:spacing w:val="-6"/>
          <w:sz w:val="24"/>
        </w:rPr>
        <w:t> </w:t>
      </w:r>
      <w:r>
        <w:rPr>
          <w:sz w:val="24"/>
        </w:rPr>
        <w:t>people</w:t>
      </w:r>
      <w:r>
        <w:rPr>
          <w:spacing w:val="-6"/>
          <w:sz w:val="24"/>
        </w:rPr>
        <w:t> </w:t>
      </w:r>
      <w:r>
        <w:rPr>
          <w:sz w:val="24"/>
        </w:rPr>
        <w:t>in employment and the average hours that they work. The recent increase in total hours worked is accounted for entirely by higher employment. </w:t>
      </w:r>
      <w:r>
        <w:rPr>
          <w:spacing w:val="-4"/>
          <w:sz w:val="24"/>
        </w:rPr>
        <w:t>Average </w:t>
      </w:r>
      <w:r>
        <w:rPr>
          <w:sz w:val="24"/>
        </w:rPr>
        <w:t>hours worked declined by 0.1% in the three months to May and by 1.6% </w:t>
      </w:r>
      <w:r>
        <w:rPr>
          <w:spacing w:val="-3"/>
          <w:sz w:val="24"/>
        </w:rPr>
        <w:t>over </w:t>
      </w:r>
      <w:r>
        <w:rPr>
          <w:sz w:val="24"/>
        </w:rPr>
        <w:t>the past year—largely reflecting a reduction in the average hours of full-time workers. Compliance with the </w:t>
      </w:r>
      <w:r>
        <w:rPr>
          <w:spacing w:val="-4"/>
          <w:sz w:val="24"/>
        </w:rPr>
        <w:t>Working </w:t>
      </w:r>
      <w:r>
        <w:rPr>
          <w:spacing w:val="-3"/>
          <w:sz w:val="24"/>
        </w:rPr>
        <w:t>Time </w:t>
      </w:r>
      <w:r>
        <w:rPr>
          <w:sz w:val="24"/>
        </w:rPr>
        <w:t>Directive (WTD) may </w:t>
      </w:r>
      <w:r>
        <w:rPr>
          <w:spacing w:val="-3"/>
          <w:sz w:val="24"/>
        </w:rPr>
        <w:t>have </w:t>
      </w:r>
      <w:r>
        <w:rPr>
          <w:sz w:val="24"/>
        </w:rPr>
        <w:t>been a </w:t>
      </w:r>
      <w:r>
        <w:rPr>
          <w:spacing w:val="-3"/>
          <w:sz w:val="24"/>
        </w:rPr>
        <w:t>factor. </w:t>
      </w:r>
      <w:r>
        <w:rPr>
          <w:sz w:val="24"/>
        </w:rPr>
        <w:t>LFS employment rose by 126,000 (0.5%) in the three months to May—the largest rise since the three months to June 1997—mainly due to increased</w:t>
      </w:r>
      <w:r>
        <w:rPr>
          <w:spacing w:val="-38"/>
          <w:sz w:val="24"/>
        </w:rPr>
        <w:t> </w:t>
      </w:r>
      <w:r>
        <w:rPr>
          <w:sz w:val="24"/>
        </w:rPr>
        <w:t>full-time</w:t>
      </w:r>
    </w:p>
    <w:p>
      <w:pPr>
        <w:spacing w:after="0" w:line="242" w:lineRule="auto"/>
        <w:jc w:val="left"/>
        <w:rPr>
          <w:sz w:val="24"/>
        </w:rPr>
        <w:sectPr>
          <w:type w:val="continuous"/>
          <w:pgSz w:w="11900" w:h="16840"/>
          <w:pgMar w:top="1260" w:bottom="280" w:left="640" w:right="640"/>
          <w:cols w:num="2" w:equalWidth="0">
            <w:col w:w="3547" w:space="1242"/>
            <w:col w:w="5831"/>
          </w:cols>
        </w:sectPr>
      </w:pPr>
    </w:p>
    <w:p>
      <w:pPr>
        <w:pStyle w:val="BodyText"/>
        <w:spacing w:before="4"/>
        <w:rPr>
          <w:sz w:val="5"/>
        </w:rPr>
      </w:pPr>
    </w:p>
    <w:p>
      <w:pPr>
        <w:pStyle w:val="BodyText"/>
        <w:spacing w:line="20" w:lineRule="exact"/>
        <w:ind w:left="19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6"/>
        <w:rPr>
          <w:sz w:val="17"/>
        </w:rPr>
      </w:pPr>
      <w:r>
        <w:rPr/>
        <w:pict>
          <v:shape style="position:absolute;margin-left:41.785999pt;margin-top:12.29872pt;width:4.350pt;height:.1pt;mso-position-horizontal-relative:page;mso-position-vertical-relative:paragraph;z-index:-15360512;mso-wrap-distance-left:0;mso-wrap-distance-right:0" coordorigin="836,246" coordsize="87,0" path="m836,246l922,246e" filled="false" stroked="true" strokeweight=".5pt" strokecolor="#000000">
            <v:path arrowok="t"/>
            <v:stroke dashstyle="solid"/>
            <w10:wrap type="topAndBottom"/>
          </v:shape>
        </w:pict>
      </w:r>
      <w:r>
        <w:rPr/>
        <w:pict>
          <v:shape style="position:absolute;margin-left:41.785999pt;margin-top:25.31072pt;width:4.350pt;height:.1pt;mso-position-horizontal-relative:page;mso-position-vertical-relative:paragraph;z-index:-15360000;mso-wrap-distance-left:0;mso-wrap-distance-right:0" coordorigin="836,506" coordsize="87,0" path="m836,506l922,506e" filled="false" stroked="true" strokeweight=".5pt" strokecolor="#000000">
            <v:path arrowok="t"/>
            <v:stroke dashstyle="solid"/>
            <w10:wrap type="topAndBottom"/>
          </v:shape>
        </w:pict>
      </w:r>
      <w:r>
        <w:rPr/>
        <w:pict>
          <v:shape style="position:absolute;margin-left:41.785999pt;margin-top:38.32172pt;width:4.350pt;height:.1pt;mso-position-horizontal-relative:page;mso-position-vertical-relative:paragraph;z-index:-15359488;mso-wrap-distance-left:0;mso-wrap-distance-right:0" coordorigin="836,766" coordsize="87,0" path="m836,766l922,766e" filled="false" stroked="true" strokeweight=".5pt" strokecolor="#000000">
            <v:path arrowok="t"/>
            <v:stroke dashstyle="solid"/>
            <w10:wrap type="topAndBottom"/>
          </v:shape>
        </w:pict>
      </w:r>
      <w:r>
        <w:rPr/>
        <w:pict>
          <v:shape style="position:absolute;margin-left:41.785999pt;margin-top:51.332722pt;width:4.350pt;height:.1pt;mso-position-horizontal-relative:page;mso-position-vertical-relative:paragraph;z-index:-15358976;mso-wrap-distance-left:0;mso-wrap-distance-right:0" coordorigin="836,1027" coordsize="87,0" path="m836,1027l922,1027e" filled="false" stroked="true" strokeweight=".5pt" strokecolor="#000000">
            <v:path arrowok="t"/>
            <v:stroke dashstyle="solid"/>
            <w10:wrap type="topAndBottom"/>
          </v:shape>
        </w:pict>
      </w:r>
      <w:r>
        <w:rPr/>
        <w:pict>
          <v:shape style="position:absolute;margin-left:41.785999pt;margin-top:64.344719pt;width:4.350pt;height:.1pt;mso-position-horizontal-relative:page;mso-position-vertical-relative:paragraph;z-index:-15358464;mso-wrap-distance-left:0;mso-wrap-distance-right:0" coordorigin="836,1287" coordsize="87,0" path="m836,1287l922,1287e" filled="false" stroked="true" strokeweight=".5pt" strokecolor="#000000">
            <v:path arrowok="t"/>
            <v:stroke dashstyle="solid"/>
            <w10:wrap type="topAndBottom"/>
          </v:shape>
        </w:pict>
      </w:r>
      <w:r>
        <w:rPr/>
        <w:pict>
          <v:shape style="position:absolute;margin-left:41.785999pt;margin-top:77.355721pt;width:4.350pt;height:.1pt;mso-position-horizontal-relative:page;mso-position-vertical-relative:paragraph;z-index:-15357952;mso-wrap-distance-left:0;mso-wrap-distance-right:0" coordorigin="836,1547" coordsize="87,0" path="m836,1547l922,1547e" filled="false" stroked="true" strokeweight=".5pt" strokecolor="#000000">
            <v:path arrowok="t"/>
            <v:stroke dashstyle="solid"/>
            <w10:wrap type="topAndBottom"/>
          </v:shape>
        </w:pict>
      </w:r>
      <w:r>
        <w:rPr/>
        <w:pict>
          <v:shape style="position:absolute;margin-left:41.785999pt;margin-top:90.367722pt;width:4.350pt;height:.1pt;mso-position-horizontal-relative:page;mso-position-vertical-relative:paragraph;z-index:-15357440;mso-wrap-distance-left:0;mso-wrap-distance-right:0" coordorigin="836,1807" coordsize="87,0" path="m836,1807l922,1807e" filled="false" stroked="true" strokeweight=".5pt" strokecolor="#000000">
            <v:path arrowok="t"/>
            <v:stroke dashstyle="solid"/>
            <w10:wrap type="topAndBottom"/>
          </v:shape>
        </w:pict>
      </w:r>
      <w:r>
        <w:rPr/>
        <w:pict>
          <v:shape style="position:absolute;margin-left:41.785999pt;margin-top:103.378723pt;width:4.350pt;height:.1pt;mso-position-horizontal-relative:page;mso-position-vertical-relative:paragraph;z-index:-15356928;mso-wrap-distance-left:0;mso-wrap-distance-right:0" coordorigin="836,2068" coordsize="87,0" path="m836,2068l922,2068e" filled="false" stroked="true" strokeweight=".5pt" strokecolor="#000000">
            <v:path arrowok="t"/>
            <v:stroke dashstyle="solid"/>
            <w10:wrap type="topAndBottom"/>
          </v:shape>
        </w:pict>
      </w:r>
      <w:r>
        <w:rPr/>
        <w:pict>
          <v:shape style="position:absolute;margin-left:41.785999pt;margin-top:116.389717pt;width:4.350pt;height:.1pt;mso-position-horizontal-relative:page;mso-position-vertical-relative:paragraph;z-index:-15356416;mso-wrap-distance-left:0;mso-wrap-distance-right:0" coordorigin="836,2328" coordsize="87,0" path="m836,2328l922,2328e" filled="false" stroked="true" strokeweight=".5pt" strokecolor="#000000">
            <v:path arrowok="t"/>
            <v:stroke dashstyle="solid"/>
            <w10:wrap type="topAndBottom"/>
          </v:shape>
        </w:pict>
      </w:r>
      <w:r>
        <w:rPr/>
        <w:pict>
          <v:shape style="position:absolute;margin-left:41.785999pt;margin-top:129.400726pt;width:4.350pt;height:.1pt;mso-position-horizontal-relative:page;mso-position-vertical-relative:paragraph;z-index:-15355904;mso-wrap-distance-left:0;mso-wrap-distance-right:0" coordorigin="836,2588" coordsize="87,0" path="m836,2588l922,2588e" filled="false" stroked="true" strokeweight=".5pt" strokecolor="#000000">
            <v:path arrowok="t"/>
            <v:stroke dashstyle="solid"/>
            <w10:wrap type="topAndBottom"/>
          </v:shape>
        </w:pict>
      </w:r>
      <w:r>
        <w:rPr/>
        <w:pict>
          <v:shape style="position:absolute;margin-left:41.785999pt;margin-top:142.41272pt;width:4.350pt;height:.1pt;mso-position-horizontal-relative:page;mso-position-vertical-relative:paragraph;z-index:-15355392;mso-wrap-distance-left:0;mso-wrap-distance-right:0" coordorigin="836,2848" coordsize="87,0" path="m836,2848l922,2848e" filled="false" stroked="true" strokeweight=".5pt" strokecolor="#000000">
            <v:path arrowok="t"/>
            <v:stroke dashstyle="solid"/>
            <w10:wrap type="topAndBottom"/>
          </v:shape>
        </w:pict>
      </w:r>
    </w:p>
    <w:p>
      <w:pPr>
        <w:pStyle w:val="BodyText"/>
        <w:spacing w:before="9"/>
        <w:rPr>
          <w:sz w:val="15"/>
        </w:rPr>
      </w:pPr>
    </w:p>
    <w:p>
      <w:pPr>
        <w:pStyle w:val="BodyText"/>
        <w:spacing w:before="9"/>
        <w:rPr>
          <w:sz w:val="15"/>
        </w:rPr>
      </w:pPr>
    </w:p>
    <w:p>
      <w:pPr>
        <w:pStyle w:val="BodyText"/>
        <w:spacing w:before="9"/>
        <w:rPr>
          <w:sz w:val="15"/>
        </w:rPr>
      </w:pPr>
    </w:p>
    <w:p>
      <w:pPr>
        <w:pStyle w:val="BodyText"/>
        <w:spacing w:before="9"/>
        <w:rPr>
          <w:sz w:val="15"/>
        </w:rPr>
      </w:pPr>
    </w:p>
    <w:p>
      <w:pPr>
        <w:pStyle w:val="BodyText"/>
        <w:spacing w:before="9"/>
        <w:rPr>
          <w:sz w:val="15"/>
        </w:rPr>
      </w:pPr>
    </w:p>
    <w:p>
      <w:pPr>
        <w:pStyle w:val="BodyText"/>
        <w:spacing w:before="9"/>
        <w:rPr>
          <w:sz w:val="15"/>
        </w:rPr>
      </w:pPr>
    </w:p>
    <w:p>
      <w:pPr>
        <w:pStyle w:val="BodyText"/>
        <w:spacing w:before="9"/>
        <w:rPr>
          <w:sz w:val="15"/>
        </w:rPr>
      </w:pPr>
    </w:p>
    <w:p>
      <w:pPr>
        <w:pStyle w:val="BodyText"/>
        <w:spacing w:before="9"/>
        <w:rPr>
          <w:sz w:val="15"/>
        </w:rPr>
      </w:pPr>
    </w:p>
    <w:p>
      <w:pPr>
        <w:pStyle w:val="BodyText"/>
        <w:spacing w:before="9"/>
        <w:rPr>
          <w:sz w:val="15"/>
        </w:rPr>
      </w:pPr>
    </w:p>
    <w:p>
      <w:pPr>
        <w:pStyle w:val="BodyText"/>
        <w:spacing w:before="9"/>
        <w:rPr>
          <w:sz w:val="15"/>
        </w:rPr>
      </w:pPr>
    </w:p>
    <w:p>
      <w:pPr>
        <w:tabs>
          <w:tab w:pos="2150" w:val="left" w:leader="none"/>
          <w:tab w:pos="3014" w:val="left" w:leader="none"/>
        </w:tabs>
        <w:spacing w:before="11"/>
        <w:ind w:left="862" w:right="0" w:firstLine="0"/>
        <w:jc w:val="left"/>
        <w:rPr>
          <w:sz w:val="12"/>
        </w:rPr>
      </w:pPr>
      <w:r>
        <w:rPr>
          <w:sz w:val="12"/>
        </w:rPr>
        <w:t>1998</w:t>
        <w:tab/>
        <w:t>99</w:t>
        <w:tab/>
      </w:r>
      <w:r>
        <w:rPr>
          <w:spacing w:val="-5"/>
          <w:sz w:val="12"/>
        </w:rPr>
        <w:t>2000</w:t>
      </w:r>
    </w:p>
    <w:p>
      <w:pPr>
        <w:spacing w:line="134" w:lineRule="exact" w:before="0"/>
        <w:ind w:left="128" w:right="0" w:firstLine="0"/>
        <w:jc w:val="left"/>
        <w:rPr>
          <w:sz w:val="12"/>
        </w:rPr>
      </w:pPr>
      <w:r>
        <w:rPr/>
        <w:br w:type="column"/>
      </w:r>
      <w:r>
        <w:rPr>
          <w:sz w:val="12"/>
        </w:rPr>
        <w:t>160</w:t>
      </w:r>
    </w:p>
    <w:p>
      <w:pPr>
        <w:pStyle w:val="BodyText"/>
        <w:spacing w:before="7"/>
        <w:rPr>
          <w:sz w:val="10"/>
        </w:rPr>
      </w:pPr>
    </w:p>
    <w:p>
      <w:pPr>
        <w:spacing w:before="0"/>
        <w:ind w:left="128" w:right="0" w:firstLine="0"/>
        <w:jc w:val="left"/>
        <w:rPr>
          <w:sz w:val="12"/>
        </w:rPr>
      </w:pPr>
      <w:r>
        <w:rPr/>
        <w:pict>
          <v:group style="position:absolute;margin-left:50.25pt;margin-top:-5.641089pt;width:151.6pt;height:122.7pt;mso-position-horizontal-relative:page;mso-position-vertical-relative:paragraph;z-index:16115200" coordorigin="1005,-113" coordsize="3032,2454">
            <v:rect style="position:absolute;left:1022;top:843;width:78;height:1050" filled="true" fillcolor="#006caa" stroked="false">
              <v:fill type="solid"/>
            </v:rect>
            <v:rect style="position:absolute;left:1022;top:843;width:78;height:1050" filled="false" stroked="true" strokeweight=".5pt" strokecolor="#000000">
              <v:stroke dashstyle="solid"/>
            </v:rect>
            <v:rect style="position:absolute;left:1130;top:1508;width:65;height:385" filled="true" fillcolor="#006caa" stroked="false">
              <v:fill type="solid"/>
            </v:rect>
            <v:rect style="position:absolute;left:1130;top:1508;width:65;height:385" filled="false" stroked="true" strokeweight=".5pt" strokecolor="#000000">
              <v:stroke dashstyle="solid"/>
            </v:rect>
            <v:rect style="position:absolute;left:1225;top:1458;width:78;height:435" filled="true" fillcolor="#006caa" stroked="false">
              <v:fill type="solid"/>
            </v:rect>
            <v:rect style="position:absolute;left:1225;top:1458;width:78;height:435" filled="false" stroked="true" strokeweight=".5pt" strokecolor="#000000">
              <v:stroke dashstyle="solid"/>
            </v:rect>
            <v:rect style="position:absolute;left:1332;top:1758;width:68;height:135" filled="true" fillcolor="#006caa" stroked="false">
              <v:fill type="solid"/>
            </v:rect>
            <v:rect style="position:absolute;left:1332;top:1758;width:68;height:135" filled="false" stroked="true" strokeweight=".5pt" strokecolor="#000000">
              <v:stroke dashstyle="solid"/>
            </v:rect>
            <v:rect style="position:absolute;left:1430;top:1891;width:78;height:38" filled="true" fillcolor="#006caa" stroked="false">
              <v:fill type="solid"/>
            </v:rect>
            <v:rect style="position:absolute;left:1430;top:1891;width:78;height:38" filled="false" stroked="true" strokeweight=".5pt" strokecolor="#000000">
              <v:stroke dashstyle="solid"/>
            </v:rect>
            <v:rect style="position:absolute;left:1537;top:1043;width:68;height:850" filled="true" fillcolor="#006caa" stroked="false">
              <v:fill type="solid"/>
            </v:rect>
            <v:rect style="position:absolute;left:1537;top:1043;width:68;height:850" filled="false" stroked="true" strokeweight=".5pt" strokecolor="#000000">
              <v:stroke dashstyle="solid"/>
            </v:rect>
            <v:rect style="position:absolute;left:1635;top:111;width:78;height:1783" filled="true" fillcolor="#006caa" stroked="false">
              <v:fill type="solid"/>
            </v:rect>
            <v:rect style="position:absolute;left:1635;top:111;width:78;height:1783" filled="false" stroked="true" strokeweight=".5pt" strokecolor="#000000">
              <v:stroke dashstyle="solid"/>
            </v:rect>
            <v:rect style="position:absolute;left:1742;top:-39;width:68;height:1933" filled="true" fillcolor="#006caa" stroked="false">
              <v:fill type="solid"/>
            </v:rect>
            <v:rect style="position:absolute;left:1742;top:-39;width:68;height:1933" filled="false" stroked="true" strokeweight=".5pt" strokecolor="#000000">
              <v:stroke dashstyle="solid"/>
            </v:rect>
            <v:rect style="position:absolute;left:1840;top:993;width:78;height:900" filled="true" fillcolor="#006caa" stroked="false">
              <v:fill type="solid"/>
            </v:rect>
            <v:rect style="position:absolute;left:1840;top:993;width:78;height:900" filled="false" stroked="true" strokeweight=".5pt" strokecolor="#000000">
              <v:stroke dashstyle="solid"/>
            </v:rect>
            <v:rect style="position:absolute;left:1947;top:1758;width:68;height:135" filled="true" fillcolor="#006caa" stroked="false">
              <v:fill type="solid"/>
            </v:rect>
            <v:rect style="position:absolute;left:1947;top:1758;width:68;height:135" filled="false" stroked="true" strokeweight=".5pt" strokecolor="#000000">
              <v:stroke dashstyle="solid"/>
            </v:rect>
            <v:rect style="position:absolute;left:2045;top:1676;width:78;height:218" filled="true" fillcolor="#006caa" stroked="false">
              <v:fill type="solid"/>
            </v:rect>
            <v:rect style="position:absolute;left:2045;top:1676;width:78;height:218" filled="false" stroked="true" strokeweight=".5pt" strokecolor="#000000">
              <v:stroke dashstyle="solid"/>
            </v:rect>
            <v:rect style="position:absolute;left:2152;top:1641;width:65;height:253" filled="true" fillcolor="#006caa" stroked="false">
              <v:fill type="solid"/>
            </v:rect>
            <v:rect style="position:absolute;left:2152;top:1641;width:65;height:253" filled="false" stroked="true" strokeweight=".5pt" strokecolor="#000000">
              <v:stroke dashstyle="solid"/>
            </v:rect>
            <v:rect style="position:absolute;left:2247;top:1126;width:80;height:768" filled="true" fillcolor="#006caa" stroked="false">
              <v:fill type="solid"/>
            </v:rect>
            <v:rect style="position:absolute;left:2247;top:1126;width:80;height:768" filled="false" stroked="true" strokeweight=".5pt" strokecolor="#000000">
              <v:stroke dashstyle="solid"/>
            </v:rect>
            <v:rect style="position:absolute;left:2355;top:1093;width:80;height:800" filled="true" fillcolor="#006caa" stroked="false">
              <v:fill type="solid"/>
            </v:rect>
            <v:rect style="position:absolute;left:2355;top:1093;width:80;height:800" filled="false" stroked="true" strokeweight=".5pt" strokecolor="#000000">
              <v:stroke dashstyle="solid"/>
            </v:rect>
            <v:rect style="position:absolute;left:2465;top:1058;width:65;height:835" filled="true" fillcolor="#006caa" stroked="false">
              <v:fill type="solid"/>
            </v:rect>
            <v:rect style="position:absolute;left:2465;top:1058;width:65;height:835" filled="false" stroked="true" strokeweight=".5pt" strokecolor="#000000">
              <v:stroke dashstyle="solid"/>
            </v:rect>
            <v:rect style="position:absolute;left:2560;top:1358;width:78;height:535" filled="true" fillcolor="#006caa" stroked="false">
              <v:fill type="solid"/>
            </v:rect>
            <v:rect style="position:absolute;left:2560;top:1358;width:78;height:535" filled="false" stroked="true" strokeweight=".5pt" strokecolor="#000000">
              <v:stroke dashstyle="solid"/>
            </v:rect>
            <v:rect style="position:absolute;left:2667;top:1176;width:68;height:718" filled="true" fillcolor="#006caa" stroked="false">
              <v:fill type="solid"/>
            </v:rect>
            <v:rect style="position:absolute;left:2667;top:1176;width:68;height:718" filled="false" stroked="true" strokeweight=".5pt" strokecolor="#000000">
              <v:stroke dashstyle="solid"/>
            </v:rect>
            <v:rect style="position:absolute;left:2765;top:1293;width:78;height:600" filled="true" fillcolor="#006caa" stroked="false">
              <v:fill type="solid"/>
            </v:rect>
            <v:rect style="position:absolute;left:2765;top:1293;width:78;height:600" filled="false" stroked="true" strokeweight=".5pt" strokecolor="#000000">
              <v:stroke dashstyle="solid"/>
            </v:rect>
            <v:rect style="position:absolute;left:2872;top:1126;width:68;height:768" filled="true" fillcolor="#006caa" stroked="false">
              <v:fill type="solid"/>
            </v:rect>
            <v:rect style="position:absolute;left:2872;top:1126;width:68;height:768" filled="false" stroked="true" strokeweight=".5pt" strokecolor="#000000">
              <v:stroke dashstyle="solid"/>
            </v:rect>
            <v:rect style="position:absolute;left:2970;top:793;width:78;height:1100" filled="true" fillcolor="#006caa" stroked="false">
              <v:fill type="solid"/>
            </v:rect>
            <v:rect style="position:absolute;left:2970;top:793;width:78;height:1100" filled="false" stroked="true" strokeweight=".5pt" strokecolor="#000000">
              <v:stroke dashstyle="solid"/>
            </v:rect>
            <v:rect style="position:absolute;left:3077;top:976;width:68;height:918" filled="true" fillcolor="#006caa" stroked="false">
              <v:fill type="solid"/>
            </v:rect>
            <v:rect style="position:absolute;left:3077;top:976;width:68;height:918" filled="false" stroked="true" strokeweight=".5pt" strokecolor="#000000">
              <v:stroke dashstyle="solid"/>
            </v:rect>
            <v:rect style="position:absolute;left:3175;top:626;width:78;height:1268" filled="true" fillcolor="#006caa" stroked="false">
              <v:fill type="solid"/>
            </v:rect>
            <v:rect style="position:absolute;left:3175;top:626;width:78;height:1268" filled="false" stroked="true" strokeweight=".5pt" strokecolor="#000000">
              <v:stroke dashstyle="solid"/>
            </v:rect>
            <v:rect style="position:absolute;left:3282;top:1158;width:68;height:735" filled="true" fillcolor="#006caa" stroked="false">
              <v:fill type="solid"/>
            </v:rect>
            <v:rect style="position:absolute;left:3282;top:1158;width:68;height:735" filled="false" stroked="true" strokeweight=".5pt" strokecolor="#000000">
              <v:stroke dashstyle="solid"/>
            </v:rect>
            <v:rect style="position:absolute;left:3380;top:761;width:78;height:1133" filled="true" fillcolor="#006caa" stroked="false">
              <v:fill type="solid"/>
            </v:rect>
            <v:rect style="position:absolute;left:3380;top:761;width:78;height:1133" filled="false" stroked="true" strokeweight=".5pt" strokecolor="#000000">
              <v:stroke dashstyle="solid"/>
            </v:rect>
            <v:rect style="position:absolute;left:3487;top:1891;width:65;height:203" filled="true" fillcolor="#006caa" stroked="false">
              <v:fill type="solid"/>
            </v:rect>
            <v:rect style="position:absolute;left:3487;top:1891;width:65;height:203" filled="false" stroked="true" strokeweight=".5pt" strokecolor="#000000">
              <v:stroke dashstyle="solid"/>
            </v:rect>
            <v:rect style="position:absolute;left:3582;top:1876;width:78;height:18" filled="true" fillcolor="#006caa" stroked="false">
              <v:fill type="solid"/>
            </v:rect>
            <v:rect style="position:absolute;left:3582;top:1876;width:78;height:18" filled="false" stroked="true" strokeweight=".5pt" strokecolor="#000000">
              <v:stroke dashstyle="solid"/>
            </v:rect>
            <v:rect style="position:absolute;left:3690;top:1626;width:68;height:268" filled="true" fillcolor="#006caa" stroked="false">
              <v:fill type="solid"/>
            </v:rect>
            <v:rect style="position:absolute;left:3690;top:1626;width:68;height:268" filled="false" stroked="true" strokeweight=".5pt" strokecolor="#000000">
              <v:stroke dashstyle="solid"/>
            </v:rect>
            <v:rect style="position:absolute;left:3787;top:511;width:78;height:1383" filled="true" fillcolor="#006caa" stroked="false">
              <v:fill type="solid"/>
            </v:rect>
            <v:rect style="position:absolute;left:3787;top:511;width:78;height:1383" filled="false" stroked="true" strokeweight=".5pt" strokecolor="#000000">
              <v:stroke dashstyle="solid"/>
            </v:rect>
            <v:rect style="position:absolute;left:1022;top:1891;width:78;height:253" filled="true" fillcolor="#cee7e8" stroked="false">
              <v:fill type="solid"/>
            </v:rect>
            <v:rect style="position:absolute;left:1022;top:1891;width:78;height:253" filled="false" stroked="true" strokeweight=".5pt" strokecolor="#000000">
              <v:stroke dashstyle="solid"/>
            </v:rect>
            <v:rect style="position:absolute;left:1130;top:976;width:65;height:535" filled="true" fillcolor="#cee7e8" stroked="false">
              <v:fill type="solid"/>
            </v:rect>
            <v:rect style="position:absolute;left:1130;top:976;width:65;height:535" filled="false" stroked="true" strokeweight=".5pt" strokecolor="#000000">
              <v:stroke dashstyle="solid"/>
            </v:rect>
            <v:rect style="position:absolute;left:1225;top:526;width:78;height:935" filled="true" fillcolor="#cee7e8" stroked="false">
              <v:fill type="solid"/>
            </v:rect>
            <v:rect style="position:absolute;left:1225;top:526;width:78;height:935" filled="false" stroked="true" strokeweight=".5pt" strokecolor="#000000">
              <v:stroke dashstyle="solid"/>
            </v:rect>
            <v:rect style="position:absolute;left:1332;top:1043;width:68;height:718" filled="true" fillcolor="#cee7e8" stroked="false">
              <v:fill type="solid"/>
            </v:rect>
            <v:rect style="position:absolute;left:1332;top:1043;width:68;height:718" filled="false" stroked="true" strokeweight=".5pt" strokecolor="#000000">
              <v:stroke dashstyle="solid"/>
            </v:rect>
            <v:rect style="position:absolute;left:1430;top:1326;width:78;height:568" filled="true" fillcolor="#cee7e8" stroked="false">
              <v:fill type="solid"/>
            </v:rect>
            <v:rect style="position:absolute;left:1430;top:1326;width:78;height:568" filled="false" stroked="true" strokeweight=".5pt" strokecolor="#000000">
              <v:stroke dashstyle="solid"/>
            </v:rect>
            <v:rect style="position:absolute;left:1537;top:926;width:68;height:120" filled="true" fillcolor="#cee7e8" stroked="false">
              <v:fill type="solid"/>
            </v:rect>
            <v:rect style="position:absolute;left:1537;top:926;width:68;height:120" filled="false" stroked="true" strokeweight=".5pt" strokecolor="#000000">
              <v:stroke dashstyle="solid"/>
            </v:rect>
            <v:rect style="position:absolute;left:1635;top:1891;width:78;height:185" filled="true" fillcolor="#cee7e8" stroked="false">
              <v:fill type="solid"/>
            </v:rect>
            <v:rect style="position:absolute;left:1635;top:1891;width:78;height:185" filled="false" stroked="true" strokeweight=".5pt" strokecolor="#000000">
              <v:stroke dashstyle="solid"/>
            </v:rect>
            <v:rect style="position:absolute;left:1742;top:1891;width:68;height:353" filled="true" fillcolor="#cee7e8" stroked="false">
              <v:fill type="solid"/>
            </v:rect>
            <v:rect style="position:absolute;left:1742;top:1891;width:68;height:353" filled="false" stroked="true" strokeweight=".5pt" strokecolor="#000000">
              <v:stroke dashstyle="solid"/>
            </v:rect>
            <v:rect style="position:absolute;left:1840;top:743;width:78;height:253" filled="true" fillcolor="#cee7e8" stroked="false">
              <v:fill type="solid"/>
            </v:rect>
            <v:rect style="position:absolute;left:1840;top:743;width:78;height:253" filled="false" stroked="true" strokeweight=".5pt" strokecolor="#000000">
              <v:stroke dashstyle="solid"/>
            </v:rect>
            <v:rect style="position:absolute;left:1947;top:776;width:68;height:985" filled="true" fillcolor="#cee7e8" stroked="false">
              <v:fill type="solid"/>
            </v:rect>
            <v:rect style="position:absolute;left:1947;top:776;width:68;height:985" filled="false" stroked="true" strokeweight=".5pt" strokecolor="#000000">
              <v:stroke dashstyle="solid"/>
            </v:rect>
            <v:rect style="position:absolute;left:2045;top:643;width:78;height:1035" filled="true" fillcolor="#cee7e8" stroked="false">
              <v:fill type="solid"/>
            </v:rect>
            <v:rect style="position:absolute;left:2045;top:643;width:78;height:1035" filled="false" stroked="true" strokeweight=".5pt" strokecolor="#000000">
              <v:stroke dashstyle="solid"/>
            </v:rect>
            <v:rect style="position:absolute;left:2152;top:493;width:65;height:1150" filled="true" fillcolor="#cee7e8" stroked="false">
              <v:fill type="solid"/>
            </v:rect>
            <v:rect style="position:absolute;left:2152;top:493;width:65;height:1150" filled="false" stroked="true" strokeweight=".5pt" strokecolor="#000000">
              <v:stroke dashstyle="solid"/>
            </v:rect>
            <v:rect style="position:absolute;left:2247;top:761;width:80;height:368" filled="true" fillcolor="#cee7e8" stroked="false">
              <v:fill type="solid"/>
            </v:rect>
            <v:rect style="position:absolute;left:2247;top:761;width:80;height:368" filled="false" stroked="true" strokeweight=".5pt" strokecolor="#000000">
              <v:stroke dashstyle="solid"/>
            </v:rect>
            <v:rect style="position:absolute;left:2355;top:693;width:80;height:403" filled="true" fillcolor="#cee7e8" stroked="false">
              <v:fill type="solid"/>
            </v:rect>
            <v:rect style="position:absolute;left:2355;top:693;width:80;height:403" filled="false" stroked="true" strokeweight=".5pt" strokecolor="#000000">
              <v:stroke dashstyle="solid"/>
            </v:rect>
            <v:rect style="position:absolute;left:2465;top:1891;width:65;height:153" filled="true" fillcolor="#cee7e8" stroked="false">
              <v:fill type="solid"/>
            </v:rect>
            <v:rect style="position:absolute;left:2465;top:1891;width:65;height:153" filled="false" stroked="true" strokeweight=".5pt" strokecolor="#000000">
              <v:stroke dashstyle="solid"/>
            </v:rect>
            <v:rect style="position:absolute;left:2560;top:1891;width:78;height:38" filled="true" fillcolor="#cee7e8" stroked="false">
              <v:fill type="solid"/>
            </v:rect>
            <v:rect style="position:absolute;left:2560;top:1891;width:78;height:38" filled="false" stroked="true" strokeweight=".5pt" strokecolor="#000000">
              <v:stroke dashstyle="solid"/>
            </v:rect>
            <v:rect style="position:absolute;left:2667;top:1891;width:68;height:38" filled="true" fillcolor="#cee7e8" stroked="false">
              <v:fill type="solid"/>
            </v:rect>
            <v:rect style="position:absolute;left:2667;top:1891;width:68;height:38" filled="false" stroked="true" strokeweight=".5pt" strokecolor="#000000">
              <v:stroke dashstyle="solid"/>
            </v:rect>
            <v:rect style="position:absolute;left:2765;top:1093;width:78;height:203" filled="true" fillcolor="#cee7e8" stroked="false">
              <v:fill type="solid"/>
            </v:rect>
            <v:rect style="position:absolute;left:2765;top:1093;width:78;height:203" filled="false" stroked="true" strokeweight=".5pt" strokecolor="#000000">
              <v:stroke dashstyle="solid"/>
            </v:rect>
            <v:rect style="position:absolute;left:2872;top:643;width:68;height:485" filled="true" fillcolor="#cee7e8" stroked="false">
              <v:fill type="solid"/>
            </v:rect>
            <v:rect style="position:absolute;left:2872;top:643;width:68;height:485" filled="false" stroked="true" strokeweight=".5pt" strokecolor="#000000">
              <v:stroke dashstyle="solid"/>
            </v:rect>
            <v:rect style="position:absolute;left:2970;top:561;width:78;height:235" filled="true" fillcolor="#cee7e8" stroked="false">
              <v:fill type="solid"/>
            </v:rect>
            <v:rect style="position:absolute;left:2970;top:561;width:78;height:235" filled="false" stroked="true" strokeweight=".5pt" strokecolor="#000000">
              <v:stroke dashstyle="solid"/>
            </v:rect>
            <v:rect style="position:absolute;left:3077;top:1891;width:68;height:53" filled="true" fillcolor="#cee7e8" stroked="false">
              <v:fill type="solid"/>
            </v:rect>
            <v:rect style="position:absolute;left:3077;top:1891;width:68;height:53" filled="false" stroked="true" strokeweight=".5pt" strokecolor="#000000">
              <v:stroke dashstyle="solid"/>
            </v:rect>
            <v:rect style="position:absolute;left:3175;top:1891;width:78;height:420" filled="true" fillcolor="#cee7e8" stroked="false">
              <v:fill type="solid"/>
            </v:rect>
            <v:rect style="position:absolute;left:3175;top:1891;width:78;height:420" filled="false" stroked="true" strokeweight=".5pt" strokecolor="#000000">
              <v:stroke dashstyle="solid"/>
            </v:rect>
            <v:rect style="position:absolute;left:3282;top:926;width:68;height:235" filled="true" fillcolor="#cee7e8" stroked="false">
              <v:fill type="solid"/>
            </v:rect>
            <v:rect style="position:absolute;left:3282;top:926;width:68;height:235" filled="false" stroked="true" strokeweight=".5pt" strokecolor="#000000">
              <v:stroke dashstyle="solid"/>
            </v:rect>
            <v:rect style="position:absolute;left:3380;top:1891;width:78;height:70" filled="true" fillcolor="#cee7e8" stroked="false">
              <v:fill type="solid"/>
            </v:rect>
            <v:rect style="position:absolute;left:3380;top:1891;width:78;height:70" filled="false" stroked="true" strokeweight=".5pt" strokecolor="#000000">
              <v:stroke dashstyle="solid"/>
            </v:rect>
            <v:rect style="position:absolute;left:3487;top:926;width:65;height:968" filled="true" fillcolor="#cee7e8" stroked="false">
              <v:fill type="solid"/>
            </v:rect>
            <v:rect style="position:absolute;left:3487;top:926;width:65;height:968" filled="false" stroked="true" strokeweight=".5pt" strokecolor="#000000">
              <v:stroke dashstyle="solid"/>
            </v:rect>
            <v:rect style="position:absolute;left:3582;top:1158;width:78;height:720" filled="true" fillcolor="#cee7e8" stroked="false">
              <v:fill type="solid"/>
            </v:rect>
            <v:rect style="position:absolute;left:3582;top:1158;width:78;height:720" filled="false" stroked="true" strokeweight=".5pt" strokecolor="#000000">
              <v:stroke dashstyle="solid"/>
            </v:rect>
            <v:rect style="position:absolute;left:3690;top:443;width:68;height:1185" filled="true" fillcolor="#cee7e8" stroked="false">
              <v:fill type="solid"/>
            </v:rect>
            <v:rect style="position:absolute;left:3690;top:443;width:68;height:1185" filled="false" stroked="true" strokeweight=".5pt" strokecolor="#000000">
              <v:stroke dashstyle="solid"/>
            </v:rect>
            <v:rect style="position:absolute;left:3787;top:261;width:78;height:253" filled="true" fillcolor="#cee7e8" stroked="false">
              <v:fill type="solid"/>
            </v:rect>
            <v:shape style="position:absolute;left:1010;top:261;width:2875;height:1633" coordorigin="1010,261" coordsize="2875,1633" path="m3788,261l3865,261,3865,514,3788,514,3788,261xm1010,1891l3885,1894e" filled="false" stroked="true" strokeweight=".5pt" strokecolor="#000000">
              <v:path arrowok="t"/>
              <v:stroke dashstyle="solid"/>
            </v:shape>
            <v:shape style="position:absolute;left:1065;top:261;width:2765;height:1130" coordorigin="1065,261" coordsize="2765,1130" path="m1065,1094l1160,976m1160,976l1270,526m1270,526l1365,1044m1365,1044l1473,1344m1473,1344l1570,926m1570,926l1678,294m1678,294l1785,311m1785,311l1883,744m1883,744l1990,776m1990,776l2088,644m2088,644l2195,494m2195,494l2293,761m2293,761l2400,694m2400,694l2495,1209m2495,1209l2603,1391m2603,1391l2700,1209m2700,1209l2808,1059m2808,1059l2905,644m2905,644l3013,544m3013,544l3110,1026m3110,1026l3218,1044m3218,1044l3325,944m3325,944l3423,826m3423,826l3530,1126m3530,1126l3628,1176m3628,1176l3735,444m3735,444l3830,261e" filled="false" stroked="true" strokeweight="1pt" strokecolor="#de0035">
              <v:path arrowok="t"/>
              <v:stroke dashstyle="solid"/>
            </v:shape>
            <v:shape style="position:absolute;left:3950;top:71;width:87;height:2082" coordorigin="3950,71" coordsize="87,2082" path="m3950,71l4037,71m3950,332l4037,332m3950,592l4037,592m3950,852l4037,852m3950,1112l4037,1112m3950,1373l4037,1373m3950,1633l4037,1633m3950,1893l4037,1893m3950,2153l4037,2153e" filled="false" stroked="true" strokeweight=".5pt" strokecolor="#000000">
              <v:path arrowok="t"/>
              <v:stroke dashstyle="solid"/>
            </v:shape>
            <v:shape style="position:absolute;left:2274;top:377;width:283;height:239" type="#_x0000_t75" stroked="false">
              <v:imagedata r:id="rId111" o:title=""/>
            </v:shape>
            <v:shape style="position:absolute;left:1843;top:-113;width:467;height:133" type="#_x0000_t202" filled="false" stroked="false">
              <v:textbox inset="0,0,0,0">
                <w:txbxContent>
                  <w:p>
                    <w:pPr>
                      <w:spacing w:line="133" w:lineRule="exact" w:before="0"/>
                      <w:ind w:left="0" w:right="0" w:firstLine="0"/>
                      <w:jc w:val="left"/>
                      <w:rPr>
                        <w:sz w:val="12"/>
                      </w:rPr>
                    </w:pPr>
                    <w:r>
                      <w:rPr>
                        <w:sz w:val="12"/>
                      </w:rPr>
                      <w:t>Full-time</w:t>
                    </w:r>
                  </w:p>
                </w:txbxContent>
              </v:textbox>
              <w10:wrap type="none"/>
            </v:shape>
            <v:shape style="position:absolute;left:2528;top:253;width:274;height:133" type="#_x0000_t202" filled="false" stroked="false">
              <v:textbox inset="0,0,0,0">
                <w:txbxContent>
                  <w:p>
                    <w:pPr>
                      <w:spacing w:line="133" w:lineRule="exact" w:before="0"/>
                      <w:ind w:left="0" w:right="0" w:firstLine="0"/>
                      <w:jc w:val="left"/>
                      <w:rPr>
                        <w:sz w:val="12"/>
                      </w:rPr>
                    </w:pPr>
                    <w:r>
                      <w:rPr>
                        <w:sz w:val="12"/>
                      </w:rPr>
                      <w:t>Total</w:t>
                    </w:r>
                  </w:p>
                </w:txbxContent>
              </v:textbox>
              <w10:wrap type="none"/>
            </v:shape>
            <v:shape style="position:absolute;left:2699;top:2207;width:467;height:133" type="#_x0000_t202" filled="false" stroked="false">
              <v:textbox inset="0,0,0,0">
                <w:txbxContent>
                  <w:p>
                    <w:pPr>
                      <w:spacing w:line="133" w:lineRule="exact" w:before="0"/>
                      <w:ind w:left="0" w:right="0" w:firstLine="0"/>
                      <w:jc w:val="left"/>
                      <w:rPr>
                        <w:sz w:val="12"/>
                      </w:rPr>
                    </w:pPr>
                    <w:r>
                      <w:rPr>
                        <w:sz w:val="12"/>
                      </w:rPr>
                      <w:t>Part-time</w:t>
                    </w:r>
                  </w:p>
                </w:txbxContent>
              </v:textbox>
              <w10:wrap type="none"/>
            </v:shape>
            <w10:wrap type="none"/>
          </v:group>
        </w:pict>
      </w:r>
      <w:r>
        <w:rPr>
          <w:sz w:val="12"/>
        </w:rPr>
        <w:t>140</w:t>
      </w:r>
    </w:p>
    <w:p>
      <w:pPr>
        <w:pStyle w:val="BodyText"/>
        <w:spacing w:before="7"/>
        <w:rPr>
          <w:sz w:val="10"/>
        </w:rPr>
      </w:pPr>
    </w:p>
    <w:p>
      <w:pPr>
        <w:spacing w:before="1"/>
        <w:ind w:left="128" w:right="0" w:firstLine="0"/>
        <w:jc w:val="left"/>
        <w:rPr>
          <w:sz w:val="12"/>
        </w:rPr>
      </w:pPr>
      <w:r>
        <w:rPr>
          <w:sz w:val="12"/>
        </w:rPr>
        <w:t>120</w:t>
      </w:r>
    </w:p>
    <w:p>
      <w:pPr>
        <w:pStyle w:val="BodyText"/>
        <w:spacing w:before="7"/>
        <w:rPr>
          <w:sz w:val="10"/>
        </w:rPr>
      </w:pPr>
    </w:p>
    <w:p>
      <w:pPr>
        <w:spacing w:before="0"/>
        <w:ind w:left="128" w:right="0" w:firstLine="0"/>
        <w:jc w:val="left"/>
        <w:rPr>
          <w:sz w:val="12"/>
        </w:rPr>
      </w:pPr>
      <w:r>
        <w:rPr>
          <w:sz w:val="12"/>
        </w:rPr>
        <w:t>100</w:t>
      </w:r>
    </w:p>
    <w:p>
      <w:pPr>
        <w:pStyle w:val="BodyText"/>
        <w:spacing w:before="7"/>
        <w:rPr>
          <w:sz w:val="10"/>
        </w:rPr>
      </w:pPr>
    </w:p>
    <w:p>
      <w:pPr>
        <w:spacing w:before="1"/>
        <w:ind w:left="188" w:right="0" w:firstLine="0"/>
        <w:jc w:val="left"/>
        <w:rPr>
          <w:sz w:val="12"/>
        </w:rPr>
      </w:pPr>
      <w:r>
        <w:rPr>
          <w:sz w:val="12"/>
        </w:rPr>
        <w:t>80</w:t>
      </w:r>
    </w:p>
    <w:p>
      <w:pPr>
        <w:pStyle w:val="BodyText"/>
        <w:spacing w:before="7"/>
        <w:rPr>
          <w:sz w:val="10"/>
        </w:rPr>
      </w:pPr>
    </w:p>
    <w:p>
      <w:pPr>
        <w:spacing w:before="0"/>
        <w:ind w:left="188" w:right="0" w:firstLine="0"/>
        <w:jc w:val="left"/>
        <w:rPr>
          <w:sz w:val="12"/>
        </w:rPr>
      </w:pPr>
      <w:r>
        <w:rPr>
          <w:sz w:val="12"/>
        </w:rPr>
        <w:t>60</w:t>
      </w:r>
    </w:p>
    <w:p>
      <w:pPr>
        <w:pStyle w:val="BodyText"/>
        <w:spacing w:before="7"/>
        <w:rPr>
          <w:sz w:val="10"/>
        </w:rPr>
      </w:pPr>
    </w:p>
    <w:p>
      <w:pPr>
        <w:spacing w:before="1"/>
        <w:ind w:left="188" w:right="0" w:firstLine="0"/>
        <w:jc w:val="left"/>
        <w:rPr>
          <w:sz w:val="12"/>
        </w:rPr>
      </w:pPr>
      <w:r>
        <w:rPr>
          <w:sz w:val="12"/>
        </w:rPr>
        <w:t>40</w:t>
      </w:r>
    </w:p>
    <w:p>
      <w:pPr>
        <w:pStyle w:val="BodyText"/>
        <w:spacing w:before="7"/>
        <w:rPr>
          <w:sz w:val="10"/>
        </w:rPr>
      </w:pPr>
    </w:p>
    <w:p>
      <w:pPr>
        <w:spacing w:line="115" w:lineRule="exact" w:before="0"/>
        <w:ind w:left="188" w:right="0" w:firstLine="0"/>
        <w:jc w:val="left"/>
        <w:rPr>
          <w:sz w:val="12"/>
        </w:rPr>
      </w:pPr>
      <w:r>
        <w:rPr>
          <w:sz w:val="12"/>
        </w:rPr>
        <w:t>20</w:t>
      </w:r>
    </w:p>
    <w:p>
      <w:pPr>
        <w:spacing w:line="153" w:lineRule="exact" w:before="0"/>
        <w:ind w:left="114" w:right="0" w:firstLine="0"/>
        <w:jc w:val="left"/>
        <w:rPr>
          <w:sz w:val="16"/>
        </w:rPr>
      </w:pPr>
      <w:r>
        <w:rPr>
          <w:sz w:val="16"/>
        </w:rPr>
        <w:t>+</w:t>
      </w:r>
    </w:p>
    <w:p>
      <w:pPr>
        <w:spacing w:line="168" w:lineRule="auto" w:before="22"/>
        <w:ind w:left="135" w:right="0" w:firstLine="0"/>
        <w:jc w:val="left"/>
        <w:rPr>
          <w:sz w:val="12"/>
        </w:rPr>
      </w:pPr>
      <w:r>
        <w:rPr>
          <w:position w:val="-4"/>
          <w:sz w:val="16"/>
        </w:rPr>
        <w:t>_</w:t>
      </w:r>
      <w:r>
        <w:rPr>
          <w:spacing w:val="-7"/>
          <w:position w:val="-4"/>
          <w:sz w:val="16"/>
        </w:rPr>
        <w:t> </w:t>
      </w:r>
      <w:r>
        <w:rPr>
          <w:sz w:val="12"/>
        </w:rPr>
        <w:t>0</w:t>
      </w:r>
    </w:p>
    <w:p>
      <w:pPr>
        <w:spacing w:before="90"/>
        <w:ind w:left="188" w:right="0" w:firstLine="0"/>
        <w:jc w:val="left"/>
        <w:rPr>
          <w:sz w:val="12"/>
        </w:rPr>
      </w:pPr>
      <w:r>
        <w:rPr>
          <w:sz w:val="12"/>
        </w:rPr>
        <w:t>20</w:t>
      </w:r>
    </w:p>
    <w:p>
      <w:pPr>
        <w:pStyle w:val="BodyText"/>
        <w:spacing w:before="7"/>
        <w:rPr>
          <w:sz w:val="10"/>
        </w:rPr>
      </w:pPr>
    </w:p>
    <w:p>
      <w:pPr>
        <w:spacing w:before="0"/>
        <w:ind w:left="188" w:right="0" w:firstLine="0"/>
        <w:jc w:val="left"/>
        <w:rPr>
          <w:sz w:val="12"/>
        </w:rPr>
      </w:pPr>
      <w:r>
        <w:rPr/>
        <w:pict>
          <v:line style="position:absolute;mso-position-horizontal-relative:page;mso-position-vertical-relative:paragraph;z-index:16116224" from="197.514999pt,3.47146pt" to="201.846999pt,3.47146pt" stroked="true" strokeweight=".5pt" strokecolor="#000000">
            <v:stroke dashstyle="solid"/>
            <w10:wrap type="none"/>
          </v:line>
        </w:pict>
      </w:r>
      <w:r>
        <w:rPr>
          <w:sz w:val="12"/>
        </w:rPr>
        <w:t>40</w:t>
      </w:r>
    </w:p>
    <w:p>
      <w:pPr>
        <w:pStyle w:val="BodyText"/>
        <w:spacing w:before="7"/>
        <w:rPr>
          <w:sz w:val="10"/>
        </w:rPr>
      </w:pPr>
    </w:p>
    <w:p>
      <w:pPr>
        <w:spacing w:before="0"/>
        <w:ind w:left="188" w:right="0" w:firstLine="0"/>
        <w:jc w:val="left"/>
        <w:rPr>
          <w:sz w:val="12"/>
        </w:rPr>
      </w:pPr>
      <w:r>
        <w:rPr/>
        <w:pict>
          <v:shape style="position:absolute;margin-left:50.317001pt;margin-top:-1.55894pt;width:151.550pt;height:5.3pt;mso-position-horizontal-relative:page;mso-position-vertical-relative:paragraph;z-index:16115712" coordorigin="1006,-31" coordsize="3031,106" path="m1009,75l3883,75m1006,-31l1006,75m1315,7l1315,75m1623,7l1623,75m1931,7l1931,75m2240,-31l2240,75m2548,7l2548,75m3164,7l3164,75m3781,7l3781,75m2856,7l2856,75m3473,-31l3473,75m3950,69l4037,69e" filled="false" stroked="true" strokeweight=".5pt" strokecolor="#000000">
            <v:path arrowok="t"/>
            <v:stroke dashstyle="solid"/>
            <w10:wrap type="none"/>
          </v:shape>
        </w:pict>
      </w:r>
      <w:r>
        <w:rPr>
          <w:sz w:val="12"/>
        </w:rPr>
        <w:t>60</w:t>
      </w:r>
    </w:p>
    <w:p>
      <w:pPr>
        <w:spacing w:line="242" w:lineRule="auto" w:before="0"/>
        <w:ind w:left="862" w:right="138" w:firstLine="0"/>
        <w:jc w:val="left"/>
        <w:rPr>
          <w:sz w:val="24"/>
        </w:rPr>
      </w:pPr>
      <w:r>
        <w:rPr/>
        <w:br w:type="column"/>
      </w:r>
      <w:r>
        <w:rPr>
          <w:sz w:val="24"/>
        </w:rPr>
        <w:t>employment (see Chart 3.2). Increases in part-time employment made larger contributions to LFS employment growth earlier in the year, raising the proportion of part-timers in LFS employment to just under 25%.</w:t>
      </w:r>
    </w:p>
    <w:p>
      <w:pPr>
        <w:pStyle w:val="BodyText"/>
        <w:spacing w:before="8"/>
        <w:rPr>
          <w:sz w:val="29"/>
        </w:rPr>
      </w:pPr>
    </w:p>
    <w:p>
      <w:pPr>
        <w:spacing w:line="242" w:lineRule="auto" w:before="0"/>
        <w:ind w:left="862" w:right="138" w:firstLine="0"/>
        <w:jc w:val="left"/>
        <w:rPr>
          <w:sz w:val="24"/>
        </w:rPr>
      </w:pPr>
      <w:r>
        <w:rPr>
          <w:sz w:val="24"/>
        </w:rPr>
        <w:t>LFS employment measures the number of people in work, based on the responses to a rolling three-month survey of households. Another source of employment data is the Workforce Jobs survey, which records the number of jobs in different firms on a single day towards</w:t>
      </w:r>
    </w:p>
    <w:p>
      <w:pPr>
        <w:spacing w:after="0" w:line="242" w:lineRule="auto"/>
        <w:jc w:val="left"/>
        <w:rPr>
          <w:sz w:val="24"/>
        </w:rPr>
        <w:sectPr>
          <w:type w:val="continuous"/>
          <w:pgSz w:w="11900" w:h="16840"/>
          <w:pgMar w:top="1260" w:bottom="280" w:left="640" w:right="640"/>
          <w:cols w:num="3" w:equalWidth="0">
            <w:col w:w="3255" w:space="40"/>
            <w:col w:w="349" w:space="463"/>
            <w:col w:w="6513"/>
          </w:cols>
        </w:sectPr>
      </w:pPr>
    </w:p>
    <w:p>
      <w:pPr>
        <w:pStyle w:val="BodyText"/>
        <w:rPr>
          <w:sz w:val="20"/>
        </w:rPr>
      </w:pPr>
    </w:p>
    <w:p>
      <w:pPr>
        <w:spacing w:after="0"/>
        <w:rPr>
          <w:sz w:val="20"/>
        </w:rPr>
        <w:sectPr>
          <w:headerReference w:type="even" r:id="rId112"/>
          <w:headerReference w:type="default" r:id="rId113"/>
          <w:pgSz w:w="11900" w:h="16840"/>
          <w:pgMar w:header="601" w:footer="592" w:top="800" w:bottom="800" w:left="640" w:right="640"/>
        </w:sectPr>
      </w:pPr>
    </w:p>
    <w:p>
      <w:pPr>
        <w:pStyle w:val="BodyText"/>
        <w:spacing w:before="9"/>
        <w:rPr>
          <w:sz w:val="19"/>
        </w:rPr>
      </w:pPr>
    </w:p>
    <w:p>
      <w:pPr>
        <w:pStyle w:val="Heading6"/>
        <w:spacing w:before="1"/>
        <w:ind w:left="175"/>
      </w:pPr>
      <w:r>
        <w:rPr>
          <w:color w:val="0092C7"/>
        </w:rPr>
        <w:t>Chart 3.3</w:t>
      </w:r>
    </w:p>
    <w:p>
      <w:pPr>
        <w:pStyle w:val="Heading6"/>
        <w:ind w:left="175"/>
      </w:pPr>
      <w:r>
        <w:rPr/>
        <w:drawing>
          <wp:anchor distT="0" distB="0" distL="0" distR="0" allowOverlap="1" layoutInCell="1" locked="0" behindDoc="0" simplePos="0" relativeHeight="16119296">
            <wp:simplePos x="0" y="0"/>
            <wp:positionH relativeFrom="page">
              <wp:posOffset>1116241</wp:posOffset>
            </wp:positionH>
            <wp:positionV relativeFrom="paragraph">
              <wp:posOffset>273824</wp:posOffset>
            </wp:positionV>
            <wp:extent cx="112179" cy="219862"/>
            <wp:effectExtent l="0" t="0" r="0" b="0"/>
            <wp:wrapNone/>
            <wp:docPr id="135" name="image60.png"/>
            <wp:cNvGraphicFramePr>
              <a:graphicFrameLocks noChangeAspect="1"/>
            </wp:cNvGraphicFramePr>
            <a:graphic>
              <a:graphicData uri="http://schemas.openxmlformats.org/drawingml/2006/picture">
                <pic:pic>
                  <pic:nvPicPr>
                    <pic:cNvPr id="136" name="image60.png"/>
                    <pic:cNvPicPr/>
                  </pic:nvPicPr>
                  <pic:blipFill>
                    <a:blip r:embed="rId114" cstate="print"/>
                    <a:stretch>
                      <a:fillRect/>
                    </a:stretch>
                  </pic:blipFill>
                  <pic:spPr>
                    <a:xfrm>
                      <a:off x="0" y="0"/>
                      <a:ext cx="112179" cy="219862"/>
                    </a:xfrm>
                    <a:prstGeom prst="rect">
                      <a:avLst/>
                    </a:prstGeom>
                  </pic:spPr>
                </pic:pic>
              </a:graphicData>
            </a:graphic>
          </wp:anchor>
        </w:drawing>
      </w:r>
      <w:r>
        <w:rPr>
          <w:color w:val="0092C7"/>
        </w:rPr>
        <w:t>Quarterly changes in Workforce Jobs</w:t>
      </w:r>
    </w:p>
    <w:p>
      <w:pPr>
        <w:spacing w:line="242" w:lineRule="auto" w:before="222"/>
        <w:ind w:left="175" w:right="183" w:firstLine="0"/>
        <w:jc w:val="left"/>
        <w:rPr>
          <w:sz w:val="24"/>
        </w:rPr>
      </w:pPr>
      <w:r>
        <w:rPr/>
        <w:br w:type="column"/>
      </w:r>
      <w:r>
        <w:rPr>
          <w:sz w:val="24"/>
        </w:rPr>
        <w:t>the end of each quarter. This sampling method means that the Workforce Jobs survey tends to be more volatile</w:t>
      </w:r>
    </w:p>
    <w:p>
      <w:pPr>
        <w:spacing w:after="0" w:line="242" w:lineRule="auto"/>
        <w:jc w:val="left"/>
        <w:rPr>
          <w:sz w:val="24"/>
        </w:rPr>
        <w:sectPr>
          <w:type w:val="continuous"/>
          <w:pgSz w:w="11900" w:h="16840"/>
          <w:pgMar w:top="1260" w:bottom="280" w:left="640" w:right="640"/>
          <w:cols w:num="2" w:equalWidth="0">
            <w:col w:w="3405" w:space="1395"/>
            <w:col w:w="5820"/>
          </w:cols>
        </w:sectPr>
      </w:pPr>
    </w:p>
    <w:p>
      <w:pPr>
        <w:spacing w:line="319" w:lineRule="auto" w:before="99"/>
        <w:ind w:left="399" w:right="-19" w:firstLine="0"/>
        <w:jc w:val="left"/>
        <w:rPr>
          <w:sz w:val="12"/>
        </w:rPr>
      </w:pPr>
      <w:r>
        <w:rPr/>
        <w:drawing>
          <wp:anchor distT="0" distB="0" distL="0" distR="0" allowOverlap="1" layoutInCell="1" locked="0" behindDoc="0" simplePos="0" relativeHeight="16118784">
            <wp:simplePos x="0" y="0"/>
            <wp:positionH relativeFrom="page">
              <wp:posOffset>527494</wp:posOffset>
            </wp:positionH>
            <wp:positionV relativeFrom="paragraph">
              <wp:posOffset>60580</wp:posOffset>
            </wp:positionV>
            <wp:extent cx="112179" cy="219875"/>
            <wp:effectExtent l="0" t="0" r="0" b="0"/>
            <wp:wrapNone/>
            <wp:docPr id="137" name="image61.png"/>
            <wp:cNvGraphicFramePr>
              <a:graphicFrameLocks noChangeAspect="1"/>
            </wp:cNvGraphicFramePr>
            <a:graphic>
              <a:graphicData uri="http://schemas.openxmlformats.org/drawingml/2006/picture">
                <pic:pic>
                  <pic:nvPicPr>
                    <pic:cNvPr id="138" name="image61.png"/>
                    <pic:cNvPicPr/>
                  </pic:nvPicPr>
                  <pic:blipFill>
                    <a:blip r:embed="rId115" cstate="print"/>
                    <a:stretch>
                      <a:fillRect/>
                    </a:stretch>
                  </pic:blipFill>
                  <pic:spPr>
                    <a:xfrm>
                      <a:off x="0" y="0"/>
                      <a:ext cx="112179" cy="219875"/>
                    </a:xfrm>
                    <a:prstGeom prst="rect">
                      <a:avLst/>
                    </a:prstGeom>
                  </pic:spPr>
                </pic:pic>
              </a:graphicData>
            </a:graphic>
          </wp:anchor>
        </w:drawing>
      </w:r>
      <w:r>
        <w:rPr>
          <w:sz w:val="12"/>
        </w:rPr>
        <w:t>Services Construction</w:t>
      </w:r>
    </w:p>
    <w:p>
      <w:pPr>
        <w:pStyle w:val="BodyText"/>
        <w:spacing w:before="9"/>
        <w:rPr>
          <w:sz w:val="6"/>
        </w:rPr>
      </w:pPr>
    </w:p>
    <w:p>
      <w:pPr>
        <w:pStyle w:val="BodyText"/>
        <w:spacing w:line="20" w:lineRule="exact"/>
        <w:ind w:left="185"/>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line="319" w:lineRule="auto" w:before="99"/>
        <w:ind w:left="286" w:right="20" w:firstLine="0"/>
        <w:jc w:val="left"/>
        <w:rPr>
          <w:sz w:val="12"/>
        </w:rPr>
      </w:pPr>
      <w:r>
        <w:rPr/>
        <w:br w:type="column"/>
      </w:r>
      <w:r>
        <w:rPr>
          <w:sz w:val="12"/>
        </w:rPr>
        <w:t>Production Agriculture</w:t>
      </w:r>
    </w:p>
    <w:p>
      <w:pPr>
        <w:spacing w:before="99"/>
        <w:ind w:left="190" w:right="0" w:firstLine="0"/>
        <w:jc w:val="left"/>
        <w:rPr>
          <w:sz w:val="12"/>
        </w:rPr>
      </w:pPr>
      <w:r>
        <w:rPr/>
        <w:br w:type="column"/>
      </w:r>
      <w:r>
        <w:rPr>
          <w:sz w:val="12"/>
        </w:rPr>
        <w:t>Whole-economy</w:t>
      </w:r>
    </w:p>
    <w:p>
      <w:pPr>
        <w:pStyle w:val="BodyText"/>
        <w:spacing w:before="8"/>
        <w:rPr>
          <w:sz w:val="10"/>
        </w:rPr>
      </w:pPr>
    </w:p>
    <w:p>
      <w:pPr>
        <w:spacing w:before="0"/>
        <w:ind w:left="807" w:right="0" w:firstLine="0"/>
        <w:jc w:val="left"/>
        <w:rPr>
          <w:sz w:val="12"/>
        </w:rPr>
      </w:pPr>
      <w:r>
        <w:rPr/>
        <w:pict>
          <v:line style="position:absolute;mso-position-horizontal-relative:page;mso-position-vertical-relative:paragraph;z-index:16119808" from="132.643005pt,-9.958819pt" to="141.977005pt,-9.958819pt" stroked="true" strokeweight="1pt" strokecolor="#de0035">
            <v:stroke dashstyle="solid"/>
            <w10:wrap type="none"/>
          </v:line>
        </w:pict>
      </w:r>
      <w:r>
        <w:rPr>
          <w:sz w:val="12"/>
        </w:rPr>
        <w:t>Thousands</w:t>
      </w:r>
    </w:p>
    <w:p>
      <w:pPr>
        <w:pStyle w:val="BodyText"/>
        <w:rPr>
          <w:sz w:val="4"/>
        </w:rPr>
      </w:pPr>
    </w:p>
    <w:p>
      <w:pPr>
        <w:pStyle w:val="BodyText"/>
        <w:spacing w:line="20" w:lineRule="exact"/>
        <w:ind w:left="1236" w:right="-7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12"/>
        </w:rPr>
      </w:pPr>
      <w:r>
        <w:rPr/>
        <w:br w:type="column"/>
      </w:r>
      <w:r>
        <w:rPr>
          <w:sz w:val="12"/>
        </w:rPr>
      </w:r>
    </w:p>
    <w:p>
      <w:pPr>
        <w:pStyle w:val="BodyText"/>
        <w:rPr>
          <w:sz w:val="12"/>
        </w:rPr>
      </w:pPr>
    </w:p>
    <w:p>
      <w:pPr>
        <w:pStyle w:val="BodyText"/>
        <w:spacing w:before="4"/>
        <w:rPr>
          <w:sz w:val="17"/>
        </w:rPr>
      </w:pPr>
    </w:p>
    <w:p>
      <w:pPr>
        <w:spacing w:before="0"/>
        <w:ind w:left="-4" w:right="0" w:firstLine="0"/>
        <w:jc w:val="left"/>
        <w:rPr>
          <w:sz w:val="12"/>
        </w:rPr>
      </w:pPr>
      <w:r>
        <w:rPr>
          <w:sz w:val="12"/>
        </w:rPr>
        <w:t>300</w:t>
      </w:r>
    </w:p>
    <w:p>
      <w:pPr>
        <w:pStyle w:val="BodyText"/>
        <w:rPr>
          <w:sz w:val="12"/>
        </w:rPr>
      </w:pPr>
    </w:p>
    <w:p>
      <w:pPr>
        <w:spacing w:before="84"/>
        <w:ind w:left="-4" w:right="0" w:firstLine="0"/>
        <w:jc w:val="left"/>
        <w:rPr>
          <w:sz w:val="12"/>
        </w:rPr>
      </w:pPr>
      <w:r>
        <w:rPr>
          <w:sz w:val="12"/>
        </w:rPr>
        <w:t>250</w:t>
      </w:r>
    </w:p>
    <w:p>
      <w:pPr>
        <w:pStyle w:val="BodyText"/>
        <w:rPr>
          <w:sz w:val="12"/>
        </w:rPr>
      </w:pPr>
    </w:p>
    <w:p>
      <w:pPr>
        <w:spacing w:before="84"/>
        <w:ind w:left="-4" w:right="0" w:firstLine="0"/>
        <w:jc w:val="left"/>
        <w:rPr>
          <w:sz w:val="12"/>
        </w:rPr>
      </w:pPr>
      <w:r>
        <w:rPr>
          <w:sz w:val="12"/>
        </w:rPr>
        <w:t>200</w:t>
      </w:r>
    </w:p>
    <w:p>
      <w:pPr>
        <w:pStyle w:val="BodyText"/>
        <w:rPr>
          <w:sz w:val="12"/>
        </w:rPr>
      </w:pPr>
    </w:p>
    <w:p>
      <w:pPr>
        <w:spacing w:before="84"/>
        <w:ind w:left="-4" w:right="0" w:firstLine="0"/>
        <w:jc w:val="left"/>
        <w:rPr>
          <w:sz w:val="12"/>
        </w:rPr>
      </w:pPr>
      <w:r>
        <w:rPr>
          <w:sz w:val="12"/>
        </w:rPr>
        <w:t>150</w:t>
      </w:r>
    </w:p>
    <w:p>
      <w:pPr>
        <w:pStyle w:val="BodyText"/>
        <w:rPr>
          <w:sz w:val="12"/>
        </w:rPr>
      </w:pPr>
    </w:p>
    <w:p>
      <w:pPr>
        <w:spacing w:before="83"/>
        <w:ind w:left="-4" w:right="0" w:firstLine="0"/>
        <w:jc w:val="left"/>
        <w:rPr>
          <w:sz w:val="12"/>
        </w:rPr>
      </w:pPr>
      <w:r>
        <w:rPr>
          <w:sz w:val="12"/>
        </w:rPr>
        <w:t>100</w:t>
      </w:r>
    </w:p>
    <w:p>
      <w:pPr>
        <w:pStyle w:val="BodyText"/>
        <w:rPr>
          <w:sz w:val="12"/>
        </w:rPr>
      </w:pPr>
    </w:p>
    <w:p>
      <w:pPr>
        <w:spacing w:before="84"/>
        <w:ind w:left="56" w:right="0" w:firstLine="0"/>
        <w:jc w:val="left"/>
        <w:rPr>
          <w:sz w:val="12"/>
        </w:rPr>
      </w:pPr>
      <w:r>
        <w:rPr>
          <w:sz w:val="12"/>
        </w:rPr>
        <w:t>50</w:t>
      </w:r>
    </w:p>
    <w:p>
      <w:pPr>
        <w:spacing w:line="173" w:lineRule="exact" w:before="60"/>
        <w:ind w:left="-25" w:right="0" w:firstLine="0"/>
        <w:jc w:val="left"/>
        <w:rPr>
          <w:sz w:val="16"/>
        </w:rPr>
      </w:pPr>
      <w:r>
        <w:rPr>
          <w:sz w:val="16"/>
        </w:rPr>
        <w:t>+</w:t>
      </w:r>
    </w:p>
    <w:p>
      <w:pPr>
        <w:spacing w:line="160" w:lineRule="auto" w:before="15"/>
        <w:ind w:left="-25" w:right="0" w:firstLine="0"/>
        <w:jc w:val="left"/>
        <w:rPr>
          <w:sz w:val="12"/>
        </w:rPr>
      </w:pPr>
      <w:r>
        <w:rPr>
          <w:position w:val="-6"/>
          <w:sz w:val="16"/>
        </w:rPr>
        <w:t>_</w:t>
      </w:r>
      <w:r>
        <w:rPr>
          <w:spacing w:val="21"/>
          <w:position w:val="-6"/>
          <w:sz w:val="16"/>
        </w:rPr>
        <w:t> </w:t>
      </w:r>
      <w:r>
        <w:rPr>
          <w:sz w:val="12"/>
        </w:rPr>
        <w:t>0</w:t>
      </w:r>
    </w:p>
    <w:p>
      <w:pPr>
        <w:spacing w:before="176"/>
        <w:ind w:left="56" w:right="0" w:firstLine="0"/>
        <w:jc w:val="left"/>
        <w:rPr>
          <w:sz w:val="12"/>
        </w:rPr>
      </w:pPr>
      <w:r>
        <w:rPr>
          <w:sz w:val="12"/>
        </w:rPr>
        <w:t>50</w:t>
      </w:r>
    </w:p>
    <w:p>
      <w:pPr>
        <w:pStyle w:val="BodyText"/>
        <w:rPr>
          <w:sz w:val="12"/>
        </w:rPr>
      </w:pPr>
    </w:p>
    <w:p>
      <w:pPr>
        <w:spacing w:line="109" w:lineRule="exact" w:before="84"/>
        <w:ind w:left="-4" w:right="0" w:firstLine="0"/>
        <w:jc w:val="left"/>
        <w:rPr>
          <w:sz w:val="12"/>
        </w:rPr>
      </w:pPr>
      <w:r>
        <w:rPr/>
        <w:pict>
          <v:group style="position:absolute;margin-left:41.535pt;margin-top:-118.308426pt;width:159.75pt;height:126.4pt;mso-position-horizontal-relative:page;mso-position-vertical-relative:paragraph;z-index:16118272" coordorigin="831,-2366" coordsize="3195,2528">
            <v:rect style="position:absolute;left:1013;top:-600;width:83;height:29" filled="true" fillcolor="#006caa" stroked="false">
              <v:fill type="solid"/>
            </v:rect>
            <v:rect style="position:absolute;left:1013;top:-603;width:83;height:34" filled="false" stroked="true" strokeweight=".5pt" strokecolor="#000000">
              <v:stroke dashstyle="solid"/>
            </v:rect>
            <v:rect style="position:absolute;left:1013;top:-761;width:83;height:161" filled="true" fillcolor="#835335" stroked="false">
              <v:fill type="solid"/>
            </v:rect>
            <v:rect style="position:absolute;left:1013;top:-763;width:83;height:164" filled="false" stroked="true" strokeweight=".5pt" strokecolor="#000000">
              <v:stroke dashstyle="solid"/>
            </v:rect>
            <v:rect style="position:absolute;left:1013;top:-1819;width:83;height:1059" filled="true" fillcolor="#f6bd61" stroked="false">
              <v:fill type="solid"/>
            </v:rect>
            <v:rect style="position:absolute;left:1013;top:-1819;width:83;height:1059" filled="false" stroked="true" strokeweight=".5pt" strokecolor="#000000">
              <v:stroke dashstyle="solid"/>
            </v:rect>
            <v:rect style="position:absolute;left:1013;top:-572;width:83;height:197" filled="true" fillcolor="#b3dabb" stroked="false">
              <v:fill type="solid"/>
            </v:rect>
            <v:rect style="position:absolute;left:1013;top:-572;width:83;height:197" filled="false" stroked="true" strokeweight=".5pt" strokecolor="#000000">
              <v:stroke dashstyle="solid"/>
            </v:rect>
            <v:rect style="position:absolute;left:1240;top:-791;width:83;height:222" filled="true" fillcolor="#006caa" stroked="false">
              <v:fill type="solid"/>
            </v:rect>
            <v:rect style="position:absolute;left:1240;top:-794;width:83;height:225" filled="false" stroked="true" strokeweight=".5pt" strokecolor="#000000">
              <v:stroke dashstyle="solid"/>
            </v:rect>
            <v:rect style="position:absolute;left:1240;top:-572;width:83;height:36" filled="true" fillcolor="#835335" stroked="false">
              <v:fill type="solid"/>
            </v:rect>
            <v:rect style="position:absolute;left:1240;top:-572;width:83;height:36" filled="false" stroked="true" strokeweight=".5pt" strokecolor="#000000">
              <v:stroke dashstyle="solid"/>
            </v:rect>
            <v:rect style="position:absolute;left:1240;top:-2089;width:83;height:1298" filled="true" fillcolor="#f6bd61" stroked="false">
              <v:fill type="solid"/>
            </v:rect>
            <v:rect style="position:absolute;left:1240;top:-2089;width:83;height:1298" filled="false" stroked="true" strokeweight=".5pt" strokecolor="#000000">
              <v:stroke dashstyle="solid"/>
            </v:rect>
            <v:rect style="position:absolute;left:1240;top:-2298;width:83;height:212" filled="true" fillcolor="#b3dabb" stroked="false">
              <v:fill type="solid"/>
            </v:rect>
            <v:rect style="position:absolute;left:1240;top:-2298;width:83;height:212" filled="false" stroked="true" strokeweight=".5pt" strokecolor="#000000">
              <v:stroke dashstyle="solid"/>
            </v:rect>
            <v:rect style="position:absolute;left:1478;top:-572;width:73;height:212" filled="true" fillcolor="#006caa" stroked="false">
              <v:fill type="solid"/>
            </v:rect>
            <v:rect style="position:absolute;left:1478;top:-572;width:73;height:212" filled="false" stroked="true" strokeweight=".5pt" strokecolor="#000000">
              <v:stroke dashstyle="solid"/>
            </v:rect>
            <v:rect style="position:absolute;left:1478;top:-715;width:73;height:146" filled="true" fillcolor="#835335" stroked="false">
              <v:fill type="solid"/>
            </v:rect>
            <v:rect style="position:absolute;left:1478;top:-715;width:73;height:146" filled="false" stroked="true" strokeweight=".5pt" strokecolor="#000000">
              <v:stroke dashstyle="solid"/>
            </v:rect>
            <v:rect style="position:absolute;left:1478;top:-1018;width:73;height:306" filled="true" fillcolor="#f6bd61" stroked="false">
              <v:fill type="solid"/>
            </v:rect>
            <v:rect style="position:absolute;left:1478;top:-1018;width:73;height:306" filled="false" stroked="true" strokeweight=".5pt" strokecolor="#000000">
              <v:stroke dashstyle="solid"/>
            </v:rect>
            <v:rect style="position:absolute;left:1478;top:-1052;width:73;height:36" filled="true" fillcolor="#b3dabb" stroked="false">
              <v:fill type="solid"/>
            </v:rect>
            <v:rect style="position:absolute;left:1478;top:-1052;width:73;height:36" filled="false" stroked="true" strokeweight=".5pt" strokecolor="#000000">
              <v:stroke dashstyle="solid"/>
            </v:rect>
            <v:rect style="position:absolute;left:1705;top:-697;width:83;height:128" filled="true" fillcolor="#006caa" stroked="false">
              <v:fill type="solid"/>
            </v:rect>
            <v:rect style="position:absolute;left:1705;top:-700;width:83;height:131" filled="false" stroked="true" strokeweight=".5pt" strokecolor="#000000">
              <v:stroke dashstyle="solid"/>
            </v:rect>
            <v:rect style="position:absolute;left:1705;top:-955;width:83;height:258" filled="true" fillcolor="#835335" stroked="false">
              <v:fill type="solid"/>
            </v:rect>
            <v:rect style="position:absolute;left:1705;top:-955;width:83;height:258" filled="false" stroked="true" strokeweight=".5pt" strokecolor="#000000">
              <v:stroke dashstyle="solid"/>
            </v:rect>
            <v:rect style="position:absolute;left:1705;top:-1674;width:83;height:722" filled="true" fillcolor="#f6bd61" stroked="false">
              <v:fill type="solid"/>
            </v:rect>
            <v:rect style="position:absolute;left:1705;top:-1674;width:83;height:722" filled="false" stroked="true" strokeweight=".5pt" strokecolor="#000000">
              <v:stroke dashstyle="solid"/>
            </v:rect>
            <v:rect style="position:absolute;left:1705;top:-572;width:83;height:36" filled="true" fillcolor="#b3dabb" stroked="false">
              <v:fill type="solid"/>
            </v:rect>
            <v:rect style="position:absolute;left:1705;top:-572;width:83;height:36" filled="false" stroked="true" strokeweight=".5pt" strokecolor="#000000">
              <v:stroke dashstyle="solid"/>
            </v:rect>
            <v:rect style="position:absolute;left:1933;top:-922;width:83;height:352" filled="true" fillcolor="#006caa" stroked="false">
              <v:fill type="solid"/>
            </v:rect>
            <v:rect style="position:absolute;left:1933;top:-922;width:83;height:352" filled="false" stroked="true" strokeweight=".5pt" strokecolor="#000000">
              <v:stroke dashstyle="solid"/>
            </v:rect>
            <v:rect style="position:absolute;left:1933;top:-1001;width:83;height:82" filled="true" fillcolor="#835335" stroked="false">
              <v:fill type="solid"/>
            </v:rect>
            <v:rect style="position:absolute;left:1933;top:-1003;width:83;height:85" filled="false" stroked="true" strokeweight=".5pt" strokecolor="#000000">
              <v:stroke dashstyle="solid"/>
            </v:rect>
            <v:rect style="position:absolute;left:1933;top:-2089;width:83;height:1089" filled="true" fillcolor="#f6bd61" stroked="false">
              <v:fill type="solid"/>
            </v:rect>
            <v:rect style="position:absolute;left:1933;top:-2089;width:83;height:1089" filled="false" stroked="true" strokeweight=".5pt" strokecolor="#000000">
              <v:stroke dashstyle="solid"/>
            </v:rect>
            <v:rect style="position:absolute;left:1933;top:-572;width:83;height:69" filled="true" fillcolor="#b3dabb" stroked="false">
              <v:fill type="solid"/>
            </v:rect>
            <v:rect style="position:absolute;left:1933;top:-572;width:83;height:69" filled="false" stroked="true" strokeweight=".5pt" strokecolor="#000000">
              <v:stroke dashstyle="solid"/>
            </v:rect>
            <v:rect style="position:absolute;left:2170;top:-572;width:83;height:131" filled="true" fillcolor="#006caa" stroked="false">
              <v:fill type="solid"/>
            </v:rect>
            <v:rect style="position:absolute;left:2170;top:-572;width:83;height:133" filled="false" stroked="true" strokeweight=".5pt" strokecolor="#000000">
              <v:stroke dashstyle="solid"/>
            </v:rect>
            <v:rect style="position:absolute;left:2170;top:-442;width:83;height:95" filled="true" fillcolor="#835335" stroked="false">
              <v:fill type="solid"/>
            </v:rect>
            <v:rect style="position:absolute;left:2170;top:-442;width:83;height:97" filled="false" stroked="true" strokeweight=".5pt" strokecolor="#000000">
              <v:stroke dashstyle="solid"/>
            </v:rect>
            <v:rect style="position:absolute;left:2170;top:-348;width:83;height:261" filled="true" fillcolor="#f6bd61" stroked="false">
              <v:fill type="solid"/>
            </v:rect>
            <v:rect style="position:absolute;left:2170;top:-348;width:83;height:261" filled="false" stroked="true" strokeweight=".5pt" strokecolor="#000000">
              <v:stroke dashstyle="solid"/>
            </v:rect>
            <v:rect style="position:absolute;left:2170;top:-90;width:83;height:18" filled="true" fillcolor="#b3dabb" stroked="false">
              <v:fill type="solid"/>
            </v:rect>
            <v:rect style="position:absolute;left:2170;top:-90;width:83;height:18" filled="false" stroked="true" strokeweight=".5pt" strokecolor="#000000">
              <v:stroke dashstyle="solid"/>
            </v:rect>
            <v:rect style="position:absolute;left:2398;top:-570;width:83;height:174" filled="true" fillcolor="#006caa" stroked="false">
              <v:fill type="solid"/>
            </v:rect>
            <v:rect style="position:absolute;left:2398;top:-572;width:83;height:179" filled="false" stroked="true" strokeweight=".5pt" strokecolor="#000000">
              <v:stroke dashstyle="solid"/>
            </v:rect>
            <v:rect style="position:absolute;left:2398;top:-396;width:83;height:113" filled="true" fillcolor="#835335" stroked="false">
              <v:fill type="solid"/>
            </v:rect>
            <v:rect style="position:absolute;left:2398;top:-396;width:83;height:115" filled="false" stroked="true" strokeweight=".5pt" strokecolor="#000000">
              <v:stroke dashstyle="solid"/>
            </v:rect>
            <v:rect style="position:absolute;left:2398;top:-1898;width:83;height:1329" filled="true" fillcolor="#f6bd61" stroked="false">
              <v:fill type="solid"/>
            </v:rect>
            <v:rect style="position:absolute;left:2398;top:-1898;width:83;height:1329" filled="false" stroked="true" strokeweight=".5pt" strokecolor="#000000">
              <v:stroke dashstyle="solid"/>
            </v:rect>
            <v:rect style="position:absolute;left:2398;top:-284;width:83;height:148" filled="true" fillcolor="#b3dabb" stroked="false">
              <v:fill type="solid"/>
            </v:rect>
            <v:rect style="position:absolute;left:2398;top:-284;width:83;height:148" filled="false" stroked="true" strokeweight=".5pt" strokecolor="#000000">
              <v:stroke dashstyle="solid"/>
            </v:rect>
            <v:rect style="position:absolute;left:2625;top:-572;width:83;height:452" filled="true" fillcolor="#006caa" stroked="false">
              <v:fill type="solid"/>
            </v:rect>
            <v:rect style="position:absolute;left:2625;top:-572;width:83;height:452" filled="false" stroked="true" strokeweight=".5pt" strokecolor="#000000">
              <v:stroke dashstyle="solid"/>
            </v:rect>
            <v:rect style="position:absolute;left:2625;top:-679;width:83;height:110" filled="true" fillcolor="#835335" stroked="false">
              <v:fill type="solid"/>
            </v:rect>
            <v:rect style="position:absolute;left:2625;top:-682;width:83;height:113" filled="false" stroked="true" strokeweight=".5pt" strokecolor="#000000">
              <v:stroke dashstyle="solid"/>
            </v:rect>
            <v:rect style="position:absolute;left:2625;top:-1370;width:83;height:692" filled="true" fillcolor="#f6bd61" stroked="false">
              <v:fill type="solid"/>
            </v:rect>
            <v:rect style="position:absolute;left:2625;top:-1370;width:83;height:692" filled="false" stroked="true" strokeweight=".5pt" strokecolor="#000000">
              <v:stroke dashstyle="solid"/>
            </v:rect>
            <v:rect style="position:absolute;left:2625;top:-123;width:83;height:146" filled="true" fillcolor="#b3dabb" stroked="false">
              <v:fill type="solid"/>
            </v:rect>
            <v:rect style="position:absolute;left:2625;top:-123;width:83;height:146" filled="false" stroked="true" strokeweight=".5pt" strokecolor="#000000">
              <v:stroke dashstyle="solid"/>
            </v:rect>
            <v:rect style="position:absolute;left:2863;top:-572;width:83;height:388" filled="true" fillcolor="#006caa" stroked="false">
              <v:fill type="solid"/>
            </v:rect>
            <v:rect style="position:absolute;left:2863;top:-572;width:83;height:388" filled="false" stroked="true" strokeweight=".5pt" strokecolor="#000000">
              <v:stroke dashstyle="solid"/>
            </v:rect>
            <v:rect style="position:absolute;left:2863;top:-1018;width:83;height:449" filled="true" fillcolor="#f6bd61" stroked="false">
              <v:fill type="solid"/>
            </v:rect>
            <v:rect style="position:absolute;left:2863;top:-1018;width:83;height:449" filled="false" stroked="true" strokeweight=".5pt" strokecolor="#000000">
              <v:stroke dashstyle="solid"/>
            </v:rect>
            <v:rect style="position:absolute;left:2863;top:-187;width:83;height:18" filled="true" fillcolor="#b3dabb" stroked="false">
              <v:fill type="solid"/>
            </v:rect>
            <v:rect style="position:absolute;left:2863;top:-187;width:83;height:18" filled="false" stroked="true" strokeweight=".5pt" strokecolor="#000000">
              <v:stroke dashstyle="solid"/>
            </v:rect>
            <v:rect style="position:absolute;left:3090;top:-570;width:83;height:243" filled="true" fillcolor="#006caa" stroked="false">
              <v:fill type="solid"/>
            </v:rect>
            <v:rect style="position:absolute;left:3090;top:-572;width:83;height:245" filled="false" stroked="true" strokeweight=".5pt" strokecolor="#000000">
              <v:stroke dashstyle="solid"/>
            </v:rect>
            <v:rect style="position:absolute;left:3090;top:-664;width:83;height:95" filled="true" fillcolor="#835335" stroked="false">
              <v:fill type="solid"/>
            </v:rect>
            <v:rect style="position:absolute;left:3090;top:-667;width:83;height:97" filled="false" stroked="true" strokeweight=".5pt" strokecolor="#000000">
              <v:stroke dashstyle="solid"/>
            </v:rect>
            <v:rect style="position:absolute;left:3090;top:-1610;width:83;height:947" filled="true" fillcolor="#f6bd61" stroked="false">
              <v:fill type="solid"/>
            </v:rect>
            <v:rect style="position:absolute;left:3090;top:-1610;width:83;height:947" filled="false" stroked="true" strokeweight=".5pt" strokecolor="#000000">
              <v:stroke dashstyle="solid"/>
            </v:rect>
            <v:rect style="position:absolute;left:3330;top:-572;width:70;height:355" filled="true" fillcolor="#006caa" stroked="false">
              <v:fill type="solid"/>
            </v:rect>
            <v:rect style="position:absolute;left:3330;top:-572;width:70;height:355" filled="false" stroked="true" strokeweight=".5pt" strokecolor="#000000">
              <v:stroke dashstyle="solid"/>
            </v:rect>
            <v:rect style="position:absolute;left:3330;top:-220;width:70;height:21" filled="true" fillcolor="#835335" stroked="false">
              <v:fill type="solid"/>
            </v:rect>
            <v:rect style="position:absolute;left:3330;top:-220;width:70;height:21" filled="false" stroked="true" strokeweight=".5pt" strokecolor="#000000">
              <v:stroke dashstyle="solid"/>
            </v:rect>
            <v:rect style="position:absolute;left:3330;top:-1067;width:70;height:498" filled="true" fillcolor="#f6bd61" stroked="false">
              <v:fill type="solid"/>
            </v:rect>
            <v:rect style="position:absolute;left:3330;top:-1067;width:70;height:498" filled="false" stroked="true" strokeweight=".5pt" strokecolor="#000000">
              <v:stroke dashstyle="solid"/>
            </v:rect>
            <v:rect style="position:absolute;left:3330;top:-202;width:70;height:131" filled="true" fillcolor="#b3dabb" stroked="false">
              <v:fill type="solid"/>
            </v:rect>
            <v:rect style="position:absolute;left:3330;top:-202;width:70;height:131" filled="false" stroked="true" strokeweight=".5pt" strokecolor="#000000">
              <v:stroke dashstyle="solid"/>
            </v:rect>
            <v:rect style="position:absolute;left:3555;top:-572;width:83;height:115" filled="true" fillcolor="#006caa" stroked="false">
              <v:fill type="solid"/>
            </v:rect>
            <v:rect style="position:absolute;left:3555;top:-572;width:83;height:115" filled="false" stroked="true" strokeweight=".5pt" strokecolor="#000000">
              <v:stroke dashstyle="solid"/>
            </v:rect>
            <v:rect style="position:absolute;left:3555;top:-600;width:83;height:31" filled="true" fillcolor="#835335" stroked="false">
              <v:fill type="solid"/>
            </v:rect>
            <v:rect style="position:absolute;left:3555;top:-603;width:83;height:34" filled="false" stroked="true" strokeweight=".5pt" strokecolor="#000000">
              <v:stroke dashstyle="solid"/>
            </v:rect>
            <v:rect style="position:absolute;left:3555;top:-1273;width:83;height:674" filled="true" fillcolor="#f6bd61" stroked="false">
              <v:fill type="solid"/>
            </v:rect>
            <v:rect style="position:absolute;left:3555;top:-1273;width:83;height:674" filled="false" stroked="true" strokeweight=".5pt" strokecolor="#000000">
              <v:stroke dashstyle="solid"/>
            </v:rect>
            <v:rect style="position:absolute;left:3555;top:-1355;width:83;height:85" filled="true" fillcolor="#b3dabb" stroked="false">
              <v:fill type="solid"/>
            </v:rect>
            <v:rect style="position:absolute;left:3555;top:-1355;width:83;height:85" filled="false" stroked="true" strokeweight=".5pt" strokecolor="#000000">
              <v:stroke dashstyle="solid"/>
            </v:rect>
            <v:rect style="position:absolute;left:3783;top:-570;width:83;height:110" filled="true" fillcolor="#006caa" stroked="false">
              <v:fill type="solid"/>
            </v:rect>
            <v:rect style="position:absolute;left:3783;top:-572;width:83;height:115" filled="false" stroked="true" strokeweight=".5pt" strokecolor="#000000">
              <v:stroke dashstyle="solid"/>
            </v:rect>
            <v:rect style="position:absolute;left:3783;top:-649;width:83;height:80" filled="true" fillcolor="#835335" stroked="false">
              <v:fill type="solid"/>
            </v:rect>
            <v:rect style="position:absolute;left:3783;top:-651;width:83;height:82" filled="false" stroked="true" strokeweight=".5pt" strokecolor="#000000">
              <v:stroke dashstyle="solid"/>
            </v:rect>
            <v:rect style="position:absolute;left:3783;top:-460;width:83;height:388" filled="true" fillcolor="#f6bd61" stroked="false">
              <v:fill type="solid"/>
            </v:rect>
            <v:rect style="position:absolute;left:3783;top:-460;width:83;height:388" filled="false" stroked="true" strokeweight=".5pt" strokecolor="#000000">
              <v:stroke dashstyle="solid"/>
            </v:rect>
            <v:rect style="position:absolute;left:3783;top:-812;width:83;height:164" filled="true" fillcolor="#b3dabb" stroked="false">
              <v:fill type="solid"/>
            </v:rect>
            <v:shape style="position:absolute;left:1013;top:-812;width:2853;height:243" coordorigin="1013,-811" coordsize="2853,243" path="m3783,-811l3866,-811,3866,-648,3783,-648,3783,-811xm1013,-572l3863,-569e" filled="false" stroked="true" strokeweight=".5pt" strokecolor="#000000">
              <v:path arrowok="t"/>
              <v:stroke dashstyle="solid"/>
            </v:shape>
            <v:shape style="position:absolute;left:1014;top:-577;width:2770;height:59" coordorigin="1014,-577" coordsize="2770,59" path="m1014,-577l1014,-518m1934,-577l1934,-518m2864,-577l2864,-518m3784,-577l3784,-518e" filled="false" stroked="true" strokeweight=".625pt" strokecolor="#000000">
              <v:path arrowok="t"/>
              <v:stroke dashstyle="solid"/>
            </v:shape>
            <v:shape style="position:absolute;left:1048;top:-2250;width:2780;height:2191" coordorigin="1048,-2250" coordsize="2780,2191" path="m1048,-1625l1286,-2250m1286,-2250l1513,-857m1513,-857l1741,-1643m1741,-1643l1978,-2025m1978,-2025l2206,-59m2206,-59l2443,-1482m2443,-1482l2671,-778m2671,-778l2898,-618m2898,-618l3136,-1370m3136,-1370l3363,-554m3363,-554l3591,-1258m3591,-1258l3828,-314e" filled="false" stroked="true" strokeweight="1pt" strokecolor="#de0035">
              <v:path arrowok="t"/>
              <v:stroke dashstyle="solid"/>
            </v:shape>
            <v:shape style="position:absolute;left:830;top:-2362;width:3195;height:2518" coordorigin="831,-2361" coordsize="3195,2518" path="m985,156l3884,156m983,88l983,156m1887,88l1887,156m2792,88l2792,156m3696,88l3696,156m831,-2361l917,-2361m831,-2002l917,-2002m831,-1642l917,-1642m831,-1283l917,-1283m831,-923l917,-923m831,-564l917,-564m831,-204l917,-204m831,155l917,155m3938,-2361l4025,-2361m3938,-2002l4025,-2002m3938,-1642l4025,-1642m3938,-1283l4025,-1283m3938,-923l4025,-923m3938,-564l4025,-564m3938,-204l4025,-204m3938,155l4025,155e" filled="false" stroked="true" strokeweight=".5pt" strokecolor="#000000">
              <v:path arrowok="t"/>
              <v:stroke dashstyle="solid"/>
            </v:shape>
            <w10:wrap type="none"/>
          </v:group>
        </w:pict>
      </w:r>
      <w:r>
        <w:rPr>
          <w:sz w:val="12"/>
        </w:rPr>
        <w:t>100</w:t>
      </w:r>
    </w:p>
    <w:p>
      <w:pPr>
        <w:spacing w:line="242" w:lineRule="auto" w:before="3"/>
        <w:ind w:left="190" w:right="148" w:firstLine="0"/>
        <w:jc w:val="left"/>
        <w:rPr>
          <w:sz w:val="24"/>
        </w:rPr>
      </w:pPr>
      <w:r>
        <w:rPr/>
        <w:br w:type="column"/>
      </w:r>
      <w:r>
        <w:rPr>
          <w:sz w:val="24"/>
        </w:rPr>
        <w:t>than the LFS measure. In contrast to the recent upward trend in LFS employment, the number of </w:t>
      </w:r>
      <w:r>
        <w:rPr>
          <w:spacing w:val="-3"/>
          <w:sz w:val="24"/>
        </w:rPr>
        <w:t>Workforce </w:t>
      </w:r>
      <w:r>
        <w:rPr>
          <w:sz w:val="24"/>
        </w:rPr>
        <w:t>Jobs fell by 35,000 (0.1%) in 2000 Q1 (see Chart 3.3). This mainly reflected a 52,000 (0.2%) reduction in the number of service sector jobs, as employment in finance and business services fell </w:t>
      </w:r>
      <w:r>
        <w:rPr>
          <w:spacing w:val="-3"/>
          <w:sz w:val="24"/>
        </w:rPr>
        <w:t>significantly. </w:t>
      </w:r>
      <w:r>
        <w:rPr>
          <w:sz w:val="24"/>
        </w:rPr>
        <w:t>The trend in service sector employment remains upward, </w:t>
      </w:r>
      <w:r>
        <w:rPr>
          <w:spacing w:val="-3"/>
          <w:sz w:val="24"/>
        </w:rPr>
        <w:t>however; over </w:t>
      </w:r>
      <w:r>
        <w:rPr>
          <w:sz w:val="24"/>
        </w:rPr>
        <w:t>the past year the number of service sector jobs has risen by 242,000 (1.2%). Employment in the production sector has continued to decline. The number of production industry jobs fell by 16,000 (0.4%) in Q1 and by 111,000 (2.5%) </w:t>
      </w:r>
      <w:r>
        <w:rPr>
          <w:spacing w:val="-3"/>
          <w:sz w:val="24"/>
        </w:rPr>
        <w:t>over </w:t>
      </w:r>
      <w:r>
        <w:rPr>
          <w:sz w:val="24"/>
        </w:rPr>
        <w:t>the</w:t>
      </w:r>
      <w:r>
        <w:rPr>
          <w:spacing w:val="-3"/>
          <w:sz w:val="24"/>
        </w:rPr>
        <w:t> </w:t>
      </w:r>
      <w:r>
        <w:rPr>
          <w:spacing w:val="-4"/>
          <w:sz w:val="24"/>
        </w:rPr>
        <w:t>year.</w:t>
      </w:r>
    </w:p>
    <w:p>
      <w:pPr>
        <w:spacing w:after="0" w:line="242" w:lineRule="auto"/>
        <w:jc w:val="left"/>
        <w:rPr>
          <w:sz w:val="24"/>
        </w:rPr>
        <w:sectPr>
          <w:type w:val="continuous"/>
          <w:pgSz w:w="11900" w:h="16840"/>
          <w:pgMar w:top="1260" w:bottom="280" w:left="640" w:right="640"/>
          <w:cols w:num="5" w:equalWidth="0">
            <w:col w:w="1020" w:space="40"/>
            <w:col w:w="880" w:space="117"/>
            <w:col w:w="1328" w:space="40"/>
            <w:col w:w="217" w:space="1142"/>
            <w:col w:w="5836"/>
          </w:cols>
        </w:sectPr>
      </w:pPr>
    </w:p>
    <w:p>
      <w:pPr>
        <w:tabs>
          <w:tab w:pos="1645" w:val="left" w:leader="none"/>
          <w:tab w:pos="2572" w:val="left" w:leader="none"/>
          <w:tab w:pos="3073" w:val="left" w:leader="none"/>
        </w:tabs>
        <w:spacing w:line="133" w:lineRule="exact" w:before="0"/>
        <w:ind w:left="660" w:right="0" w:firstLine="0"/>
        <w:jc w:val="left"/>
        <w:rPr>
          <w:sz w:val="12"/>
        </w:rPr>
      </w:pPr>
      <w:r>
        <w:rPr>
          <w:sz w:val="12"/>
        </w:rPr>
        <w:t>1997</w:t>
        <w:tab/>
        <w:t>98</w:t>
        <w:tab/>
        <w:t>99</w:t>
        <w:tab/>
        <w:t>2000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90"/>
        <w:ind w:left="178"/>
      </w:pPr>
      <w:r>
        <w:rPr>
          <w:color w:val="0092C7"/>
        </w:rPr>
        <w:t>Table 3.A</w:t>
      </w:r>
    </w:p>
    <w:p>
      <w:pPr>
        <w:pStyle w:val="Heading6"/>
        <w:ind w:left="178"/>
        <w:rPr>
          <w:b w:val="0"/>
          <w:sz w:val="12"/>
        </w:rPr>
      </w:pPr>
      <w:r>
        <w:rPr>
          <w:color w:val="0092C7"/>
        </w:rPr>
        <w:t>Surveys of employment intentions</w:t>
      </w:r>
      <w:r>
        <w:rPr>
          <w:b w:val="0"/>
          <w:position w:val="4"/>
          <w:sz w:val="12"/>
        </w:rPr>
        <w:t>(a)</w:t>
      </w:r>
    </w:p>
    <w:p>
      <w:pPr>
        <w:spacing w:before="106"/>
        <w:ind w:left="178" w:right="0" w:firstLine="0"/>
        <w:jc w:val="left"/>
        <w:rPr>
          <w:sz w:val="12"/>
        </w:rPr>
      </w:pPr>
      <w:r>
        <w:rPr>
          <w:sz w:val="14"/>
        </w:rPr>
        <w:t>Percentage balance of employers planning to recruit in next period </w:t>
      </w:r>
      <w:r>
        <w:rPr>
          <w:sz w:val="12"/>
        </w:rPr>
        <w:t>(b)</w:t>
      </w:r>
    </w:p>
    <w:p>
      <w:pPr>
        <w:tabs>
          <w:tab w:pos="1799" w:val="left" w:leader="none"/>
          <w:tab w:pos="3489" w:val="left" w:leader="none"/>
          <w:tab w:pos="3698" w:val="left" w:leader="none"/>
          <w:tab w:pos="4405" w:val="left" w:leader="none"/>
        </w:tabs>
        <w:spacing w:line="150" w:lineRule="exact" w:before="119"/>
        <w:ind w:left="1148" w:right="0" w:firstLine="0"/>
        <w:jc w:val="left"/>
        <w:rPr>
          <w:sz w:val="14"/>
        </w:rPr>
      </w:pPr>
      <w:r>
        <w:rPr>
          <w:sz w:val="14"/>
        </w:rPr>
        <w:t>Series</w:t>
        <w:tab/>
      </w:r>
      <w:r>
        <w:rPr>
          <w:sz w:val="14"/>
          <w:u w:val="single"/>
        </w:rPr>
        <w:t> 1999</w:t>
        <w:tab/>
      </w:r>
      <w:r>
        <w:rPr>
          <w:sz w:val="14"/>
        </w:rPr>
        <w:tab/>
      </w:r>
      <w:r>
        <w:rPr>
          <w:sz w:val="14"/>
          <w:u w:val="single"/>
        </w:rPr>
        <w:t>2000</w:t>
        <w:tab/>
      </w:r>
    </w:p>
    <w:p>
      <w:pPr>
        <w:tabs>
          <w:tab w:pos="2288" w:val="left" w:leader="none"/>
          <w:tab w:pos="2738" w:val="left" w:leader="none"/>
          <w:tab w:pos="3208" w:val="left" w:leader="none"/>
          <w:tab w:pos="3698" w:val="left" w:leader="none"/>
        </w:tabs>
        <w:spacing w:line="150" w:lineRule="exact" w:before="0"/>
        <w:ind w:left="1148" w:right="0" w:firstLine="0"/>
        <w:jc w:val="left"/>
        <w:rPr>
          <w:sz w:val="14"/>
        </w:rPr>
      </w:pPr>
      <w:r>
        <w:rPr>
          <w:sz w:val="14"/>
          <w:u w:val="single"/>
        </w:rPr>
        <w:t>average</w:t>
      </w:r>
      <w:r>
        <w:rPr>
          <w:spacing w:val="-7"/>
          <w:sz w:val="14"/>
          <w:u w:val="single"/>
        </w:rPr>
        <w:t> </w:t>
      </w:r>
      <w:r>
        <w:rPr>
          <w:sz w:val="12"/>
          <w:u w:val="single"/>
        </w:rPr>
        <w:t>(c</w:t>
      </w:r>
      <w:r>
        <w:rPr>
          <w:sz w:val="12"/>
        </w:rPr>
        <w:t>) </w:t>
      </w:r>
      <w:r>
        <w:rPr>
          <w:spacing w:val="20"/>
          <w:sz w:val="12"/>
          <w:u w:val="single"/>
        </w:rPr>
        <w:t> </w:t>
      </w:r>
      <w:r>
        <w:rPr>
          <w:sz w:val="14"/>
          <w:u w:val="single"/>
        </w:rPr>
        <w:t>Q1</w:t>
      </w:r>
      <w:r>
        <w:rPr>
          <w:sz w:val="14"/>
        </w:rPr>
        <w:tab/>
      </w:r>
      <w:r>
        <w:rPr>
          <w:sz w:val="14"/>
          <w:u w:val="single"/>
        </w:rPr>
        <w:t>Q2</w:t>
      </w:r>
      <w:r>
        <w:rPr>
          <w:sz w:val="14"/>
        </w:rPr>
        <w:tab/>
      </w:r>
      <w:r>
        <w:rPr>
          <w:sz w:val="14"/>
          <w:u w:val="single"/>
        </w:rPr>
        <w:t>Q3</w:t>
      </w:r>
      <w:r>
        <w:rPr>
          <w:sz w:val="14"/>
        </w:rPr>
        <w:tab/>
      </w:r>
      <w:r>
        <w:rPr>
          <w:sz w:val="14"/>
          <w:u w:val="single"/>
        </w:rPr>
        <w:t>Q4</w:t>
      </w:r>
      <w:r>
        <w:rPr>
          <w:sz w:val="14"/>
        </w:rPr>
        <w:tab/>
      </w:r>
      <w:r>
        <w:rPr>
          <w:sz w:val="14"/>
          <w:u w:val="single"/>
        </w:rPr>
        <w:t>Q1</w:t>
      </w:r>
      <w:r>
        <w:rPr>
          <w:spacing w:val="32"/>
          <w:sz w:val="14"/>
        </w:rPr>
        <w:t> </w:t>
      </w:r>
      <w:r>
        <w:rPr>
          <w:sz w:val="14"/>
          <w:u w:val="single"/>
        </w:rPr>
        <w:t>Q2</w:t>
      </w:r>
      <w:r>
        <w:rPr>
          <w:spacing w:val="10"/>
          <w:sz w:val="14"/>
          <w:u w:val="single"/>
        </w:rPr>
        <w:t> </w:t>
      </w:r>
    </w:p>
    <w:p>
      <w:pPr>
        <w:spacing w:line="150" w:lineRule="exact" w:before="119"/>
        <w:ind w:left="178" w:right="0" w:firstLine="0"/>
        <w:jc w:val="left"/>
        <w:rPr>
          <w:b/>
          <w:sz w:val="14"/>
        </w:rPr>
      </w:pPr>
      <w:r>
        <w:rPr/>
        <w:pict>
          <v:shape style="position:absolute;margin-left:92.439034pt;margin-top:8.697407pt;width:442.9pt;height:27.3pt;mso-position-horizontal-relative:page;mso-position-vertical-relative:paragraph;z-index:1612032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
                    <w:gridCol w:w="530"/>
                    <w:gridCol w:w="465"/>
                    <w:gridCol w:w="475"/>
                    <w:gridCol w:w="485"/>
                    <w:gridCol w:w="460"/>
                    <w:gridCol w:w="608"/>
                    <w:gridCol w:w="5414"/>
                  </w:tblGrid>
                  <w:tr>
                    <w:trPr>
                      <w:trHeight w:val="272" w:hRule="atLeast"/>
                    </w:trPr>
                    <w:tc>
                      <w:tcPr>
                        <w:tcW w:w="420" w:type="dxa"/>
                      </w:tcPr>
                      <w:p>
                        <w:pPr>
                          <w:pStyle w:val="TableParagraph"/>
                          <w:spacing w:line="240" w:lineRule="auto" w:before="85"/>
                          <w:ind w:right="229"/>
                          <w:jc w:val="right"/>
                          <w:rPr>
                            <w:sz w:val="14"/>
                          </w:rPr>
                        </w:pPr>
                        <w:r>
                          <w:rPr>
                            <w:sz w:val="14"/>
                          </w:rPr>
                          <w:t>13</w:t>
                        </w:r>
                      </w:p>
                    </w:tc>
                    <w:tc>
                      <w:tcPr>
                        <w:tcW w:w="530" w:type="dxa"/>
                      </w:tcPr>
                      <w:p>
                        <w:pPr>
                          <w:pStyle w:val="TableParagraph"/>
                          <w:spacing w:line="240" w:lineRule="auto" w:before="85"/>
                          <w:ind w:right="158"/>
                          <w:jc w:val="right"/>
                          <w:rPr>
                            <w:sz w:val="14"/>
                          </w:rPr>
                        </w:pPr>
                        <w:r>
                          <w:rPr>
                            <w:sz w:val="14"/>
                          </w:rPr>
                          <w:t>12</w:t>
                        </w:r>
                      </w:p>
                    </w:tc>
                    <w:tc>
                      <w:tcPr>
                        <w:tcW w:w="465" w:type="dxa"/>
                      </w:tcPr>
                      <w:p>
                        <w:pPr>
                          <w:pStyle w:val="TableParagraph"/>
                          <w:spacing w:line="240" w:lineRule="auto" w:before="85"/>
                          <w:ind w:left="141" w:right="144"/>
                          <w:jc w:val="center"/>
                          <w:rPr>
                            <w:sz w:val="14"/>
                          </w:rPr>
                        </w:pPr>
                        <w:r>
                          <w:rPr>
                            <w:sz w:val="14"/>
                          </w:rPr>
                          <w:t>16</w:t>
                        </w:r>
                      </w:p>
                    </w:tc>
                    <w:tc>
                      <w:tcPr>
                        <w:tcW w:w="475" w:type="dxa"/>
                      </w:tcPr>
                      <w:p>
                        <w:pPr>
                          <w:pStyle w:val="TableParagraph"/>
                          <w:spacing w:line="240" w:lineRule="auto" w:before="85"/>
                          <w:ind w:left="145" w:right="149"/>
                          <w:jc w:val="center"/>
                          <w:rPr>
                            <w:sz w:val="14"/>
                          </w:rPr>
                        </w:pPr>
                        <w:r>
                          <w:rPr>
                            <w:sz w:val="14"/>
                          </w:rPr>
                          <w:t>21</w:t>
                        </w:r>
                      </w:p>
                    </w:tc>
                    <w:tc>
                      <w:tcPr>
                        <w:tcW w:w="485" w:type="dxa"/>
                      </w:tcPr>
                      <w:p>
                        <w:pPr>
                          <w:pStyle w:val="TableParagraph"/>
                          <w:spacing w:line="240" w:lineRule="auto" w:before="85"/>
                          <w:ind w:left="151" w:right="153"/>
                          <w:jc w:val="center"/>
                          <w:rPr>
                            <w:sz w:val="14"/>
                          </w:rPr>
                        </w:pPr>
                        <w:r>
                          <w:rPr>
                            <w:sz w:val="14"/>
                          </w:rPr>
                          <w:t>21</w:t>
                        </w:r>
                      </w:p>
                    </w:tc>
                    <w:tc>
                      <w:tcPr>
                        <w:tcW w:w="460" w:type="dxa"/>
                      </w:tcPr>
                      <w:p>
                        <w:pPr>
                          <w:pStyle w:val="TableParagraph"/>
                          <w:spacing w:line="240" w:lineRule="auto" w:before="85"/>
                          <w:ind w:left="155" w:right="125"/>
                          <w:jc w:val="center"/>
                          <w:rPr>
                            <w:sz w:val="14"/>
                          </w:rPr>
                        </w:pPr>
                        <w:r>
                          <w:rPr>
                            <w:sz w:val="14"/>
                          </w:rPr>
                          <w:t>25</w:t>
                        </w:r>
                      </w:p>
                    </w:tc>
                    <w:tc>
                      <w:tcPr>
                        <w:tcW w:w="608" w:type="dxa"/>
                      </w:tcPr>
                      <w:p>
                        <w:pPr>
                          <w:pStyle w:val="TableParagraph"/>
                          <w:spacing w:line="240" w:lineRule="auto" w:before="85"/>
                          <w:ind w:left="145"/>
                          <w:rPr>
                            <w:sz w:val="14"/>
                          </w:rPr>
                        </w:pPr>
                        <w:r>
                          <w:rPr>
                            <w:sz w:val="14"/>
                          </w:rPr>
                          <w:t>28</w:t>
                        </w:r>
                      </w:p>
                    </w:tc>
                    <w:tc>
                      <w:tcPr>
                        <w:tcW w:w="5414" w:type="dxa"/>
                      </w:tcPr>
                      <w:p>
                        <w:pPr>
                          <w:pStyle w:val="TableParagraph"/>
                          <w:spacing w:line="253" w:lineRule="exact"/>
                          <w:ind w:left="323"/>
                          <w:rPr>
                            <w:sz w:val="24"/>
                          </w:rPr>
                        </w:pPr>
                        <w:r>
                          <w:rPr>
                            <w:sz w:val="24"/>
                          </w:rPr>
                          <w:t>sector, although some slowdown was apparent in the</w:t>
                        </w:r>
                      </w:p>
                    </w:tc>
                  </w:tr>
                  <w:tr>
                    <w:trPr>
                      <w:trHeight w:val="272" w:hRule="atLeast"/>
                    </w:trPr>
                    <w:tc>
                      <w:tcPr>
                        <w:tcW w:w="420" w:type="dxa"/>
                      </w:tcPr>
                      <w:p>
                        <w:pPr>
                          <w:pStyle w:val="TableParagraph"/>
                          <w:spacing w:line="161" w:lineRule="exact" w:before="92"/>
                          <w:ind w:right="229"/>
                          <w:jc w:val="right"/>
                          <w:rPr>
                            <w:sz w:val="14"/>
                          </w:rPr>
                        </w:pPr>
                        <w:r>
                          <w:rPr>
                            <w:sz w:val="14"/>
                          </w:rPr>
                          <w:t>3</w:t>
                        </w:r>
                      </w:p>
                    </w:tc>
                    <w:tc>
                      <w:tcPr>
                        <w:tcW w:w="530" w:type="dxa"/>
                      </w:tcPr>
                      <w:p>
                        <w:pPr>
                          <w:pStyle w:val="TableParagraph"/>
                          <w:spacing w:line="161" w:lineRule="exact" w:before="92"/>
                          <w:ind w:right="158"/>
                          <w:jc w:val="right"/>
                          <w:rPr>
                            <w:sz w:val="14"/>
                          </w:rPr>
                        </w:pPr>
                        <w:r>
                          <w:rPr>
                            <w:sz w:val="14"/>
                          </w:rPr>
                          <w:t>-5</w:t>
                        </w:r>
                      </w:p>
                    </w:tc>
                    <w:tc>
                      <w:tcPr>
                        <w:tcW w:w="465" w:type="dxa"/>
                      </w:tcPr>
                      <w:p>
                        <w:pPr>
                          <w:pStyle w:val="TableParagraph"/>
                          <w:spacing w:line="161" w:lineRule="exact" w:before="92"/>
                          <w:ind w:left="64"/>
                          <w:jc w:val="center"/>
                          <w:rPr>
                            <w:sz w:val="14"/>
                          </w:rPr>
                        </w:pPr>
                        <w:r>
                          <w:rPr>
                            <w:sz w:val="14"/>
                          </w:rPr>
                          <w:t>2</w:t>
                        </w:r>
                      </w:p>
                    </w:tc>
                    <w:tc>
                      <w:tcPr>
                        <w:tcW w:w="475" w:type="dxa"/>
                      </w:tcPr>
                      <w:p>
                        <w:pPr>
                          <w:pStyle w:val="TableParagraph"/>
                          <w:spacing w:line="161" w:lineRule="exact" w:before="92"/>
                          <w:ind w:left="64"/>
                          <w:jc w:val="center"/>
                          <w:rPr>
                            <w:sz w:val="14"/>
                          </w:rPr>
                        </w:pPr>
                        <w:r>
                          <w:rPr>
                            <w:sz w:val="14"/>
                          </w:rPr>
                          <w:t>6</w:t>
                        </w:r>
                      </w:p>
                    </w:tc>
                    <w:tc>
                      <w:tcPr>
                        <w:tcW w:w="485" w:type="dxa"/>
                      </w:tcPr>
                      <w:p>
                        <w:pPr>
                          <w:pStyle w:val="TableParagraph"/>
                          <w:spacing w:line="161" w:lineRule="exact" w:before="92"/>
                          <w:ind w:left="150" w:right="153"/>
                          <w:jc w:val="center"/>
                          <w:rPr>
                            <w:sz w:val="14"/>
                          </w:rPr>
                        </w:pPr>
                        <w:r>
                          <w:rPr>
                            <w:sz w:val="14"/>
                          </w:rPr>
                          <w:t>12</w:t>
                        </w:r>
                      </w:p>
                    </w:tc>
                    <w:tc>
                      <w:tcPr>
                        <w:tcW w:w="460" w:type="dxa"/>
                      </w:tcPr>
                      <w:p>
                        <w:pPr>
                          <w:pStyle w:val="TableParagraph"/>
                          <w:spacing w:line="161" w:lineRule="exact" w:before="92"/>
                          <w:ind w:left="99"/>
                          <w:jc w:val="center"/>
                          <w:rPr>
                            <w:sz w:val="14"/>
                          </w:rPr>
                        </w:pPr>
                        <w:r>
                          <w:rPr>
                            <w:sz w:val="14"/>
                          </w:rPr>
                          <w:t>4</w:t>
                        </w:r>
                      </w:p>
                    </w:tc>
                    <w:tc>
                      <w:tcPr>
                        <w:tcW w:w="608" w:type="dxa"/>
                      </w:tcPr>
                      <w:p>
                        <w:pPr>
                          <w:pStyle w:val="TableParagraph"/>
                          <w:spacing w:line="161" w:lineRule="exact" w:before="92"/>
                          <w:ind w:left="144"/>
                          <w:rPr>
                            <w:sz w:val="14"/>
                          </w:rPr>
                        </w:pPr>
                        <w:r>
                          <w:rPr>
                            <w:sz w:val="14"/>
                          </w:rPr>
                          <w:t>11</w:t>
                        </w:r>
                      </w:p>
                    </w:tc>
                    <w:tc>
                      <w:tcPr>
                        <w:tcW w:w="5414" w:type="dxa"/>
                      </w:tcPr>
                      <w:p>
                        <w:pPr>
                          <w:pStyle w:val="TableParagraph"/>
                          <w:spacing w:line="253" w:lineRule="exact"/>
                          <w:ind w:left="323"/>
                          <w:rPr>
                            <w:sz w:val="24"/>
                          </w:rPr>
                        </w:pPr>
                        <w:r>
                          <w:rPr>
                            <w:sz w:val="24"/>
                          </w:rPr>
                          <w:t>Manpower survey. The most recent</w:t>
                        </w:r>
                      </w:p>
                    </w:tc>
                  </w:tr>
                </w:tbl>
                <w:p>
                  <w:pPr>
                    <w:pStyle w:val="BodyText"/>
                  </w:pPr>
                </w:p>
              </w:txbxContent>
            </v:textbox>
            <w10:wrap type="none"/>
          </v:shape>
        </w:pict>
      </w:r>
      <w:r>
        <w:rPr>
          <w:b/>
          <w:sz w:val="14"/>
        </w:rPr>
        <w:t>Services</w:t>
      </w:r>
    </w:p>
    <w:p>
      <w:pPr>
        <w:spacing w:line="140" w:lineRule="exact" w:before="0"/>
        <w:ind w:left="178" w:right="0" w:firstLine="0"/>
        <w:jc w:val="left"/>
        <w:rPr>
          <w:sz w:val="14"/>
        </w:rPr>
      </w:pPr>
      <w:r>
        <w:rPr>
          <w:sz w:val="14"/>
        </w:rPr>
        <w:t>BCC</w:t>
      </w:r>
    </w:p>
    <w:p>
      <w:pPr>
        <w:spacing w:line="140" w:lineRule="exact" w:before="0"/>
        <w:ind w:left="178" w:right="0" w:firstLine="0"/>
        <w:jc w:val="left"/>
        <w:rPr>
          <w:b/>
          <w:sz w:val="14"/>
        </w:rPr>
      </w:pPr>
      <w:r>
        <w:rPr>
          <w:b/>
          <w:sz w:val="14"/>
        </w:rPr>
        <w:t>Manufacturing</w:t>
      </w:r>
    </w:p>
    <w:p>
      <w:pPr>
        <w:spacing w:line="140" w:lineRule="exact" w:before="0"/>
        <w:ind w:left="178" w:right="0" w:firstLine="0"/>
        <w:jc w:val="left"/>
        <w:rPr>
          <w:sz w:val="14"/>
        </w:rPr>
      </w:pPr>
      <w:r>
        <w:rPr>
          <w:sz w:val="14"/>
        </w:rPr>
        <w:t>BCC</w:t>
      </w:r>
    </w:p>
    <w:p>
      <w:pPr>
        <w:tabs>
          <w:tab w:pos="1212" w:val="left" w:leader="none"/>
          <w:tab w:pos="1812" w:val="left" w:leader="none"/>
          <w:tab w:pos="2272" w:val="left" w:leader="none"/>
          <w:tab w:pos="2742" w:val="left" w:leader="none"/>
          <w:tab w:pos="3222" w:val="left" w:leader="none"/>
          <w:tab w:pos="3712" w:val="left" w:leader="none"/>
          <w:tab w:pos="4142" w:val="left" w:leader="none"/>
        </w:tabs>
        <w:spacing w:line="150" w:lineRule="exact" w:before="0"/>
        <w:ind w:left="178" w:right="0" w:firstLine="0"/>
        <w:jc w:val="left"/>
        <w:rPr>
          <w:sz w:val="14"/>
        </w:rPr>
      </w:pPr>
      <w:r>
        <w:rPr>
          <w:sz w:val="14"/>
        </w:rPr>
        <w:t>CBI</w:t>
        <w:tab/>
        <w:t>-16</w:t>
        <w:tab/>
        <w:t>-26</w:t>
        <w:tab/>
        <w:t>-22</w:t>
        <w:tab/>
        <w:t>-15</w:t>
        <w:tab/>
        <w:t>-10</w:t>
        <w:tab/>
        <w:t>-15</w:t>
        <w:tab/>
        <w:t>-13</w:t>
      </w:r>
    </w:p>
    <w:p>
      <w:pPr>
        <w:pStyle w:val="ListParagraph"/>
        <w:numPr>
          <w:ilvl w:val="0"/>
          <w:numId w:val="22"/>
        </w:numPr>
        <w:tabs>
          <w:tab w:pos="372" w:val="left" w:leader="none"/>
        </w:tabs>
        <w:spacing w:line="129" w:lineRule="exact" w:before="118" w:after="0"/>
        <w:ind w:left="371" w:right="0" w:hanging="194"/>
        <w:jc w:val="left"/>
        <w:rPr>
          <w:sz w:val="12"/>
        </w:rPr>
      </w:pPr>
      <w:r>
        <w:rPr>
          <w:sz w:val="12"/>
        </w:rPr>
        <w:t>Seasonally adjusted by the</w:t>
      </w:r>
      <w:r>
        <w:rPr>
          <w:spacing w:val="-6"/>
          <w:sz w:val="12"/>
        </w:rPr>
        <w:t> </w:t>
      </w:r>
      <w:r>
        <w:rPr>
          <w:sz w:val="12"/>
        </w:rPr>
        <w:t>Bank.</w:t>
      </w:r>
    </w:p>
    <w:p>
      <w:pPr>
        <w:pStyle w:val="ListParagraph"/>
        <w:numPr>
          <w:ilvl w:val="0"/>
          <w:numId w:val="22"/>
        </w:numPr>
        <w:tabs>
          <w:tab w:pos="379" w:val="left" w:leader="none"/>
        </w:tabs>
        <w:spacing w:line="120" w:lineRule="exact" w:before="0" w:after="0"/>
        <w:ind w:left="378" w:right="0" w:hanging="201"/>
        <w:jc w:val="left"/>
        <w:rPr>
          <w:sz w:val="12"/>
        </w:rPr>
      </w:pPr>
      <w:r>
        <w:rPr>
          <w:sz w:val="12"/>
        </w:rPr>
        <w:t>Next three months for BCC; next four months for</w:t>
      </w:r>
      <w:r>
        <w:rPr>
          <w:spacing w:val="-16"/>
          <w:sz w:val="12"/>
        </w:rPr>
        <w:t> </w:t>
      </w:r>
      <w:r>
        <w:rPr>
          <w:sz w:val="12"/>
        </w:rPr>
        <w:t>CBI.</w:t>
      </w:r>
    </w:p>
    <w:p>
      <w:pPr>
        <w:pStyle w:val="ListParagraph"/>
        <w:numPr>
          <w:ilvl w:val="0"/>
          <w:numId w:val="22"/>
        </w:numPr>
        <w:tabs>
          <w:tab w:pos="372" w:val="left" w:leader="none"/>
        </w:tabs>
        <w:spacing w:line="129" w:lineRule="exact" w:before="0" w:after="0"/>
        <w:ind w:left="371" w:right="0" w:hanging="194"/>
        <w:jc w:val="left"/>
        <w:rPr>
          <w:sz w:val="12"/>
        </w:rPr>
      </w:pPr>
      <w:r>
        <w:rPr>
          <w:sz w:val="12"/>
        </w:rPr>
        <w:t>CBI from 1972; BCC from</w:t>
      </w:r>
      <w:r>
        <w:rPr>
          <w:spacing w:val="-7"/>
          <w:sz w:val="12"/>
        </w:rPr>
        <w:t> </w:t>
      </w:r>
      <w:r>
        <w:rPr>
          <w:sz w:val="12"/>
        </w:rPr>
        <w:t>1989.</w:t>
      </w:r>
    </w:p>
    <w:p>
      <w:pPr>
        <w:spacing w:line="242" w:lineRule="auto" w:before="140"/>
        <w:ind w:left="178" w:right="160" w:firstLine="0"/>
        <w:jc w:val="left"/>
        <w:rPr>
          <w:sz w:val="24"/>
        </w:rPr>
      </w:pPr>
      <w:r>
        <w:rPr/>
        <w:br w:type="column"/>
      </w:r>
      <w:r>
        <w:rPr>
          <w:sz w:val="24"/>
        </w:rPr>
        <w:t>More timely indicators suggest continued employment growth.  The CIPS employment index has risen gradually since the turn of the year and is currently slightly above its long-run average. The increases suggested in construction and services employment outweigh the decline indicated in manufacturing employment. The latest CBI/Deloitte &amp; </w:t>
      </w:r>
      <w:r>
        <w:rPr>
          <w:spacing w:val="-4"/>
          <w:sz w:val="24"/>
        </w:rPr>
        <w:t>Touche </w:t>
      </w:r>
      <w:r>
        <w:rPr>
          <w:sz w:val="24"/>
        </w:rPr>
        <w:t>and CBI/PricewaterhouseCoopers</w:t>
      </w:r>
      <w:r>
        <w:rPr>
          <w:spacing w:val="-17"/>
          <w:sz w:val="24"/>
        </w:rPr>
        <w:t> </w:t>
      </w:r>
      <w:r>
        <w:rPr>
          <w:sz w:val="24"/>
        </w:rPr>
        <w:t>surveys</w:t>
      </w:r>
      <w:r>
        <w:rPr>
          <w:spacing w:val="-17"/>
          <w:sz w:val="24"/>
        </w:rPr>
        <w:t> </w:t>
      </w:r>
      <w:r>
        <w:rPr>
          <w:sz w:val="24"/>
        </w:rPr>
        <w:t>reported</w:t>
      </w:r>
      <w:r>
        <w:rPr>
          <w:spacing w:val="-16"/>
          <w:sz w:val="24"/>
        </w:rPr>
        <w:t> </w:t>
      </w:r>
      <w:r>
        <w:rPr>
          <w:sz w:val="24"/>
        </w:rPr>
        <w:t>continued growth in service sector and financial services employment.</w:t>
      </w:r>
    </w:p>
    <w:p>
      <w:pPr>
        <w:pStyle w:val="BodyText"/>
        <w:spacing w:before="11"/>
        <w:rPr>
          <w:sz w:val="21"/>
        </w:rPr>
      </w:pPr>
    </w:p>
    <w:p>
      <w:pPr>
        <w:spacing w:line="242" w:lineRule="auto" w:before="0"/>
        <w:ind w:left="178" w:right="120" w:firstLine="0"/>
        <w:jc w:val="left"/>
        <w:rPr>
          <w:sz w:val="24"/>
        </w:rPr>
      </w:pPr>
      <w:r>
        <w:rPr>
          <w:sz w:val="24"/>
        </w:rPr>
        <w:t>Forward-looking indicators also generally suggest continued whole-economy employment growth, driven by the service sector (see Table 3.A). The latest BCC, Manpower and CBI/Deloitte &amp; Touche surveys indicated continued strong employment intentions in the services</w:t>
      </w:r>
    </w:p>
    <w:p>
      <w:pPr>
        <w:pStyle w:val="BodyText"/>
        <w:rPr>
          <w:sz w:val="26"/>
        </w:rPr>
      </w:pPr>
    </w:p>
    <w:p>
      <w:pPr>
        <w:pStyle w:val="BodyText"/>
        <w:spacing w:before="3"/>
        <w:rPr>
          <w:sz w:val="23"/>
        </w:rPr>
      </w:pPr>
    </w:p>
    <w:p>
      <w:pPr>
        <w:spacing w:line="242" w:lineRule="auto" w:before="0"/>
        <w:ind w:left="178" w:right="170" w:firstLine="0"/>
        <w:jc w:val="left"/>
        <w:rPr>
          <w:sz w:val="24"/>
        </w:rPr>
      </w:pPr>
      <w:r>
        <w:rPr>
          <w:sz w:val="24"/>
        </w:rPr>
        <w:t>CBI/PricewaterhouseCoopers </w:t>
      </w:r>
      <w:r>
        <w:rPr>
          <w:spacing w:val="-4"/>
          <w:sz w:val="24"/>
        </w:rPr>
        <w:t>survey, however, </w:t>
      </w:r>
      <w:r>
        <w:rPr>
          <w:sz w:val="24"/>
        </w:rPr>
        <w:t>reported a large fall in employment intentions in financial services. The latest BCC and CBI surveys suggested an improved outlook for manufacturing employment— although</w:t>
      </w:r>
      <w:r>
        <w:rPr>
          <w:spacing w:val="-8"/>
          <w:sz w:val="24"/>
        </w:rPr>
        <w:t> </w:t>
      </w:r>
      <w:r>
        <w:rPr>
          <w:sz w:val="24"/>
        </w:rPr>
        <w:t>the</w:t>
      </w:r>
      <w:r>
        <w:rPr>
          <w:spacing w:val="-7"/>
          <w:sz w:val="24"/>
        </w:rPr>
        <w:t> </w:t>
      </w:r>
      <w:r>
        <w:rPr>
          <w:sz w:val="24"/>
        </w:rPr>
        <w:t>CBI</w:t>
      </w:r>
      <w:r>
        <w:rPr>
          <w:spacing w:val="-7"/>
          <w:sz w:val="24"/>
        </w:rPr>
        <w:t> </w:t>
      </w:r>
      <w:r>
        <w:rPr>
          <w:sz w:val="24"/>
        </w:rPr>
        <w:t>survey</w:t>
      </w:r>
      <w:r>
        <w:rPr>
          <w:spacing w:val="-7"/>
          <w:sz w:val="24"/>
        </w:rPr>
        <w:t> </w:t>
      </w:r>
      <w:r>
        <w:rPr>
          <w:sz w:val="24"/>
        </w:rPr>
        <w:t>continued</w:t>
      </w:r>
      <w:r>
        <w:rPr>
          <w:spacing w:val="-7"/>
          <w:sz w:val="24"/>
        </w:rPr>
        <w:t> </w:t>
      </w:r>
      <w:r>
        <w:rPr>
          <w:sz w:val="24"/>
        </w:rPr>
        <w:t>to</w:t>
      </w:r>
      <w:r>
        <w:rPr>
          <w:spacing w:val="-7"/>
          <w:sz w:val="24"/>
        </w:rPr>
        <w:t> </w:t>
      </w:r>
      <w:r>
        <w:rPr>
          <w:sz w:val="24"/>
        </w:rPr>
        <w:t>indicate</w:t>
      </w:r>
      <w:r>
        <w:rPr>
          <w:spacing w:val="-7"/>
          <w:sz w:val="24"/>
        </w:rPr>
        <w:t> </w:t>
      </w:r>
      <w:r>
        <w:rPr>
          <w:sz w:val="24"/>
        </w:rPr>
        <w:t>reductions in manufacturing</w:t>
      </w:r>
      <w:r>
        <w:rPr>
          <w:spacing w:val="-3"/>
          <w:sz w:val="24"/>
        </w:rPr>
        <w:t> </w:t>
      </w:r>
      <w:r>
        <w:rPr>
          <w:sz w:val="24"/>
        </w:rPr>
        <w:t>jobs.</w:t>
      </w:r>
    </w:p>
    <w:p>
      <w:pPr>
        <w:pStyle w:val="BodyText"/>
        <w:spacing w:before="6"/>
        <w:rPr>
          <w:sz w:val="21"/>
        </w:rPr>
      </w:pPr>
    </w:p>
    <w:p>
      <w:pPr>
        <w:spacing w:line="242" w:lineRule="auto" w:before="0"/>
        <w:ind w:left="178" w:right="214" w:firstLine="0"/>
        <w:jc w:val="left"/>
        <w:rPr>
          <w:sz w:val="24"/>
        </w:rPr>
      </w:pPr>
      <w:r>
        <w:rPr>
          <w:sz w:val="24"/>
        </w:rPr>
        <w:t>The balance between the demand for, and the supply of, labour is an important influence on pay pressures. One measure of this balance is the number of people who are searching for work, and are available to start. This is measured by LFS unemployment, which fell by 47,000 in the three months to May compared with the previous three months. This reduced the LFS unemployment rate to 5.6%, the lowest rate recorded since the series began in 1984.</w:t>
      </w:r>
    </w:p>
    <w:p>
      <w:pPr>
        <w:pStyle w:val="BodyText"/>
        <w:spacing w:before="10"/>
        <w:rPr>
          <w:sz w:val="21"/>
        </w:rPr>
      </w:pPr>
    </w:p>
    <w:p>
      <w:pPr>
        <w:spacing w:line="242" w:lineRule="auto" w:before="0"/>
        <w:ind w:left="178" w:right="120" w:firstLine="0"/>
        <w:jc w:val="left"/>
        <w:rPr>
          <w:sz w:val="24"/>
        </w:rPr>
      </w:pPr>
      <w:r>
        <w:rPr>
          <w:sz w:val="24"/>
        </w:rPr>
        <w:t>The claimant count—a narrower measure of unemployment based on the number of people receiving</w:t>
      </w:r>
    </w:p>
    <w:p>
      <w:pPr>
        <w:spacing w:after="0" w:line="242" w:lineRule="auto"/>
        <w:jc w:val="left"/>
        <w:rPr>
          <w:sz w:val="24"/>
        </w:rPr>
        <w:sectPr>
          <w:type w:val="continuous"/>
          <w:pgSz w:w="11900" w:h="16840"/>
          <w:pgMar w:top="1260" w:bottom="280" w:left="640" w:right="640"/>
          <w:cols w:num="2" w:equalWidth="0">
            <w:col w:w="4446" w:space="350"/>
            <w:col w:w="5824"/>
          </w:cols>
        </w:sectPr>
      </w:pPr>
    </w:p>
    <w:p>
      <w:pPr>
        <w:pStyle w:val="BodyText"/>
        <w:rPr>
          <w:sz w:val="20"/>
        </w:rPr>
      </w:pPr>
    </w:p>
    <w:p>
      <w:pPr>
        <w:spacing w:after="0"/>
        <w:rPr>
          <w:sz w:val="20"/>
        </w:rPr>
        <w:sectPr>
          <w:footerReference w:type="even" r:id="rId116"/>
          <w:footerReference w:type="default" r:id="rId117"/>
          <w:pgSz w:w="11900" w:h="16840"/>
          <w:pgMar w:footer="592" w:header="601" w:top="780" w:bottom="780" w:left="640" w:right="640"/>
          <w:pgNumType w:start="26"/>
        </w:sectPr>
      </w:pPr>
    </w:p>
    <w:p>
      <w:pPr>
        <w:pStyle w:val="BodyText"/>
        <w:spacing w:before="1"/>
        <w:rPr>
          <w:sz w:val="21"/>
        </w:rPr>
      </w:pPr>
    </w:p>
    <w:p>
      <w:pPr>
        <w:pStyle w:val="Heading6"/>
        <w:spacing w:before="0"/>
        <w:ind w:left="174"/>
      </w:pPr>
      <w:r>
        <w:rPr>
          <w:color w:val="0092C7"/>
        </w:rPr>
        <w:t>Chart 3.4</w:t>
      </w:r>
    </w:p>
    <w:p>
      <w:pPr>
        <w:pStyle w:val="Heading6"/>
        <w:spacing w:line="249" w:lineRule="auto"/>
        <w:ind w:left="174" w:right="541"/>
      </w:pPr>
      <w:r>
        <w:rPr>
          <w:color w:val="0092C7"/>
        </w:rPr>
        <w:t>Changes in LFS unemployment by duration</w:t>
      </w:r>
    </w:p>
    <w:p>
      <w:pPr>
        <w:spacing w:before="56"/>
        <w:ind w:left="1320" w:right="0" w:firstLine="0"/>
        <w:jc w:val="left"/>
        <w:rPr>
          <w:sz w:val="12"/>
        </w:rPr>
      </w:pPr>
      <w:r>
        <w:rPr/>
        <w:pict>
          <v:line style="position:absolute;mso-position-horizontal-relative:page;mso-position-vertical-relative:paragraph;z-index:16127488" from="42.292999pt,10.550567pt" to="46.625999pt,10.550567pt" stroked="true" strokeweight=".5pt" strokecolor="#000000">
            <v:stroke dashstyle="solid"/>
            <w10:wrap type="none"/>
          </v:line>
        </w:pict>
      </w:r>
      <w:r>
        <w:rPr/>
        <w:pict>
          <v:line style="position:absolute;mso-position-horizontal-relative:page;mso-position-vertical-relative:paragraph;z-index:-23166464" from="198.054001pt,11.097567pt" to="202.386001pt,11.097567pt" stroked="true" strokeweight=".5pt" strokecolor="#000000">
            <v:stroke dashstyle="solid"/>
            <w10:wrap type="none"/>
          </v:line>
        </w:pict>
      </w:r>
      <w:r>
        <w:rPr>
          <w:sz w:val="12"/>
        </w:rPr>
        <w:t>Changes on three months earlier, thousands</w:t>
      </w:r>
      <w:r>
        <w:rPr>
          <w:spacing w:val="24"/>
          <w:sz w:val="12"/>
        </w:rPr>
        <w:t> </w:t>
      </w:r>
      <w:r>
        <w:rPr>
          <w:position w:val="-7"/>
          <w:sz w:val="12"/>
        </w:rPr>
        <w:t>60</w:t>
      </w:r>
    </w:p>
    <w:p>
      <w:pPr>
        <w:pStyle w:val="BodyText"/>
        <w:spacing w:before="9"/>
        <w:rPr>
          <w:sz w:val="19"/>
        </w:rPr>
      </w:pPr>
    </w:p>
    <w:p>
      <w:pPr>
        <w:spacing w:before="1"/>
        <w:ind w:left="3467" w:right="0" w:firstLine="0"/>
        <w:jc w:val="left"/>
        <w:rPr>
          <w:sz w:val="12"/>
        </w:rPr>
      </w:pPr>
      <w:r>
        <w:rPr/>
        <w:pict>
          <v:group style="position:absolute;margin-left:50.553001pt;margin-top:-5.413456pt;width:143.35pt;height:123.45pt;mso-position-horizontal-relative:page;mso-position-vertical-relative:paragraph;z-index:16122368" coordorigin="1011,-108" coordsize="2867,2469">
            <v:line style="position:absolute" from="1011,800" to="3878,800" stroked="true" strokeweight=".5pt" strokecolor="#000000">
              <v:stroke dashstyle="solid"/>
            </v:line>
            <v:rect style="position:absolute;left:1024;top:799;width:78;height:548" filled="true" fillcolor="#008360" stroked="false">
              <v:fill type="solid"/>
            </v:rect>
            <v:rect style="position:absolute;left:1024;top:799;width:78;height:548" filled="false" stroked="true" strokeweight=".5pt" strokecolor="#000000">
              <v:stroke dashstyle="solid"/>
            </v:rect>
            <v:rect style="position:absolute;left:1129;top:799;width:68;height:198" filled="true" fillcolor="#008360" stroked="false">
              <v:fill type="solid"/>
            </v:rect>
            <v:rect style="position:absolute;left:1129;top:799;width:68;height:198" filled="false" stroked="true" strokeweight=".5pt" strokecolor="#000000">
              <v:stroke dashstyle="solid"/>
            </v:rect>
            <v:rect style="position:absolute;left:1226;top:799;width:78;height:420" filled="true" fillcolor="#008360" stroked="false">
              <v:fill type="solid"/>
            </v:rect>
            <v:rect style="position:absolute;left:1226;top:799;width:78;height:420" filled="false" stroked="true" strokeweight=".5pt" strokecolor="#000000">
              <v:stroke dashstyle="solid"/>
            </v:rect>
            <v:rect style="position:absolute;left:1334;top:784;width:65;height:18" filled="true" fillcolor="#008360" stroked="false">
              <v:fill type="solid"/>
            </v:rect>
            <v:rect style="position:absolute;left:1334;top:784;width:65;height:18" filled="false" stroked="true" strokeweight=".5pt" strokecolor="#000000">
              <v:stroke dashstyle="solid"/>
            </v:rect>
            <v:rect style="position:absolute;left:1429;top:799;width:78;height:350" filled="true" fillcolor="#008360" stroked="false">
              <v:fill type="solid"/>
            </v:rect>
            <v:rect style="position:absolute;left:1429;top:799;width:78;height:350" filled="false" stroked="true" strokeweight=".5pt" strokecolor="#000000">
              <v:stroke dashstyle="solid"/>
            </v:rect>
            <v:rect style="position:absolute;left:1536;top:799;width:65;height:100" filled="true" fillcolor="#008360" stroked="false">
              <v:fill type="solid"/>
            </v:rect>
            <v:rect style="position:absolute;left:1536;top:799;width:65;height:100" filled="false" stroked="true" strokeweight=".5pt" strokecolor="#000000">
              <v:stroke dashstyle="solid"/>
            </v:rect>
            <v:rect style="position:absolute;left:1631;top:422;width:78;height:380" filled="true" fillcolor="#008360" stroked="false">
              <v:fill type="solid"/>
            </v:rect>
            <v:rect style="position:absolute;left:1631;top:422;width:78;height:380" filled="false" stroked="true" strokeweight=".5pt" strokecolor="#000000">
              <v:stroke dashstyle="solid"/>
            </v:rect>
            <v:rect style="position:absolute;left:1739;top:-96;width:78;height:898" filled="true" fillcolor="#008360" stroked="false">
              <v:fill type="solid"/>
            </v:rect>
            <v:rect style="position:absolute;left:1739;top:-96;width:78;height:898" filled="false" stroked="true" strokeweight=".5pt" strokecolor="#000000">
              <v:stroke dashstyle="solid"/>
            </v:rect>
            <v:rect style="position:absolute;left:1846;top:114;width:65;height:688" filled="true" fillcolor="#008360" stroked="false">
              <v:fill type="solid"/>
            </v:rect>
            <v:rect style="position:absolute;left:1846;top:114;width:65;height:688" filled="false" stroked="true" strokeweight=".5pt" strokecolor="#000000">
              <v:stroke dashstyle="solid"/>
            </v:rect>
            <v:rect style="position:absolute;left:1941;top:394;width:78;height:408" filled="true" fillcolor="#008360" stroked="false">
              <v:fill type="solid"/>
            </v:rect>
            <v:rect style="position:absolute;left:1941;top:394;width:78;height:408" filled="false" stroked="true" strokeweight=".5pt" strokecolor="#000000">
              <v:stroke dashstyle="solid"/>
            </v:rect>
            <v:rect style="position:absolute;left:2049;top:799;width:65;height:43" filled="true" fillcolor="#008360" stroked="false">
              <v:fill type="solid"/>
            </v:rect>
            <v:rect style="position:absolute;left:2049;top:799;width:65;height:43" filled="false" stroked="true" strokeweight=".5pt" strokecolor="#000000">
              <v:stroke dashstyle="solid"/>
            </v:rect>
            <v:rect style="position:absolute;left:2144;top:672;width:78;height:130" filled="true" fillcolor="#008360" stroked="false">
              <v:fill type="solid"/>
            </v:rect>
            <v:rect style="position:absolute;left:2144;top:672;width:78;height:130" filled="false" stroked="true" strokeweight=".5pt" strokecolor="#000000">
              <v:stroke dashstyle="solid"/>
            </v:rect>
            <v:rect style="position:absolute;left:2251;top:477;width:68;height:325" filled="true" fillcolor="#008360" stroked="false">
              <v:fill type="solid"/>
            </v:rect>
            <v:rect style="position:absolute;left:2251;top:477;width:68;height:325" filled="false" stroked="true" strokeweight=".5pt" strokecolor="#000000">
              <v:stroke dashstyle="solid"/>
            </v:rect>
            <v:rect style="position:absolute;left:2346;top:297;width:78;height:505" filled="true" fillcolor="#008360" stroked="false">
              <v:fill type="solid"/>
            </v:rect>
            <v:rect style="position:absolute;left:2346;top:297;width:78;height:505" filled="false" stroked="true" strokeweight=".5pt" strokecolor="#000000">
              <v:stroke dashstyle="solid"/>
            </v:rect>
            <v:rect style="position:absolute;left:2454;top:602;width:78;height:200" filled="true" fillcolor="#008360" stroked="false">
              <v:fill type="solid"/>
            </v:rect>
            <v:rect style="position:absolute;left:2454;top:602;width:78;height:200" filled="false" stroked="true" strokeweight=".5pt" strokecolor="#000000">
              <v:stroke dashstyle="solid"/>
            </v:rect>
            <v:rect style="position:absolute;left:2561;top:799;width:65;height:295" filled="true" fillcolor="#008360" stroked="false">
              <v:fill type="solid"/>
            </v:rect>
            <v:rect style="position:absolute;left:2561;top:799;width:65;height:295" filled="false" stroked="true" strokeweight=".5pt" strokecolor="#000000">
              <v:stroke dashstyle="solid"/>
            </v:rect>
            <v:rect style="position:absolute;left:2656;top:799;width:78;height:618" filled="true" fillcolor="#008360" stroked="false">
              <v:fill type="solid"/>
            </v:rect>
            <v:rect style="position:absolute;left:2656;top:799;width:78;height:618" filled="false" stroked="true" strokeweight=".5pt" strokecolor="#000000">
              <v:stroke dashstyle="solid"/>
            </v:rect>
            <v:rect style="position:absolute;left:2764;top:799;width:68;height:770" filled="true" fillcolor="#008360" stroked="false">
              <v:fill type="solid"/>
            </v:rect>
            <v:rect style="position:absolute;left:2764;top:799;width:68;height:770" filled="false" stroked="true" strokeweight=".5pt" strokecolor="#000000">
              <v:stroke dashstyle="solid"/>
            </v:rect>
            <v:rect style="position:absolute;left:2859;top:799;width:78;height:1093" filled="true" fillcolor="#008360" stroked="false">
              <v:fill type="solid"/>
            </v:rect>
            <v:rect style="position:absolute;left:2859;top:799;width:78;height:1093" filled="false" stroked="true" strokeweight=".5pt" strokecolor="#000000">
              <v:stroke dashstyle="solid"/>
            </v:rect>
            <v:rect style="position:absolute;left:2966;top:799;width:68;height:895" filled="true" fillcolor="#008360" stroked="false">
              <v:fill type="solid"/>
            </v:rect>
            <v:rect style="position:absolute;left:2966;top:799;width:68;height:895" filled="false" stroked="true" strokeweight=".5pt" strokecolor="#000000">
              <v:stroke dashstyle="solid"/>
            </v:rect>
            <v:rect style="position:absolute;left:3064;top:799;width:75;height:548" filled="true" fillcolor="#008360" stroked="false">
              <v:fill type="solid"/>
            </v:rect>
            <v:rect style="position:absolute;left:3064;top:799;width:75;height:548" filled="false" stroked="true" strokeweight=".5pt" strokecolor="#000000">
              <v:stroke dashstyle="solid"/>
            </v:rect>
            <v:rect style="position:absolute;left:3169;top:799;width:78;height:143" filled="true" fillcolor="#008360" stroked="false">
              <v:fill type="solid"/>
            </v:rect>
            <v:rect style="position:absolute;left:3169;top:799;width:78;height:143" filled="false" stroked="true" strokeweight=".5pt" strokecolor="#000000">
              <v:stroke dashstyle="solid"/>
            </v:rect>
            <v:rect style="position:absolute;left:3276;top:799;width:68;height:58" filled="true" fillcolor="#008360" stroked="false">
              <v:fill type="solid"/>
            </v:rect>
            <v:rect style="position:absolute;left:3276;top:799;width:68;height:58" filled="false" stroked="true" strokeweight=".5pt" strokecolor="#000000">
              <v:stroke dashstyle="solid"/>
            </v:rect>
            <v:rect style="position:absolute;left:3371;top:799;width:78;height:73" filled="true" fillcolor="#008360" stroked="false">
              <v:fill type="solid"/>
            </v:rect>
            <v:rect style="position:absolute;left:3371;top:799;width:78;height:73" filled="false" stroked="true" strokeweight=".5pt" strokecolor="#000000">
              <v:stroke dashstyle="solid"/>
            </v:rect>
            <v:rect style="position:absolute;left:3479;top:422;width:68;height:380" filled="true" fillcolor="#008360" stroked="false">
              <v:fill type="solid"/>
            </v:rect>
            <v:rect style="position:absolute;left:3479;top:422;width:68;height:380" filled="false" stroked="true" strokeweight=".5pt" strokecolor="#000000">
              <v:stroke dashstyle="solid"/>
            </v:rect>
            <v:rect style="position:absolute;left:3576;top:714;width:75;height:88" filled="true" fillcolor="#008360" stroked="false">
              <v:fill type="solid"/>
            </v:rect>
            <v:rect style="position:absolute;left:3576;top:714;width:75;height:88" filled="false" stroked="true" strokeweight=".5pt" strokecolor="#000000">
              <v:stroke dashstyle="solid"/>
            </v:rect>
            <v:rect style="position:absolute;left:3681;top:492;width:68;height:310" filled="true" fillcolor="#008360" stroked="false">
              <v:fill type="solid"/>
            </v:rect>
            <v:rect style="position:absolute;left:3681;top:492;width:68;height:310" filled="false" stroked="true" strokeweight=".5pt" strokecolor="#000000">
              <v:stroke dashstyle="solid"/>
            </v:rect>
            <v:rect style="position:absolute;left:3779;top:799;width:78;height:310" filled="true" fillcolor="#008360" stroked="false">
              <v:fill type="solid"/>
            </v:rect>
            <v:rect style="position:absolute;left:3779;top:799;width:78;height:310" filled="false" stroked="true" strokeweight=".5pt" strokecolor="#000000">
              <v:stroke dashstyle="solid"/>
            </v:rect>
            <v:rect style="position:absolute;left:1024;top:1344;width:78;height:1008" filled="true" fillcolor="#b3dabb" stroked="false">
              <v:fill type="solid"/>
            </v:rect>
            <v:rect style="position:absolute;left:1024;top:1344;width:78;height:1008" filled="false" stroked="true" strokeweight=".5pt" strokecolor="#000000">
              <v:stroke dashstyle="solid"/>
            </v:rect>
            <v:rect style="position:absolute;left:1129;top:994;width:68;height:1135" filled="true" fillcolor="#b3dabb" stroked="false">
              <v:fill type="solid"/>
            </v:rect>
            <v:rect style="position:absolute;left:1129;top:994;width:68;height:1135" filled="false" stroked="true" strokeweight=".5pt" strokecolor="#000000">
              <v:stroke dashstyle="solid"/>
            </v:rect>
            <v:rect style="position:absolute;left:1226;top:1217;width:78;height:618" filled="true" fillcolor="#b3dabb" stroked="false">
              <v:fill type="solid"/>
            </v:rect>
            <v:rect style="position:absolute;left:1226;top:1217;width:78;height:618" filled="false" stroked="true" strokeweight=".5pt" strokecolor="#000000">
              <v:stroke dashstyle="solid"/>
            </v:rect>
            <v:rect style="position:absolute;left:1334;top:799;width:65;height:505" filled="true" fillcolor="#b3dabb" stroked="false">
              <v:fill type="solid"/>
            </v:rect>
            <v:rect style="position:absolute;left:1334;top:799;width:65;height:505" filled="false" stroked="true" strokeweight=".5pt" strokecolor="#000000">
              <v:stroke dashstyle="solid"/>
            </v:rect>
            <v:rect style="position:absolute;left:1429;top:1147;width:78;height:255" filled="true" fillcolor="#b3dabb" stroked="false">
              <v:fill type="solid"/>
            </v:rect>
            <v:rect style="position:absolute;left:1429;top:1147;width:78;height:255" filled="false" stroked="true" strokeweight=".5pt" strokecolor="#000000">
              <v:stroke dashstyle="solid"/>
            </v:rect>
            <v:rect style="position:absolute;left:1536;top:897;width:65;height:393" filled="true" fillcolor="#b3dabb" stroked="false">
              <v:fill type="solid"/>
            </v:rect>
            <v:rect style="position:absolute;left:1536;top:897;width:65;height:393" filled="false" stroked="true" strokeweight=".5pt" strokecolor="#000000">
              <v:stroke dashstyle="solid"/>
            </v:rect>
            <v:rect style="position:absolute;left:1631;top:799;width:78;height:490" filled="true" fillcolor="#b3dabb" stroked="false">
              <v:fill type="solid"/>
            </v:rect>
            <v:rect style="position:absolute;left:1631;top:799;width:78;height:490" filled="false" stroked="true" strokeweight=".5pt" strokecolor="#000000">
              <v:stroke dashstyle="solid"/>
            </v:rect>
            <v:rect style="position:absolute;left:1739;top:799;width:78;height:588" filled="true" fillcolor="#b3dabb" stroked="false">
              <v:fill type="solid"/>
            </v:rect>
            <v:rect style="position:absolute;left:1739;top:799;width:78;height:588" filled="false" stroked="true" strokeweight=".5pt" strokecolor="#000000">
              <v:stroke dashstyle="solid"/>
            </v:rect>
            <v:rect style="position:absolute;left:1846;top:799;width:65;height:673" filled="true" fillcolor="#b3dabb" stroked="false">
              <v:fill type="solid"/>
            </v:rect>
            <v:rect style="position:absolute;left:1846;top:799;width:65;height:673" filled="false" stroked="true" strokeweight=".5pt" strokecolor="#000000">
              <v:stroke dashstyle="solid"/>
            </v:rect>
            <v:rect style="position:absolute;left:1941;top:799;width:78;height:435" filled="true" fillcolor="#b3dabb" stroked="false">
              <v:fill type="solid"/>
            </v:rect>
            <v:rect style="position:absolute;left:1941;top:799;width:78;height:435" filled="false" stroked="true" strokeweight=".5pt" strokecolor="#000000">
              <v:stroke dashstyle="solid"/>
            </v:rect>
            <v:rect style="position:absolute;left:2049;top:839;width:65;height:423" filled="true" fillcolor="#b3dabb" stroked="false">
              <v:fill type="solid"/>
            </v:rect>
            <v:rect style="position:absolute;left:2049;top:839;width:65;height:423" filled="false" stroked="true" strokeweight=".5pt" strokecolor="#000000">
              <v:stroke dashstyle="solid"/>
            </v:rect>
            <v:rect style="position:absolute;left:2144;top:799;width:78;height:365" filled="true" fillcolor="#b3dabb" stroked="false">
              <v:fill type="solid"/>
            </v:rect>
            <v:rect style="position:absolute;left:2144;top:799;width:78;height:365" filled="false" stroked="true" strokeweight=".5pt" strokecolor="#000000">
              <v:stroke dashstyle="solid"/>
            </v:rect>
            <v:rect style="position:absolute;left:2251;top:799;width:68;height:183" filled="true" fillcolor="#b3dabb" stroked="false">
              <v:fill type="solid"/>
            </v:rect>
            <v:rect style="position:absolute;left:2251;top:799;width:68;height:183" filled="false" stroked="true" strokeweight=".5pt" strokecolor="#000000">
              <v:stroke dashstyle="solid"/>
            </v:rect>
            <v:rect style="position:absolute;left:2346;top:799;width:78;height:113" filled="true" fillcolor="#b3dabb" stroked="false">
              <v:fill type="solid"/>
            </v:rect>
            <v:rect style="position:absolute;left:2346;top:799;width:78;height:113" filled="false" stroked="true" strokeweight=".5pt" strokecolor="#000000">
              <v:stroke dashstyle="solid"/>
            </v:rect>
            <v:rect style="position:absolute;left:2454;top:799;width:78;height:73" filled="true" fillcolor="#b3dabb" stroked="false">
              <v:fill type="solid"/>
            </v:rect>
            <v:rect style="position:absolute;left:2454;top:799;width:78;height:73" filled="false" stroked="true" strokeweight=".5pt" strokecolor="#000000">
              <v:stroke dashstyle="solid"/>
            </v:rect>
            <v:rect style="position:absolute;left:2561;top:1092;width:65;height:170" filled="true" fillcolor="#b3dabb" stroked="false">
              <v:fill type="solid"/>
            </v:rect>
            <v:rect style="position:absolute;left:2561;top:1092;width:65;height:170" filled="false" stroked="true" strokeweight=".5pt" strokecolor="#000000">
              <v:stroke dashstyle="solid"/>
            </v:rect>
            <v:shape style="position:absolute;left:2651;top:1409;width:185;height:290" type="#_x0000_t75" stroked="false">
              <v:imagedata r:id="rId118" o:title=""/>
            </v:shape>
            <v:rect style="position:absolute;left:2859;top:1889;width:78;height:100" filled="true" fillcolor="#b3dabb" stroked="false">
              <v:fill type="solid"/>
            </v:rect>
            <v:rect style="position:absolute;left:2859;top:1889;width:78;height:100" filled="false" stroked="true" strokeweight=".5pt" strokecolor="#000000">
              <v:stroke dashstyle="solid"/>
            </v:rect>
            <v:rect style="position:absolute;left:2966;top:1692;width:68;height:240" filled="true" fillcolor="#b3dabb" stroked="false">
              <v:fill type="solid"/>
            </v:rect>
            <v:rect style="position:absolute;left:2966;top:1692;width:68;height:240" filled="false" stroked="true" strokeweight=".5pt" strokecolor="#000000">
              <v:stroke dashstyle="solid"/>
            </v:rect>
            <v:rect style="position:absolute;left:3064;top:1344;width:75;height:15" filled="true" fillcolor="#b3dabb" stroked="false">
              <v:fill type="solid"/>
            </v:rect>
            <v:rect style="position:absolute;left:3064;top:1344;width:75;height:15" filled="false" stroked="true" strokeweight=".5pt" strokecolor="#000000">
              <v:stroke dashstyle="solid"/>
            </v:rect>
            <v:rect style="position:absolute;left:3169;top:939;width:78;height:30" filled="true" fillcolor="#b3dabb" stroked="false">
              <v:fill type="solid"/>
            </v:rect>
            <v:rect style="position:absolute;left:3169;top:939;width:78;height:30" filled="false" stroked="true" strokeweight=".5pt" strokecolor="#000000">
              <v:stroke dashstyle="solid"/>
            </v:rect>
            <v:rect style="position:absolute;left:3276;top:672;width:68;height:130" filled="true" fillcolor="#b3dabb" stroked="false">
              <v:fill type="solid"/>
            </v:rect>
            <v:rect style="position:absolute;left:3276;top:672;width:68;height:130" filled="false" stroked="true" strokeweight=".5pt" strokecolor="#000000">
              <v:stroke dashstyle="solid"/>
            </v:rect>
            <v:rect style="position:absolute;left:3371;top:869;width:78;height:43" filled="true" fillcolor="#b3dabb" stroked="false">
              <v:fill type="solid"/>
            </v:rect>
            <v:rect style="position:absolute;left:3371;top:869;width:78;height:43" filled="false" stroked="true" strokeweight=".5pt" strokecolor="#000000">
              <v:stroke dashstyle="solid"/>
            </v:rect>
            <v:rect style="position:absolute;left:3479;top:799;width:68;height:253" filled="true" fillcolor="#b3dabb" stroked="false">
              <v:fill type="solid"/>
            </v:rect>
            <v:rect style="position:absolute;left:3479;top:799;width:68;height:253" filled="false" stroked="true" strokeweight=".5pt" strokecolor="#000000">
              <v:stroke dashstyle="solid"/>
            </v:rect>
            <v:rect style="position:absolute;left:3576;top:799;width:75;height:548" filled="true" fillcolor="#b3dabb" stroked="false">
              <v:fill type="solid"/>
            </v:rect>
            <v:rect style="position:absolute;left:3576;top:799;width:75;height:548" filled="false" stroked="true" strokeweight=".5pt" strokecolor="#000000">
              <v:stroke dashstyle="solid"/>
            </v:rect>
            <v:rect style="position:absolute;left:3681;top:799;width:68;height:673" filled="true" fillcolor="#b3dabb" stroked="false">
              <v:fill type="solid"/>
            </v:rect>
            <v:rect style="position:absolute;left:3681;top:799;width:68;height:673" filled="false" stroked="true" strokeweight=".5pt" strokecolor="#000000">
              <v:stroke dashstyle="solid"/>
            </v:rect>
            <v:rect style="position:absolute;left:3779;top:1107;width:78;height:785" filled="true" fillcolor="#b3dabb" stroked="false">
              <v:fill type="solid"/>
            </v:rect>
            <v:rect style="position:absolute;left:3779;top:1107;width:78;height:785" filled="false" stroked="true" strokeweight=".5pt" strokecolor="#000000">
              <v:stroke dashstyle="solid"/>
            </v:rect>
            <v:shape style="position:absolute;left:1066;top:394;width:2755;height:1955" coordorigin="1067,395" coordsize="2755,1955" path="m1067,2350l1162,2127m1162,2127l1269,1832m1269,1832l1377,1287m1377,1287l1472,1400m1472,1400l1579,1287m1579,1287l1674,910m1674,910l1782,492m1782,492l1877,785m1877,785l1984,840m1984,840l2092,1260m2092,1260l2187,1037m2187,1037l2294,660m2294,660l2389,395m2389,395l2497,672m2497,672l2594,1260m2594,1260l2699,1525m2699,1525l2807,1692m2807,1692l2902,1987m2902,1987l3009,1930m3009,1930l3107,1357m3107,1357l3212,967m3212,967l3309,730m3309,730l3414,910m3414,910l3522,672m3522,672l3619,1260m3619,1260l3724,1162m3724,1162l3822,1890e" filled="false" stroked="true" strokeweight="1pt" strokecolor="#de0035">
              <v:path arrowok="t"/>
              <v:stroke dashstyle="solid"/>
            </v:shape>
            <v:line style="position:absolute" from="3142,1575" to="3426,2045" stroked="true" strokeweight=".5pt" strokecolor="#000000">
              <v:stroke dashstyle="solid"/>
            </v:line>
            <v:shape style="position:absolute;left:3106;top:1517;width:66;height:86" coordorigin="3107,1517" coordsize="66,86" path="m3107,1517l3129,1603,3172,1577,3120,1532,3113,1524,3107,1517xe" filled="true" fillcolor="#000000" stroked="false">
              <v:path arrowok="t"/>
              <v:fill type="solid"/>
            </v:shape>
            <v:shape style="position:absolute;left:1851;top:-109;width:1454;height:134" type="#_x0000_t202" filled="false" stroked="false">
              <v:textbox inset="0,0,0,0">
                <w:txbxContent>
                  <w:p>
                    <w:pPr>
                      <w:spacing w:line="133" w:lineRule="exact" w:before="0"/>
                      <w:ind w:left="0" w:right="0" w:firstLine="0"/>
                      <w:jc w:val="left"/>
                      <w:rPr>
                        <w:sz w:val="12"/>
                      </w:rPr>
                    </w:pPr>
                    <w:r>
                      <w:rPr>
                        <w:sz w:val="12"/>
                      </w:rPr>
                      <w:t>Duration up to twelve months</w:t>
                    </w:r>
                  </w:p>
                </w:txbxContent>
              </v:textbox>
              <w10:wrap type="none"/>
            </v:shape>
            <v:shape style="position:absolute;left:1588;top:1475;width:1020;height:254" type="#_x0000_t202" filled="false" stroked="false">
              <v:textbox inset="0,0,0,0">
                <w:txbxContent>
                  <w:p>
                    <w:pPr>
                      <w:spacing w:line="124" w:lineRule="exact" w:before="0"/>
                      <w:ind w:left="0" w:right="0" w:firstLine="0"/>
                      <w:jc w:val="left"/>
                      <w:rPr>
                        <w:sz w:val="12"/>
                      </w:rPr>
                    </w:pPr>
                    <w:r>
                      <w:rPr>
                        <w:sz w:val="12"/>
                      </w:rPr>
                      <w:t>Duration more</w:t>
                    </w:r>
                  </w:p>
                  <w:p>
                    <w:pPr>
                      <w:spacing w:line="129" w:lineRule="exact" w:before="0"/>
                      <w:ind w:left="60" w:right="0" w:firstLine="0"/>
                      <w:jc w:val="left"/>
                      <w:rPr>
                        <w:sz w:val="12"/>
                      </w:rPr>
                    </w:pPr>
                    <w:r>
                      <w:rPr>
                        <w:sz w:val="12"/>
                      </w:rPr>
                      <w:t>than twelve months</w:t>
                    </w:r>
                  </w:p>
                </w:txbxContent>
              </v:textbox>
              <w10:wrap type="none"/>
            </v:shape>
            <v:shape style="position:absolute;left:3399;top:2045;width:274;height:133" type="#_x0000_t202" filled="false" stroked="false">
              <v:textbox inset="0,0,0,0">
                <w:txbxContent>
                  <w:p>
                    <w:pPr>
                      <w:spacing w:line="133" w:lineRule="exact" w:before="0"/>
                      <w:ind w:left="0" w:right="0" w:firstLine="0"/>
                      <w:jc w:val="left"/>
                      <w:rPr>
                        <w:sz w:val="12"/>
                      </w:rPr>
                    </w:pPr>
                    <w:r>
                      <w:rPr>
                        <w:sz w:val="12"/>
                      </w:rPr>
                      <w:t>Total</w:t>
                    </w:r>
                  </w:p>
                </w:txbxContent>
              </v:textbox>
              <w10:wrap type="none"/>
            </v:shape>
            <w10:wrap type="none"/>
          </v:group>
        </w:pict>
      </w:r>
      <w:r>
        <w:rPr/>
        <w:pict>
          <v:line style="position:absolute;mso-position-horizontal-relative:page;mso-position-vertical-relative:paragraph;z-index:16123392" from="42.292999pt,3.664555pt" to="46.625999pt,3.664555pt" stroked="true" strokeweight=".5pt" strokecolor="#000000">
            <v:stroke dashstyle="solid"/>
            <w10:wrap type="none"/>
          </v:line>
        </w:pict>
      </w:r>
      <w:r>
        <w:rPr/>
        <w:pict>
          <v:line style="position:absolute;mso-position-horizontal-relative:page;mso-position-vertical-relative:paragraph;z-index:16128000" from="198.054001pt,4.211555pt" to="202.386001pt,4.211555pt" stroked="true" strokeweight=".5pt" strokecolor="#000000">
            <v:stroke dashstyle="solid"/>
            <w10:wrap type="none"/>
          </v:line>
        </w:pict>
      </w:r>
      <w:r>
        <w:rPr>
          <w:sz w:val="12"/>
        </w:rPr>
        <w:t>40</w:t>
      </w:r>
    </w:p>
    <w:p>
      <w:pPr>
        <w:pStyle w:val="BodyText"/>
        <w:rPr>
          <w:sz w:val="12"/>
        </w:rPr>
      </w:pPr>
    </w:p>
    <w:p>
      <w:pPr>
        <w:spacing w:before="87"/>
        <w:ind w:left="3467" w:right="0" w:firstLine="0"/>
        <w:jc w:val="left"/>
        <w:rPr>
          <w:sz w:val="12"/>
        </w:rPr>
      </w:pPr>
      <w:r>
        <w:rPr/>
        <w:pict>
          <v:line style="position:absolute;mso-position-horizontal-relative:page;mso-position-vertical-relative:paragraph;z-index:16123904" from="42.292999pt,7.983939pt" to="46.625999pt,7.983939pt" stroked="true" strokeweight=".5pt" strokecolor="#000000">
            <v:stroke dashstyle="solid"/>
            <w10:wrap type="none"/>
          </v:line>
        </w:pict>
      </w:r>
      <w:r>
        <w:rPr/>
        <w:pict>
          <v:line style="position:absolute;mso-position-horizontal-relative:page;mso-position-vertical-relative:paragraph;z-index:16128512" from="198.054001pt,8.530938pt" to="202.386001pt,8.530938pt" stroked="true" strokeweight=".5pt" strokecolor="#000000">
            <v:stroke dashstyle="solid"/>
            <w10:wrap type="none"/>
          </v:line>
        </w:pict>
      </w:r>
      <w:r>
        <w:rPr>
          <w:sz w:val="12"/>
        </w:rPr>
        <w:t>20</w:t>
      </w:r>
    </w:p>
    <w:p>
      <w:pPr>
        <w:spacing w:line="171" w:lineRule="exact" w:before="67"/>
        <w:ind w:left="3415" w:right="0" w:firstLine="0"/>
        <w:jc w:val="left"/>
        <w:rPr>
          <w:sz w:val="16"/>
        </w:rPr>
      </w:pPr>
      <w:r>
        <w:rPr>
          <w:sz w:val="16"/>
        </w:rPr>
        <w:t>+</w:t>
      </w:r>
    </w:p>
    <w:p>
      <w:pPr>
        <w:spacing w:line="158" w:lineRule="auto" w:before="4"/>
        <w:ind w:left="3431" w:right="0" w:firstLine="0"/>
        <w:jc w:val="left"/>
        <w:rPr>
          <w:sz w:val="12"/>
        </w:rPr>
      </w:pPr>
      <w:r>
        <w:rPr/>
        <w:pict>
          <v:line style="position:absolute;mso-position-horizontal-relative:page;mso-position-vertical-relative:paragraph;z-index:16124416" from="42.292999pt,3.013558pt" to="46.625999pt,3.013558pt" stroked="true" strokeweight=".5pt" strokecolor="#000000">
            <v:stroke dashstyle="solid"/>
            <w10:wrap type="none"/>
          </v:line>
        </w:pict>
      </w:r>
      <w:r>
        <w:rPr/>
        <w:pict>
          <v:line style="position:absolute;mso-position-horizontal-relative:page;mso-position-vertical-relative:paragraph;z-index:16129024" from="198.054001pt,3.013558pt" to="202.386001pt,3.013558pt" stroked="true" strokeweight=".5pt" strokecolor="#000000">
            <v:stroke dashstyle="solid"/>
            <w10:wrap type="none"/>
          </v:line>
        </w:pict>
      </w:r>
      <w:r>
        <w:rPr>
          <w:position w:val="-9"/>
          <w:sz w:val="16"/>
        </w:rPr>
        <w:t>_</w:t>
      </w:r>
      <w:r>
        <w:rPr>
          <w:spacing w:val="-25"/>
          <w:position w:val="-9"/>
          <w:sz w:val="16"/>
        </w:rPr>
        <w:t> </w:t>
      </w:r>
      <w:r>
        <w:rPr>
          <w:sz w:val="12"/>
        </w:rPr>
        <w:t>0</w:t>
      </w:r>
    </w:p>
    <w:p>
      <w:pPr>
        <w:spacing w:before="162"/>
        <w:ind w:left="3467" w:right="0" w:firstLine="0"/>
        <w:jc w:val="left"/>
        <w:rPr>
          <w:sz w:val="12"/>
        </w:rPr>
      </w:pPr>
      <w:r>
        <w:rPr/>
        <w:pict>
          <v:line style="position:absolute;mso-position-horizontal-relative:page;mso-position-vertical-relative:paragraph;z-index:16124928" from="42.292999pt,11.772377pt" to="46.625999pt,11.772377pt" stroked="true" strokeweight=".5pt" strokecolor="#000000">
            <v:stroke dashstyle="solid"/>
            <w10:wrap type="none"/>
          </v:line>
        </w:pict>
      </w:r>
      <w:r>
        <w:rPr/>
        <w:pict>
          <v:line style="position:absolute;mso-position-horizontal-relative:page;mso-position-vertical-relative:paragraph;z-index:16129536" from="198.054001pt,12.319378pt" to="202.386001pt,12.319378pt" stroked="true" strokeweight=".5pt" strokecolor="#000000">
            <v:stroke dashstyle="solid"/>
            <w10:wrap type="none"/>
          </v:line>
        </w:pict>
      </w:r>
      <w:r>
        <w:rPr>
          <w:sz w:val="12"/>
        </w:rPr>
        <w:t>20</w:t>
      </w:r>
    </w:p>
    <w:p>
      <w:pPr>
        <w:pStyle w:val="BodyText"/>
        <w:rPr>
          <w:sz w:val="12"/>
        </w:rPr>
      </w:pPr>
    </w:p>
    <w:p>
      <w:pPr>
        <w:spacing w:before="87"/>
        <w:ind w:left="3467" w:right="0" w:firstLine="0"/>
        <w:jc w:val="left"/>
        <w:rPr>
          <w:sz w:val="12"/>
        </w:rPr>
      </w:pPr>
      <w:r>
        <w:rPr/>
        <w:pict>
          <v:line style="position:absolute;mso-position-horizontal-relative:page;mso-position-vertical-relative:paragraph;z-index:16125440" from="42.292999pt,8.041761pt" to="46.625999pt,8.041761pt" stroked="true" strokeweight=".5pt" strokecolor="#000000">
            <v:stroke dashstyle="solid"/>
            <w10:wrap type="none"/>
          </v:line>
        </w:pict>
      </w:r>
      <w:r>
        <w:rPr/>
        <w:pict>
          <v:line style="position:absolute;mso-position-horizontal-relative:page;mso-position-vertical-relative:paragraph;z-index:16130048" from="198.054001pt,8.588761pt" to="202.386001pt,8.588761pt" stroked="true" strokeweight=".5pt" strokecolor="#000000">
            <v:stroke dashstyle="solid"/>
            <w10:wrap type="none"/>
          </v:line>
        </w:pict>
      </w:r>
      <w:r>
        <w:rPr>
          <w:sz w:val="12"/>
        </w:rPr>
        <w:t>40</w:t>
      </w:r>
    </w:p>
    <w:p>
      <w:pPr>
        <w:pStyle w:val="BodyText"/>
        <w:rPr>
          <w:sz w:val="12"/>
        </w:rPr>
      </w:pPr>
    </w:p>
    <w:p>
      <w:pPr>
        <w:spacing w:before="87"/>
        <w:ind w:left="3467" w:right="0" w:firstLine="0"/>
        <w:jc w:val="left"/>
        <w:rPr>
          <w:sz w:val="12"/>
        </w:rPr>
      </w:pPr>
      <w:r>
        <w:rPr/>
        <w:pict>
          <v:line style="position:absolute;mso-position-horizontal-relative:page;mso-position-vertical-relative:paragraph;z-index:16126464" from="42.292999pt,8.061145pt" to="46.625999pt,8.061145pt" stroked="true" strokeweight=".5pt" strokecolor="#000000">
            <v:stroke dashstyle="solid"/>
            <w10:wrap type="none"/>
          </v:line>
        </w:pict>
      </w:r>
      <w:r>
        <w:rPr/>
        <w:pict>
          <v:line style="position:absolute;mso-position-horizontal-relative:page;mso-position-vertical-relative:paragraph;z-index:16131072" from="198.054001pt,8.608145pt" to="202.386001pt,8.608145pt" stroked="true" strokeweight=".5pt" strokecolor="#000000">
            <v:stroke dashstyle="solid"/>
            <w10:wrap type="none"/>
          </v:line>
        </w:pict>
      </w:r>
      <w:r>
        <w:rPr>
          <w:sz w:val="12"/>
        </w:rPr>
        <w:t>60</w:t>
      </w:r>
    </w:p>
    <w:p>
      <w:pPr>
        <w:pStyle w:val="BodyText"/>
        <w:rPr>
          <w:sz w:val="12"/>
        </w:rPr>
      </w:pPr>
    </w:p>
    <w:p>
      <w:pPr>
        <w:spacing w:before="88"/>
        <w:ind w:left="3467" w:right="0" w:firstLine="0"/>
        <w:jc w:val="left"/>
        <w:rPr>
          <w:sz w:val="12"/>
        </w:rPr>
      </w:pPr>
      <w:r>
        <w:rPr/>
        <w:pict>
          <v:line style="position:absolute;mso-position-horizontal-relative:page;mso-position-vertical-relative:paragraph;z-index:16125952" from="42.292999pt,8.130589pt" to="46.625999pt,8.130589pt" stroked="true" strokeweight=".5pt" strokecolor="#000000">
            <v:stroke dashstyle="solid"/>
            <w10:wrap type="none"/>
          </v:line>
        </w:pict>
      </w:r>
      <w:r>
        <w:rPr/>
        <w:pict>
          <v:line style="position:absolute;mso-position-horizontal-relative:page;mso-position-vertical-relative:paragraph;z-index:16130560" from="198.054001pt,8.677589pt" to="202.386001pt,8.677589pt" stroked="true" strokeweight=".5pt" strokecolor="#000000">
            <v:stroke dashstyle="solid"/>
            <w10:wrap type="none"/>
          </v:line>
        </w:pict>
      </w:r>
      <w:r>
        <w:rPr>
          <w:sz w:val="12"/>
        </w:rPr>
        <w:t>80</w:t>
      </w:r>
    </w:p>
    <w:p>
      <w:pPr>
        <w:pStyle w:val="BodyText"/>
        <w:rPr>
          <w:sz w:val="12"/>
        </w:rPr>
      </w:pPr>
    </w:p>
    <w:p>
      <w:pPr>
        <w:spacing w:line="137" w:lineRule="exact" w:before="87"/>
        <w:ind w:left="3407" w:right="0" w:firstLine="0"/>
        <w:jc w:val="left"/>
        <w:rPr>
          <w:sz w:val="12"/>
        </w:rPr>
      </w:pPr>
      <w:r>
        <w:rPr/>
        <w:pict>
          <v:shape style="position:absolute;margin-left:50.734001pt;margin-top:4.443584pt;width:151.7pt;height:4pt;mso-position-horizontal-relative:page;mso-position-vertical-relative:paragraph;z-index:16122880" coordorigin="1015,89" coordsize="3034,80" path="m1017,169l3898,169m1015,89l1015,169m1322,122l1322,169m1628,122l1628,169m1935,122l1935,169m2242,89l2242,169m2856,122l2856,169m3469,89l3469,169m3776,122l3776,169m2549,122l2549,169m3162,122l3162,169m3961,162l4048,162e" filled="false" stroked="true" strokeweight=".5pt" strokecolor="#000000">
            <v:path arrowok="t"/>
            <v:stroke dashstyle="solid"/>
            <w10:wrap type="none"/>
          </v:shape>
        </w:pict>
      </w:r>
      <w:r>
        <w:rPr/>
        <w:pict>
          <v:line style="position:absolute;mso-position-horizontal-relative:page;mso-position-vertical-relative:paragraph;z-index:16126976" from="42.292999pt,8.099584pt" to="46.625999pt,8.099584pt" stroked="true" strokeweight=".5pt" strokecolor="#000000">
            <v:stroke dashstyle="solid"/>
            <w10:wrap type="none"/>
          </v:line>
        </w:pict>
      </w:r>
      <w:r>
        <w:rPr>
          <w:sz w:val="12"/>
        </w:rPr>
        <w:t>100</w:t>
      </w:r>
    </w:p>
    <w:p>
      <w:pPr>
        <w:tabs>
          <w:tab w:pos="2159" w:val="left" w:leader="none"/>
          <w:tab w:pos="2978" w:val="left" w:leader="none"/>
        </w:tabs>
        <w:spacing w:line="137" w:lineRule="exact" w:before="0"/>
        <w:ind w:left="875" w:right="0" w:firstLine="0"/>
        <w:jc w:val="left"/>
        <w:rPr>
          <w:sz w:val="12"/>
        </w:rPr>
      </w:pPr>
      <w:r>
        <w:rPr>
          <w:sz w:val="12"/>
        </w:rPr>
        <w:t>1998</w:t>
        <w:tab/>
        <w:t>99</w:t>
        <w:tab/>
        <w:t>2000</w:t>
      </w:r>
    </w:p>
    <w:p>
      <w:pPr>
        <w:pStyle w:val="BodyText"/>
        <w:rPr>
          <w:sz w:val="12"/>
        </w:rPr>
      </w:pPr>
    </w:p>
    <w:p>
      <w:pPr>
        <w:pStyle w:val="BodyText"/>
        <w:rPr>
          <w:sz w:val="12"/>
        </w:rPr>
      </w:pPr>
    </w:p>
    <w:p>
      <w:pPr>
        <w:pStyle w:val="Heading6"/>
        <w:spacing w:before="80"/>
        <w:ind w:left="174"/>
      </w:pPr>
      <w:r>
        <w:rPr>
          <w:color w:val="0092C7"/>
        </w:rPr>
        <w:t>Chart 3.5</w:t>
      </w:r>
    </w:p>
    <w:p>
      <w:pPr>
        <w:pStyle w:val="Heading6"/>
        <w:spacing w:line="249" w:lineRule="auto"/>
        <w:ind w:left="174" w:right="10"/>
        <w:rPr>
          <w:b w:val="0"/>
          <w:sz w:val="12"/>
        </w:rPr>
      </w:pPr>
      <w:r>
        <w:rPr>
          <w:color w:val="0092C7"/>
        </w:rPr>
        <w:t>LFS unemployment rates: short-term and long-term</w:t>
      </w:r>
      <w:r>
        <w:rPr>
          <w:b w:val="0"/>
          <w:position w:val="4"/>
          <w:sz w:val="12"/>
        </w:rPr>
        <w:t>(a)(b)</w:t>
      </w:r>
    </w:p>
    <w:p>
      <w:pPr>
        <w:spacing w:before="77"/>
        <w:ind w:left="2992" w:right="0" w:firstLine="0"/>
        <w:jc w:val="left"/>
        <w:rPr>
          <w:sz w:val="12"/>
        </w:rPr>
      </w:pPr>
      <w:r>
        <w:rPr/>
        <w:pict>
          <v:line style="position:absolute;mso-position-horizontal-relative:page;mso-position-vertical-relative:paragraph;z-index:16133120" from="41.964001pt,12.618301pt" to="46.297001pt,12.618301pt" stroked="true" strokeweight=".5pt" strokecolor="#000000">
            <v:stroke dashstyle="solid"/>
            <w10:wrap type="none"/>
          </v:line>
        </w:pict>
      </w:r>
      <w:r>
        <w:rPr/>
        <w:pict>
          <v:line style="position:absolute;mso-position-horizontal-relative:page;mso-position-vertical-relative:paragraph;z-index:-23160832" from="196.774994pt,12.051302pt" to="201.106994pt,12.051302pt" stroked="true" strokeweight=".5pt" strokecolor="#000000">
            <v:stroke dashstyle="solid"/>
            <w10:wrap type="none"/>
          </v:line>
        </w:pict>
      </w:r>
      <w:r>
        <w:rPr>
          <w:sz w:val="12"/>
        </w:rPr>
        <w:t>Per cent </w:t>
      </w:r>
      <w:r>
        <w:rPr>
          <w:position w:val="-8"/>
          <w:sz w:val="12"/>
        </w:rPr>
        <w:t>7</w:t>
      </w:r>
    </w:p>
    <w:p>
      <w:pPr>
        <w:spacing w:before="76"/>
        <w:ind w:left="170" w:right="1666" w:firstLine="0"/>
        <w:jc w:val="center"/>
        <w:rPr>
          <w:sz w:val="12"/>
        </w:rPr>
      </w:pPr>
      <w:r>
        <w:rPr/>
        <w:pict>
          <v:group style="position:absolute;margin-left:52.720001pt;margin-top:7.895337pt;width:148.4pt;height:102.75pt;mso-position-horizontal-relative:page;mso-position-vertical-relative:paragraph;z-index:-23165440" coordorigin="1054,158" coordsize="2968,2055">
            <v:shape style="position:absolute;left:1064;top:167;width:2803;height:958" coordorigin="1064,168" coordsize="2803,958" path="m1064,168l1242,303m1242,303l1417,220m1417,220l1592,270m1592,270l1769,640m1769,640l1944,875m1944,875l2119,840m2119,840l2297,253m2297,253l2459,203m2459,203l2484,235m2484,235l2494,270m2494,270l2507,303m2507,303l2519,305m2519,303l2542,288m2542,288l2554,290m2554,288l2564,270m2564,270l2577,253m2577,253l2599,203m2599,203l2612,270m2612,270l2624,273m2624,270l2634,338m2634,338l2659,353m2659,353l2669,370m2669,370l2682,388m2682,388l2694,420m2694,420l2717,455m2717,455l2729,470m2729,470l2742,473m2742,470l2752,473m2752,470l2777,488m2777,488l2787,538m2787,538l2799,573m2799,573l2812,605m2812,605l2834,608m2834,605l2847,623m2847,623l2857,625m2857,623l2869,673m2869,673l2894,690m2894,690l2904,740m2904,740l2917,743m2917,740l2929,743m2929,740l2952,758m2952,758l2964,760m2964,758l2974,760m2974,758l2987,760m2987,758l3009,790m3009,790l3022,758m3022,758l3034,773m3034,773l3044,758m3044,758l3069,740m3069,740l3082,723m3082,723l3092,773m3092,773l3104,740m3104,740l3127,758m3127,758l3139,760m3139,758l3152,740m3152,740l3162,743m3162,740l3174,743m3174,740l3197,773m3197,773l3209,808m3209,808l3222,790m3222,790l3232,793m3232,790l3257,808m3257,808l3269,858m3269,858l3279,925m3279,925l3292,958m3292,958l3314,993m3314,993l3327,995m3327,993l3339,975m3339,975l3349,958m3349,958l3374,908m3374,908l3384,940m3384,940l3397,993m3397,993l3409,1008m3409,1008l3432,1025m3432,1025l3444,1008m3444,1008l3457,1043m3457,1043l3467,1045m3467,1043l3492,1045m3492,1043l3502,1058m3502,1058l3514,1060m3514,1058l3527,1060m3527,1058l3549,1025m3549,1025l3562,1008m3562,1008l3572,1010m3572,1008l3584,993m3584,993l3607,1008m3607,1008l3619,1010m3619,1008l3632,975m3632,975l3644,978m3644,975l3667,993m3667,993l3679,1008m3679,1008l3689,1025m3689,1025l3702,1058m3702,1058l3724,1093m3724,1093l3737,1095m3737,1093l3749,1110m3749,1110l3759,1113m3759,1110l3784,1113m3784,1110l3794,1113m3794,1110l3807,1075m3807,1075l3819,1093m3819,1093l3842,1095m3842,1093l3854,1110m3854,1110l3867,1125e" filled="false" stroked="true" strokeweight="1pt" strokecolor="#be869b">
              <v:path arrowok="t"/>
              <v:stroke dashstyle="solid"/>
            </v:shape>
            <v:shape style="position:absolute;left:1064;top:622;width:1420;height:1343" coordorigin="1064,623" coordsize="1420,1343" path="m1064,623l1242,690m1242,690l1417,790m1417,790l1592,925m1592,925l1769,1378m1769,1378l1944,1780m1944,1780l2119,1965m2119,1965l2297,1933m2297,1933l2459,1395m2459,1395l2484,1378e" filled="false" stroked="true" strokeweight="1pt" strokecolor="#006caa">
              <v:path arrowok="t"/>
              <v:stroke dashstyle="solid"/>
            </v:shape>
            <v:line style="position:absolute" from="2489,1283" to="2489,1388" stroked="true" strokeweight="1.5pt" strokecolor="#006caa">
              <v:stroke dashstyle="solid"/>
            </v:line>
            <v:shape style="position:absolute;left:2494;top:957;width:1373;height:1245" coordorigin="2494,958" coordsize="1373,1245" path="m2494,1293l2507,1243m2507,1243l2519,1245m2519,1243l2542,1210m2542,1210l2554,1143m2554,1143l2564,1110m2564,1110l2577,1058m2577,1058l2599,1043m2599,1043l2612,1008m2612,1008l2624,1025m2624,1025l2634,1008m2634,1008l2659,1010m2659,1008l2669,1010m2669,1008l2682,1010m2682,1008l2694,993m2694,993l2717,975m2717,975l2729,978m2729,975l2742,958m2742,958l2752,960m2752,958l2777,993m2777,993l2787,1008m2787,1008l2799,1025m2799,1025l2812,1028m2812,1025l2834,1043m2834,1043l2847,1075m2847,1075l2857,1093m2857,1093l2869,1125m2869,1125l2894,1143m2894,1143l2904,1160m2904,1160l2917,1210m2917,1210l2929,1228m2929,1228l2952,1230m2952,1228l2964,1230m2964,1228l2974,1260m2974,1260l2987,1278m2987,1278l3009,1293m3009,1293l3034,1328m3034,1328l3044,1330m3044,1328l3069,1360m3069,1360l3082,1395m3082,1395l3092,1445m3092,1445l3104,1448m3104,1445l3127,1448m3127,1445l3139,1478m3139,1478l3152,1495m3152,1495l3162,1498m3162,1495l3174,1513m3174,1513l3197,1515m3197,1513l3209,1515m3209,1513l3222,1530m3222,1530l3232,1545m3232,1545l3257,1563m3257,1563l3269,1545m3269,1545l3279,1563m3279,1563l3292,1595m3292,1595l3314,1648m3314,1648l3339,1713m3339,1713l3349,1748m3349,1748l3374,1750m3374,1748l3384,1798m3384,1798l3397,1848m3397,1848l3409,1883m3409,1883l3432,1898m3432,1898l3444,1933m3444,1933l3457,1965m3457,1965l3467,1983m3467,1983l3492,1985m3492,1983l3502,2000m3502,2000l3514,2003m3514,2000l3527,2015m3527,2015l3549,2050m3549,2050l3562,2053m3562,2050l3572,2065m3572,2065l3584,2083m3584,2083l3607,2085m3607,2083l3619,2100m3619,2100l3632,2103m3632,2100l3644,2103m3644,2100l3667,2103m3667,2100l3679,2103m3679,2100l3689,2103m3689,2100l3702,2118m3702,2118l3724,2120m3724,2118l3737,2133m3737,2133l3749,2118m3749,2118l3759,2120m3759,2118l3784,2120m3784,2118l3794,2120m3794,2118l3807,2133m3807,2133l3819,2168m3819,2168l3842,2183m3842,2183l3854,2200m3854,2200l3867,2203e" filled="false" stroked="true" strokeweight="1pt" strokecolor="#006caa">
              <v:path arrowok="t"/>
              <v:stroke dashstyle="solid"/>
            </v:shape>
            <v:shape style="position:absolute;left:3935;top:349;width:87;height:1652" coordorigin="3935,349" coordsize="87,1652" path="m3935,349l4022,349m3935,762l4022,762m3935,1175l4022,1175m3935,1588l4022,1588m3935,2001l4022,2001e" filled="false" stroked="true" strokeweight=".5pt" strokecolor="#000000">
              <v:path arrowok="t"/>
              <v:stroke dashstyle="solid"/>
            </v:shape>
            <v:shape style="position:absolute;left:1069;top:959;width:534;height:133" type="#_x0000_t202" filled="false" stroked="false">
              <v:textbox inset="0,0,0,0">
                <w:txbxContent>
                  <w:p>
                    <w:pPr>
                      <w:spacing w:line="133" w:lineRule="exact" w:before="0"/>
                      <w:ind w:left="0" w:right="0" w:firstLine="0"/>
                      <w:jc w:val="left"/>
                      <w:rPr>
                        <w:sz w:val="12"/>
                      </w:rPr>
                    </w:pPr>
                    <w:r>
                      <w:rPr>
                        <w:sz w:val="12"/>
                      </w:rPr>
                      <w:t>Long-term</w:t>
                    </w:r>
                  </w:p>
                </w:txbxContent>
              </v:textbox>
              <w10:wrap type="none"/>
            </v:shape>
            <w10:wrap type="none"/>
          </v:group>
        </w:pict>
      </w:r>
      <w:r>
        <w:rPr>
          <w:sz w:val="12"/>
        </w:rPr>
        <w:t>Short-term</w:t>
      </w:r>
    </w:p>
    <w:p>
      <w:pPr>
        <w:spacing w:before="55"/>
        <w:ind w:left="3438" w:right="0" w:firstLine="0"/>
        <w:jc w:val="left"/>
        <w:rPr>
          <w:sz w:val="12"/>
        </w:rPr>
      </w:pPr>
      <w:r>
        <w:rPr/>
        <w:pict>
          <v:line style="position:absolute;mso-position-horizontal-relative:page;mso-position-vertical-relative:paragraph;z-index:16133632" from="41.964001pt,7.332951pt" to="46.297001pt,7.332951pt" stroked="true" strokeweight=".5pt" strokecolor="#000000">
            <v:stroke dashstyle="solid"/>
            <w10:wrap type="none"/>
          </v:line>
        </w:pict>
      </w:r>
      <w:r>
        <w:rPr>
          <w:sz w:val="12"/>
        </w:rPr>
        <w:t>6</w:t>
      </w:r>
    </w:p>
    <w:p>
      <w:pPr>
        <w:pStyle w:val="BodyText"/>
        <w:rPr>
          <w:sz w:val="12"/>
        </w:rPr>
      </w:pPr>
    </w:p>
    <w:p>
      <w:pPr>
        <w:pStyle w:val="BodyText"/>
        <w:spacing w:before="7"/>
        <w:rPr>
          <w:sz w:val="11"/>
        </w:rPr>
      </w:pPr>
    </w:p>
    <w:p>
      <w:pPr>
        <w:spacing w:before="1"/>
        <w:ind w:left="3438" w:right="0" w:firstLine="0"/>
        <w:jc w:val="left"/>
        <w:rPr>
          <w:sz w:val="12"/>
        </w:rPr>
      </w:pPr>
      <w:r>
        <w:rPr/>
        <w:pict>
          <v:line style="position:absolute;mso-position-horizontal-relative:page;mso-position-vertical-relative:paragraph;z-index:16134144" from="41.964001pt,4.765373pt" to="46.297001pt,4.765373pt" stroked="true" strokeweight=".5pt" strokecolor="#000000">
            <v:stroke dashstyle="solid"/>
            <w10:wrap type="none"/>
          </v:line>
        </w:pict>
      </w:r>
      <w:r>
        <w:rPr>
          <w:sz w:val="12"/>
        </w:rPr>
        <w:t>5</w:t>
      </w:r>
    </w:p>
    <w:p>
      <w:pPr>
        <w:pStyle w:val="BodyText"/>
        <w:rPr>
          <w:sz w:val="12"/>
        </w:rPr>
      </w:pPr>
    </w:p>
    <w:p>
      <w:pPr>
        <w:pStyle w:val="BodyText"/>
        <w:spacing w:before="7"/>
        <w:rPr>
          <w:sz w:val="11"/>
        </w:rPr>
      </w:pPr>
    </w:p>
    <w:p>
      <w:pPr>
        <w:spacing w:before="1"/>
        <w:ind w:left="3438" w:right="0" w:firstLine="0"/>
        <w:jc w:val="left"/>
        <w:rPr>
          <w:sz w:val="12"/>
        </w:rPr>
      </w:pPr>
      <w:r>
        <w:rPr/>
        <w:pict>
          <v:line style="position:absolute;mso-position-horizontal-relative:page;mso-position-vertical-relative:paragraph;z-index:16134656" from="41.964001pt,4.896764pt" to="46.297001pt,4.896764pt" stroked="true" strokeweight=".5pt" strokecolor="#000000">
            <v:stroke dashstyle="solid"/>
            <w10:wrap type="none"/>
          </v:line>
        </w:pict>
      </w:r>
      <w:r>
        <w:rPr>
          <w:sz w:val="12"/>
        </w:rPr>
        <w:t>4</w:t>
      </w:r>
    </w:p>
    <w:p>
      <w:pPr>
        <w:pStyle w:val="BodyText"/>
        <w:rPr>
          <w:sz w:val="12"/>
        </w:rPr>
      </w:pPr>
    </w:p>
    <w:p>
      <w:pPr>
        <w:pStyle w:val="BodyText"/>
        <w:spacing w:before="7"/>
        <w:rPr>
          <w:sz w:val="11"/>
        </w:rPr>
      </w:pPr>
    </w:p>
    <w:p>
      <w:pPr>
        <w:spacing w:before="0"/>
        <w:ind w:left="3438" w:right="0" w:firstLine="0"/>
        <w:jc w:val="left"/>
        <w:rPr>
          <w:sz w:val="12"/>
        </w:rPr>
      </w:pPr>
      <w:r>
        <w:rPr/>
        <w:pict>
          <v:line style="position:absolute;mso-position-horizontal-relative:page;mso-position-vertical-relative:paragraph;z-index:16135168" from="41.964001pt,4.978156pt" to="46.297001pt,4.978156pt" stroked="true" strokeweight=".5pt" strokecolor="#000000">
            <v:stroke dashstyle="solid"/>
            <w10:wrap type="none"/>
          </v:line>
        </w:pict>
      </w:r>
      <w:r>
        <w:rPr>
          <w:sz w:val="12"/>
        </w:rPr>
        <w:t>3</w:t>
      </w:r>
    </w:p>
    <w:p>
      <w:pPr>
        <w:pStyle w:val="BodyText"/>
        <w:rPr>
          <w:sz w:val="12"/>
        </w:rPr>
      </w:pPr>
    </w:p>
    <w:p>
      <w:pPr>
        <w:pStyle w:val="BodyText"/>
        <w:spacing w:before="5"/>
        <w:rPr>
          <w:sz w:val="13"/>
        </w:rPr>
      </w:pPr>
    </w:p>
    <w:p>
      <w:pPr>
        <w:spacing w:before="0"/>
        <w:ind w:left="3438" w:right="0" w:firstLine="0"/>
        <w:jc w:val="left"/>
        <w:rPr>
          <w:sz w:val="12"/>
        </w:rPr>
      </w:pPr>
      <w:r>
        <w:rPr/>
        <w:pict>
          <v:line style="position:absolute;mso-position-horizontal-relative:page;mso-position-vertical-relative:paragraph;z-index:16136192" from="41.964001pt,4.109754pt" to="46.297001pt,4.109754pt" stroked="true" strokeweight=".5pt" strokecolor="#000000">
            <v:stroke dashstyle="solid"/>
            <w10:wrap type="none"/>
          </v:line>
        </w:pict>
      </w:r>
      <w:r>
        <w:rPr>
          <w:sz w:val="12"/>
        </w:rPr>
        <w:t>2</w:t>
      </w:r>
    </w:p>
    <w:p>
      <w:pPr>
        <w:pStyle w:val="BodyText"/>
        <w:rPr>
          <w:sz w:val="12"/>
        </w:rPr>
      </w:pPr>
    </w:p>
    <w:p>
      <w:pPr>
        <w:pStyle w:val="BodyText"/>
        <w:spacing w:before="8"/>
        <w:rPr>
          <w:sz w:val="11"/>
        </w:rPr>
      </w:pPr>
    </w:p>
    <w:p>
      <w:pPr>
        <w:spacing w:before="0"/>
        <w:ind w:left="3438" w:right="0" w:firstLine="0"/>
        <w:jc w:val="left"/>
        <w:rPr>
          <w:sz w:val="12"/>
        </w:rPr>
      </w:pPr>
      <w:r>
        <w:rPr/>
        <w:pict>
          <v:line style="position:absolute;mso-position-horizontal-relative:page;mso-position-vertical-relative:paragraph;z-index:16135680" from="41.964001pt,4.241176pt" to="46.297001pt,4.241176pt" stroked="true" strokeweight=".5pt" strokecolor="#000000">
            <v:stroke dashstyle="solid"/>
            <w10:wrap type="none"/>
          </v:line>
        </w:pict>
      </w:r>
      <w:r>
        <w:rPr/>
        <w:pict>
          <v:line style="position:absolute;mso-position-horizontal-relative:page;mso-position-vertical-relative:paragraph;z-index:16137728" from="196.774994pt,3.674176pt" to="201.106994pt,3.674176pt" stroked="true" strokeweight=".5pt" strokecolor="#000000">
            <v:stroke dashstyle="solid"/>
            <w10:wrap type="none"/>
          </v:line>
        </w:pict>
      </w:r>
      <w:r>
        <w:rPr>
          <w:sz w:val="12"/>
        </w:rPr>
        <w:t>1</w:t>
      </w:r>
    </w:p>
    <w:p>
      <w:pPr>
        <w:pStyle w:val="BodyText"/>
        <w:rPr>
          <w:sz w:val="12"/>
        </w:rPr>
      </w:pPr>
    </w:p>
    <w:p>
      <w:pPr>
        <w:pStyle w:val="BodyText"/>
        <w:spacing w:before="8"/>
        <w:rPr>
          <w:sz w:val="11"/>
        </w:rPr>
      </w:pPr>
    </w:p>
    <w:p>
      <w:pPr>
        <w:spacing w:line="132" w:lineRule="exact" w:before="0"/>
        <w:ind w:left="3438" w:right="0" w:firstLine="0"/>
        <w:jc w:val="left"/>
        <w:rPr>
          <w:sz w:val="12"/>
        </w:rPr>
      </w:pPr>
      <w:r>
        <w:rPr/>
        <w:pict>
          <v:line style="position:absolute;mso-position-horizontal-relative:page;mso-position-vertical-relative:paragraph;z-index:16136704" from="41.964001pt,4.413567pt" to="46.297001pt,4.413567pt" stroked="true" strokeweight=".5pt" strokecolor="#000000">
            <v:stroke dashstyle="solid"/>
            <w10:wrap type="none"/>
          </v:line>
        </w:pict>
      </w:r>
      <w:r>
        <w:rPr/>
        <w:pict>
          <v:shape style="position:absolute;margin-left:50.193001pt;margin-top:1.060567pt;width:150.950pt;height:3.4pt;mso-position-horizontal-relative:page;mso-position-vertical-relative:paragraph;z-index:16138240" coordorigin="1004,21" coordsize="3019,68" path="m3936,88l4022,88m1006,88l3868,88m1004,21l1004,88m1177,21l1177,88m1524,21l1524,88m1871,21l1871,88m2218,21l2218,88m2565,21l2565,88m3085,21l3085,88m3779,21l3779,88m2911,21l2911,88m3432,21l3432,88m1351,21l1351,88m1698,21l1698,88m2044,21l2044,88m2391,21l2391,88m2738,21l2738,88m3258,21l3258,88m3605,21l3605,88e" filled="false" stroked="true" strokeweight=".5pt" strokecolor="#000000">
            <v:path arrowok="t"/>
            <v:stroke dashstyle="solid"/>
            <w10:wrap type="none"/>
          </v:shape>
        </w:pict>
      </w:r>
      <w:r>
        <w:rPr>
          <w:sz w:val="12"/>
        </w:rPr>
        <w:t>0</w:t>
      </w:r>
    </w:p>
    <w:p>
      <w:pPr>
        <w:tabs>
          <w:tab w:pos="1100" w:val="left" w:leader="none"/>
          <w:tab w:pos="1452" w:val="left" w:leader="none"/>
          <w:tab w:pos="1802" w:val="left" w:leader="none"/>
          <w:tab w:pos="2142" w:val="left" w:leader="none"/>
          <w:tab w:pos="2495" w:val="left" w:leader="none"/>
          <w:tab w:pos="2845" w:val="left" w:leader="none"/>
        </w:tabs>
        <w:spacing w:line="132" w:lineRule="exact" w:before="0"/>
        <w:ind w:left="315" w:right="0" w:firstLine="0"/>
        <w:jc w:val="left"/>
        <w:rPr>
          <w:sz w:val="12"/>
        </w:rPr>
      </w:pPr>
      <w:r>
        <w:rPr>
          <w:sz w:val="12"/>
        </w:rPr>
        <w:t>1984     </w:t>
      </w:r>
      <w:r>
        <w:rPr>
          <w:spacing w:val="12"/>
          <w:sz w:val="12"/>
        </w:rPr>
        <w:t> </w:t>
      </w:r>
      <w:r>
        <w:rPr>
          <w:sz w:val="12"/>
        </w:rPr>
        <w:t>86</w:t>
        <w:tab/>
        <w:t>88</w:t>
        <w:tab/>
        <w:t>90</w:t>
        <w:tab/>
        <w:t>92</w:t>
        <w:tab/>
        <w:t>94</w:t>
        <w:tab/>
        <w:t>96</w:t>
        <w:tab/>
        <w:t>98</w:t>
      </w:r>
      <w:r>
        <w:rPr>
          <w:spacing w:val="12"/>
          <w:sz w:val="12"/>
        </w:rPr>
        <w:t> </w:t>
      </w:r>
      <w:r>
        <w:rPr>
          <w:sz w:val="12"/>
        </w:rPr>
        <w:t>2000</w:t>
      </w:r>
    </w:p>
    <w:p>
      <w:pPr>
        <w:pStyle w:val="BodyText"/>
        <w:rPr>
          <w:sz w:val="12"/>
        </w:rPr>
      </w:pPr>
    </w:p>
    <w:p>
      <w:pPr>
        <w:pStyle w:val="ListParagraph"/>
        <w:numPr>
          <w:ilvl w:val="0"/>
          <w:numId w:val="23"/>
        </w:numPr>
        <w:tabs>
          <w:tab w:pos="415" w:val="left" w:leader="none"/>
        </w:tabs>
        <w:spacing w:line="208" w:lineRule="auto" w:before="98" w:after="0"/>
        <w:ind w:left="414" w:right="439" w:hanging="240"/>
        <w:jc w:val="left"/>
        <w:rPr>
          <w:sz w:val="12"/>
        </w:rPr>
      </w:pPr>
      <w:r>
        <w:rPr>
          <w:sz w:val="12"/>
        </w:rPr>
        <w:t>Number</w:t>
      </w:r>
      <w:r>
        <w:rPr>
          <w:spacing w:val="-6"/>
          <w:sz w:val="12"/>
        </w:rPr>
        <w:t> </w:t>
      </w:r>
      <w:r>
        <w:rPr>
          <w:sz w:val="12"/>
        </w:rPr>
        <w:t>of</w:t>
      </w:r>
      <w:r>
        <w:rPr>
          <w:spacing w:val="-5"/>
          <w:sz w:val="12"/>
        </w:rPr>
        <w:t> </w:t>
      </w:r>
      <w:r>
        <w:rPr>
          <w:sz w:val="12"/>
        </w:rPr>
        <w:t>unemployed</w:t>
      </w:r>
      <w:r>
        <w:rPr>
          <w:spacing w:val="-5"/>
          <w:sz w:val="12"/>
        </w:rPr>
        <w:t> </w:t>
      </w:r>
      <w:r>
        <w:rPr>
          <w:sz w:val="12"/>
        </w:rPr>
        <w:t>for</w:t>
      </w:r>
      <w:r>
        <w:rPr>
          <w:spacing w:val="-5"/>
          <w:sz w:val="12"/>
        </w:rPr>
        <w:t> </w:t>
      </w:r>
      <w:r>
        <w:rPr>
          <w:sz w:val="12"/>
        </w:rPr>
        <w:t>up</w:t>
      </w:r>
      <w:r>
        <w:rPr>
          <w:spacing w:val="-5"/>
          <w:sz w:val="12"/>
        </w:rPr>
        <w:t> </w:t>
      </w:r>
      <w:r>
        <w:rPr>
          <w:sz w:val="12"/>
        </w:rPr>
        <w:t>to/more</w:t>
      </w:r>
      <w:r>
        <w:rPr>
          <w:spacing w:val="-5"/>
          <w:sz w:val="12"/>
        </w:rPr>
        <w:t> </w:t>
      </w:r>
      <w:r>
        <w:rPr>
          <w:sz w:val="12"/>
        </w:rPr>
        <w:t>than</w:t>
      </w:r>
      <w:r>
        <w:rPr>
          <w:spacing w:val="-6"/>
          <w:sz w:val="12"/>
        </w:rPr>
        <w:t> </w:t>
      </w:r>
      <w:r>
        <w:rPr>
          <w:sz w:val="12"/>
        </w:rPr>
        <w:t>twelve</w:t>
      </w:r>
      <w:r>
        <w:rPr>
          <w:spacing w:val="-5"/>
          <w:sz w:val="12"/>
        </w:rPr>
        <w:t> </w:t>
      </w:r>
      <w:r>
        <w:rPr>
          <w:sz w:val="12"/>
        </w:rPr>
        <w:t>months as percentages of the economically</w:t>
      </w:r>
      <w:r>
        <w:rPr>
          <w:spacing w:val="-10"/>
          <w:sz w:val="12"/>
        </w:rPr>
        <w:t> </w:t>
      </w:r>
      <w:r>
        <w:rPr>
          <w:sz w:val="12"/>
        </w:rPr>
        <w:t>active.</w:t>
      </w:r>
    </w:p>
    <w:p>
      <w:pPr>
        <w:pStyle w:val="ListParagraph"/>
        <w:numPr>
          <w:ilvl w:val="0"/>
          <w:numId w:val="23"/>
        </w:numPr>
        <w:tabs>
          <w:tab w:pos="415" w:val="left" w:leader="none"/>
        </w:tabs>
        <w:spacing w:line="123" w:lineRule="exact" w:before="0" w:after="0"/>
        <w:ind w:left="414" w:right="0" w:hanging="241"/>
        <w:jc w:val="left"/>
        <w:rPr>
          <w:sz w:val="12"/>
        </w:rPr>
      </w:pPr>
      <w:r>
        <w:rPr>
          <w:sz w:val="12"/>
        </w:rPr>
        <w:t>Monthly UK data after May 1992, annual GB data</w:t>
      </w:r>
      <w:r>
        <w:rPr>
          <w:spacing w:val="-20"/>
          <w:sz w:val="12"/>
        </w:rPr>
        <w:t> </w:t>
      </w:r>
      <w:r>
        <w:rPr>
          <w:sz w:val="12"/>
        </w:rPr>
        <w:t>before.</w:t>
      </w:r>
    </w:p>
    <w:p>
      <w:pPr>
        <w:pStyle w:val="BodyText"/>
        <w:rPr>
          <w:sz w:val="12"/>
        </w:rPr>
      </w:pPr>
    </w:p>
    <w:p>
      <w:pPr>
        <w:pStyle w:val="BodyText"/>
        <w:rPr>
          <w:sz w:val="15"/>
        </w:rPr>
      </w:pPr>
    </w:p>
    <w:p>
      <w:pPr>
        <w:pStyle w:val="Heading6"/>
        <w:spacing w:before="0"/>
        <w:ind w:left="174"/>
      </w:pPr>
      <w:r>
        <w:rPr>
          <w:color w:val="0092C7"/>
        </w:rPr>
        <w:t>Chart 3.6</w:t>
      </w:r>
    </w:p>
    <w:p>
      <w:pPr>
        <w:pStyle w:val="Heading6"/>
        <w:ind w:left="174"/>
        <w:rPr>
          <w:b w:val="0"/>
          <w:sz w:val="12"/>
        </w:rPr>
      </w:pPr>
      <w:r>
        <w:rPr>
          <w:color w:val="0092C7"/>
        </w:rPr>
        <w:t>Measures</w:t>
      </w:r>
      <w:r>
        <w:rPr>
          <w:color w:val="0092C7"/>
          <w:spacing w:val="-10"/>
        </w:rPr>
        <w:t> </w:t>
      </w:r>
      <w:r>
        <w:rPr>
          <w:color w:val="0092C7"/>
        </w:rPr>
        <w:t>of</w:t>
      </w:r>
      <w:r>
        <w:rPr>
          <w:color w:val="0092C7"/>
          <w:spacing w:val="-9"/>
        </w:rPr>
        <w:t> </w:t>
      </w:r>
      <w:r>
        <w:rPr>
          <w:color w:val="0092C7"/>
        </w:rPr>
        <w:t>labour</w:t>
      </w:r>
      <w:r>
        <w:rPr>
          <w:color w:val="0092C7"/>
          <w:spacing w:val="-10"/>
        </w:rPr>
        <w:t> </w:t>
      </w:r>
      <w:r>
        <w:rPr>
          <w:color w:val="0092C7"/>
        </w:rPr>
        <w:t>market</w:t>
      </w:r>
      <w:r>
        <w:rPr>
          <w:color w:val="0092C7"/>
          <w:spacing w:val="-9"/>
        </w:rPr>
        <w:t> </w:t>
      </w:r>
      <w:r>
        <w:rPr>
          <w:color w:val="0092C7"/>
        </w:rPr>
        <w:t>tightness</w:t>
      </w:r>
      <w:r>
        <w:rPr>
          <w:b w:val="0"/>
          <w:position w:val="4"/>
          <w:sz w:val="12"/>
        </w:rPr>
        <w:t>(a)</w:t>
      </w:r>
    </w:p>
    <w:p>
      <w:pPr>
        <w:spacing w:line="118" w:lineRule="exact" w:before="102"/>
        <w:ind w:left="2193" w:right="0" w:firstLine="0"/>
        <w:jc w:val="left"/>
        <w:rPr>
          <w:sz w:val="12"/>
        </w:rPr>
      </w:pPr>
      <w:r>
        <w:rPr>
          <w:sz w:val="12"/>
        </w:rPr>
        <w:t>Index, spring 1990 = 100</w:t>
      </w:r>
    </w:p>
    <w:p>
      <w:pPr>
        <w:spacing w:line="118" w:lineRule="exact" w:before="0"/>
        <w:ind w:left="3440" w:right="0" w:firstLine="0"/>
        <w:jc w:val="left"/>
        <w:rPr>
          <w:sz w:val="12"/>
        </w:rPr>
      </w:pPr>
      <w:r>
        <w:rPr/>
        <w:pict>
          <v:group style="position:absolute;margin-left:42.793999pt;margin-top:2.091525pt;width:159.450pt;height:144.3pt;mso-position-horizontal-relative:page;mso-position-vertical-relative:paragraph;z-index:16139776" coordorigin="856,42" coordsize="3189,2886">
            <v:shape style="position:absolute;left:1014;top:129;width:2868;height:2683" coordorigin="1014,129" coordsize="2868,2683" path="m1014,129l1192,307m1192,307l1372,274m1372,274l1552,484m1552,484l1729,1292m1729,1292l1909,2052m1909,2052l2089,2197m2089,2197l2267,1389m2267,1389l2447,759m2447,759l2659,484m2659,484l2704,532m2704,532l2749,582m2749,582l2794,647m2794,647l2839,824m2839,824l2884,922m2884,922l2929,1179m2929,1179l2974,1259m2974,1259l3019,1309m3019,1309l3064,1374m3064,1374l3109,1404m3109,1404l3152,1502m3152,1502l3197,1534m3197,1534l3242,1664m3242,1664l3287,1679m3287,1679l3332,1922m3332,1922l3377,2084m3377,2084l3422,2132m3422,2132l3467,2359m3467,2359l3512,2489m3512,2489l3557,2552m3557,2552l3602,2522m3602,2522l3647,2552m3647,2552l3692,2522m3692,2522l3737,2602m3737,2602l3779,2699m3779,2699l3792,2702m3792,2699l3837,2747m3837,2747l3882,2812e" filled="false" stroked="true" strokeweight="1pt" strokecolor="#f6bd61">
              <v:path arrowok="t"/>
              <v:stroke dashstyle="solid"/>
            </v:shape>
            <v:shape style="position:absolute;left:1014;top:1374;width:895;height:808" coordorigin="1014,1374" coordsize="895,808" path="m1014,1374l1192,1487m1192,1487l1372,1404m1372,1404l1552,1519m1552,1519l1729,1874m1729,1874l1909,2182e" filled="false" stroked="true" strokeweight="1pt" strokecolor="#835335">
              <v:path arrowok="t"/>
              <v:stroke dashstyle="solid"/>
            </v:shape>
            <v:line style="position:absolute" from="1899,2189" to="2099,2189" stroked="true" strokeweight="1.75pt" strokecolor="#835335">
              <v:stroke dashstyle="solid"/>
            </v:line>
            <v:shape style="position:absolute;left:2089;top:1374;width:840;height:823" coordorigin="2089,1374" coordsize="840,823" path="m2089,2197l2267,1599m2267,1599l2447,1422m2447,1422l2659,1374m2659,1374l2749,1469m2749,1469l2794,1487m2794,1487l2839,1584m2839,1584l2884,1614m2884,1614l2929,1712e" filled="false" stroked="true" strokeweight="1pt" strokecolor="#835335">
              <v:path arrowok="t"/>
              <v:stroke dashstyle="solid"/>
            </v:shape>
            <v:line style="position:absolute" from="2919,1713" to="2984,1713" stroked="true" strokeweight="1.125pt" strokecolor="#835335">
              <v:stroke dashstyle="solid"/>
            </v:line>
            <v:shape style="position:absolute;left:2974;top:1711;width:178;height:98" coordorigin="2974,1712" coordsize="178,98" path="m2974,1712l3019,1729m3019,1729l3064,1794m3064,1794l3109,1762m3109,1762l3152,1809e" filled="false" stroked="true" strokeweight="1pt" strokecolor="#835335">
              <v:path arrowok="t"/>
              <v:stroke dashstyle="solid"/>
            </v:shape>
            <v:line style="position:absolute" from="3142,1811" to="3207,1811" stroked="true" strokeweight="1.125pt" strokecolor="#835335">
              <v:stroke dashstyle="solid"/>
            </v:line>
            <v:line style="position:absolute" from="3197,1809" to="3242,1857" stroked="true" strokeweight="1pt" strokecolor="#835335">
              <v:stroke dashstyle="solid"/>
            </v:line>
            <v:line style="position:absolute" from="3232,1858" to="3297,1858" stroked="true" strokeweight="1.125pt" strokecolor="#835335">
              <v:stroke dashstyle="solid"/>
            </v:line>
            <v:shape style="position:absolute;left:3286;top:1856;width:595;height:438" coordorigin="3287,1857" coordsize="595,438" path="m3287,1857l3332,2004m3332,2004l3377,2037m3377,2037l3422,2004m3422,2004l3467,2117m3467,2117l3512,2132m3512,2132l3557,2149m3557,2149l3602,2117m3602,2117l3647,2132m3647,2132l3692,2117m3692,2117l3737,2164m3737,2164l3779,2247m3779,2247l3792,2229m3792,2229l3837,2247m3837,2247l3882,2294e" filled="false" stroked="true" strokeweight="1pt" strokecolor="#835335">
              <v:path arrowok="t"/>
              <v:stroke dashstyle="solid"/>
            </v:shape>
            <v:shape style="position:absolute;left:855;top:46;width:3189;height:2876" coordorigin="856,47" coordsize="3189,2876" path="m856,405l943,405m856,762l943,762m856,1120l943,1120m856,1478l943,1478m856,1836l943,1836m856,2552l943,2552m856,2194l943,2194m856,47l943,47m3958,415l4044,415m3958,773l4044,773m3958,1131l4044,1131m3958,1489l4044,1489m3958,1847l4044,1847m3958,2562l4044,2562m3958,2204l4044,2204m3958,58l4044,58m856,2923l943,2923m1015,2923l3879,2923m1013,2855l1013,2923m1370,2855l1370,2923m1728,2855l1728,2923m2085,2855l2085,2923m2443,2855l2443,2923m2800,2855l2800,2923m3158,2855l3158,2923m3694,2855l3694,2923m3336,2855l3336,2923m3872,2855l3872,2923m1192,2855l1192,2923m1549,2855l1549,2923m1906,2855l1906,2923m2264,2855l2264,2923m2621,2855l2621,2923m2979,2855l2979,2923m3515,2855l3515,2923e" filled="false" stroked="true" strokeweight=".5pt" strokecolor="#000000">
              <v:path arrowok="t"/>
              <v:stroke dashstyle="solid"/>
            </v:shape>
            <v:shape style="position:absolute;left:2747;top:384;width:767;height:134" type="#_x0000_t202" filled="false" stroked="false">
              <v:textbox inset="0,0,0,0">
                <w:txbxContent>
                  <w:p>
                    <w:pPr>
                      <w:spacing w:line="133" w:lineRule="exact" w:before="0"/>
                      <w:ind w:left="0" w:right="0" w:firstLine="0"/>
                      <w:jc w:val="left"/>
                      <w:rPr>
                        <w:sz w:val="12"/>
                      </w:rPr>
                    </w:pPr>
                    <w:r>
                      <w:rPr>
                        <w:sz w:val="12"/>
                      </w:rPr>
                      <w:t>Unemployment</w:t>
                    </w:r>
                  </w:p>
                </w:txbxContent>
              </v:textbox>
              <w10:wrap type="none"/>
            </v:shape>
            <v:shape style="position:absolute;left:1174;top:2228;width:1507;height:134" type="#_x0000_t202" filled="false" stroked="false">
              <v:textbox inset="0,0,0,0">
                <w:txbxContent>
                  <w:p>
                    <w:pPr>
                      <w:spacing w:line="133" w:lineRule="exact" w:before="0"/>
                      <w:ind w:left="0" w:right="0" w:firstLine="0"/>
                      <w:jc w:val="left"/>
                      <w:rPr>
                        <w:sz w:val="12"/>
                      </w:rPr>
                    </w:pPr>
                    <w:r>
                      <w:rPr>
                        <w:sz w:val="12"/>
                      </w:rPr>
                      <w:t>Weighted non-employment (b)</w:t>
                    </w:r>
                  </w:p>
                </w:txbxContent>
              </v:textbox>
              <w10:wrap type="none"/>
            </v:shape>
            <w10:wrap type="none"/>
          </v:group>
        </w:pict>
      </w:r>
      <w:r>
        <w:rPr>
          <w:sz w:val="12"/>
        </w:rPr>
        <w:t>160</w:t>
      </w:r>
    </w:p>
    <w:p>
      <w:pPr>
        <w:pStyle w:val="BodyText"/>
        <w:rPr>
          <w:sz w:val="12"/>
        </w:rPr>
      </w:pPr>
    </w:p>
    <w:p>
      <w:pPr>
        <w:spacing w:before="81"/>
        <w:ind w:left="3440" w:right="0" w:firstLine="0"/>
        <w:jc w:val="left"/>
        <w:rPr>
          <w:sz w:val="12"/>
        </w:rPr>
      </w:pPr>
      <w:r>
        <w:rPr>
          <w:sz w:val="12"/>
        </w:rPr>
        <w:t>150</w:t>
      </w:r>
    </w:p>
    <w:p>
      <w:pPr>
        <w:pStyle w:val="BodyText"/>
        <w:rPr>
          <w:sz w:val="12"/>
        </w:rPr>
      </w:pPr>
    </w:p>
    <w:p>
      <w:pPr>
        <w:spacing w:before="82"/>
        <w:ind w:left="3440" w:right="0" w:firstLine="0"/>
        <w:jc w:val="left"/>
        <w:rPr>
          <w:sz w:val="12"/>
        </w:rPr>
      </w:pPr>
      <w:r>
        <w:rPr>
          <w:sz w:val="12"/>
        </w:rPr>
        <w:t>140</w:t>
      </w:r>
    </w:p>
    <w:p>
      <w:pPr>
        <w:pStyle w:val="BodyText"/>
        <w:rPr>
          <w:sz w:val="12"/>
        </w:rPr>
      </w:pPr>
    </w:p>
    <w:p>
      <w:pPr>
        <w:spacing w:before="81"/>
        <w:ind w:left="3440" w:right="0" w:firstLine="0"/>
        <w:jc w:val="left"/>
        <w:rPr>
          <w:sz w:val="12"/>
        </w:rPr>
      </w:pPr>
      <w:r>
        <w:rPr>
          <w:sz w:val="12"/>
        </w:rPr>
        <w:t>130</w:t>
      </w:r>
    </w:p>
    <w:p>
      <w:pPr>
        <w:pStyle w:val="BodyText"/>
        <w:rPr>
          <w:sz w:val="12"/>
        </w:rPr>
      </w:pPr>
    </w:p>
    <w:p>
      <w:pPr>
        <w:spacing w:before="82"/>
        <w:ind w:left="3440" w:right="0" w:firstLine="0"/>
        <w:jc w:val="left"/>
        <w:rPr>
          <w:sz w:val="12"/>
        </w:rPr>
      </w:pPr>
      <w:r>
        <w:rPr>
          <w:sz w:val="12"/>
        </w:rPr>
        <w:t>120</w:t>
      </w:r>
    </w:p>
    <w:p>
      <w:pPr>
        <w:pStyle w:val="BodyText"/>
        <w:rPr>
          <w:sz w:val="12"/>
        </w:rPr>
      </w:pPr>
    </w:p>
    <w:p>
      <w:pPr>
        <w:spacing w:before="81"/>
        <w:ind w:left="3440" w:right="0" w:firstLine="0"/>
        <w:jc w:val="left"/>
        <w:rPr>
          <w:sz w:val="12"/>
        </w:rPr>
      </w:pPr>
      <w:r>
        <w:rPr>
          <w:sz w:val="12"/>
        </w:rPr>
        <w:t>110</w:t>
      </w:r>
    </w:p>
    <w:p>
      <w:pPr>
        <w:pStyle w:val="BodyText"/>
        <w:rPr>
          <w:sz w:val="12"/>
        </w:rPr>
      </w:pPr>
    </w:p>
    <w:p>
      <w:pPr>
        <w:spacing w:before="82"/>
        <w:ind w:left="3440" w:right="0" w:firstLine="0"/>
        <w:jc w:val="left"/>
        <w:rPr>
          <w:sz w:val="12"/>
        </w:rPr>
      </w:pPr>
      <w:r>
        <w:rPr>
          <w:sz w:val="12"/>
        </w:rPr>
        <w:t>100</w:t>
      </w:r>
    </w:p>
    <w:p>
      <w:pPr>
        <w:pStyle w:val="BodyText"/>
        <w:rPr>
          <w:sz w:val="12"/>
        </w:rPr>
      </w:pPr>
    </w:p>
    <w:p>
      <w:pPr>
        <w:spacing w:before="81"/>
        <w:ind w:left="3500" w:right="0" w:firstLine="0"/>
        <w:jc w:val="left"/>
        <w:rPr>
          <w:sz w:val="12"/>
        </w:rPr>
      </w:pPr>
      <w:r>
        <w:rPr>
          <w:sz w:val="12"/>
        </w:rPr>
        <w:t>90</w:t>
      </w:r>
    </w:p>
    <w:p>
      <w:pPr>
        <w:pStyle w:val="BodyText"/>
        <w:rPr>
          <w:sz w:val="12"/>
        </w:rPr>
      </w:pPr>
    </w:p>
    <w:p>
      <w:pPr>
        <w:spacing w:line="128" w:lineRule="exact" w:before="82"/>
        <w:ind w:left="3500" w:right="0" w:firstLine="0"/>
        <w:jc w:val="left"/>
        <w:rPr>
          <w:sz w:val="12"/>
        </w:rPr>
      </w:pPr>
      <w:r>
        <w:rPr/>
        <w:pict>
          <v:line style="position:absolute;mso-position-horizontal-relative:page;mso-position-vertical-relative:paragraph;z-index:16140288" from="197.880997pt,8.219559pt" to="202.212997pt,8.219559pt" stroked="true" strokeweight=".5pt" strokecolor="#000000">
            <v:stroke dashstyle="solid"/>
            <w10:wrap type="none"/>
          </v:line>
        </w:pict>
      </w:r>
      <w:r>
        <w:rPr>
          <w:sz w:val="12"/>
        </w:rPr>
        <w:t>80</w:t>
      </w:r>
    </w:p>
    <w:p>
      <w:pPr>
        <w:tabs>
          <w:tab w:pos="1022" w:val="left" w:leader="none"/>
          <w:tab w:pos="1380" w:val="left" w:leader="none"/>
          <w:tab w:pos="1739" w:val="left" w:leader="none"/>
          <w:tab w:pos="2097" w:val="left" w:leader="none"/>
          <w:tab w:pos="2455" w:val="left" w:leader="none"/>
          <w:tab w:pos="2814" w:val="left" w:leader="none"/>
        </w:tabs>
        <w:spacing w:line="128" w:lineRule="exact" w:before="0"/>
        <w:ind w:left="249" w:right="0" w:firstLine="0"/>
        <w:jc w:val="left"/>
        <w:rPr>
          <w:sz w:val="12"/>
        </w:rPr>
      </w:pPr>
      <w:r>
        <w:rPr>
          <w:sz w:val="12"/>
        </w:rPr>
        <w:t>1984    </w:t>
      </w:r>
      <w:r>
        <w:rPr>
          <w:spacing w:val="24"/>
          <w:sz w:val="12"/>
        </w:rPr>
        <w:t> </w:t>
      </w:r>
      <w:r>
        <w:rPr>
          <w:sz w:val="12"/>
        </w:rPr>
        <w:t>86</w:t>
        <w:tab/>
        <w:t>88</w:t>
        <w:tab/>
        <w:t>90</w:t>
        <w:tab/>
        <w:t>92</w:t>
        <w:tab/>
        <w:t>94</w:t>
        <w:tab/>
        <w:t>96</w:t>
        <w:tab/>
        <w:t>98</w:t>
      </w:r>
      <w:r>
        <w:rPr>
          <w:spacing w:val="19"/>
          <w:sz w:val="12"/>
        </w:rPr>
        <w:t> </w:t>
      </w:r>
      <w:r>
        <w:rPr>
          <w:sz w:val="12"/>
        </w:rPr>
        <w:t>2000</w:t>
      </w:r>
    </w:p>
    <w:p>
      <w:pPr>
        <w:pStyle w:val="BodyText"/>
        <w:spacing w:before="4"/>
        <w:rPr>
          <w:sz w:val="13"/>
        </w:rPr>
      </w:pPr>
    </w:p>
    <w:p>
      <w:pPr>
        <w:spacing w:before="0"/>
        <w:ind w:left="170" w:right="1721" w:firstLine="0"/>
        <w:jc w:val="center"/>
        <w:rPr>
          <w:sz w:val="12"/>
        </w:rPr>
      </w:pPr>
      <w:r>
        <w:rPr>
          <w:sz w:val="12"/>
        </w:rPr>
        <w:t>Sources: ONS and Bank of England.</w:t>
      </w:r>
    </w:p>
    <w:p>
      <w:pPr>
        <w:pStyle w:val="ListParagraph"/>
        <w:numPr>
          <w:ilvl w:val="0"/>
          <w:numId w:val="24"/>
        </w:numPr>
        <w:tabs>
          <w:tab w:pos="415" w:val="left" w:leader="none"/>
        </w:tabs>
        <w:spacing w:line="129" w:lineRule="exact" w:before="102" w:after="0"/>
        <w:ind w:left="414" w:right="0" w:hanging="241"/>
        <w:jc w:val="left"/>
        <w:rPr>
          <w:sz w:val="12"/>
        </w:rPr>
      </w:pPr>
      <w:r>
        <w:rPr>
          <w:sz w:val="12"/>
        </w:rPr>
        <w:t>Pre-1993 figures based on yearly</w:t>
      </w:r>
      <w:r>
        <w:rPr>
          <w:spacing w:val="-10"/>
          <w:sz w:val="12"/>
        </w:rPr>
        <w:t> </w:t>
      </w:r>
      <w:r>
        <w:rPr>
          <w:sz w:val="12"/>
        </w:rPr>
        <w:t>observations.</w:t>
      </w:r>
    </w:p>
    <w:p>
      <w:pPr>
        <w:pStyle w:val="ListParagraph"/>
        <w:numPr>
          <w:ilvl w:val="0"/>
          <w:numId w:val="24"/>
        </w:numPr>
        <w:tabs>
          <w:tab w:pos="415" w:val="left" w:leader="none"/>
        </w:tabs>
        <w:spacing w:line="208" w:lineRule="auto" w:before="6" w:after="0"/>
        <w:ind w:left="414" w:right="275" w:hanging="240"/>
        <w:jc w:val="left"/>
        <w:rPr>
          <w:sz w:val="12"/>
        </w:rPr>
      </w:pPr>
      <w:r>
        <w:rPr>
          <w:sz w:val="12"/>
        </w:rPr>
        <w:t>The</w:t>
      </w:r>
      <w:r>
        <w:rPr>
          <w:spacing w:val="-6"/>
          <w:sz w:val="12"/>
        </w:rPr>
        <w:t> </w:t>
      </w:r>
      <w:r>
        <w:rPr>
          <w:sz w:val="12"/>
        </w:rPr>
        <w:t>weighted</w:t>
      </w:r>
      <w:r>
        <w:rPr>
          <w:spacing w:val="-6"/>
          <w:sz w:val="12"/>
        </w:rPr>
        <w:t> </w:t>
      </w:r>
      <w:r>
        <w:rPr>
          <w:sz w:val="12"/>
        </w:rPr>
        <w:t>non-employment</w:t>
      </w:r>
      <w:r>
        <w:rPr>
          <w:spacing w:val="-6"/>
          <w:sz w:val="12"/>
        </w:rPr>
        <w:t> </w:t>
      </w:r>
      <w:r>
        <w:rPr>
          <w:sz w:val="12"/>
        </w:rPr>
        <w:t>series</w:t>
      </w:r>
      <w:r>
        <w:rPr>
          <w:spacing w:val="-6"/>
          <w:sz w:val="12"/>
        </w:rPr>
        <w:t> </w:t>
      </w:r>
      <w:r>
        <w:rPr>
          <w:sz w:val="12"/>
        </w:rPr>
        <w:t>is</w:t>
      </w:r>
      <w:r>
        <w:rPr>
          <w:spacing w:val="-5"/>
          <w:sz w:val="12"/>
        </w:rPr>
        <w:t> </w:t>
      </w:r>
      <w:r>
        <w:rPr>
          <w:sz w:val="12"/>
        </w:rPr>
        <w:t>a</w:t>
      </w:r>
      <w:r>
        <w:rPr>
          <w:spacing w:val="-6"/>
          <w:sz w:val="12"/>
        </w:rPr>
        <w:t> </w:t>
      </w:r>
      <w:r>
        <w:rPr>
          <w:sz w:val="12"/>
        </w:rPr>
        <w:t>weighted</w:t>
      </w:r>
      <w:r>
        <w:rPr>
          <w:spacing w:val="-6"/>
          <w:sz w:val="12"/>
        </w:rPr>
        <w:t> </w:t>
      </w:r>
      <w:r>
        <w:rPr>
          <w:sz w:val="12"/>
        </w:rPr>
        <w:t>average</w:t>
      </w:r>
      <w:r>
        <w:rPr>
          <w:spacing w:val="-6"/>
          <w:sz w:val="12"/>
        </w:rPr>
        <w:t> </w:t>
      </w:r>
      <w:r>
        <w:rPr>
          <w:sz w:val="12"/>
        </w:rPr>
        <w:t>of the</w:t>
      </w:r>
      <w:r>
        <w:rPr>
          <w:spacing w:val="-5"/>
          <w:sz w:val="12"/>
        </w:rPr>
        <w:t> </w:t>
      </w:r>
      <w:r>
        <w:rPr>
          <w:sz w:val="12"/>
        </w:rPr>
        <w:t>number</w:t>
      </w:r>
      <w:r>
        <w:rPr>
          <w:spacing w:val="-4"/>
          <w:sz w:val="12"/>
        </w:rPr>
        <w:t> </w:t>
      </w:r>
      <w:r>
        <w:rPr>
          <w:sz w:val="12"/>
        </w:rPr>
        <w:t>of</w:t>
      </w:r>
      <w:r>
        <w:rPr>
          <w:spacing w:val="-4"/>
          <w:sz w:val="12"/>
        </w:rPr>
        <w:t> </w:t>
      </w:r>
      <w:r>
        <w:rPr>
          <w:sz w:val="12"/>
        </w:rPr>
        <w:t>people</w:t>
      </w:r>
      <w:r>
        <w:rPr>
          <w:spacing w:val="-4"/>
          <w:sz w:val="12"/>
        </w:rPr>
        <w:t> </w:t>
      </w:r>
      <w:r>
        <w:rPr>
          <w:sz w:val="12"/>
        </w:rPr>
        <w:t>in</w:t>
      </w:r>
      <w:r>
        <w:rPr>
          <w:spacing w:val="-4"/>
          <w:sz w:val="12"/>
        </w:rPr>
        <w:t> </w:t>
      </w:r>
      <w:r>
        <w:rPr>
          <w:sz w:val="12"/>
        </w:rPr>
        <w:t>each</w:t>
      </w:r>
      <w:r>
        <w:rPr>
          <w:spacing w:val="-4"/>
          <w:sz w:val="12"/>
        </w:rPr>
        <w:t> </w:t>
      </w:r>
      <w:r>
        <w:rPr>
          <w:sz w:val="12"/>
        </w:rPr>
        <w:t>of</w:t>
      </w:r>
      <w:r>
        <w:rPr>
          <w:spacing w:val="-5"/>
          <w:sz w:val="12"/>
        </w:rPr>
        <w:t> </w:t>
      </w:r>
      <w:r>
        <w:rPr>
          <w:sz w:val="12"/>
        </w:rPr>
        <w:t>seven</w:t>
      </w:r>
      <w:r>
        <w:rPr>
          <w:spacing w:val="-4"/>
          <w:sz w:val="12"/>
        </w:rPr>
        <w:t> </w:t>
      </w:r>
      <w:r>
        <w:rPr>
          <w:sz w:val="12"/>
        </w:rPr>
        <w:t>different</w:t>
      </w:r>
      <w:r>
        <w:rPr>
          <w:spacing w:val="-4"/>
          <w:sz w:val="12"/>
        </w:rPr>
        <w:t> </w:t>
      </w:r>
      <w:r>
        <w:rPr>
          <w:sz w:val="12"/>
        </w:rPr>
        <w:t>categories</w:t>
      </w:r>
      <w:r>
        <w:rPr>
          <w:spacing w:val="-4"/>
          <w:sz w:val="12"/>
        </w:rPr>
        <w:t> </w:t>
      </w:r>
      <w:r>
        <w:rPr>
          <w:sz w:val="12"/>
        </w:rPr>
        <w:t>of</w:t>
      </w:r>
    </w:p>
    <w:p>
      <w:pPr>
        <w:spacing w:line="208" w:lineRule="auto" w:before="0"/>
        <w:ind w:left="414" w:right="0" w:firstLine="0"/>
        <w:jc w:val="left"/>
        <w:rPr>
          <w:sz w:val="12"/>
        </w:rPr>
      </w:pPr>
      <w:r>
        <w:rPr>
          <w:sz w:val="12"/>
        </w:rPr>
        <w:t>non-employment. The weights are based on the average proportion in each category who found employment in the next three months, relative to the proportion of the short-term unemployed who found employment in the next three months.</w:t>
      </w:r>
    </w:p>
    <w:p>
      <w:pPr>
        <w:spacing w:line="242" w:lineRule="auto" w:before="234"/>
        <w:ind w:left="174" w:right="120" w:firstLine="0"/>
        <w:jc w:val="left"/>
        <w:rPr>
          <w:sz w:val="24"/>
        </w:rPr>
      </w:pPr>
      <w:r>
        <w:rPr/>
        <w:br w:type="column"/>
      </w:r>
      <w:r>
        <w:rPr>
          <w:sz w:val="24"/>
        </w:rPr>
        <w:t>unemployment benefits—fell by 42,600 between March and June. The claimant count unemployment rate has declined to 3.8%, the lowest rate since November 1975.</w:t>
      </w:r>
    </w:p>
    <w:p>
      <w:pPr>
        <w:pStyle w:val="BodyText"/>
        <w:spacing w:before="1"/>
        <w:rPr>
          <w:sz w:val="28"/>
        </w:rPr>
      </w:pPr>
    </w:p>
    <w:p>
      <w:pPr>
        <w:spacing w:line="242" w:lineRule="auto" w:before="0"/>
        <w:ind w:left="174" w:right="546" w:firstLine="0"/>
        <w:jc w:val="left"/>
        <w:rPr>
          <w:sz w:val="24"/>
        </w:rPr>
      </w:pPr>
      <w:r>
        <w:rPr>
          <w:sz w:val="24"/>
        </w:rPr>
        <w:t>A large proportion of the recent fall in LFS unemployment was accounted for by a decline in the number of people unemployed for more than twelve months (see Chart 3.4). Moreover, the number of long-term unemployed has declined significantly in recent years, with the long-term unemployment rate</w:t>
      </w:r>
    </w:p>
    <w:p>
      <w:pPr>
        <w:spacing w:line="242" w:lineRule="auto" w:before="8"/>
        <w:ind w:left="174" w:right="210" w:firstLine="0"/>
        <w:jc w:val="left"/>
        <w:rPr>
          <w:sz w:val="24"/>
        </w:rPr>
      </w:pPr>
      <w:r>
        <w:rPr>
          <w:sz w:val="24"/>
        </w:rPr>
        <w:t>falling from 4.6% in January 1994 to 1.5% in May 2000 (see Chart 3.5). The short-term unemployment rate has fallen by much less, declining from 5.7% to 4.1% </w:t>
      </w:r>
      <w:r>
        <w:rPr>
          <w:spacing w:val="-3"/>
          <w:sz w:val="24"/>
        </w:rPr>
        <w:t>over </w:t>
      </w:r>
      <w:r>
        <w:rPr>
          <w:sz w:val="24"/>
        </w:rPr>
        <w:t>the same period.  It is possible that various labour market reforms, including more recently the </w:t>
      </w:r>
      <w:r>
        <w:rPr>
          <w:spacing w:val="-3"/>
          <w:sz w:val="24"/>
        </w:rPr>
        <w:t>New </w:t>
      </w:r>
      <w:r>
        <w:rPr>
          <w:sz w:val="24"/>
        </w:rPr>
        <w:t>Deal, </w:t>
      </w:r>
      <w:r>
        <w:rPr>
          <w:spacing w:val="-3"/>
          <w:sz w:val="24"/>
        </w:rPr>
        <w:t>have </w:t>
      </w:r>
      <w:r>
        <w:rPr>
          <w:sz w:val="24"/>
        </w:rPr>
        <w:t>played some role in the fall in long-term unemployment. This change in the composition of the unemployed could </w:t>
      </w:r>
      <w:r>
        <w:rPr>
          <w:spacing w:val="-3"/>
          <w:sz w:val="24"/>
        </w:rPr>
        <w:t>have </w:t>
      </w:r>
      <w:r>
        <w:rPr>
          <w:sz w:val="24"/>
        </w:rPr>
        <w:t>helped to reduce the upward pressure on earnings generated by the strong demand</w:t>
      </w:r>
      <w:r>
        <w:rPr>
          <w:spacing w:val="-44"/>
          <w:sz w:val="24"/>
        </w:rPr>
        <w:t> </w:t>
      </w:r>
      <w:r>
        <w:rPr>
          <w:sz w:val="24"/>
        </w:rPr>
        <w:t>for </w:t>
      </w:r>
      <w:r>
        <w:rPr>
          <w:spacing w:val="-3"/>
          <w:sz w:val="24"/>
        </w:rPr>
        <w:t>labour. </w:t>
      </w:r>
      <w:r>
        <w:rPr>
          <w:sz w:val="24"/>
        </w:rPr>
        <w:t>The short-term unemployed tend to enter employment more readily than the long-term unemployed, and so may exert a greater restraining influence on pay negotiations. A fall in long-term unemployment may thus </w:t>
      </w:r>
      <w:r>
        <w:rPr>
          <w:spacing w:val="-3"/>
          <w:sz w:val="24"/>
        </w:rPr>
        <w:t>have </w:t>
      </w:r>
      <w:r>
        <w:rPr>
          <w:sz w:val="24"/>
        </w:rPr>
        <w:t>less significance for pay pressures than a corresponding decline in short-term unemployment.</w:t>
      </w:r>
    </w:p>
    <w:p>
      <w:pPr>
        <w:pStyle w:val="BodyText"/>
        <w:spacing w:before="7"/>
        <w:rPr>
          <w:sz w:val="29"/>
        </w:rPr>
      </w:pPr>
    </w:p>
    <w:p>
      <w:pPr>
        <w:spacing w:line="242" w:lineRule="auto" w:before="0"/>
        <w:ind w:left="174" w:right="205" w:firstLine="0"/>
        <w:jc w:val="left"/>
        <w:rPr>
          <w:sz w:val="24"/>
        </w:rPr>
      </w:pPr>
      <w:r>
        <w:rPr>
          <w:sz w:val="24"/>
        </w:rPr>
        <w:t>Individuals</w:t>
      </w:r>
      <w:r>
        <w:rPr>
          <w:spacing w:val="-11"/>
          <w:sz w:val="24"/>
        </w:rPr>
        <w:t> </w:t>
      </w:r>
      <w:r>
        <w:rPr>
          <w:sz w:val="24"/>
        </w:rPr>
        <w:t>in</w:t>
      </w:r>
      <w:r>
        <w:rPr>
          <w:spacing w:val="-10"/>
          <w:sz w:val="24"/>
        </w:rPr>
        <w:t> </w:t>
      </w:r>
      <w:r>
        <w:rPr>
          <w:sz w:val="24"/>
        </w:rPr>
        <w:t>different</w:t>
      </w:r>
      <w:r>
        <w:rPr>
          <w:spacing w:val="-11"/>
          <w:sz w:val="24"/>
        </w:rPr>
        <w:t> </w:t>
      </w:r>
      <w:r>
        <w:rPr>
          <w:sz w:val="24"/>
        </w:rPr>
        <w:t>categories</w:t>
      </w:r>
      <w:r>
        <w:rPr>
          <w:spacing w:val="-10"/>
          <w:sz w:val="24"/>
        </w:rPr>
        <w:t> </w:t>
      </w:r>
      <w:r>
        <w:rPr>
          <w:sz w:val="24"/>
        </w:rPr>
        <w:t>of</w:t>
      </w:r>
      <w:r>
        <w:rPr>
          <w:spacing w:val="-10"/>
          <w:sz w:val="24"/>
        </w:rPr>
        <w:t> </w:t>
      </w:r>
      <w:r>
        <w:rPr>
          <w:sz w:val="24"/>
        </w:rPr>
        <w:t>economic</w:t>
      </w:r>
      <w:r>
        <w:rPr>
          <w:spacing w:val="-11"/>
          <w:sz w:val="24"/>
        </w:rPr>
        <w:t> </w:t>
      </w:r>
      <w:r>
        <w:rPr>
          <w:sz w:val="24"/>
        </w:rPr>
        <w:t>inactivity also tend to enter employment at varying rates—and so may exert different restraining influences on pay negotiations. Chart 3.6 presents an index of weighted non-employment, which may be a useful summary measure. It is calculated by weighting </w:t>
      </w:r>
      <w:r>
        <w:rPr>
          <w:spacing w:val="-3"/>
          <w:sz w:val="24"/>
        </w:rPr>
        <w:t>seven </w:t>
      </w:r>
      <w:r>
        <w:rPr>
          <w:sz w:val="24"/>
        </w:rPr>
        <w:t>categories of non-employment—ranging from</w:t>
      </w:r>
      <w:r>
        <w:rPr>
          <w:spacing w:val="-6"/>
          <w:sz w:val="24"/>
        </w:rPr>
        <w:t> </w:t>
      </w:r>
      <w:r>
        <w:rPr>
          <w:sz w:val="24"/>
        </w:rPr>
        <w:t>the</w:t>
      </w:r>
    </w:p>
    <w:p>
      <w:pPr>
        <w:spacing w:line="242" w:lineRule="auto" w:before="9"/>
        <w:ind w:left="174" w:right="170" w:firstLine="0"/>
        <w:jc w:val="left"/>
        <w:rPr>
          <w:sz w:val="24"/>
        </w:rPr>
      </w:pPr>
      <w:r>
        <w:rPr>
          <w:sz w:val="24"/>
        </w:rPr>
        <w:t>short-term</w:t>
      </w:r>
      <w:r>
        <w:rPr>
          <w:spacing w:val="-9"/>
          <w:sz w:val="24"/>
        </w:rPr>
        <w:t> </w:t>
      </w:r>
      <w:r>
        <w:rPr>
          <w:sz w:val="24"/>
        </w:rPr>
        <w:t>unemployed</w:t>
      </w:r>
      <w:r>
        <w:rPr>
          <w:spacing w:val="-9"/>
          <w:sz w:val="24"/>
        </w:rPr>
        <w:t> </w:t>
      </w:r>
      <w:r>
        <w:rPr>
          <w:sz w:val="24"/>
        </w:rPr>
        <w:t>to</w:t>
      </w:r>
      <w:r>
        <w:rPr>
          <w:spacing w:val="-8"/>
          <w:sz w:val="24"/>
        </w:rPr>
        <w:t> </w:t>
      </w:r>
      <w:r>
        <w:rPr>
          <w:sz w:val="24"/>
        </w:rPr>
        <w:t>the</w:t>
      </w:r>
      <w:r>
        <w:rPr>
          <w:spacing w:val="-9"/>
          <w:sz w:val="24"/>
        </w:rPr>
        <w:t> </w:t>
      </w:r>
      <w:r>
        <w:rPr>
          <w:sz w:val="24"/>
        </w:rPr>
        <w:t>economically</w:t>
      </w:r>
      <w:r>
        <w:rPr>
          <w:spacing w:val="-9"/>
          <w:sz w:val="24"/>
        </w:rPr>
        <w:t> </w:t>
      </w:r>
      <w:r>
        <w:rPr>
          <w:sz w:val="24"/>
        </w:rPr>
        <w:t>inactive</w:t>
      </w:r>
      <w:r>
        <w:rPr>
          <w:spacing w:val="-8"/>
          <w:sz w:val="24"/>
        </w:rPr>
        <w:t> </w:t>
      </w:r>
      <w:r>
        <w:rPr>
          <w:sz w:val="24"/>
        </w:rPr>
        <w:t>who currently do not want a job—by the average rate at which they </w:t>
      </w:r>
      <w:r>
        <w:rPr>
          <w:spacing w:val="-3"/>
          <w:sz w:val="24"/>
        </w:rPr>
        <w:t>move </w:t>
      </w:r>
      <w:r>
        <w:rPr>
          <w:sz w:val="24"/>
        </w:rPr>
        <w:t>into employment.</w:t>
      </w:r>
      <w:r>
        <w:rPr>
          <w:spacing w:val="46"/>
          <w:sz w:val="24"/>
        </w:rPr>
        <w:t> </w:t>
      </w:r>
      <w:r>
        <w:rPr>
          <w:spacing w:val="-4"/>
          <w:sz w:val="24"/>
        </w:rPr>
        <w:t>Weighted</w:t>
      </w:r>
    </w:p>
    <w:p>
      <w:pPr>
        <w:spacing w:line="242" w:lineRule="auto" w:before="4"/>
        <w:ind w:left="174" w:right="205" w:firstLine="0"/>
        <w:jc w:val="left"/>
        <w:rPr>
          <w:sz w:val="24"/>
        </w:rPr>
      </w:pPr>
      <w:r>
        <w:rPr>
          <w:sz w:val="24"/>
        </w:rPr>
        <w:t>non-employment tends to change by less than an index of LFS unemployment, because inactivity changes more slowly. Given this, the declines in weighted</w:t>
      </w:r>
    </w:p>
    <w:p>
      <w:pPr>
        <w:spacing w:line="242" w:lineRule="auto" w:before="3"/>
        <w:ind w:left="174" w:right="338" w:firstLine="0"/>
        <w:jc w:val="left"/>
        <w:rPr>
          <w:sz w:val="24"/>
        </w:rPr>
      </w:pPr>
      <w:r>
        <w:rPr>
          <w:sz w:val="24"/>
        </w:rPr>
        <w:t>non-employment and LFS unemployment indicate a substantial tightening of labour market conditions in recent years. Weighted non-employment, however, has not fallen as far as LFS unemployment relative to its previous trough in 1990.</w:t>
      </w:r>
    </w:p>
    <w:p>
      <w:pPr>
        <w:pStyle w:val="BodyText"/>
        <w:spacing w:before="5"/>
        <w:rPr>
          <w:sz w:val="28"/>
        </w:rPr>
      </w:pPr>
    </w:p>
    <w:p>
      <w:pPr>
        <w:spacing w:line="242" w:lineRule="auto" w:before="0"/>
        <w:ind w:left="174" w:right="131" w:firstLine="0"/>
        <w:jc w:val="left"/>
        <w:rPr>
          <w:sz w:val="24"/>
        </w:rPr>
      </w:pPr>
      <w:r>
        <w:rPr>
          <w:sz w:val="24"/>
        </w:rPr>
        <w:t>Developments in job vacancies provide another metric of labour market conditions. New vacancies notified to Jobcentres exceeded the number of vacancies filled in Q2, continuing a trend apparent since around 1993. This has led to a significant rise in the stock of unfilled</w:t>
      </w:r>
    </w:p>
    <w:p>
      <w:pPr>
        <w:spacing w:after="0" w:line="242" w:lineRule="auto"/>
        <w:jc w:val="left"/>
        <w:rPr>
          <w:sz w:val="24"/>
        </w:rPr>
        <w:sectPr>
          <w:type w:val="continuous"/>
          <w:pgSz w:w="11900" w:h="16840"/>
          <w:pgMar w:top="1260" w:bottom="280" w:left="640" w:right="640"/>
          <w:cols w:num="2" w:equalWidth="0">
            <w:col w:w="3692" w:space="1104"/>
            <w:col w:w="5824"/>
          </w:cols>
        </w:sectPr>
      </w:pPr>
    </w:p>
    <w:p>
      <w:pPr>
        <w:pStyle w:val="BodyText"/>
        <w:rPr>
          <w:sz w:val="20"/>
        </w:rPr>
      </w:pPr>
    </w:p>
    <w:p>
      <w:pPr>
        <w:spacing w:after="0"/>
        <w:rPr>
          <w:sz w:val="20"/>
        </w:rPr>
        <w:sectPr>
          <w:pgSz w:w="11900" w:h="16840"/>
          <w:pgMar w:header="586" w:footer="612" w:top="800" w:bottom="800" w:left="640" w:right="640"/>
        </w:sectPr>
      </w:pPr>
    </w:p>
    <w:p>
      <w:pPr>
        <w:pStyle w:val="BodyText"/>
        <w:spacing w:before="10"/>
        <w:rPr>
          <w:sz w:val="19"/>
        </w:rPr>
      </w:pPr>
    </w:p>
    <w:p>
      <w:pPr>
        <w:pStyle w:val="Heading6"/>
        <w:spacing w:before="0"/>
        <w:ind w:left="175"/>
      </w:pPr>
      <w:bookmarkStart w:name="Earnings and settlements" w:id="48"/>
      <w:bookmarkEnd w:id="48"/>
      <w:r>
        <w:rPr>
          <w:b w:val="0"/>
        </w:rPr>
      </w:r>
      <w:bookmarkStart w:name="_bookmark18" w:id="49"/>
      <w:bookmarkEnd w:id="49"/>
      <w:r>
        <w:rPr>
          <w:b w:val="0"/>
        </w:rPr>
      </w:r>
      <w:r>
        <w:rPr>
          <w:color w:val="0092C7"/>
        </w:rPr>
        <w:t>Chart 3.7</w:t>
      </w:r>
    </w:p>
    <w:p>
      <w:pPr>
        <w:pStyle w:val="Heading6"/>
        <w:ind w:left="175"/>
        <w:rPr>
          <w:b w:val="0"/>
          <w:sz w:val="12"/>
        </w:rPr>
      </w:pPr>
      <w:r>
        <w:rPr>
          <w:color w:val="0092C7"/>
        </w:rPr>
        <w:t>Average duration of Jobcentre vacancies</w:t>
      </w:r>
      <w:r>
        <w:rPr>
          <w:b w:val="0"/>
          <w:position w:val="4"/>
          <w:sz w:val="12"/>
        </w:rPr>
        <w:t>(a)</w:t>
      </w:r>
    </w:p>
    <w:p>
      <w:pPr>
        <w:spacing w:line="118" w:lineRule="exact" w:before="66"/>
        <w:ind w:left="2546" w:right="0" w:firstLine="0"/>
        <w:jc w:val="left"/>
        <w:rPr>
          <w:sz w:val="12"/>
        </w:rPr>
      </w:pPr>
      <w:r>
        <w:rPr>
          <w:sz w:val="12"/>
        </w:rPr>
        <w:t>Number of months</w:t>
      </w:r>
    </w:p>
    <w:p>
      <w:pPr>
        <w:spacing w:line="118" w:lineRule="exact" w:before="0"/>
        <w:ind w:left="3489" w:right="0" w:firstLine="0"/>
        <w:jc w:val="left"/>
        <w:rPr>
          <w:sz w:val="12"/>
        </w:rPr>
      </w:pPr>
      <w:r>
        <w:rPr/>
        <w:pict>
          <v:line style="position:absolute;mso-position-horizontal-relative:page;mso-position-vertical-relative:paragraph;z-index:16152576" from="200.302002pt,2.910759pt" to="204.634002pt,2.910759pt" stroked="true" strokeweight=".5pt" strokecolor="#000000">
            <v:stroke dashstyle="solid"/>
            <w10:wrap type="none"/>
          </v:line>
        </w:pict>
      </w:r>
      <w:r>
        <w:rPr/>
        <w:pict>
          <v:line style="position:absolute;mso-position-horizontal-relative:page;mso-position-vertical-relative:paragraph;z-index:16153088" from="41.041pt,3.346759pt" to="45.374pt,3.346759pt" stroked="true" strokeweight=".5pt" strokecolor="#000000">
            <v:stroke dashstyle="solid"/>
            <w10:wrap type="none"/>
          </v:line>
        </w:pict>
      </w:r>
      <w:r>
        <w:rPr>
          <w:sz w:val="12"/>
        </w:rPr>
        <w:t>2.0</w:t>
      </w:r>
    </w:p>
    <w:p>
      <w:pPr>
        <w:pStyle w:val="BodyText"/>
        <w:rPr>
          <w:sz w:val="12"/>
        </w:rPr>
      </w:pPr>
    </w:p>
    <w:p>
      <w:pPr>
        <w:spacing w:before="87"/>
        <w:ind w:left="0" w:right="153" w:firstLine="0"/>
        <w:jc w:val="right"/>
        <w:rPr>
          <w:sz w:val="12"/>
        </w:rPr>
      </w:pPr>
      <w:r>
        <w:rPr/>
        <w:pict>
          <v:group style="position:absolute;margin-left:50.154999pt;margin-top:15.081983pt;width:145.4pt;height:106.4pt;mso-position-horizontal-relative:page;mso-position-vertical-relative:paragraph;z-index:16146432" coordorigin="1003,302" coordsize="2908,2128">
            <v:shape style="position:absolute;left:1013;top:1791;width:33;height:95" coordorigin="1013,1792" coordsize="33,95" path="m1013,1839l1023,1887m1023,1887l1046,1792e" filled="false" stroked="true" strokeweight="1pt" strokecolor="#006caa">
              <v:path arrowok="t"/>
              <v:stroke dashstyle="solid"/>
            </v:shape>
            <v:line style="position:absolute" from="1051,1782" to="1051,1947" stroked="true" strokeweight="1.5pt" strokecolor="#006caa">
              <v:stroke dashstyle="solid"/>
            </v:line>
            <v:line style="position:absolute" from="1056,1937" to="1078,1952" stroked="true" strokeweight="1pt" strokecolor="#006caa">
              <v:stroke dashstyle="solid"/>
            </v:line>
            <v:line style="position:absolute" from="1084,1749" to="1084,1962" stroked="true" strokeweight="1.625pt" strokecolor="#006caa">
              <v:stroke dashstyle="solid"/>
            </v:line>
            <v:shape style="position:absolute;left:1090;top:1679;width:123;height:83" coordorigin="1091,1679" coordsize="123,83" path="m1091,1759l1113,1762m1113,1759l1123,1712m1123,1712l1146,1759m1146,1759l1158,1744m1158,1744l1178,1694m1178,1694l1191,1697m1191,1694l1213,1679e" filled="false" stroked="true" strokeweight="1pt" strokecolor="#006caa">
              <v:path arrowok="t"/>
              <v:stroke dashstyle="solid"/>
            </v:shape>
            <v:line style="position:absolute" from="1218,1589" to="1218,1689" stroked="true" strokeweight="1.5pt" strokecolor="#006caa">
              <v:stroke dashstyle="solid"/>
            </v:line>
            <v:shape style="position:absolute;left:1223;top:1501;width:58;height:178" coordorigin="1223,1502" coordsize="58,178" path="m1223,1599l1246,1679m1246,1679l1258,1599m1258,1599l1281,1502e" filled="false" stroked="true" strokeweight="1pt" strokecolor="#006caa">
              <v:path arrowok="t"/>
              <v:stroke dashstyle="solid"/>
            </v:shape>
            <v:line style="position:absolute" from="1286,1492" to="1286,1609" stroked="true" strokeweight="1.5pt" strokecolor="#006caa">
              <v:stroke dashstyle="solid"/>
            </v:line>
            <v:shape style="position:absolute;left:1290;top:1324;width:90;height:275" coordorigin="1291,1324" coordsize="90,275" path="m1291,1599l1313,1469m1313,1469l1323,1472m1323,1469l1346,1404m1346,1404l1358,1357m1358,1357l1381,1324e" filled="false" stroked="true" strokeweight="1pt" strokecolor="#006caa">
              <v:path arrowok="t"/>
              <v:stroke dashstyle="solid"/>
            </v:shape>
            <v:line style="position:absolute" from="1386,1314" to="1386,1512" stroked="true" strokeweight="1.5pt" strokecolor="#006caa">
              <v:stroke dashstyle="solid"/>
            </v:line>
            <v:shape style="position:absolute;left:1390;top:1421;width:425;height:403" coordorigin="1391,1422" coordsize="425,403" path="m1391,1502l1413,1487m1413,1487l1426,1534m1426,1534l1446,1502m1446,1502l1458,1422m1458,1422l1481,1437m1481,1437l1491,1454m1491,1454l1513,1469m1513,1469l1526,1549m1526,1549l1548,1502m1548,1502l1558,1469m1558,1469l1581,1567m1581,1567l1591,1582m1591,1582l1613,1629m1613,1629l1626,1694m1626,1694l1648,1712m1648,1712l1658,1662m1658,1662l1681,1679m1681,1679l1693,1629m1693,1629l1716,1679m1716,1679l1726,1727m1726,1727l1748,1679m1748,1679l1758,1727m1758,1727l1781,1759m1781,1759l1793,1824m1793,1824l1816,1679e" filled="false" stroked="true" strokeweight="1pt" strokecolor="#006caa">
              <v:path arrowok="t"/>
              <v:stroke dashstyle="solid"/>
            </v:shape>
            <v:line style="position:absolute" from="1821,1669" to="1821,1914" stroked="true" strokeweight="1.5pt" strokecolor="#006caa">
              <v:stroke dashstyle="solid"/>
            </v:line>
            <v:shape style="position:absolute;left:1825;top:1791;width:123;height:178" coordorigin="1826,1792" coordsize="123,178" path="m1826,1904l1848,1857m1848,1857l1861,1792m1861,1792l1881,1807m1881,1807l1893,1809m1893,1807l1916,1952m1916,1952l1926,1937m1926,1937l1948,1969e" filled="false" stroked="true" strokeweight="1pt" strokecolor="#006caa">
              <v:path arrowok="t"/>
              <v:stroke dashstyle="solid"/>
            </v:shape>
            <v:line style="position:absolute" from="1954,1959" to="1954,2092" stroked="true" strokeweight="1.625pt" strokecolor="#006caa">
              <v:stroke dashstyle="solid"/>
            </v:line>
            <v:shape style="position:absolute;left:1960;top:1936;width:123;height:483" coordorigin="1961,1937" coordsize="123,483" path="m1961,2082l1983,2144m1983,2144l1993,2147m1993,2144l2016,2002m2016,2002l2026,1937m2026,1937l2048,2032m2048,2032l2061,2339m2061,2339l2083,2419e" filled="false" stroked="true" strokeweight="1pt" strokecolor="#006caa">
              <v:path arrowok="t"/>
              <v:stroke dashstyle="solid"/>
            </v:shape>
            <v:line style="position:absolute" from="2088,2279" to="2088,2429" stroked="true" strokeweight="1.5pt" strokecolor="#006caa">
              <v:stroke dashstyle="solid"/>
            </v:line>
            <v:shape style="position:absolute;left:2093;top:2016;width:658;height:273" coordorigin="2093,2017" coordsize="658,273" path="m2093,2289l2116,2274m2116,2274l2128,2242m2128,2242l2148,2227m2148,2227l2161,2274m2161,2274l2183,2162m2183,2162l2193,2114m2193,2114l2216,2177m2216,2177l2228,2144m2228,2144l2251,2177m2251,2177l2261,2179m2261,2177l2283,2162m2283,2162l2293,2194m2293,2194l2316,2177m2316,2177l2328,2129m2328,2129l2351,2227m2351,2227l2361,2229m2361,2227l2383,2144m2383,2144l2396,2194m2396,2194l2416,2227m2416,2227l2428,2177m2428,2177l2451,2162m2451,2162l2461,2194m2461,2194l2483,2177m2483,2177l2496,2209m2496,2209l2518,2177m2518,2177l2528,2144m2528,2144l2551,2194m2551,2194l2561,2144m2561,2144l2583,2147m2583,2144l2596,2147m2596,2144l2618,2147m2618,2144l2628,2114m2628,2114l2651,2129m2651,2129l2663,2132m2663,2129l2686,2114m2686,2114l2696,2064m2696,2064l2718,2017m2718,2017l2728,2049m2728,2049l2751,2032e" filled="false" stroked="true" strokeweight="1pt" strokecolor="#006caa">
              <v:path arrowok="t"/>
              <v:stroke dashstyle="solid"/>
            </v:shape>
            <v:line style="position:absolute" from="2757,1909" to="2757,2042" stroked="true" strokeweight="1.625pt" strokecolor="#006caa">
              <v:stroke dashstyle="solid"/>
            </v:line>
            <v:shape style="position:absolute;left:2763;top:1919;width:88;height:98" coordorigin="2763,1919" coordsize="88,98" path="m2763,1919l2786,1984m2786,1984l2796,2017m2796,2017l2818,1984m2818,1984l2828,2002m2828,2002l2851,1937e" filled="false" stroked="true" strokeweight="1pt" strokecolor="#006caa">
              <v:path arrowok="t"/>
              <v:stroke dashstyle="solid"/>
            </v:shape>
            <v:line style="position:absolute" from="2857,1702" to="2857,1947" stroked="true" strokeweight="1.625pt" strokecolor="#006caa">
              <v:stroke dashstyle="solid"/>
            </v:line>
            <v:line style="position:absolute" from="2874,1702" to="2874,1979" stroked="true" strokeweight="2.125pt" strokecolor="#006caa">
              <v:stroke dashstyle="solid"/>
            </v:line>
            <v:shape style="position:absolute;left:2885;top:1951;width:68;height:50" coordorigin="2886,1952" coordsize="68,50" path="m2886,1969l2896,1972m2896,1969l2918,1972m2918,1969l2931,2002m2931,2002l2953,1952e" filled="false" stroked="true" strokeweight="1pt" strokecolor="#006caa">
              <v:path arrowok="t"/>
              <v:stroke dashstyle="solid"/>
            </v:shape>
            <v:line style="position:absolute" from="2958,1942" to="2958,2059" stroked="true" strokeweight="1.5pt" strokecolor="#006caa">
              <v:stroke dashstyle="solid"/>
            </v:line>
            <v:line style="position:absolute" from="2963,2049" to="2986,1969" stroked="true" strokeweight="1pt" strokecolor="#006caa">
              <v:stroke dashstyle="solid"/>
            </v:line>
            <v:line style="position:absolute" from="2991,1877" to="2991,1979" stroked="true" strokeweight="1.5pt" strokecolor="#006caa">
              <v:stroke dashstyle="solid"/>
            </v:line>
            <v:shape style="position:absolute;left:2995;top:1646;width:90;height:258" coordorigin="2996,1647" coordsize="90,258" path="m2996,1887l3018,1904m3018,1904l3031,1887m3031,1887l3053,1759m3053,1759l3063,1792m3063,1792l3086,1647e" filled="false" stroked="true" strokeweight="1pt" strokecolor="#006caa">
              <v:path arrowok="t"/>
              <v:stroke dashstyle="solid"/>
            </v:shape>
            <v:line style="position:absolute" from="3092,1524" to="3092,1657" stroked="true" strokeweight="1.625pt" strokecolor="#006caa">
              <v:stroke dashstyle="solid"/>
            </v:line>
            <v:shape style="position:absolute;left:3098;top:1341;width:55;height:193" coordorigin="3098,1342" coordsize="55,193" path="m3098,1534l3118,1469m3118,1469l3131,1454m3131,1454l3153,1342e" filled="false" stroked="true" strokeweight="1pt" strokecolor="#006caa">
              <v:path arrowok="t"/>
              <v:stroke dashstyle="solid"/>
            </v:shape>
            <v:line style="position:absolute" from="3158,1187" to="3158,1352" stroked="true" strokeweight="1.5pt" strokecolor="#006caa">
              <v:stroke dashstyle="solid"/>
            </v:line>
            <v:shape style="position:absolute;left:3163;top:1196;width:35;height:145" coordorigin="3163,1197" coordsize="35,145" path="m3163,1197l3186,1324m3186,1324l3198,1342e" filled="false" stroked="true" strokeweight="1pt" strokecolor="#006caa">
              <v:path arrowok="t"/>
              <v:stroke dashstyle="solid"/>
            </v:shape>
            <v:line style="position:absolute" from="3209,1057" to="3209,1352" stroked="true" strokeweight="2.125pt" strokecolor="#006caa">
              <v:stroke dashstyle="solid"/>
            </v:line>
            <v:line style="position:absolute" from="3226,1057" to="3226,1269" stroked="true" strokeweight="1.5pt" strokecolor="#006caa">
              <v:stroke dashstyle="solid"/>
            </v:line>
            <v:shape style="position:absolute;left:3230;top:1259;width:55;height:50" coordorigin="3231,1259" coordsize="55,50" path="m3231,1259l3253,1309m3253,1309l3263,1292m3263,1292l3286,1294e" filled="false" stroked="true" strokeweight="1pt" strokecolor="#006caa">
              <v:path arrowok="t"/>
              <v:stroke dashstyle="solid"/>
            </v:shape>
            <v:line style="position:absolute" from="3292,1089" to="3292,1302" stroked="true" strokeweight="1.625pt" strokecolor="#006caa">
              <v:stroke dashstyle="solid"/>
            </v:line>
            <v:line style="position:absolute" from="3298,1099" to="3321,1114" stroked="true" strokeweight="1pt" strokecolor="#006caa">
              <v:stroke dashstyle="solid"/>
            </v:line>
            <v:line style="position:absolute" from="3326,944" to="3326,1124" stroked="true" strokeweight="1.5pt" strokecolor="#006caa">
              <v:stroke dashstyle="solid"/>
            </v:line>
            <v:line style="position:absolute" from="3331,954" to="3353,957" stroked="true" strokeweight="1pt" strokecolor="#006caa">
              <v:stroke dashstyle="solid"/>
            </v:line>
            <v:line style="position:absolute" from="3359,944" to="3359,1077" stroked="true" strokeweight="1.625pt" strokecolor="#006caa">
              <v:stroke dashstyle="solid"/>
            </v:line>
            <v:line style="position:absolute" from="3376,1057" to="3376,1302" stroked="true" strokeweight="2pt" strokecolor="#006caa">
              <v:stroke dashstyle="solid"/>
            </v:line>
            <v:line style="position:absolute" from="3392,1137" to="3392,1302" stroked="true" strokeweight="1.625pt" strokecolor="#006caa">
              <v:stroke dashstyle="solid"/>
            </v:line>
            <v:shape style="position:absolute;left:3398;top:1001;width:68;height:145" coordorigin="3398,1002" coordsize="68,145" path="m3398,1147l3421,1002m3421,1002l3431,1004m3431,1002l3453,1052m3453,1052l3466,1002e" filled="false" stroked="true" strokeweight="1pt" strokecolor="#006caa">
              <v:path arrowok="t"/>
              <v:stroke dashstyle="solid"/>
            </v:shape>
            <v:line style="position:absolute" from="3477,752" to="3477,1012" stroked="true" strokeweight="2.125pt" strokecolor="#006caa">
              <v:stroke dashstyle="solid"/>
            </v:line>
            <v:line style="position:absolute" from="3493,752" to="3493,979" stroked="true" strokeweight="1.5pt" strokecolor="#006caa">
              <v:stroke dashstyle="solid"/>
            </v:line>
            <v:shape style="position:absolute;left:3498;top:906;width:55;height:63" coordorigin="3498,907" coordsize="55,63" path="m3498,969l3521,907m3521,907l3531,939m3531,939l3553,922e" filled="false" stroked="true" strokeweight="1pt" strokecolor="#006caa">
              <v:path arrowok="t"/>
              <v:stroke dashstyle="solid"/>
            </v:shape>
            <v:line style="position:absolute" from="3559,912" to="3559,1062" stroked="true" strokeweight="1.625pt" strokecolor="#006caa">
              <v:stroke dashstyle="solid"/>
            </v:line>
            <v:shape style="position:absolute;left:3565;top:939;width:90;height:145" coordorigin="3566,939" coordsize="90,145" path="m3566,1052l3588,939m3588,939l3598,1002m3598,1002l3621,1084m3621,1084l3633,1067m3633,1067l3656,1034e" filled="false" stroked="true" strokeweight="1pt" strokecolor="#006caa">
              <v:path arrowok="t"/>
              <v:stroke dashstyle="solid"/>
            </v:shape>
            <v:line style="position:absolute" from="3661,944" to="3661,1044" stroked="true" strokeweight="1.5pt" strokecolor="#006caa">
              <v:stroke dashstyle="solid"/>
            </v:line>
            <v:shape style="position:absolute;left:3665;top:906;width:90;height:65" coordorigin="3666,907" coordsize="90,65" path="m3666,954l3688,969m3688,969l3698,972m3698,969l3721,939m3721,939l3733,907m3733,907l3756,969e" filled="false" stroked="true" strokeweight="1pt" strokecolor="#006caa">
              <v:path arrowok="t"/>
              <v:stroke dashstyle="solid"/>
            </v:shape>
            <v:line style="position:absolute" from="3761,687" to="3761,979" stroked="true" strokeweight="1.5pt" strokecolor="#006caa">
              <v:stroke dashstyle="solid"/>
            </v:line>
            <v:shape style="position:absolute;left:3765;top:696;width:90;height:145" coordorigin="3766,697" coordsize="90,145" path="m3766,697l3788,809m3788,809l3798,762m3798,762l3821,842m3821,842l3833,762m3833,762l3856,697e" filled="false" stroked="true" strokeweight="1pt" strokecolor="#006caa">
              <v:path arrowok="t"/>
              <v:stroke dashstyle="solid"/>
            </v:shape>
            <v:line style="position:absolute" from="3861,542" to="3861,707" stroked="true" strokeweight="1.5pt" strokecolor="#006caa">
              <v:stroke dashstyle="solid"/>
            </v:line>
            <v:line style="position:absolute" from="3877,302" to="3877,562" stroked="true" strokeweight="2.125pt" strokecolor="#006caa">
              <v:stroke dashstyle="solid"/>
            </v:line>
            <v:line style="position:absolute" from="3894,302" to="3894,497" stroked="true" strokeweight="1.625pt" strokecolor="#006caa">
              <v:stroke dashstyle="solid"/>
            </v:line>
            <w10:wrap type="none"/>
          </v:group>
        </w:pict>
      </w:r>
      <w:r>
        <w:rPr/>
        <w:pict>
          <v:line style="position:absolute;mso-position-horizontal-relative:page;mso-position-vertical-relative:paragraph;z-index:16147456" from="41.041pt,8.659983pt" to="45.374pt,8.659983pt" stroked="true" strokeweight=".5pt" strokecolor="#000000">
            <v:stroke dashstyle="solid"/>
            <w10:wrap type="none"/>
          </v:line>
        </w:pict>
      </w:r>
      <w:r>
        <w:rPr/>
        <w:pict>
          <v:line style="position:absolute;mso-position-horizontal-relative:page;mso-position-vertical-relative:paragraph;z-index:16148992" from="200.302002pt,8.345983pt" to="204.634002pt,8.345983pt" stroked="true" strokeweight=".5pt" strokecolor="#000000">
            <v:stroke dashstyle="solid"/>
            <w10:wrap type="none"/>
          </v:line>
        </w:pict>
      </w:r>
      <w:r>
        <w:rPr>
          <w:sz w:val="12"/>
        </w:rPr>
        <w:t>1.8</w:t>
      </w:r>
    </w:p>
    <w:p>
      <w:pPr>
        <w:pStyle w:val="BodyText"/>
        <w:rPr>
          <w:sz w:val="12"/>
        </w:rPr>
      </w:pPr>
    </w:p>
    <w:p>
      <w:pPr>
        <w:spacing w:before="86"/>
        <w:ind w:left="0" w:right="153" w:firstLine="0"/>
        <w:jc w:val="right"/>
        <w:rPr>
          <w:sz w:val="12"/>
        </w:rPr>
      </w:pPr>
      <w:r>
        <w:rPr/>
        <w:pict>
          <v:line style="position:absolute;mso-position-horizontal-relative:page;mso-position-vertical-relative:paragraph;z-index:16147968" from="41.041pt,8.57779pt" to="45.374pt,8.57779pt" stroked="true" strokeweight=".5pt" strokecolor="#000000">
            <v:stroke dashstyle="solid"/>
            <w10:wrap type="none"/>
          </v:line>
        </w:pict>
      </w:r>
      <w:r>
        <w:rPr/>
        <w:pict>
          <v:line style="position:absolute;mso-position-horizontal-relative:page;mso-position-vertical-relative:paragraph;z-index:16149504" from="200.302002pt,8.38679pt" to="204.634002pt,8.38679pt" stroked="true" strokeweight=".5pt" strokecolor="#000000">
            <v:stroke dashstyle="solid"/>
            <w10:wrap type="none"/>
          </v:line>
        </w:pict>
      </w:r>
      <w:r>
        <w:rPr>
          <w:sz w:val="12"/>
        </w:rPr>
        <w:t>1.6</w:t>
      </w:r>
    </w:p>
    <w:p>
      <w:pPr>
        <w:pStyle w:val="BodyText"/>
        <w:rPr>
          <w:sz w:val="12"/>
        </w:rPr>
      </w:pPr>
    </w:p>
    <w:p>
      <w:pPr>
        <w:spacing w:before="86"/>
        <w:ind w:left="0" w:right="153" w:firstLine="0"/>
        <w:jc w:val="right"/>
        <w:rPr>
          <w:sz w:val="12"/>
        </w:rPr>
      </w:pPr>
      <w:r>
        <w:rPr/>
        <w:pict>
          <v:line style="position:absolute;mso-position-horizontal-relative:page;mso-position-vertical-relative:paragraph;z-index:16148480" from="41.041pt,8.546537pt" to="45.374pt,8.546537pt" stroked="true" strokeweight=".5pt" strokecolor="#000000">
            <v:stroke dashstyle="solid"/>
            <w10:wrap type="none"/>
          </v:line>
        </w:pict>
      </w:r>
      <w:r>
        <w:rPr/>
        <w:pict>
          <v:line style="position:absolute;mso-position-horizontal-relative:page;mso-position-vertical-relative:paragraph;z-index:16150016" from="200.302002pt,8.477537pt" to="204.634002pt,8.477537pt" stroked="true" strokeweight=".5pt" strokecolor="#000000">
            <v:stroke dashstyle="solid"/>
            <w10:wrap type="none"/>
          </v:line>
        </w:pict>
      </w:r>
      <w:r>
        <w:rPr>
          <w:sz w:val="12"/>
        </w:rPr>
        <w:t>1.4</w:t>
      </w:r>
    </w:p>
    <w:p>
      <w:pPr>
        <w:spacing w:line="242" w:lineRule="auto" w:before="220"/>
        <w:ind w:left="175" w:right="137" w:firstLine="0"/>
        <w:jc w:val="left"/>
        <w:rPr>
          <w:sz w:val="24"/>
        </w:rPr>
      </w:pPr>
      <w:r>
        <w:rPr/>
        <w:br w:type="column"/>
      </w:r>
      <w:r>
        <w:rPr>
          <w:sz w:val="24"/>
        </w:rPr>
        <w:t>vacancies and in the average time taken to fill them (see Chart 3.7). Although some of the upward trend may be associated with changes in the proportion of people finding employment in other ways, such as through recruitment agencies, some of it is likely to reflect a general increase in the difficulty faced by firms in filling vacancies by whatever means.</w:t>
      </w:r>
    </w:p>
    <w:p>
      <w:pPr>
        <w:spacing w:after="0" w:line="242" w:lineRule="auto"/>
        <w:jc w:val="left"/>
        <w:rPr>
          <w:sz w:val="24"/>
        </w:rPr>
        <w:sectPr>
          <w:type w:val="continuous"/>
          <w:pgSz w:w="11900" w:h="16840"/>
          <w:pgMar w:top="1260" w:bottom="280" w:left="640" w:right="640"/>
          <w:cols w:num="2" w:equalWidth="0">
            <w:col w:w="3795" w:space="1007"/>
            <w:col w:w="5818"/>
          </w:cols>
        </w:sectPr>
      </w:pPr>
    </w:p>
    <w:p>
      <w:pPr>
        <w:pStyle w:val="BodyText"/>
        <w:spacing w:before="1" w:after="1"/>
        <w:rPr>
          <w:sz w:val="19"/>
        </w:rPr>
      </w:pPr>
    </w:p>
    <w:p>
      <w:pPr>
        <w:pStyle w:val="BodyText"/>
        <w:spacing w:line="20" w:lineRule="exact"/>
        <w:ind w:left="175"/>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3"/>
        <w:rPr>
          <w:sz w:val="26"/>
        </w:rPr>
      </w:pPr>
      <w:r>
        <w:rPr/>
        <w:pict>
          <v:shape style="position:absolute;margin-left:41.041pt;margin-top:17.327999pt;width:4.350pt;height:.1pt;mso-position-horizontal-relative:page;mso-position-vertical-relative:paragraph;z-index:-15315968;mso-wrap-distance-left:0;mso-wrap-distance-right:0" coordorigin="821,347" coordsize="87,0" path="m821,347l907,347e" filled="false" stroked="true" strokeweight=".5pt" strokecolor="#000000">
            <v:path arrowok="t"/>
            <v:stroke dashstyle="solid"/>
            <w10:wrap type="topAndBottom"/>
          </v:shape>
        </w:pict>
      </w:r>
      <w:r>
        <w:rPr/>
        <w:pict>
          <v:shape style="position:absolute;margin-left:41.041pt;margin-top:35.405998pt;width:4.350pt;height:.1pt;mso-position-horizontal-relative:page;mso-position-vertical-relative:paragraph;z-index:-15315456;mso-wrap-distance-left:0;mso-wrap-distance-right:0" coordorigin="821,708" coordsize="87,0" path="m821,708l907,708e" filled="false" stroked="true" strokeweight=".5pt" strokecolor="#000000">
            <v:path arrowok="t"/>
            <v:stroke dashstyle="solid"/>
            <w10:wrap type="topAndBottom"/>
          </v:shape>
        </w:pict>
      </w:r>
      <w:r>
        <w:rPr/>
        <w:pict>
          <v:shape style="position:absolute;margin-left:41.041pt;margin-top:53.483002pt;width:4.350pt;height:.1pt;mso-position-horizontal-relative:page;mso-position-vertical-relative:paragraph;z-index:-15314944;mso-wrap-distance-left:0;mso-wrap-distance-right:0" coordorigin="821,1070" coordsize="87,0" path="m821,1070l907,1070e" filled="false" stroked="true" strokeweight=".5pt" strokecolor="#000000">
            <v:path arrowok="t"/>
            <v:stroke dashstyle="solid"/>
            <w10:wrap type="topAndBottom"/>
          </v:shape>
        </w:pict>
      </w:r>
    </w:p>
    <w:p>
      <w:pPr>
        <w:pStyle w:val="BodyText"/>
        <w:spacing w:before="7"/>
        <w:rPr>
          <w:sz w:val="24"/>
        </w:rPr>
      </w:pPr>
    </w:p>
    <w:p>
      <w:pPr>
        <w:pStyle w:val="BodyText"/>
        <w:spacing w:before="7"/>
        <w:rPr>
          <w:sz w:val="24"/>
        </w:rPr>
      </w:pPr>
    </w:p>
    <w:p>
      <w:pPr>
        <w:pStyle w:val="BodyText"/>
        <w:rPr>
          <w:sz w:val="12"/>
        </w:rPr>
      </w:pPr>
    </w:p>
    <w:p>
      <w:pPr>
        <w:pStyle w:val="BodyText"/>
        <w:rPr>
          <w:sz w:val="12"/>
        </w:rPr>
      </w:pPr>
    </w:p>
    <w:p>
      <w:pPr>
        <w:pStyle w:val="BodyText"/>
        <w:spacing w:before="7"/>
        <w:rPr>
          <w:sz w:val="17"/>
        </w:rPr>
      </w:pPr>
    </w:p>
    <w:p>
      <w:pPr>
        <w:tabs>
          <w:tab w:pos="823" w:val="left" w:leader="none"/>
          <w:tab w:pos="1226" w:val="left" w:leader="none"/>
          <w:tab w:pos="1626" w:val="left" w:leader="none"/>
          <w:tab w:pos="2028" w:val="left" w:leader="none"/>
          <w:tab w:pos="2431" w:val="left" w:leader="none"/>
        </w:tabs>
        <w:spacing w:line="136" w:lineRule="exact" w:before="0"/>
        <w:ind w:left="311" w:right="0" w:firstLine="0"/>
        <w:jc w:val="left"/>
        <w:rPr>
          <w:sz w:val="12"/>
        </w:rPr>
      </w:pPr>
      <w:r>
        <w:rPr>
          <w:sz w:val="12"/>
        </w:rPr>
        <w:t>1986</w:t>
        <w:tab/>
        <w:t>88</w:t>
        <w:tab/>
        <w:t>90</w:t>
        <w:tab/>
        <w:t>92</w:t>
        <w:tab/>
        <w:t>94</w:t>
        <w:tab/>
      </w:r>
      <w:r>
        <w:rPr>
          <w:spacing w:val="-10"/>
          <w:sz w:val="12"/>
        </w:rPr>
        <w:t>96</w:t>
      </w:r>
    </w:p>
    <w:p>
      <w:pPr>
        <w:pStyle w:val="BodyText"/>
        <w:spacing w:before="3"/>
        <w:rPr>
          <w:sz w:val="12"/>
        </w:rPr>
      </w:pPr>
      <w:r>
        <w:rPr/>
        <w:br w:type="column"/>
      </w:r>
      <w:r>
        <w:rPr>
          <w:sz w:val="12"/>
        </w:rPr>
      </w:r>
    </w:p>
    <w:p>
      <w:pPr>
        <w:spacing w:before="0"/>
        <w:ind w:left="0" w:right="38" w:firstLine="0"/>
        <w:jc w:val="right"/>
        <w:rPr>
          <w:sz w:val="12"/>
        </w:rPr>
      </w:pPr>
      <w:r>
        <w:rPr>
          <w:sz w:val="12"/>
        </w:rPr>
        <w:t>1.2</w:t>
      </w:r>
    </w:p>
    <w:p>
      <w:pPr>
        <w:pStyle w:val="BodyText"/>
        <w:rPr>
          <w:sz w:val="12"/>
        </w:rPr>
      </w:pPr>
    </w:p>
    <w:p>
      <w:pPr>
        <w:spacing w:before="86"/>
        <w:ind w:left="0" w:right="38" w:firstLine="0"/>
        <w:jc w:val="right"/>
        <w:rPr>
          <w:sz w:val="12"/>
        </w:rPr>
      </w:pPr>
      <w:r>
        <w:rPr/>
        <w:pict>
          <v:line style="position:absolute;mso-position-horizontal-relative:page;mso-position-vertical-relative:paragraph;z-index:16150528" from="200.302002pt,-9.540846pt" to="204.634002pt,-9.540846pt" stroked="true" strokeweight=".5pt" strokecolor="#000000">
            <v:stroke dashstyle="solid"/>
            <w10:wrap type="none"/>
          </v:line>
        </w:pict>
      </w:r>
      <w:r>
        <w:rPr/>
        <w:pict>
          <v:line style="position:absolute;mso-position-horizontal-relative:page;mso-position-vertical-relative:paragraph;z-index:16151040" from="200.302002pt,8.659154pt" to="204.634002pt,8.659154pt" stroked="true" strokeweight=".5pt" strokecolor="#000000">
            <v:stroke dashstyle="solid"/>
            <w10:wrap type="none"/>
          </v:line>
        </w:pict>
      </w:r>
      <w:r>
        <w:rPr>
          <w:sz w:val="12"/>
        </w:rPr>
        <w:t>1.0</w:t>
      </w:r>
    </w:p>
    <w:p>
      <w:pPr>
        <w:pStyle w:val="BodyText"/>
        <w:rPr>
          <w:sz w:val="12"/>
        </w:rPr>
      </w:pPr>
    </w:p>
    <w:p>
      <w:pPr>
        <w:spacing w:before="86"/>
        <w:ind w:left="0" w:right="38" w:firstLine="0"/>
        <w:jc w:val="right"/>
        <w:rPr>
          <w:sz w:val="12"/>
        </w:rPr>
      </w:pPr>
      <w:r>
        <w:rPr/>
        <w:pict>
          <v:line style="position:absolute;mso-position-horizontal-relative:page;mso-position-vertical-relative:paragraph;z-index:16151552" from="200.302002pt,8.749962pt" to="204.634002pt,8.749962pt" stroked="true" strokeweight=".5pt" strokecolor="#000000">
            <v:stroke dashstyle="solid"/>
            <w10:wrap type="none"/>
          </v:line>
        </w:pict>
      </w:r>
      <w:r>
        <w:rPr>
          <w:sz w:val="12"/>
        </w:rPr>
        <w:t>0.8</w:t>
      </w:r>
    </w:p>
    <w:p>
      <w:pPr>
        <w:pStyle w:val="BodyText"/>
        <w:rPr>
          <w:sz w:val="12"/>
        </w:rPr>
      </w:pPr>
    </w:p>
    <w:p>
      <w:pPr>
        <w:spacing w:before="86"/>
        <w:ind w:left="0" w:right="38" w:firstLine="0"/>
        <w:jc w:val="right"/>
        <w:rPr>
          <w:sz w:val="12"/>
        </w:rPr>
      </w:pPr>
      <w:r>
        <w:rPr/>
        <w:pict>
          <v:line style="position:absolute;mso-position-horizontal-relative:page;mso-position-vertical-relative:paragraph;z-index:16152064" from="200.302002pt,8.840770pt" to="204.634002pt,8.840770pt" stroked="true" strokeweight=".5pt" strokecolor="#000000">
            <v:stroke dashstyle="solid"/>
            <w10:wrap type="none"/>
          </v:line>
        </w:pict>
      </w:r>
      <w:r>
        <w:rPr>
          <w:sz w:val="12"/>
        </w:rPr>
        <w:t>0.6</w:t>
      </w:r>
    </w:p>
    <w:p>
      <w:pPr>
        <w:pStyle w:val="BodyText"/>
        <w:rPr>
          <w:sz w:val="12"/>
        </w:rPr>
      </w:pPr>
    </w:p>
    <w:p>
      <w:pPr>
        <w:spacing w:before="87"/>
        <w:ind w:left="0" w:right="38" w:firstLine="0"/>
        <w:jc w:val="right"/>
        <w:rPr>
          <w:sz w:val="12"/>
        </w:rPr>
      </w:pPr>
      <w:r>
        <w:rPr/>
        <w:pict>
          <v:shape style="position:absolute;margin-left:41.041pt;margin-top:8.438578pt;width:164.3pt;height:6.7pt;mso-position-horizontal-relative:page;mso-position-vertical-relative:paragraph;z-index:-23151104" coordorigin="821,169" coordsize="3286,134" path="m4086,179l4086,205,4066,221,4106,234,4066,254,4106,270,4083,280,4082,302m4006,180l4093,180m821,301l1017,301m821,169l907,169m908,173l908,199,888,215,928,228,888,248,928,264,904,274,904,296m1017,301l4083,301m1014,236l1014,301m1214,236l1214,301m1413,236l1413,301m1812,236l1812,301m2611,236l2611,301m3010,236l3010,301m3409,236l3409,301m3808,236l3808,301m1613,236l1613,301m2212,236l2212,301m2810,236l2810,301m3210,236l3210,301m3609,236l3609,301m2411,236l2411,301m2012,236l2012,301e" filled="false" stroked="true" strokeweight=".5pt" strokecolor="#000000">
            <v:path arrowok="t"/>
            <v:stroke dashstyle="solid"/>
            <w10:wrap type="none"/>
          </v:shape>
        </w:pict>
      </w:r>
      <w:r>
        <w:rPr>
          <w:sz w:val="12"/>
        </w:rPr>
        <w:t>0.4</w:t>
      </w:r>
    </w:p>
    <w:p>
      <w:pPr>
        <w:tabs>
          <w:tab w:pos="570" w:val="left" w:leader="none"/>
        </w:tabs>
        <w:spacing w:line="216" w:lineRule="exact" w:before="15"/>
        <w:ind w:left="239" w:right="0" w:firstLine="0"/>
        <w:jc w:val="left"/>
        <w:rPr>
          <w:sz w:val="12"/>
        </w:rPr>
      </w:pPr>
      <w:r>
        <w:rPr>
          <w:sz w:val="12"/>
        </w:rPr>
        <w:t>98</w:t>
        <w:tab/>
        <w:t>2000 </w:t>
      </w:r>
      <w:r>
        <w:rPr>
          <w:spacing w:val="27"/>
          <w:sz w:val="12"/>
        </w:rPr>
        <w:t> </w:t>
      </w:r>
      <w:r>
        <w:rPr>
          <w:position w:val="8"/>
          <w:sz w:val="12"/>
        </w:rPr>
        <w:t>0.0</w:t>
      </w:r>
    </w:p>
    <w:p>
      <w:pPr>
        <w:pStyle w:val="BodyText"/>
        <w:spacing w:before="4"/>
        <w:rPr>
          <w:sz w:val="23"/>
        </w:rPr>
      </w:pPr>
      <w:r>
        <w:rPr/>
        <w:br w:type="column"/>
      </w:r>
      <w:r>
        <w:rPr>
          <w:sz w:val="23"/>
        </w:rPr>
      </w:r>
    </w:p>
    <w:p>
      <w:pPr>
        <w:spacing w:line="242" w:lineRule="auto" w:before="0"/>
        <w:ind w:left="311" w:right="0" w:firstLine="0"/>
        <w:jc w:val="left"/>
        <w:rPr>
          <w:sz w:val="24"/>
        </w:rPr>
      </w:pPr>
      <w:r>
        <w:rPr>
          <w:sz w:val="24"/>
        </w:rPr>
        <w:t>Survey indicators also suggest that the labour market is tight (see Table 3.B). The Recruitment and Employment Confederation (REC) surveys have reported continued reductions in the availability of temporary/contract and permanent agency staff in recent months. The BCC measures of recruitment difficulties in manufacturing</w:t>
      </w:r>
    </w:p>
    <w:p>
      <w:pPr>
        <w:spacing w:after="0" w:line="242" w:lineRule="auto"/>
        <w:jc w:val="left"/>
        <w:rPr>
          <w:sz w:val="24"/>
        </w:rPr>
        <w:sectPr>
          <w:type w:val="continuous"/>
          <w:pgSz w:w="11900" w:h="16840"/>
          <w:pgMar w:top="1260" w:bottom="280" w:left="640" w:right="640"/>
          <w:cols w:num="3" w:equalWidth="0">
            <w:col w:w="2552" w:space="40"/>
            <w:col w:w="1088" w:space="985"/>
            <w:col w:w="5955"/>
          </w:cols>
        </w:sectPr>
      </w:pPr>
    </w:p>
    <w:p>
      <w:pPr>
        <w:pStyle w:val="BodyText"/>
        <w:spacing w:before="1"/>
        <w:rPr>
          <w:sz w:val="15"/>
        </w:rPr>
      </w:pPr>
    </w:p>
    <w:p>
      <w:pPr>
        <w:spacing w:line="208" w:lineRule="auto" w:before="0"/>
        <w:ind w:left="415" w:right="195" w:hanging="240"/>
        <w:jc w:val="left"/>
        <w:rPr>
          <w:sz w:val="12"/>
        </w:rPr>
      </w:pPr>
      <w:r>
        <w:rPr>
          <w:sz w:val="12"/>
        </w:rPr>
        <w:t>(a) Defined as the stock of Jobcentre vacancies divided by monthly outflows.</w:t>
      </w:r>
    </w:p>
    <w:p>
      <w:pPr>
        <w:pStyle w:val="BodyText"/>
        <w:rPr>
          <w:sz w:val="12"/>
        </w:rPr>
      </w:pPr>
    </w:p>
    <w:p>
      <w:pPr>
        <w:pStyle w:val="BodyText"/>
        <w:rPr>
          <w:sz w:val="12"/>
        </w:rPr>
      </w:pPr>
    </w:p>
    <w:p>
      <w:pPr>
        <w:pStyle w:val="Heading6"/>
        <w:spacing w:before="92"/>
        <w:ind w:left="175"/>
      </w:pPr>
      <w:r>
        <w:rPr>
          <w:color w:val="0092C7"/>
        </w:rPr>
        <w:t>Table 3.B</w:t>
      </w:r>
    </w:p>
    <w:p>
      <w:pPr>
        <w:pStyle w:val="Heading6"/>
        <w:ind w:left="175"/>
      </w:pPr>
      <w:r>
        <w:rPr>
          <w:color w:val="0092C7"/>
        </w:rPr>
        <w:t>Survey indicators of labour market tightness</w:t>
      </w:r>
    </w:p>
    <w:p>
      <w:pPr>
        <w:spacing w:line="242" w:lineRule="auto" w:before="0"/>
        <w:ind w:left="175" w:right="137" w:firstLine="0"/>
        <w:jc w:val="left"/>
        <w:rPr>
          <w:sz w:val="24"/>
        </w:rPr>
      </w:pPr>
      <w:r>
        <w:rPr/>
        <w:br w:type="column"/>
      </w:r>
      <w:r>
        <w:rPr>
          <w:sz w:val="24"/>
        </w:rPr>
        <w:t>and the service sector were little changed, albeit at relatively high levels, in Q2. The CBI measure of shortages of skilled labour in manufacturing edged up further in the latest survey, to slightly above its long-run average. Contacts of the Bank’s regional Agents report</w:t>
      </w:r>
    </w:p>
    <w:p>
      <w:pPr>
        <w:spacing w:after="0" w:line="242" w:lineRule="auto"/>
        <w:jc w:val="left"/>
        <w:rPr>
          <w:sz w:val="24"/>
        </w:rPr>
        <w:sectPr>
          <w:type w:val="continuous"/>
          <w:pgSz w:w="11900" w:h="16840"/>
          <w:pgMar w:top="1260" w:bottom="280" w:left="640" w:right="640"/>
          <w:cols w:num="2" w:equalWidth="0">
            <w:col w:w="4026" w:space="776"/>
            <w:col w:w="5818"/>
          </w:cols>
        </w:sectPr>
      </w:pPr>
    </w:p>
    <w:p>
      <w:pPr>
        <w:pStyle w:val="BodyText"/>
        <w:rPr>
          <w:sz w:val="16"/>
        </w:rPr>
      </w:pPr>
    </w:p>
    <w:p>
      <w:pPr>
        <w:pStyle w:val="BodyText"/>
        <w:spacing w:before="4"/>
        <w:rPr>
          <w:sz w:val="17"/>
        </w:rPr>
      </w:pPr>
    </w:p>
    <w:p>
      <w:pPr>
        <w:spacing w:line="146" w:lineRule="exact" w:before="0"/>
        <w:ind w:left="175" w:right="0" w:firstLine="0"/>
        <w:jc w:val="left"/>
        <w:rPr>
          <w:sz w:val="12"/>
        </w:rPr>
      </w:pPr>
      <w:r>
        <w:rPr/>
        <w:pict>
          <v:line style="position:absolute;mso-position-horizontal-relative:page;mso-position-vertical-relative:paragraph;z-index:16162304" from="202.5pt,-4.954834pt" to="215.5pt,-4.954834pt" stroked="true" strokeweight=".125pt" strokecolor="#000000">
            <v:stroke dashstyle="solid"/>
            <w10:wrap type="none"/>
          </v:line>
        </w:pict>
      </w:r>
      <w:r>
        <w:rPr>
          <w:b/>
          <w:sz w:val="14"/>
        </w:rPr>
        <w:t>REC availability </w:t>
      </w:r>
      <w:r>
        <w:rPr>
          <w:sz w:val="12"/>
        </w:rPr>
        <w:t>(a)</w:t>
      </w:r>
    </w:p>
    <w:p>
      <w:pPr>
        <w:spacing w:line="114" w:lineRule="exact" w:before="0"/>
        <w:ind w:left="175" w:right="0" w:firstLine="0"/>
        <w:jc w:val="left"/>
        <w:rPr>
          <w:sz w:val="14"/>
        </w:rPr>
      </w:pPr>
      <w:r>
        <w:rPr/>
        <w:br w:type="column"/>
      </w:r>
      <w:r>
        <w:rPr>
          <w:sz w:val="14"/>
        </w:rPr>
        <w:t>Series 1999</w:t>
      </w:r>
    </w:p>
    <w:p>
      <w:pPr>
        <w:spacing w:line="150" w:lineRule="exact" w:before="0"/>
        <w:ind w:left="175" w:right="0" w:firstLine="0"/>
        <w:jc w:val="left"/>
        <w:rPr>
          <w:sz w:val="14"/>
        </w:rPr>
      </w:pPr>
      <w:r>
        <w:rPr/>
        <w:pict>
          <v:line style="position:absolute;mso-position-horizontal-relative:page;mso-position-vertical-relative:paragraph;z-index:16161280" from="142pt,-.479492pt" to="216.28pt,-.479492pt" stroked="true" strokeweight=".125pt" strokecolor="#000000">
            <v:stroke dashstyle="solid"/>
            <w10:wrap type="none"/>
          </v:line>
        </w:pict>
      </w:r>
      <w:r>
        <w:rPr>
          <w:sz w:val="14"/>
        </w:rPr>
        <w:t>average Q1</w:t>
      </w:r>
    </w:p>
    <w:p>
      <w:pPr>
        <w:pStyle w:val="BodyText"/>
        <w:spacing w:line="20" w:lineRule="exact"/>
        <w:ind w:left="178" w:right="-44"/>
        <w:rPr>
          <w:sz w:val="2"/>
        </w:rPr>
      </w:pPr>
      <w:r>
        <w:rPr>
          <w:sz w:val="2"/>
        </w:rPr>
        <w:pict>
          <v:group style="width:20.3pt;height:.15pt;mso-position-horizontal-relative:char;mso-position-vertical-relative:line" coordorigin="0,0" coordsize="406,3">
            <v:line style="position:absolute" from="0,1" to="406,1" stroked="true" strokeweight=".125pt" strokecolor="#000000">
              <v:stroke dashstyle="solid"/>
            </v:line>
          </v:group>
        </w:pict>
      </w:r>
      <w:r>
        <w:rPr>
          <w:sz w:val="2"/>
        </w:rPr>
      </w:r>
      <w:r>
        <w:rPr>
          <w:spacing w:val="52"/>
          <w:sz w:val="2"/>
        </w:rPr>
        <w:t> </w:t>
      </w:r>
      <w:r>
        <w:rPr>
          <w:spacing w:val="52"/>
          <w:sz w:val="2"/>
        </w:rPr>
        <w:pict>
          <v:group style="width:13pt;height:.15pt;mso-position-horizontal-relative:char;mso-position-vertical-relative:line" coordorigin="0,0" coordsize="260,3">
            <v:line style="position:absolute" from="0,1" to="260,1" stroked="true" strokeweight=".125pt" strokecolor="#000000">
              <v:stroke dashstyle="solid"/>
            </v:line>
          </v:group>
        </w:pict>
      </w:r>
      <w:r>
        <w:rPr>
          <w:spacing w:val="52"/>
          <w:sz w:val="2"/>
        </w:rPr>
      </w:r>
    </w:p>
    <w:p>
      <w:pPr>
        <w:tabs>
          <w:tab w:pos="479" w:val="left" w:leader="none"/>
          <w:tab w:pos="879" w:val="left" w:leader="none"/>
        </w:tabs>
        <w:spacing w:before="104"/>
        <w:ind w:left="69" w:right="0" w:firstLine="0"/>
        <w:jc w:val="left"/>
        <w:rPr>
          <w:sz w:val="14"/>
        </w:rPr>
      </w:pPr>
      <w:r>
        <w:rPr/>
        <w:br w:type="column"/>
      </w:r>
      <w:r>
        <w:rPr>
          <w:sz w:val="14"/>
        </w:rPr>
        <w:t>Q2</w:t>
        <w:tab/>
        <w:t>Q3</w:t>
        <w:tab/>
      </w:r>
      <w:r>
        <w:rPr>
          <w:spacing w:val="-10"/>
          <w:sz w:val="14"/>
        </w:rPr>
        <w:t>Q4</w:t>
      </w:r>
    </w:p>
    <w:p>
      <w:pPr>
        <w:pStyle w:val="BodyText"/>
        <w:spacing w:line="20" w:lineRule="exact"/>
        <w:ind w:left="52"/>
        <w:rPr>
          <w:sz w:val="2"/>
        </w:rPr>
      </w:pPr>
      <w:r>
        <w:rPr>
          <w:sz w:val="2"/>
        </w:rPr>
        <w:pict>
          <v:group style="width:13pt;height:.15pt;mso-position-horizontal-relative:char;mso-position-vertical-relative:line" coordorigin="0,0" coordsize="260,3">
            <v:line style="position:absolute" from="0,1" to="260,1" stroked="true" strokeweight=".125pt" strokecolor="#000000">
              <v:stroke dashstyle="solid"/>
            </v:line>
          </v:group>
        </w:pict>
      </w:r>
      <w:r>
        <w:rPr>
          <w:sz w:val="2"/>
        </w:rPr>
      </w:r>
      <w:r>
        <w:rPr>
          <w:spacing w:val="112"/>
          <w:sz w:val="2"/>
        </w:rPr>
        <w:t> </w:t>
      </w:r>
      <w:r>
        <w:rPr>
          <w:spacing w:val="112"/>
          <w:sz w:val="2"/>
        </w:rPr>
        <w:pict>
          <v:group style="width:13pt;height:.15pt;mso-position-horizontal-relative:char;mso-position-vertical-relative:line" coordorigin="0,0" coordsize="260,3">
            <v:line style="position:absolute" from="0,1" to="260,1" stroked="true" strokeweight=".125pt" strokecolor="#000000">
              <v:stroke dashstyle="solid"/>
            </v:line>
          </v:group>
        </w:pict>
      </w:r>
      <w:r>
        <w:rPr>
          <w:spacing w:val="112"/>
          <w:sz w:val="2"/>
        </w:rPr>
      </w:r>
    </w:p>
    <w:p>
      <w:pPr>
        <w:spacing w:line="114" w:lineRule="exact" w:before="0"/>
        <w:ind w:left="175" w:right="0" w:firstLine="0"/>
        <w:jc w:val="left"/>
        <w:rPr>
          <w:sz w:val="14"/>
        </w:rPr>
      </w:pPr>
      <w:r>
        <w:rPr/>
        <w:br w:type="column"/>
      </w:r>
      <w:r>
        <w:rPr>
          <w:sz w:val="14"/>
        </w:rPr>
        <w:t>2000</w:t>
      </w:r>
    </w:p>
    <w:p>
      <w:pPr>
        <w:spacing w:line="150" w:lineRule="exact" w:before="0"/>
        <w:ind w:left="175" w:right="0" w:firstLine="0"/>
        <w:jc w:val="left"/>
        <w:rPr>
          <w:sz w:val="14"/>
        </w:rPr>
      </w:pPr>
      <w:r>
        <w:rPr/>
        <w:pict>
          <v:line style="position:absolute;mso-position-horizontal-relative:page;mso-position-vertical-relative:paragraph;z-index:16161792" from="222pt,-.479492pt" to="253.28pt,-.479492pt" stroked="true" strokeweight=".125pt" strokecolor="#000000">
            <v:stroke dashstyle="solid"/>
            <w10:wrap type="none"/>
          </v:line>
        </w:pict>
      </w:r>
      <w:r>
        <w:rPr>
          <w:sz w:val="14"/>
        </w:rPr>
        <w:t>Q1 Q2</w:t>
      </w:r>
    </w:p>
    <w:p>
      <w:pPr>
        <w:pStyle w:val="BodyText"/>
        <w:spacing w:line="20" w:lineRule="exact"/>
        <w:ind w:left="158" w:right="-116"/>
        <w:rPr>
          <w:sz w:val="2"/>
        </w:rPr>
      </w:pPr>
      <w:r>
        <w:rPr>
          <w:sz w:val="2"/>
        </w:rPr>
        <w:pict>
          <v:group style="width:13pt;height:.15pt;mso-position-horizontal-relative:char;mso-position-vertical-relative:line" coordorigin="0,0" coordsize="260,3">
            <v:line style="position:absolute" from="0,1" to="260,1" stroked="true" strokeweight=".125pt" strokecolor="#000000">
              <v:stroke dashstyle="solid"/>
            </v:line>
          </v:group>
        </w:pict>
      </w:r>
      <w:r>
        <w:rPr>
          <w:sz w:val="2"/>
        </w:rPr>
      </w:r>
      <w:r>
        <w:rPr>
          <w:spacing w:val="72"/>
          <w:sz w:val="2"/>
        </w:rPr>
        <w:t> </w:t>
      </w:r>
      <w:r>
        <w:rPr>
          <w:spacing w:val="72"/>
          <w:sz w:val="2"/>
        </w:rPr>
        <w:pict>
          <v:group style="width:13pt;height:.15pt;mso-position-horizontal-relative:char;mso-position-vertical-relative:line" coordorigin="0,0" coordsize="260,3">
            <v:line style="position:absolute" from="0,1" to="260,1" stroked="true" strokeweight=".125pt" strokecolor="#000000">
              <v:stroke dashstyle="solid"/>
            </v:line>
          </v:group>
        </w:pict>
      </w:r>
      <w:r>
        <w:rPr>
          <w:spacing w:val="72"/>
          <w:sz w:val="2"/>
        </w:rPr>
      </w:r>
    </w:p>
    <w:p>
      <w:pPr>
        <w:spacing w:line="242" w:lineRule="auto" w:before="0"/>
        <w:ind w:left="175" w:right="137" w:firstLine="0"/>
        <w:jc w:val="left"/>
        <w:rPr>
          <w:sz w:val="24"/>
        </w:rPr>
      </w:pPr>
      <w:r>
        <w:rPr/>
        <w:br w:type="column"/>
      </w:r>
      <w:r>
        <w:rPr>
          <w:sz w:val="24"/>
        </w:rPr>
        <w:t>little change in skill shortages in recent months, although they remain at high levels.</w:t>
      </w:r>
    </w:p>
    <w:p>
      <w:pPr>
        <w:spacing w:after="0" w:line="242" w:lineRule="auto"/>
        <w:jc w:val="left"/>
        <w:rPr>
          <w:sz w:val="24"/>
        </w:rPr>
        <w:sectPr>
          <w:type w:val="continuous"/>
          <w:pgSz w:w="11900" w:h="16840"/>
          <w:pgMar w:top="1260" w:bottom="280" w:left="640" w:right="640"/>
          <w:cols w:num="5" w:equalWidth="0">
            <w:col w:w="1379" w:space="161"/>
            <w:col w:w="956" w:space="40"/>
            <w:col w:w="1052" w:space="42"/>
            <w:col w:w="737" w:space="435"/>
            <w:col w:w="5818"/>
          </w:cols>
        </w:sectPr>
      </w:pPr>
    </w:p>
    <w:p>
      <w:pPr>
        <w:tabs>
          <w:tab w:pos="1750" w:val="left" w:leader="none"/>
          <w:tab w:pos="2200" w:val="left" w:leader="none"/>
        </w:tabs>
        <w:spacing w:line="117" w:lineRule="exact" w:before="0"/>
        <w:ind w:left="280" w:right="0" w:firstLine="0"/>
        <w:jc w:val="left"/>
        <w:rPr>
          <w:sz w:val="14"/>
        </w:rPr>
      </w:pPr>
      <w:r>
        <w:rPr>
          <w:i/>
          <w:spacing w:val="-3"/>
          <w:sz w:val="14"/>
        </w:rPr>
        <w:t>Permanent</w:t>
      </w:r>
      <w:r>
        <w:rPr>
          <w:i/>
          <w:spacing w:val="-1"/>
          <w:sz w:val="14"/>
        </w:rPr>
        <w:t> </w:t>
      </w:r>
      <w:r>
        <w:rPr>
          <w:i/>
          <w:sz w:val="14"/>
        </w:rPr>
        <w:t>staff</w:t>
        <w:tab/>
      </w:r>
      <w:r>
        <w:rPr>
          <w:sz w:val="14"/>
        </w:rPr>
        <w:t>44.9</w:t>
        <w:tab/>
        <w:t>58.6     52.5     47.3     43.3    45.3</w:t>
      </w:r>
      <w:r>
        <w:rPr>
          <w:spacing w:val="25"/>
          <w:sz w:val="14"/>
        </w:rPr>
        <w:t> </w:t>
      </w:r>
      <w:r>
        <w:rPr>
          <w:sz w:val="14"/>
        </w:rPr>
        <w:t>42.3</w:t>
      </w:r>
    </w:p>
    <w:p>
      <w:pPr>
        <w:tabs>
          <w:tab w:pos="2200" w:val="left" w:leader="none"/>
        </w:tabs>
        <w:spacing w:line="140" w:lineRule="exact" w:before="0"/>
        <w:ind w:left="280" w:right="0" w:firstLine="0"/>
        <w:jc w:val="left"/>
        <w:rPr>
          <w:sz w:val="14"/>
        </w:rPr>
      </w:pPr>
      <w:r>
        <w:rPr>
          <w:i/>
          <w:sz w:val="14"/>
        </w:rPr>
        <w:t>Temporary/contract</w:t>
      </w:r>
      <w:r>
        <w:rPr>
          <w:i/>
          <w:spacing w:val="-8"/>
          <w:sz w:val="14"/>
        </w:rPr>
        <w:t> </w:t>
      </w:r>
      <w:r>
        <w:rPr>
          <w:i/>
          <w:sz w:val="14"/>
        </w:rPr>
        <w:t>staff</w:t>
      </w:r>
      <w:r>
        <w:rPr>
          <w:i/>
          <w:spacing w:val="33"/>
          <w:sz w:val="14"/>
        </w:rPr>
        <w:t> </w:t>
      </w:r>
      <w:r>
        <w:rPr>
          <w:sz w:val="14"/>
        </w:rPr>
        <w:t>45.7</w:t>
        <w:tab/>
        <w:t>60.9     54.0     47.4     44.3    47.6</w:t>
      </w:r>
      <w:r>
        <w:rPr>
          <w:spacing w:val="25"/>
          <w:sz w:val="14"/>
        </w:rPr>
        <w:t> </w:t>
      </w:r>
      <w:r>
        <w:rPr>
          <w:sz w:val="14"/>
        </w:rPr>
        <w:t>41.9</w:t>
      </w:r>
    </w:p>
    <w:p>
      <w:pPr>
        <w:spacing w:line="208" w:lineRule="auto" w:before="6"/>
        <w:ind w:left="210" w:right="3195" w:hanging="35"/>
        <w:jc w:val="left"/>
        <w:rPr>
          <w:sz w:val="12"/>
        </w:rPr>
      </w:pPr>
      <w:r>
        <w:rPr>
          <w:b/>
          <w:sz w:val="14"/>
        </w:rPr>
        <w:t>BCC recruitment difficulties </w:t>
      </w:r>
      <w:r>
        <w:rPr>
          <w:sz w:val="12"/>
        </w:rPr>
        <w:t>(b)(c)</w:t>
      </w:r>
    </w:p>
    <w:tbl>
      <w:tblPr>
        <w:tblW w:w="0" w:type="auto"/>
        <w:jc w:val="left"/>
        <w:tblInd w:w="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6"/>
        <w:gridCol w:w="464"/>
        <w:gridCol w:w="430"/>
        <w:gridCol w:w="405"/>
        <w:gridCol w:w="400"/>
        <w:gridCol w:w="390"/>
        <w:gridCol w:w="370"/>
        <w:gridCol w:w="300"/>
      </w:tblGrid>
      <w:tr>
        <w:trPr>
          <w:trHeight w:val="147" w:hRule="atLeast"/>
        </w:trPr>
        <w:tc>
          <w:tcPr>
            <w:tcW w:w="1526" w:type="dxa"/>
          </w:tcPr>
          <w:p>
            <w:pPr>
              <w:pStyle w:val="TableParagraph"/>
              <w:spacing w:line="128" w:lineRule="exact"/>
              <w:ind w:left="120"/>
              <w:rPr>
                <w:i/>
                <w:sz w:val="14"/>
              </w:rPr>
            </w:pPr>
            <w:r>
              <w:rPr>
                <w:i/>
                <w:sz w:val="14"/>
              </w:rPr>
              <w:t>Manufacturing</w:t>
            </w:r>
          </w:p>
        </w:tc>
        <w:tc>
          <w:tcPr>
            <w:tcW w:w="464" w:type="dxa"/>
          </w:tcPr>
          <w:p>
            <w:pPr>
              <w:pStyle w:val="TableParagraph"/>
              <w:spacing w:line="128" w:lineRule="exact"/>
              <w:ind w:left="149" w:right="135"/>
              <w:jc w:val="center"/>
              <w:rPr>
                <w:sz w:val="14"/>
              </w:rPr>
            </w:pPr>
            <w:r>
              <w:rPr>
                <w:sz w:val="14"/>
              </w:rPr>
              <w:t>55</w:t>
            </w:r>
          </w:p>
        </w:tc>
        <w:tc>
          <w:tcPr>
            <w:tcW w:w="430" w:type="dxa"/>
          </w:tcPr>
          <w:p>
            <w:pPr>
              <w:pStyle w:val="TableParagraph"/>
              <w:spacing w:line="128" w:lineRule="exact"/>
              <w:ind w:right="134"/>
              <w:jc w:val="right"/>
              <w:rPr>
                <w:sz w:val="14"/>
              </w:rPr>
            </w:pPr>
            <w:r>
              <w:rPr>
                <w:sz w:val="14"/>
              </w:rPr>
              <w:t>71</w:t>
            </w:r>
          </w:p>
        </w:tc>
        <w:tc>
          <w:tcPr>
            <w:tcW w:w="405" w:type="dxa"/>
          </w:tcPr>
          <w:p>
            <w:pPr>
              <w:pStyle w:val="TableParagraph"/>
              <w:spacing w:line="128" w:lineRule="exact"/>
              <w:ind w:right="129"/>
              <w:jc w:val="right"/>
              <w:rPr>
                <w:sz w:val="14"/>
              </w:rPr>
            </w:pPr>
            <w:r>
              <w:rPr>
                <w:sz w:val="14"/>
              </w:rPr>
              <w:t>71</w:t>
            </w:r>
          </w:p>
        </w:tc>
        <w:tc>
          <w:tcPr>
            <w:tcW w:w="400" w:type="dxa"/>
          </w:tcPr>
          <w:p>
            <w:pPr>
              <w:pStyle w:val="TableParagraph"/>
              <w:spacing w:line="128" w:lineRule="exact"/>
              <w:ind w:right="127"/>
              <w:jc w:val="right"/>
              <w:rPr>
                <w:sz w:val="14"/>
              </w:rPr>
            </w:pPr>
            <w:r>
              <w:rPr>
                <w:sz w:val="14"/>
              </w:rPr>
              <w:t>69</w:t>
            </w:r>
          </w:p>
        </w:tc>
        <w:tc>
          <w:tcPr>
            <w:tcW w:w="390" w:type="dxa"/>
          </w:tcPr>
          <w:p>
            <w:pPr>
              <w:pStyle w:val="TableParagraph"/>
              <w:spacing w:line="128" w:lineRule="exact"/>
              <w:ind w:right="117"/>
              <w:jc w:val="right"/>
              <w:rPr>
                <w:sz w:val="14"/>
              </w:rPr>
            </w:pPr>
            <w:r>
              <w:rPr>
                <w:sz w:val="14"/>
              </w:rPr>
              <w:t>69</w:t>
            </w:r>
          </w:p>
        </w:tc>
        <w:tc>
          <w:tcPr>
            <w:tcW w:w="370" w:type="dxa"/>
          </w:tcPr>
          <w:p>
            <w:pPr>
              <w:pStyle w:val="TableParagraph"/>
              <w:spacing w:line="128" w:lineRule="exact"/>
              <w:ind w:left="100" w:right="90"/>
              <w:jc w:val="center"/>
              <w:rPr>
                <w:sz w:val="14"/>
              </w:rPr>
            </w:pPr>
            <w:r>
              <w:rPr>
                <w:sz w:val="14"/>
              </w:rPr>
              <w:t>70</w:t>
            </w:r>
          </w:p>
        </w:tc>
        <w:tc>
          <w:tcPr>
            <w:tcW w:w="300" w:type="dxa"/>
          </w:tcPr>
          <w:p>
            <w:pPr>
              <w:pStyle w:val="TableParagraph"/>
              <w:spacing w:line="128" w:lineRule="exact"/>
              <w:ind w:left="90" w:right="30"/>
              <w:jc w:val="center"/>
              <w:rPr>
                <w:sz w:val="14"/>
              </w:rPr>
            </w:pPr>
            <w:r>
              <w:rPr>
                <w:sz w:val="14"/>
              </w:rPr>
              <w:t>69</w:t>
            </w:r>
          </w:p>
        </w:tc>
      </w:tr>
      <w:tr>
        <w:trPr>
          <w:trHeight w:val="210" w:hRule="atLeast"/>
        </w:trPr>
        <w:tc>
          <w:tcPr>
            <w:tcW w:w="1526" w:type="dxa"/>
          </w:tcPr>
          <w:p>
            <w:pPr>
              <w:pStyle w:val="TableParagraph"/>
              <w:spacing w:line="137" w:lineRule="exact"/>
              <w:ind w:left="120"/>
              <w:rPr>
                <w:i/>
                <w:sz w:val="14"/>
              </w:rPr>
            </w:pPr>
            <w:r>
              <w:rPr>
                <w:i/>
                <w:sz w:val="14"/>
              </w:rPr>
              <w:t>Services</w:t>
            </w:r>
          </w:p>
        </w:tc>
        <w:tc>
          <w:tcPr>
            <w:tcW w:w="464" w:type="dxa"/>
          </w:tcPr>
          <w:p>
            <w:pPr>
              <w:pStyle w:val="TableParagraph"/>
              <w:spacing w:line="137" w:lineRule="exact"/>
              <w:ind w:left="149" w:right="135"/>
              <w:jc w:val="center"/>
              <w:rPr>
                <w:sz w:val="14"/>
              </w:rPr>
            </w:pPr>
            <w:r>
              <w:rPr>
                <w:sz w:val="14"/>
              </w:rPr>
              <w:t>49</w:t>
            </w:r>
          </w:p>
        </w:tc>
        <w:tc>
          <w:tcPr>
            <w:tcW w:w="430" w:type="dxa"/>
          </w:tcPr>
          <w:p>
            <w:pPr>
              <w:pStyle w:val="TableParagraph"/>
              <w:spacing w:line="137" w:lineRule="exact"/>
              <w:ind w:right="134"/>
              <w:jc w:val="right"/>
              <w:rPr>
                <w:sz w:val="14"/>
              </w:rPr>
            </w:pPr>
            <w:r>
              <w:rPr>
                <w:sz w:val="14"/>
              </w:rPr>
              <w:t>64</w:t>
            </w:r>
          </w:p>
        </w:tc>
        <w:tc>
          <w:tcPr>
            <w:tcW w:w="405" w:type="dxa"/>
          </w:tcPr>
          <w:p>
            <w:pPr>
              <w:pStyle w:val="TableParagraph"/>
              <w:spacing w:line="137" w:lineRule="exact"/>
              <w:ind w:right="129"/>
              <w:jc w:val="right"/>
              <w:rPr>
                <w:sz w:val="14"/>
              </w:rPr>
            </w:pPr>
            <w:r>
              <w:rPr>
                <w:sz w:val="14"/>
              </w:rPr>
              <w:t>62</w:t>
            </w:r>
          </w:p>
        </w:tc>
        <w:tc>
          <w:tcPr>
            <w:tcW w:w="400" w:type="dxa"/>
          </w:tcPr>
          <w:p>
            <w:pPr>
              <w:pStyle w:val="TableParagraph"/>
              <w:spacing w:line="137" w:lineRule="exact"/>
              <w:ind w:right="127"/>
              <w:jc w:val="right"/>
              <w:rPr>
                <w:sz w:val="14"/>
              </w:rPr>
            </w:pPr>
            <w:r>
              <w:rPr>
                <w:sz w:val="14"/>
              </w:rPr>
              <w:t>61</w:t>
            </w:r>
          </w:p>
        </w:tc>
        <w:tc>
          <w:tcPr>
            <w:tcW w:w="390" w:type="dxa"/>
          </w:tcPr>
          <w:p>
            <w:pPr>
              <w:pStyle w:val="TableParagraph"/>
              <w:spacing w:line="137" w:lineRule="exact"/>
              <w:ind w:right="117"/>
              <w:jc w:val="right"/>
              <w:rPr>
                <w:sz w:val="14"/>
              </w:rPr>
            </w:pPr>
            <w:r>
              <w:rPr>
                <w:sz w:val="14"/>
              </w:rPr>
              <w:t>62</w:t>
            </w:r>
          </w:p>
        </w:tc>
        <w:tc>
          <w:tcPr>
            <w:tcW w:w="370" w:type="dxa"/>
          </w:tcPr>
          <w:p>
            <w:pPr>
              <w:pStyle w:val="TableParagraph"/>
              <w:spacing w:line="137" w:lineRule="exact"/>
              <w:ind w:left="100" w:right="90"/>
              <w:jc w:val="center"/>
              <w:rPr>
                <w:sz w:val="14"/>
              </w:rPr>
            </w:pPr>
            <w:r>
              <w:rPr>
                <w:sz w:val="14"/>
              </w:rPr>
              <w:t>61</w:t>
            </w:r>
          </w:p>
        </w:tc>
        <w:tc>
          <w:tcPr>
            <w:tcW w:w="300" w:type="dxa"/>
          </w:tcPr>
          <w:p>
            <w:pPr>
              <w:pStyle w:val="TableParagraph"/>
              <w:spacing w:line="137" w:lineRule="exact"/>
              <w:ind w:left="90" w:right="30"/>
              <w:jc w:val="center"/>
              <w:rPr>
                <w:sz w:val="14"/>
              </w:rPr>
            </w:pPr>
            <w:r>
              <w:rPr>
                <w:sz w:val="14"/>
              </w:rPr>
              <w:t>60</w:t>
            </w:r>
          </w:p>
        </w:tc>
      </w:tr>
      <w:tr>
        <w:trPr>
          <w:trHeight w:val="350" w:hRule="atLeast"/>
        </w:trPr>
        <w:tc>
          <w:tcPr>
            <w:tcW w:w="1526" w:type="dxa"/>
          </w:tcPr>
          <w:p>
            <w:pPr>
              <w:pStyle w:val="TableParagraph"/>
              <w:spacing w:line="56" w:lineRule="exact"/>
              <w:ind w:left="15"/>
              <w:rPr>
                <w:b/>
                <w:sz w:val="14"/>
              </w:rPr>
            </w:pPr>
            <w:r>
              <w:rPr>
                <w:b/>
                <w:sz w:val="14"/>
              </w:rPr>
              <w:t>CBI manufacturing</w:t>
            </w:r>
          </w:p>
          <w:p>
            <w:pPr>
              <w:pStyle w:val="TableParagraph"/>
              <w:spacing w:line="140" w:lineRule="exact"/>
              <w:ind w:left="50"/>
              <w:rPr>
                <w:sz w:val="12"/>
              </w:rPr>
            </w:pPr>
            <w:r>
              <w:rPr>
                <w:b/>
                <w:sz w:val="14"/>
              </w:rPr>
              <w:t>labour shortages </w:t>
            </w:r>
            <w:r>
              <w:rPr>
                <w:sz w:val="12"/>
              </w:rPr>
              <w:t>(c)(d)</w:t>
            </w:r>
          </w:p>
          <w:p>
            <w:pPr>
              <w:pStyle w:val="TableParagraph"/>
              <w:spacing w:line="134" w:lineRule="exact"/>
              <w:ind w:left="120"/>
              <w:rPr>
                <w:i/>
                <w:sz w:val="14"/>
              </w:rPr>
            </w:pPr>
            <w:r>
              <w:rPr>
                <w:i/>
                <w:sz w:val="14"/>
              </w:rPr>
              <w:t>Skilled</w:t>
            </w:r>
          </w:p>
        </w:tc>
        <w:tc>
          <w:tcPr>
            <w:tcW w:w="464" w:type="dxa"/>
          </w:tcPr>
          <w:p>
            <w:pPr>
              <w:pStyle w:val="TableParagraph"/>
              <w:spacing w:line="240" w:lineRule="auto" w:before="1"/>
              <w:rPr>
                <w:sz w:val="16"/>
              </w:rPr>
            </w:pPr>
          </w:p>
          <w:p>
            <w:pPr>
              <w:pStyle w:val="TableParagraph"/>
              <w:spacing w:line="144" w:lineRule="exact" w:before="1"/>
              <w:ind w:left="149" w:right="135"/>
              <w:jc w:val="center"/>
              <w:rPr>
                <w:sz w:val="14"/>
              </w:rPr>
            </w:pPr>
            <w:r>
              <w:rPr>
                <w:sz w:val="14"/>
              </w:rPr>
              <w:t>14</w:t>
            </w:r>
          </w:p>
        </w:tc>
        <w:tc>
          <w:tcPr>
            <w:tcW w:w="430" w:type="dxa"/>
          </w:tcPr>
          <w:p>
            <w:pPr>
              <w:pStyle w:val="TableParagraph"/>
              <w:spacing w:line="240" w:lineRule="auto" w:before="1"/>
              <w:rPr>
                <w:sz w:val="16"/>
              </w:rPr>
            </w:pPr>
          </w:p>
          <w:p>
            <w:pPr>
              <w:pStyle w:val="TableParagraph"/>
              <w:spacing w:line="144" w:lineRule="exact" w:before="1"/>
              <w:ind w:right="134"/>
              <w:jc w:val="right"/>
              <w:rPr>
                <w:sz w:val="14"/>
              </w:rPr>
            </w:pPr>
            <w:r>
              <w:rPr>
                <w:sz w:val="14"/>
              </w:rPr>
              <w:t>6</w:t>
            </w:r>
          </w:p>
        </w:tc>
        <w:tc>
          <w:tcPr>
            <w:tcW w:w="405" w:type="dxa"/>
          </w:tcPr>
          <w:p>
            <w:pPr>
              <w:pStyle w:val="TableParagraph"/>
              <w:spacing w:line="240" w:lineRule="auto" w:before="1"/>
              <w:rPr>
                <w:sz w:val="16"/>
              </w:rPr>
            </w:pPr>
          </w:p>
          <w:p>
            <w:pPr>
              <w:pStyle w:val="TableParagraph"/>
              <w:spacing w:line="144" w:lineRule="exact" w:before="1"/>
              <w:ind w:right="129"/>
              <w:jc w:val="right"/>
              <w:rPr>
                <w:sz w:val="14"/>
              </w:rPr>
            </w:pPr>
            <w:r>
              <w:rPr>
                <w:sz w:val="14"/>
              </w:rPr>
              <w:t>8</w:t>
            </w:r>
          </w:p>
        </w:tc>
        <w:tc>
          <w:tcPr>
            <w:tcW w:w="400" w:type="dxa"/>
          </w:tcPr>
          <w:p>
            <w:pPr>
              <w:pStyle w:val="TableParagraph"/>
              <w:spacing w:line="240" w:lineRule="auto" w:before="1"/>
              <w:rPr>
                <w:sz w:val="16"/>
              </w:rPr>
            </w:pPr>
          </w:p>
          <w:p>
            <w:pPr>
              <w:pStyle w:val="TableParagraph"/>
              <w:spacing w:line="144" w:lineRule="exact" w:before="1"/>
              <w:ind w:right="129"/>
              <w:jc w:val="right"/>
              <w:rPr>
                <w:sz w:val="14"/>
              </w:rPr>
            </w:pPr>
            <w:r>
              <w:rPr>
                <w:sz w:val="14"/>
              </w:rPr>
              <w:t>10</w:t>
            </w:r>
          </w:p>
        </w:tc>
        <w:tc>
          <w:tcPr>
            <w:tcW w:w="390" w:type="dxa"/>
          </w:tcPr>
          <w:p>
            <w:pPr>
              <w:pStyle w:val="TableParagraph"/>
              <w:spacing w:line="240" w:lineRule="auto" w:before="1"/>
              <w:rPr>
                <w:sz w:val="16"/>
              </w:rPr>
            </w:pPr>
          </w:p>
          <w:p>
            <w:pPr>
              <w:pStyle w:val="TableParagraph"/>
              <w:spacing w:line="144" w:lineRule="exact" w:before="1"/>
              <w:ind w:right="119"/>
              <w:jc w:val="right"/>
              <w:rPr>
                <w:sz w:val="14"/>
              </w:rPr>
            </w:pPr>
            <w:r>
              <w:rPr>
                <w:sz w:val="14"/>
              </w:rPr>
              <w:t>14</w:t>
            </w:r>
          </w:p>
        </w:tc>
        <w:tc>
          <w:tcPr>
            <w:tcW w:w="370" w:type="dxa"/>
          </w:tcPr>
          <w:p>
            <w:pPr>
              <w:pStyle w:val="TableParagraph"/>
              <w:spacing w:line="240" w:lineRule="auto" w:before="1"/>
              <w:rPr>
                <w:sz w:val="16"/>
              </w:rPr>
            </w:pPr>
          </w:p>
          <w:p>
            <w:pPr>
              <w:pStyle w:val="TableParagraph"/>
              <w:spacing w:line="144" w:lineRule="exact" w:before="1"/>
              <w:ind w:left="100" w:right="90"/>
              <w:jc w:val="center"/>
              <w:rPr>
                <w:sz w:val="14"/>
              </w:rPr>
            </w:pPr>
            <w:r>
              <w:rPr>
                <w:sz w:val="14"/>
              </w:rPr>
              <w:t>14</w:t>
            </w:r>
          </w:p>
        </w:tc>
        <w:tc>
          <w:tcPr>
            <w:tcW w:w="300" w:type="dxa"/>
          </w:tcPr>
          <w:p>
            <w:pPr>
              <w:pStyle w:val="TableParagraph"/>
              <w:spacing w:line="240" w:lineRule="auto" w:before="1"/>
              <w:rPr>
                <w:sz w:val="16"/>
              </w:rPr>
            </w:pPr>
          </w:p>
          <w:p>
            <w:pPr>
              <w:pStyle w:val="TableParagraph"/>
              <w:spacing w:line="144" w:lineRule="exact" w:before="1"/>
              <w:ind w:left="90" w:right="30"/>
              <w:jc w:val="center"/>
              <w:rPr>
                <w:sz w:val="14"/>
              </w:rPr>
            </w:pPr>
            <w:r>
              <w:rPr>
                <w:sz w:val="14"/>
              </w:rPr>
              <w:t>15</w:t>
            </w:r>
          </w:p>
        </w:tc>
      </w:tr>
      <w:tr>
        <w:trPr>
          <w:trHeight w:val="147" w:hRule="atLeast"/>
        </w:trPr>
        <w:tc>
          <w:tcPr>
            <w:tcW w:w="1526" w:type="dxa"/>
          </w:tcPr>
          <w:p>
            <w:pPr>
              <w:pStyle w:val="TableParagraph"/>
              <w:spacing w:line="128" w:lineRule="exact"/>
              <w:ind w:left="120"/>
              <w:rPr>
                <w:i/>
                <w:sz w:val="14"/>
              </w:rPr>
            </w:pPr>
            <w:r>
              <w:rPr>
                <w:i/>
                <w:sz w:val="14"/>
              </w:rPr>
              <w:t>Unskilled</w:t>
            </w:r>
          </w:p>
        </w:tc>
        <w:tc>
          <w:tcPr>
            <w:tcW w:w="464" w:type="dxa"/>
          </w:tcPr>
          <w:p>
            <w:pPr>
              <w:pStyle w:val="TableParagraph"/>
              <w:spacing w:line="128" w:lineRule="exact"/>
              <w:ind w:left="84"/>
              <w:jc w:val="center"/>
              <w:rPr>
                <w:sz w:val="14"/>
              </w:rPr>
            </w:pPr>
            <w:r>
              <w:rPr>
                <w:sz w:val="14"/>
              </w:rPr>
              <w:t>3</w:t>
            </w:r>
          </w:p>
        </w:tc>
        <w:tc>
          <w:tcPr>
            <w:tcW w:w="430" w:type="dxa"/>
          </w:tcPr>
          <w:p>
            <w:pPr>
              <w:pStyle w:val="TableParagraph"/>
              <w:spacing w:line="128" w:lineRule="exact"/>
              <w:ind w:right="134"/>
              <w:jc w:val="right"/>
              <w:rPr>
                <w:sz w:val="14"/>
              </w:rPr>
            </w:pPr>
            <w:r>
              <w:rPr>
                <w:sz w:val="14"/>
              </w:rPr>
              <w:t>2</w:t>
            </w:r>
          </w:p>
        </w:tc>
        <w:tc>
          <w:tcPr>
            <w:tcW w:w="405" w:type="dxa"/>
          </w:tcPr>
          <w:p>
            <w:pPr>
              <w:pStyle w:val="TableParagraph"/>
              <w:spacing w:line="128" w:lineRule="exact"/>
              <w:ind w:right="129"/>
              <w:jc w:val="right"/>
              <w:rPr>
                <w:sz w:val="14"/>
              </w:rPr>
            </w:pPr>
            <w:r>
              <w:rPr>
                <w:sz w:val="14"/>
              </w:rPr>
              <w:t>6</w:t>
            </w:r>
          </w:p>
        </w:tc>
        <w:tc>
          <w:tcPr>
            <w:tcW w:w="400" w:type="dxa"/>
          </w:tcPr>
          <w:p>
            <w:pPr>
              <w:pStyle w:val="TableParagraph"/>
              <w:spacing w:line="128" w:lineRule="exact"/>
              <w:ind w:right="129"/>
              <w:jc w:val="right"/>
              <w:rPr>
                <w:sz w:val="14"/>
              </w:rPr>
            </w:pPr>
            <w:r>
              <w:rPr>
                <w:sz w:val="14"/>
              </w:rPr>
              <w:t>5</w:t>
            </w:r>
          </w:p>
        </w:tc>
        <w:tc>
          <w:tcPr>
            <w:tcW w:w="390" w:type="dxa"/>
          </w:tcPr>
          <w:p>
            <w:pPr>
              <w:pStyle w:val="TableParagraph"/>
              <w:spacing w:line="128" w:lineRule="exact"/>
              <w:ind w:right="118"/>
              <w:jc w:val="right"/>
              <w:rPr>
                <w:sz w:val="14"/>
              </w:rPr>
            </w:pPr>
            <w:r>
              <w:rPr>
                <w:sz w:val="14"/>
              </w:rPr>
              <w:t>3</w:t>
            </w:r>
          </w:p>
        </w:tc>
        <w:tc>
          <w:tcPr>
            <w:tcW w:w="370" w:type="dxa"/>
          </w:tcPr>
          <w:p>
            <w:pPr>
              <w:pStyle w:val="TableParagraph"/>
              <w:spacing w:line="128" w:lineRule="exact"/>
              <w:ind w:left="79"/>
              <w:jc w:val="center"/>
              <w:rPr>
                <w:sz w:val="14"/>
              </w:rPr>
            </w:pPr>
            <w:r>
              <w:rPr>
                <w:sz w:val="14"/>
              </w:rPr>
              <w:t>3</w:t>
            </w:r>
          </w:p>
        </w:tc>
        <w:tc>
          <w:tcPr>
            <w:tcW w:w="300" w:type="dxa"/>
          </w:tcPr>
          <w:p>
            <w:pPr>
              <w:pStyle w:val="TableParagraph"/>
              <w:spacing w:line="128" w:lineRule="exact"/>
              <w:ind w:left="129"/>
              <w:jc w:val="center"/>
              <w:rPr>
                <w:sz w:val="14"/>
              </w:rPr>
            </w:pPr>
            <w:r>
              <w:rPr>
                <w:sz w:val="14"/>
              </w:rPr>
              <w:t>2</w:t>
            </w:r>
          </w:p>
        </w:tc>
      </w:tr>
    </w:tbl>
    <w:p>
      <w:pPr>
        <w:pStyle w:val="ListParagraph"/>
        <w:numPr>
          <w:ilvl w:val="0"/>
          <w:numId w:val="25"/>
        </w:numPr>
        <w:tabs>
          <w:tab w:pos="416" w:val="left" w:leader="none"/>
        </w:tabs>
        <w:spacing w:line="208" w:lineRule="auto" w:before="121" w:after="0"/>
        <w:ind w:left="415" w:right="264" w:hanging="240"/>
        <w:jc w:val="left"/>
        <w:rPr>
          <w:sz w:val="12"/>
        </w:rPr>
      </w:pPr>
      <w:r>
        <w:rPr>
          <w:sz w:val="12"/>
        </w:rPr>
        <w:t>Change in availability of staff from previous month. Less than (more than) 50 represents</w:t>
      </w:r>
      <w:r>
        <w:rPr>
          <w:spacing w:val="-5"/>
          <w:sz w:val="12"/>
        </w:rPr>
        <w:t> </w:t>
      </w:r>
      <w:r>
        <w:rPr>
          <w:sz w:val="12"/>
        </w:rPr>
        <w:t>a</w:t>
      </w:r>
      <w:r>
        <w:rPr>
          <w:spacing w:val="-5"/>
          <w:sz w:val="12"/>
        </w:rPr>
        <w:t> </w:t>
      </w:r>
      <w:r>
        <w:rPr>
          <w:sz w:val="12"/>
        </w:rPr>
        <w:t>decrease</w:t>
      </w:r>
      <w:r>
        <w:rPr>
          <w:spacing w:val="-5"/>
          <w:sz w:val="12"/>
        </w:rPr>
        <w:t> </w:t>
      </w:r>
      <w:r>
        <w:rPr>
          <w:sz w:val="12"/>
        </w:rPr>
        <w:t>(increase)</w:t>
      </w:r>
      <w:r>
        <w:rPr>
          <w:spacing w:val="-4"/>
          <w:sz w:val="12"/>
        </w:rPr>
        <w:t> </w:t>
      </w:r>
      <w:r>
        <w:rPr>
          <w:sz w:val="12"/>
        </w:rPr>
        <w:t>in</w:t>
      </w:r>
      <w:r>
        <w:rPr>
          <w:spacing w:val="-5"/>
          <w:sz w:val="12"/>
        </w:rPr>
        <w:t> </w:t>
      </w:r>
      <w:r>
        <w:rPr>
          <w:sz w:val="12"/>
        </w:rPr>
        <w:t>staff</w:t>
      </w:r>
      <w:r>
        <w:rPr>
          <w:spacing w:val="-5"/>
          <w:sz w:val="12"/>
        </w:rPr>
        <w:t> </w:t>
      </w:r>
      <w:r>
        <w:rPr>
          <w:sz w:val="12"/>
        </w:rPr>
        <w:t>availability.</w:t>
      </w:r>
      <w:r>
        <w:rPr>
          <w:spacing w:val="17"/>
          <w:sz w:val="12"/>
        </w:rPr>
        <w:t> </w:t>
      </w:r>
      <w:r>
        <w:rPr>
          <w:spacing w:val="-3"/>
          <w:sz w:val="12"/>
        </w:rPr>
        <w:t>Average</w:t>
      </w:r>
      <w:r>
        <w:rPr>
          <w:spacing w:val="-5"/>
          <w:sz w:val="12"/>
        </w:rPr>
        <w:t> </w:t>
      </w:r>
      <w:r>
        <w:rPr>
          <w:sz w:val="12"/>
        </w:rPr>
        <w:t>since</w:t>
      </w:r>
      <w:r>
        <w:rPr>
          <w:spacing w:val="-5"/>
          <w:sz w:val="12"/>
        </w:rPr>
        <w:t> </w:t>
      </w:r>
      <w:r>
        <w:rPr>
          <w:sz w:val="12"/>
        </w:rPr>
        <w:t>1997</w:t>
      </w:r>
      <w:r>
        <w:rPr>
          <w:spacing w:val="-4"/>
          <w:sz w:val="12"/>
        </w:rPr>
        <w:t> </w:t>
      </w:r>
      <w:r>
        <w:rPr>
          <w:sz w:val="12"/>
        </w:rPr>
        <w:t>Q4.</w:t>
      </w:r>
    </w:p>
    <w:p>
      <w:pPr>
        <w:pStyle w:val="ListParagraph"/>
        <w:numPr>
          <w:ilvl w:val="0"/>
          <w:numId w:val="25"/>
        </w:numPr>
        <w:tabs>
          <w:tab w:pos="416" w:val="left" w:leader="none"/>
        </w:tabs>
        <w:spacing w:line="208" w:lineRule="auto" w:before="0" w:after="0"/>
        <w:ind w:left="415" w:right="228" w:hanging="240"/>
        <w:jc w:val="left"/>
        <w:rPr>
          <w:sz w:val="12"/>
        </w:rPr>
      </w:pPr>
      <w:r>
        <w:rPr>
          <w:sz w:val="12"/>
        </w:rPr>
        <w:t>Percentage of respondents experiencing recruitment difficulties. </w:t>
      </w:r>
      <w:r>
        <w:rPr>
          <w:spacing w:val="-3"/>
          <w:sz w:val="12"/>
        </w:rPr>
        <w:t>Average </w:t>
      </w:r>
      <w:r>
        <w:rPr>
          <w:sz w:val="12"/>
        </w:rPr>
        <w:t>since 1989 Q1.</w:t>
      </w:r>
    </w:p>
    <w:p>
      <w:pPr>
        <w:pStyle w:val="ListParagraph"/>
        <w:numPr>
          <w:ilvl w:val="0"/>
          <w:numId w:val="25"/>
        </w:numPr>
        <w:tabs>
          <w:tab w:pos="416" w:val="left" w:leader="none"/>
        </w:tabs>
        <w:spacing w:line="114" w:lineRule="exact" w:before="0" w:after="0"/>
        <w:ind w:left="415" w:right="0" w:hanging="241"/>
        <w:jc w:val="left"/>
        <w:rPr>
          <w:sz w:val="12"/>
        </w:rPr>
      </w:pPr>
      <w:r>
        <w:rPr>
          <w:sz w:val="12"/>
        </w:rPr>
        <w:t>Seasonally adjusted by the</w:t>
      </w:r>
      <w:r>
        <w:rPr>
          <w:spacing w:val="-6"/>
          <w:sz w:val="12"/>
        </w:rPr>
        <w:t> </w:t>
      </w:r>
      <w:r>
        <w:rPr>
          <w:sz w:val="12"/>
        </w:rPr>
        <w:t>Bank.</w:t>
      </w:r>
    </w:p>
    <w:p>
      <w:pPr>
        <w:pStyle w:val="ListParagraph"/>
        <w:numPr>
          <w:ilvl w:val="0"/>
          <w:numId w:val="25"/>
        </w:numPr>
        <w:tabs>
          <w:tab w:pos="416" w:val="left" w:leader="none"/>
        </w:tabs>
        <w:spacing w:line="208" w:lineRule="auto" w:before="6" w:after="0"/>
        <w:ind w:left="415" w:right="82" w:hanging="240"/>
        <w:jc w:val="left"/>
        <w:rPr>
          <w:sz w:val="12"/>
        </w:rPr>
      </w:pPr>
      <w:r>
        <w:rPr>
          <w:sz w:val="12"/>
        </w:rPr>
        <w:t>Balance</w:t>
      </w:r>
      <w:r>
        <w:rPr>
          <w:spacing w:val="-7"/>
          <w:sz w:val="12"/>
        </w:rPr>
        <w:t> </w:t>
      </w:r>
      <w:r>
        <w:rPr>
          <w:sz w:val="12"/>
        </w:rPr>
        <w:t>of</w:t>
      </w:r>
      <w:r>
        <w:rPr>
          <w:spacing w:val="-6"/>
          <w:sz w:val="12"/>
        </w:rPr>
        <w:t> </w:t>
      </w:r>
      <w:r>
        <w:rPr>
          <w:sz w:val="12"/>
        </w:rPr>
        <w:t>respondents</w:t>
      </w:r>
      <w:r>
        <w:rPr>
          <w:spacing w:val="-6"/>
          <w:sz w:val="12"/>
        </w:rPr>
        <w:t> </w:t>
      </w:r>
      <w:r>
        <w:rPr>
          <w:sz w:val="12"/>
        </w:rPr>
        <w:t>expecting</w:t>
      </w:r>
      <w:r>
        <w:rPr>
          <w:spacing w:val="-6"/>
          <w:sz w:val="12"/>
        </w:rPr>
        <w:t> </w:t>
      </w:r>
      <w:r>
        <w:rPr>
          <w:sz w:val="12"/>
        </w:rPr>
        <w:t>labour</w:t>
      </w:r>
      <w:r>
        <w:rPr>
          <w:spacing w:val="-6"/>
          <w:sz w:val="12"/>
        </w:rPr>
        <w:t> </w:t>
      </w:r>
      <w:r>
        <w:rPr>
          <w:sz w:val="12"/>
        </w:rPr>
        <w:t>availability</w:t>
      </w:r>
      <w:r>
        <w:rPr>
          <w:spacing w:val="-6"/>
          <w:sz w:val="12"/>
        </w:rPr>
        <w:t> </w:t>
      </w:r>
      <w:r>
        <w:rPr>
          <w:sz w:val="12"/>
        </w:rPr>
        <w:t>to</w:t>
      </w:r>
      <w:r>
        <w:rPr>
          <w:spacing w:val="-6"/>
          <w:sz w:val="12"/>
        </w:rPr>
        <w:t> </w:t>
      </w:r>
      <w:r>
        <w:rPr>
          <w:sz w:val="12"/>
        </w:rPr>
        <w:t>limit</w:t>
      </w:r>
      <w:r>
        <w:rPr>
          <w:spacing w:val="-7"/>
          <w:sz w:val="12"/>
        </w:rPr>
        <w:t> </w:t>
      </w:r>
      <w:r>
        <w:rPr>
          <w:sz w:val="12"/>
        </w:rPr>
        <w:t>output</w:t>
      </w:r>
      <w:r>
        <w:rPr>
          <w:spacing w:val="-6"/>
          <w:sz w:val="12"/>
        </w:rPr>
        <w:t> </w:t>
      </w:r>
      <w:r>
        <w:rPr>
          <w:sz w:val="12"/>
        </w:rPr>
        <w:t>over</w:t>
      </w:r>
      <w:r>
        <w:rPr>
          <w:spacing w:val="-6"/>
          <w:sz w:val="12"/>
        </w:rPr>
        <w:t> </w:t>
      </w:r>
      <w:r>
        <w:rPr>
          <w:sz w:val="12"/>
        </w:rPr>
        <w:t>next</w:t>
      </w:r>
      <w:r>
        <w:rPr>
          <w:spacing w:val="-6"/>
          <w:sz w:val="12"/>
        </w:rPr>
        <w:t> </w:t>
      </w:r>
      <w:r>
        <w:rPr>
          <w:sz w:val="12"/>
        </w:rPr>
        <w:t>four months. </w:t>
      </w:r>
      <w:r>
        <w:rPr>
          <w:spacing w:val="-3"/>
          <w:sz w:val="12"/>
        </w:rPr>
        <w:t>Average </w:t>
      </w:r>
      <w:r>
        <w:rPr>
          <w:sz w:val="12"/>
        </w:rPr>
        <w:t>since 1972</w:t>
      </w:r>
      <w:r>
        <w:rPr>
          <w:spacing w:val="-8"/>
          <w:sz w:val="12"/>
        </w:rPr>
        <w:t> </w:t>
      </w:r>
      <w:r>
        <w:rPr>
          <w:sz w:val="12"/>
        </w:rPr>
        <w:t>Q1.</w:t>
      </w:r>
    </w:p>
    <w:p>
      <w:pPr>
        <w:pStyle w:val="BodyText"/>
        <w:rPr>
          <w:sz w:val="12"/>
        </w:rPr>
      </w:pPr>
    </w:p>
    <w:p>
      <w:pPr>
        <w:pStyle w:val="BodyText"/>
        <w:rPr>
          <w:sz w:val="12"/>
        </w:rPr>
      </w:pPr>
    </w:p>
    <w:p>
      <w:pPr>
        <w:pStyle w:val="BodyText"/>
        <w:spacing w:before="4"/>
        <w:rPr>
          <w:sz w:val="9"/>
        </w:rPr>
      </w:pPr>
    </w:p>
    <w:p>
      <w:pPr>
        <w:pStyle w:val="Heading6"/>
        <w:spacing w:before="1"/>
        <w:ind w:left="185"/>
      </w:pPr>
      <w:r>
        <w:rPr>
          <w:color w:val="0092C7"/>
        </w:rPr>
        <w:t>Chart 3.8</w:t>
      </w:r>
    </w:p>
    <w:p>
      <w:pPr>
        <w:pStyle w:val="Heading6"/>
        <w:ind w:left="185"/>
        <w:rPr>
          <w:b w:val="0"/>
          <w:sz w:val="12"/>
        </w:rPr>
      </w:pPr>
      <w:r>
        <w:rPr>
          <w:color w:val="0092C7"/>
        </w:rPr>
        <w:t>Headline growth in nominal earnings</w:t>
      </w:r>
      <w:r>
        <w:rPr>
          <w:b w:val="0"/>
          <w:position w:val="4"/>
          <w:sz w:val="12"/>
        </w:rPr>
        <w:t>(a)</w:t>
      </w:r>
    </w:p>
    <w:p>
      <w:pPr>
        <w:spacing w:before="116"/>
        <w:ind w:left="1710" w:right="0" w:firstLine="0"/>
        <w:jc w:val="left"/>
        <w:rPr>
          <w:sz w:val="12"/>
        </w:rPr>
      </w:pPr>
      <w:r>
        <w:rPr/>
        <w:pict>
          <v:group style="position:absolute;margin-left:51.279999pt;margin-top:24.016411pt;width:153.7pt;height:104.75pt;mso-position-horizontal-relative:page;mso-position-vertical-relative:paragraph;z-index:16155136" coordorigin="1026,480" coordsize="3074,2095">
            <v:shape style="position:absolute;left:1035;top:2107;width:635;height:458" coordorigin="1036,2108" coordsize="635,458" path="m1036,2265l1081,2180m1081,2180l1126,2308m1126,2308l1171,2223m1171,2223l1213,2308m1213,2308l1258,2393m1258,2393l1303,2480m1303,2480l1348,2523m1348,2523l1403,2565m1403,2565l1448,2480m1448,2480l1493,2350m1493,2350l1538,2393m1538,2393l1583,2308m1583,2308l1628,2265m1628,2265l1671,2108e" filled="false" stroked="true" strokeweight="1pt" strokecolor="#a64991">
              <v:path arrowok="t"/>
              <v:stroke dashstyle="solid"/>
            </v:shape>
            <v:line style="position:absolute" from="1661,2109" to="1726,2109" stroked="true" strokeweight="1.125pt" strokecolor="#a64991">
              <v:stroke dashstyle="solid"/>
            </v:line>
            <v:shape style="position:absolute;left:1715;top:1850;width:90;height:258" coordorigin="1716,1850" coordsize="90,258" path="m1716,2108l1761,1978m1761,1978l1806,1850e" filled="false" stroked="true" strokeweight="1pt" strokecolor="#a64991">
              <v:path arrowok="t"/>
              <v:stroke dashstyle="solid"/>
            </v:shape>
            <v:line style="position:absolute" from="1796,1852" to="1861,1852" stroked="true" strokeweight="1.125pt" strokecolor="#a64991">
              <v:stroke dashstyle="solid"/>
            </v:line>
            <v:shape style="position:absolute;left:1850;top:1807;width:223;height:170" coordorigin="1851,1808" coordsize="223,170" path="m1851,1850l1896,1893m1896,1893l1941,1808m1941,1808l1983,1850m1983,1850l2028,1808m2028,1808l2073,1978e" filled="false" stroked="true" strokeweight="1pt" strokecolor="#a64991">
              <v:path arrowok="t"/>
              <v:stroke dashstyle="solid"/>
            </v:shape>
            <v:line style="position:absolute" from="2063,1979" to="2138,1979" stroked="true" strokeweight="1.125pt" strokecolor="#a64991">
              <v:stroke dashstyle="solid"/>
            </v:line>
            <v:shape style="position:absolute;left:2128;top:1565;width:905;height:828" coordorigin="2128,1565" coordsize="905,828" path="m2128,1978l2173,2108m2173,2108l2218,2180m2218,2180l2308,2265m2308,2265l2353,2350m2353,2350l2398,2393m2398,2393l2441,2350m2441,2350l2576,2223m2576,2223l2621,2108m2621,2108l2666,2065m2666,2065l2711,2108m2711,2108l2753,2065m2753,2065l2798,2150m2798,2150l2856,2065m2856,2065l2901,1935m2901,1935l2943,1735m2943,1735l2988,1565m2988,1565l3033,1608e" filled="false" stroked="true" strokeweight="1pt" strokecolor="#a64991">
              <v:path arrowok="t"/>
              <v:stroke dashstyle="solid"/>
            </v:shape>
            <v:line style="position:absolute" from="3023,1609" to="3088,1609" stroked="true" strokeweight="1.125pt" strokecolor="#a64991">
              <v:stroke dashstyle="solid"/>
            </v:line>
            <v:line style="position:absolute" from="3078,1608" to="3168,1693" stroked="true" strokeweight="1pt" strokecolor="#a64991">
              <v:stroke dashstyle="solid"/>
            </v:line>
            <v:line style="position:absolute" from="3158,1694" to="3223,1694" stroked="true" strokeweight="1.125pt" strokecolor="#a64991">
              <v:stroke dashstyle="solid"/>
            </v:line>
            <v:shape style="position:absolute;left:3213;top:1192;width:368;height:500" coordorigin="3213,1193" coordsize="368,500" path="m3213,1693l3256,1608m3256,1608l3301,1478m3301,1478l3346,1393m3346,1393l3391,1320m3391,1320l3436,1193m3436,1193l3481,1278m3481,1278l3526,1393m3526,1393l3581,1565e" filled="false" stroked="true" strokeweight="1pt" strokecolor="#a64991">
              <v:path arrowok="t"/>
              <v:stroke dashstyle="solid"/>
            </v:shape>
            <v:shape style="position:absolute;left:3570;top:1566;width:153;height:2" coordorigin="3571,1567" coordsize="153,0" path="m3571,1567l3636,1567m3616,1567l3681,1567m3661,1567l3723,1567e" filled="false" stroked="true" strokeweight="1.125pt" strokecolor="#a64991">
              <v:path arrowok="t"/>
              <v:stroke dashstyle="solid"/>
            </v:shape>
            <v:shape style="position:absolute;left:3713;top:1435;width:90;height:130" coordorigin="3713,1435" coordsize="90,130" path="m3713,1565l3758,1520m3758,1520l3803,1435e" filled="false" stroked="true" strokeweight="1pt" strokecolor="#a64991">
              <v:path arrowok="t"/>
              <v:stroke dashstyle="solid"/>
            </v:shape>
            <v:shape style="position:absolute;left:3793;top:1436;width:110;height:2" coordorigin="3793,1437" coordsize="110,0" path="m3793,1437l3858,1437m3838,1437l3903,1437e" filled="false" stroked="true" strokeweight="1.125pt" strokecolor="#a64991">
              <v:path arrowok="t"/>
              <v:stroke dashstyle="solid"/>
            </v:shape>
            <v:line style="position:absolute" from="3893,1435" to="3938,1608" stroked="true" strokeweight="1pt" strokecolor="#a64991">
              <v:stroke dashstyle="solid"/>
            </v:line>
            <v:line style="position:absolute" from="1036,1693" to="1081,1735" stroked="true" strokeweight="1pt" strokecolor="#de0035">
              <v:stroke dashstyle="solid"/>
            </v:line>
            <v:line style="position:absolute" from="1071,1737" to="1136,1737" stroked="true" strokeweight="1.125pt" strokecolor="#de0035">
              <v:stroke dashstyle="solid"/>
            </v:line>
            <v:shape style="position:absolute;left:1125;top:1650;width:223;height:415" coordorigin="1126,1650" coordsize="223,415" path="m1126,1735l1171,1650m1171,1650l1213,1693m1213,1693l1258,1808m1258,1808l1303,1978m1303,1978l1348,2065e" filled="false" stroked="true" strokeweight="1pt" strokecolor="#de0035">
              <v:path arrowok="t"/>
              <v:stroke dashstyle="solid"/>
            </v:shape>
            <v:line style="position:absolute" from="1338,2067" to="1413,2067" stroked="true" strokeweight="1.125pt" strokecolor="#de0035">
              <v:stroke dashstyle="solid"/>
            </v:line>
            <v:shape style="position:absolute;left:1403;top:1935;width:90;height:130" coordorigin="1403,1935" coordsize="90,130" path="m1403,2065l1448,2023m1448,2023l1493,1935e" filled="false" stroked="true" strokeweight="1pt" strokecolor="#de0035">
              <v:path arrowok="t"/>
              <v:stroke dashstyle="solid"/>
            </v:shape>
            <v:shape style="position:absolute;left:1483;top:1936;width:198;height:2" coordorigin="1483,1937" coordsize="198,0" path="m1483,1937l1548,1937m1528,1937l1593,1937m1573,1937l1638,1937m1618,1937l1681,1937e" filled="false" stroked="true" strokeweight="1.125pt" strokecolor="#de0035">
              <v:path arrowok="t"/>
              <v:stroke dashstyle="solid"/>
            </v:shape>
            <v:shape style="position:absolute;left:1670;top:1565;width:270;height:370" coordorigin="1671,1565" coordsize="270,370" path="m1671,1935l1716,1850m1716,1850l1761,1893m1761,1893l1806,1765m1806,1765l1851,1735m1851,1735l1941,1565e" filled="false" stroked="true" strokeweight="1pt" strokecolor="#de0035">
              <v:path arrowok="t"/>
              <v:stroke dashstyle="solid"/>
            </v:shape>
            <v:shape style="position:absolute;left:1930;top:1566;width:153;height:2" coordorigin="1931,1567" coordsize="153,0" path="m1931,1567l1993,1567m1973,1567l2038,1567m2018,1567l2083,1567e" filled="false" stroked="true" strokeweight="1.125pt" strokecolor="#de0035">
              <v:path arrowok="t"/>
              <v:stroke dashstyle="solid"/>
            </v:shape>
            <v:shape style="position:absolute;left:2073;top:1435;width:368;height:130" coordorigin="2073,1435" coordsize="368,130" path="m2073,1565l2128,1435m2128,1435l2173,1478m2173,1478l2218,1435m2218,1435l2263,1520m2263,1520l2308,1478m2308,1478l2353,1565m2353,1565l2398,1520m2398,1520l2441,1435e" filled="false" stroked="true" strokeweight="1pt" strokecolor="#de0035">
              <v:path arrowok="t"/>
              <v:stroke dashstyle="solid"/>
            </v:shape>
            <v:line style="position:absolute" from="2431,1437" to="2496,1437" stroked="true" strokeweight="1.125pt" strokecolor="#de0035">
              <v:stroke dashstyle="solid"/>
            </v:line>
            <v:shape style="position:absolute;left:2485;top:1105;width:225;height:330" coordorigin="2486,1105" coordsize="225,330" path="m2486,1435l2531,1350m2531,1350l2576,1320m2576,1320l2621,1193m2621,1193l2666,1150m2666,1150l2711,1105e" filled="false" stroked="true" strokeweight="1pt" strokecolor="#de0035">
              <v:path arrowok="t"/>
              <v:stroke dashstyle="solid"/>
            </v:shape>
            <v:line style="position:absolute" from="2701,1107" to="2763,1107" stroked="true" strokeweight="1.125pt" strokecolor="#de0035">
              <v:stroke dashstyle="solid"/>
            </v:line>
            <v:shape style="position:absolute;left:2753;top:820;width:235;height:285" coordorigin="2753,820" coordsize="235,285" path="m2753,1105l2798,978m2798,978l2856,863m2856,863l2901,820m2901,820l2943,863m2943,863l2988,1020e" filled="false" stroked="true" strokeweight="1pt" strokecolor="#de0035">
              <v:path arrowok="t"/>
              <v:stroke dashstyle="solid"/>
            </v:shape>
            <v:line style="position:absolute" from="2978,1022" to="3043,1022" stroked="true" strokeweight="1.125pt" strokecolor="#de0035">
              <v:stroke dashstyle="solid"/>
            </v:line>
            <v:shape style="position:absolute;left:3033;top:1020;width:593;height:373" coordorigin="3033,1020" coordsize="593,373" path="m3033,1020l3078,1150m3078,1150l3123,1193m3123,1193l3168,1320m3168,1320l3213,1350m3213,1350l3256,1320m3256,1320l3301,1193m3301,1193l3346,1278m3346,1278l3391,1393m3391,1393l3436,1320m3436,1320l3481,1278m3481,1278l3526,1150m3526,1150l3581,1235m3581,1235l3626,1150e" filled="false" stroked="true" strokeweight="1pt" strokecolor="#de0035">
              <v:path arrowok="t"/>
              <v:stroke dashstyle="solid"/>
            </v:shape>
            <v:line style="position:absolute" from="3616,1152" to="3681,1152" stroked="true" strokeweight="1.125pt" strokecolor="#de0035">
              <v:stroke dashstyle="solid"/>
            </v:line>
            <v:shape style="position:absolute;left:3670;top:690;width:268;height:588" coordorigin="3671,690" coordsize="268,588" path="m3671,1150l3713,905m3713,905l3758,735m3758,735l3803,690m3803,690l3848,820m3848,820l3893,1063m3893,1063l3938,1278e" filled="false" stroked="true" strokeweight="1pt" strokecolor="#de0035">
              <v:path arrowok="t"/>
              <v:stroke dashstyle="solid"/>
            </v:shape>
            <v:shape style="position:absolute;left:1035;top:1520;width:135;height:130" coordorigin="1036,1520" coordsize="135,130" path="m1036,1565l1081,1650m1081,1650l1126,1565m1126,1565l1171,1520e" filled="false" stroked="true" strokeweight="1pt" strokecolor="#0099d9">
              <v:path arrowok="t"/>
              <v:stroke dashstyle="solid"/>
            </v:shape>
            <v:line style="position:absolute" from="1161,1522" to="1223,1522" stroked="true" strokeweight="1.125pt" strokecolor="#0099d9">
              <v:stroke dashstyle="solid"/>
            </v:line>
            <v:shape style="position:absolute;left:1213;top:1520;width:280;height:415" coordorigin="1213,1520" coordsize="280,415" path="m1213,1520l1258,1650m1258,1650l1303,1850m1303,1850l1348,1935m1348,1935l1403,1893m1403,1893l1448,1935m1448,1935l1493,1850e" filled="false" stroked="true" strokeweight="1pt" strokecolor="#0099d9">
              <v:path arrowok="t"/>
              <v:stroke dashstyle="solid"/>
            </v:shape>
            <v:shape style="position:absolute;left:1483;top:1851;width:155;height:2" coordorigin="1483,1852" coordsize="155,0" path="m1483,1852l1548,1852m1528,1852l1593,1852m1573,1852l1638,1852e" filled="false" stroked="true" strokeweight="1.125pt" strokecolor="#0099d9">
              <v:path arrowok="t"/>
              <v:stroke dashstyle="solid"/>
            </v:shape>
            <v:shape style="position:absolute;left:1628;top:1477;width:313;height:415" coordorigin="1628,1478" coordsize="313,415" path="m1628,1850l1671,1893m1671,1893l1716,1808m1716,1808l1761,1850m1761,1850l1806,1765m1806,1765l1851,1735m1851,1735l1896,1565m1896,1565l1941,1478e" filled="false" stroked="true" strokeweight="1pt" strokecolor="#0099d9">
              <v:path arrowok="t"/>
              <v:stroke dashstyle="solid"/>
            </v:shape>
            <v:shape style="position:absolute;left:1930;top:1479;width:108;height:2" coordorigin="1931,1479" coordsize="108,0" path="m1931,1479l1993,1479m1973,1479l2038,1479e" filled="false" stroked="true" strokeweight="1.125pt" strokecolor="#0099d9">
              <v:path arrowok="t"/>
              <v:stroke dashstyle="solid"/>
            </v:shape>
            <v:shape style="position:absolute;left:2028;top:1235;width:413;height:243" coordorigin="2028,1235" coordsize="413,243" path="m2028,1478l2073,1435m2073,1435l2128,1320m2128,1320l2173,1350m2173,1350l2218,1278m2218,1278l2263,1350m2263,1350l2308,1278m2308,1278l2353,1350m2353,1350l2398,1278m2398,1278l2441,1235e" filled="false" stroked="true" strokeweight="1pt" strokecolor="#0099d9">
              <v:path arrowok="t"/>
              <v:stroke dashstyle="solid"/>
            </v:shape>
            <v:line style="position:absolute" from="2431,1237" to="2496,1237" stroked="true" strokeweight="1.125pt" strokecolor="#0099d9">
              <v:stroke dashstyle="solid"/>
            </v:line>
            <v:shape style="position:absolute;left:2485;top:862;width:225;height:373" coordorigin="2486,863" coordsize="225,373" path="m2486,1235l2531,1150m2531,1150l2576,1105m2576,1105l2621,978m2621,978l2666,935m2666,935l2711,863e" filled="false" stroked="true" strokeweight="1pt" strokecolor="#0099d9">
              <v:path arrowok="t"/>
              <v:stroke dashstyle="solid"/>
            </v:shape>
            <v:line style="position:absolute" from="2701,864" to="2763,864" stroked="true" strokeweight="1.125pt" strokecolor="#0099d9">
              <v:stroke dashstyle="solid"/>
            </v:line>
            <v:shape style="position:absolute;left:2753;top:562;width:103;height:300" coordorigin="2753,563" coordsize="103,300" path="m2753,863l2798,690m2798,690l2856,563e" filled="false" stroked="true" strokeweight="1pt" strokecolor="#0099d9">
              <v:path arrowok="t"/>
              <v:stroke dashstyle="solid"/>
            </v:shape>
            <v:line style="position:absolute" from="2846,564" to="2911,564" stroked="true" strokeweight="1.125pt" strokecolor="#0099d9">
              <v:stroke dashstyle="solid"/>
            </v:line>
            <v:shape style="position:absolute;left:2900;top:490;width:1038;height:903" coordorigin="2901,490" coordsize="1038,903" path="m2901,563l2943,648m2943,648l2988,863m2988,863l3033,905m3033,905l3078,1020m3078,1020l3123,1063m3123,1063l3168,1235m3168,1235l3213,1278m3213,1278l3256,1235m3256,1235l3301,1150m3301,1150l3346,1235m3346,1235l3391,1393m3391,1393l3436,1350m3436,1350l3481,1278m3481,1278l3526,1105m3526,1105l3581,1193m3581,1193l3626,1063m3626,1063l3671,1020m3671,1020l3713,778m3713,778l3758,563m3758,563l3803,490m3803,490l3848,648m3848,648l3893,935m3893,935l3938,1193e" filled="false" stroked="true" strokeweight="1pt" strokecolor="#0099d9">
              <v:path arrowok="t"/>
              <v:stroke dashstyle="solid"/>
            </v:shape>
            <v:shape style="position:absolute;left:4012;top:692;width:87;height:1665" coordorigin="4013,693" coordsize="87,1665" path="m4013,693l4099,693m4013,1109l4099,1109m4013,1525l4099,1525m4013,1941l4099,1941m4013,2358l4099,2358e" filled="false" stroked="true" strokeweight=".5pt" strokecolor="#000000">
              <v:path arrowok="t"/>
              <v:stroke dashstyle="solid"/>
            </v:shape>
            <v:shape style="position:absolute;left:2160;top:494;width:677;height:134" type="#_x0000_t202" filled="false" stroked="false">
              <v:textbox inset="0,0,0,0">
                <w:txbxContent>
                  <w:p>
                    <w:pPr>
                      <w:spacing w:line="133" w:lineRule="exact" w:before="0"/>
                      <w:ind w:left="0" w:right="0" w:firstLine="0"/>
                      <w:jc w:val="left"/>
                      <w:rPr>
                        <w:sz w:val="12"/>
                      </w:rPr>
                    </w:pPr>
                    <w:r>
                      <w:rPr>
                        <w:sz w:val="12"/>
                      </w:rPr>
                      <w:t>Private sector</w:t>
                    </w:r>
                  </w:p>
                </w:txbxContent>
              </v:textbox>
              <w10:wrap type="none"/>
            </v:shape>
            <v:shape style="position:absolute;left:2072;top:1559;width:820;height:134" type="#_x0000_t202" filled="false" stroked="false">
              <v:textbox inset="0,0,0,0">
                <w:txbxContent>
                  <w:p>
                    <w:pPr>
                      <w:spacing w:line="133" w:lineRule="exact" w:before="0"/>
                      <w:ind w:left="0" w:right="0" w:firstLine="0"/>
                      <w:jc w:val="left"/>
                      <w:rPr>
                        <w:sz w:val="12"/>
                      </w:rPr>
                    </w:pPr>
                    <w:r>
                      <w:rPr>
                        <w:sz w:val="12"/>
                      </w:rPr>
                      <w:t>Whole-economy</w:t>
                    </w:r>
                  </w:p>
                </w:txbxContent>
              </v:textbox>
              <w10:wrap type="none"/>
            </v:shape>
            <v:shape style="position:absolute;left:2441;top:2370;width:644;height:134" type="#_x0000_t202" filled="false" stroked="false">
              <v:textbox inset="0,0,0,0">
                <w:txbxContent>
                  <w:p>
                    <w:pPr>
                      <w:spacing w:line="133" w:lineRule="exact" w:before="0"/>
                      <w:ind w:left="0" w:right="0" w:firstLine="0"/>
                      <w:jc w:val="left"/>
                      <w:rPr>
                        <w:sz w:val="12"/>
                      </w:rPr>
                    </w:pPr>
                    <w:r>
                      <w:rPr>
                        <w:sz w:val="12"/>
                      </w:rPr>
                      <w:t>Public sector</w:t>
                    </w:r>
                  </w:p>
                </w:txbxContent>
              </v:textbox>
              <w10:wrap type="none"/>
            </v:shape>
            <w10:wrap type="none"/>
          </v:group>
        </w:pict>
      </w:r>
      <w:r>
        <w:rPr/>
        <w:pict>
          <v:line style="position:absolute;mso-position-horizontal-relative:page;mso-position-vertical-relative:paragraph;z-index:16159232" from="42.780998pt,13.891411pt" to="47.113998pt,13.891411pt" stroked="true" strokeweight=".5pt" strokecolor="#000000">
            <v:stroke dashstyle="solid"/>
            <w10:wrap type="none"/>
          </v:line>
        </w:pict>
      </w:r>
      <w:r>
        <w:rPr/>
        <w:pict>
          <v:line style="position:absolute;mso-position-horizontal-relative:page;mso-position-vertical-relative:paragraph;z-index:-23137280" from="200.641998pt,13.833411pt" to="204.974998pt,13.833411pt" stroked="true" strokeweight=".5pt" strokecolor="#000000">
            <v:stroke dashstyle="solid"/>
            <w10:wrap type="none"/>
          </v:line>
        </w:pict>
      </w:r>
      <w:r>
        <w:rPr>
          <w:sz w:val="12"/>
        </w:rPr>
        <w:t>Percentage changes on a year earlier </w:t>
      </w:r>
      <w:r>
        <w:rPr>
          <w:position w:val="-8"/>
          <w:sz w:val="12"/>
        </w:rPr>
        <w:t>7</w:t>
      </w:r>
    </w:p>
    <w:p>
      <w:pPr>
        <w:pStyle w:val="BodyText"/>
        <w:spacing w:before="10"/>
        <w:rPr>
          <w:sz w:val="23"/>
        </w:rPr>
      </w:pPr>
    </w:p>
    <w:p>
      <w:pPr>
        <w:spacing w:before="0"/>
        <w:ind w:left="0" w:right="869" w:firstLine="0"/>
        <w:jc w:val="right"/>
        <w:rPr>
          <w:sz w:val="12"/>
        </w:rPr>
      </w:pPr>
      <w:r>
        <w:rPr/>
        <w:pict>
          <v:line style="position:absolute;mso-position-horizontal-relative:page;mso-position-vertical-relative:paragraph;z-index:16155648" from="42.780998pt,3.795576pt" to="47.113998pt,3.795576pt" stroked="true" strokeweight=".5pt" strokecolor="#000000">
            <v:stroke dashstyle="solid"/>
            <w10:wrap type="none"/>
          </v:line>
        </w:pict>
      </w:r>
      <w:r>
        <w:rPr>
          <w:sz w:val="12"/>
        </w:rPr>
        <w:t>6</w:t>
      </w:r>
    </w:p>
    <w:p>
      <w:pPr>
        <w:pStyle w:val="BodyText"/>
        <w:rPr>
          <w:sz w:val="12"/>
        </w:rPr>
      </w:pPr>
    </w:p>
    <w:p>
      <w:pPr>
        <w:pStyle w:val="BodyText"/>
        <w:spacing w:before="1"/>
        <w:rPr>
          <w:sz w:val="12"/>
        </w:rPr>
      </w:pPr>
    </w:p>
    <w:p>
      <w:pPr>
        <w:spacing w:before="0"/>
        <w:ind w:left="0" w:right="869" w:firstLine="0"/>
        <w:jc w:val="right"/>
        <w:rPr>
          <w:sz w:val="12"/>
        </w:rPr>
      </w:pPr>
      <w:r>
        <w:rPr/>
        <w:pict>
          <v:line style="position:absolute;mso-position-horizontal-relative:page;mso-position-vertical-relative:paragraph;z-index:16156160" from="42.780998pt,3.873765pt" to="47.113998pt,3.873765pt" stroked="true" strokeweight=".5pt" strokecolor="#000000">
            <v:stroke dashstyle="solid"/>
            <w10:wrap type="none"/>
          </v:line>
        </w:pict>
      </w:r>
      <w:r>
        <w:rPr>
          <w:sz w:val="12"/>
        </w:rPr>
        <w:t>5</w:t>
      </w:r>
    </w:p>
    <w:p>
      <w:pPr>
        <w:pStyle w:val="BodyText"/>
        <w:rPr>
          <w:sz w:val="12"/>
        </w:rPr>
      </w:pPr>
    </w:p>
    <w:p>
      <w:pPr>
        <w:pStyle w:val="BodyText"/>
        <w:rPr>
          <w:sz w:val="12"/>
        </w:rPr>
      </w:pPr>
    </w:p>
    <w:p>
      <w:pPr>
        <w:spacing w:before="0"/>
        <w:ind w:left="0" w:right="869" w:firstLine="0"/>
        <w:jc w:val="right"/>
        <w:rPr>
          <w:sz w:val="12"/>
        </w:rPr>
      </w:pPr>
      <w:r>
        <w:rPr/>
        <w:pict>
          <v:line style="position:absolute;mso-position-horizontal-relative:page;mso-position-vertical-relative:paragraph;z-index:16156672" from="42.780998pt,3.951968pt" to="47.113998pt,3.951968pt" stroked="true" strokeweight=".5pt" strokecolor="#000000">
            <v:stroke dashstyle="solid"/>
            <w10:wrap type="none"/>
          </v:line>
        </w:pict>
      </w:r>
      <w:r>
        <w:rPr>
          <w:sz w:val="12"/>
        </w:rPr>
        <w:t>4</w:t>
      </w:r>
    </w:p>
    <w:p>
      <w:pPr>
        <w:pStyle w:val="BodyText"/>
        <w:rPr>
          <w:sz w:val="12"/>
        </w:rPr>
      </w:pPr>
    </w:p>
    <w:p>
      <w:pPr>
        <w:pStyle w:val="BodyText"/>
        <w:spacing w:before="1"/>
        <w:rPr>
          <w:sz w:val="12"/>
        </w:rPr>
      </w:pPr>
    </w:p>
    <w:p>
      <w:pPr>
        <w:spacing w:before="0"/>
        <w:ind w:left="0" w:right="869" w:firstLine="0"/>
        <w:jc w:val="right"/>
        <w:rPr>
          <w:sz w:val="12"/>
        </w:rPr>
      </w:pPr>
      <w:r>
        <w:rPr/>
        <w:pict>
          <v:line style="position:absolute;mso-position-horizontal-relative:page;mso-position-vertical-relative:paragraph;z-index:16157184" from="42.780998pt,4.030157pt" to="47.113998pt,4.030157pt" stroked="true" strokeweight=".5pt" strokecolor="#000000">
            <v:stroke dashstyle="solid"/>
            <w10:wrap type="none"/>
          </v:line>
        </w:pict>
      </w:r>
      <w:r>
        <w:rPr>
          <w:sz w:val="12"/>
        </w:rPr>
        <w:t>3</w:t>
      </w:r>
    </w:p>
    <w:p>
      <w:pPr>
        <w:pStyle w:val="BodyText"/>
        <w:rPr>
          <w:sz w:val="12"/>
        </w:rPr>
      </w:pPr>
    </w:p>
    <w:p>
      <w:pPr>
        <w:pStyle w:val="BodyText"/>
        <w:spacing w:before="1"/>
        <w:rPr>
          <w:sz w:val="12"/>
        </w:rPr>
      </w:pPr>
    </w:p>
    <w:p>
      <w:pPr>
        <w:spacing w:before="0"/>
        <w:ind w:left="0" w:right="869" w:firstLine="0"/>
        <w:jc w:val="right"/>
        <w:rPr>
          <w:sz w:val="12"/>
        </w:rPr>
      </w:pPr>
      <w:r>
        <w:rPr/>
        <w:pict>
          <v:line style="position:absolute;mso-position-horizontal-relative:page;mso-position-vertical-relative:paragraph;z-index:16158208" from="42.780998pt,4.107155pt" to="47.113998pt,4.107155pt" stroked="true" strokeweight=".5pt" strokecolor="#000000">
            <v:stroke dashstyle="solid"/>
            <w10:wrap type="none"/>
          </v:line>
        </w:pict>
      </w:r>
      <w:r>
        <w:rPr>
          <w:sz w:val="12"/>
        </w:rPr>
        <w:t>2</w:t>
      </w:r>
    </w:p>
    <w:p>
      <w:pPr>
        <w:pStyle w:val="BodyText"/>
        <w:rPr>
          <w:sz w:val="12"/>
        </w:rPr>
      </w:pPr>
    </w:p>
    <w:p>
      <w:pPr>
        <w:pStyle w:val="BodyText"/>
        <w:rPr>
          <w:sz w:val="12"/>
        </w:rPr>
      </w:pPr>
    </w:p>
    <w:p>
      <w:pPr>
        <w:spacing w:before="0"/>
        <w:ind w:left="0" w:right="869" w:firstLine="0"/>
        <w:jc w:val="right"/>
        <w:rPr>
          <w:sz w:val="12"/>
        </w:rPr>
      </w:pPr>
      <w:r>
        <w:rPr/>
        <w:pict>
          <v:line style="position:absolute;mso-position-horizontal-relative:page;mso-position-vertical-relative:paragraph;z-index:16157696" from="42.780998pt,4.185969pt" to="47.113998pt,4.185969pt" stroked="true" strokeweight=".5pt" strokecolor="#000000">
            <v:stroke dashstyle="solid"/>
            <w10:wrap type="none"/>
          </v:line>
        </w:pict>
      </w:r>
      <w:r>
        <w:rPr/>
        <w:pict>
          <v:line style="position:absolute;mso-position-horizontal-relative:page;mso-position-vertical-relative:paragraph;z-index:16159744" from="200.641998pt,4.128969pt" to="204.974998pt,4.128969pt" stroked="true" strokeweight=".5pt" strokecolor="#000000">
            <v:stroke dashstyle="solid"/>
            <w10:wrap type="none"/>
          </v:line>
        </w:pict>
      </w:r>
      <w:r>
        <w:rPr>
          <w:sz w:val="12"/>
        </w:rPr>
        <w:t>1</w:t>
      </w:r>
    </w:p>
    <w:p>
      <w:pPr>
        <w:pStyle w:val="BodyText"/>
        <w:rPr>
          <w:sz w:val="12"/>
        </w:rPr>
      </w:pPr>
    </w:p>
    <w:p>
      <w:pPr>
        <w:pStyle w:val="BodyText"/>
        <w:spacing w:before="1"/>
        <w:rPr>
          <w:sz w:val="12"/>
        </w:rPr>
      </w:pPr>
    </w:p>
    <w:p>
      <w:pPr>
        <w:spacing w:line="134" w:lineRule="exact" w:before="0"/>
        <w:ind w:left="3504" w:right="0" w:firstLine="0"/>
        <w:jc w:val="left"/>
        <w:rPr>
          <w:sz w:val="12"/>
        </w:rPr>
      </w:pPr>
      <w:r>
        <w:rPr/>
        <w:pict>
          <v:line style="position:absolute;mso-position-horizontal-relative:page;mso-position-vertical-relative:paragraph;z-index:16158720" from="42.780998pt,4.205563pt" to="47.113998pt,4.205563pt" stroked="true" strokeweight=".5pt" strokecolor="#000000">
            <v:stroke dashstyle="solid"/>
            <w10:wrap type="none"/>
          </v:line>
        </w:pict>
      </w:r>
      <w:r>
        <w:rPr/>
        <w:pict>
          <v:shape style="position:absolute;margin-left:51.714001pt;margin-top:-1.870437pt;width:153.3pt;height:6.1pt;mso-position-horizontal-relative:page;mso-position-vertical-relative:paragraph;z-index:16160256" coordorigin="1034,-37" coordsize="3066,122" path="m4013,84l4100,84m1034,78l3945,78m1036,-37l1036,78m1171,32l1171,78m1307,32l1307,78m1443,32l1443,78m1579,-37l1579,78m1715,32l1715,78m1851,32l1851,78m1987,32l1987,78m2123,-37l2123,78m2258,32l2258,78m2394,32l2394,78m2530,32l2530,78m2666,-37l2666,78m2802,32l2802,78m2938,32l2938,78m3074,32l3074,78m3210,-37l3210,78m3345,32l3345,78m3481,32l3481,78m3617,32l3617,78m3753,-37l3753,78m3889,32l3889,78e" filled="false" stroked="true" strokeweight=".5pt" strokecolor="#000000">
            <v:path arrowok="t"/>
            <v:stroke dashstyle="solid"/>
            <w10:wrap type="none"/>
          </v:shape>
        </w:pict>
      </w:r>
      <w:r>
        <w:rPr>
          <w:sz w:val="12"/>
        </w:rPr>
        <w:t>0</w:t>
      </w:r>
    </w:p>
    <w:p>
      <w:pPr>
        <w:tabs>
          <w:tab w:pos="1151" w:val="left" w:leader="none"/>
          <w:tab w:pos="1697" w:val="left" w:leader="none"/>
          <w:tab w:pos="2242" w:val="left" w:leader="none"/>
          <w:tab w:pos="2788" w:val="left" w:leader="none"/>
          <w:tab w:pos="3110" w:val="left" w:leader="none"/>
        </w:tabs>
        <w:spacing w:line="134" w:lineRule="exact" w:before="0"/>
        <w:ind w:left="534" w:right="0" w:firstLine="0"/>
        <w:jc w:val="left"/>
        <w:rPr>
          <w:sz w:val="12"/>
        </w:rPr>
      </w:pPr>
      <w:r>
        <w:rPr>
          <w:sz w:val="12"/>
        </w:rPr>
        <w:t>1995</w:t>
        <w:tab/>
        <w:t>96</w:t>
        <w:tab/>
        <w:t>97</w:t>
        <w:tab/>
        <w:t>98</w:t>
        <w:tab/>
        <w:t>99</w:t>
        <w:tab/>
        <w:t>2000</w:t>
      </w:r>
    </w:p>
    <w:p>
      <w:pPr>
        <w:pStyle w:val="BodyText"/>
        <w:rPr>
          <w:sz w:val="12"/>
        </w:rPr>
      </w:pPr>
    </w:p>
    <w:p>
      <w:pPr>
        <w:spacing w:line="208" w:lineRule="auto" w:before="93"/>
        <w:ind w:left="425" w:right="1075" w:hanging="240"/>
        <w:jc w:val="left"/>
        <w:rPr>
          <w:sz w:val="12"/>
        </w:rPr>
      </w:pPr>
      <w:r>
        <w:rPr>
          <w:sz w:val="12"/>
        </w:rPr>
        <w:t>(a) Backward-looking three-month average of annual growth in the AEI.</w:t>
      </w:r>
    </w:p>
    <w:p>
      <w:pPr>
        <w:pStyle w:val="ListParagraph"/>
        <w:numPr>
          <w:ilvl w:val="1"/>
          <w:numId w:val="21"/>
        </w:numPr>
        <w:tabs>
          <w:tab w:pos="2442" w:val="left" w:leader="none"/>
          <w:tab w:pos="2443" w:val="left" w:leader="none"/>
          <w:tab w:pos="5674" w:val="left" w:leader="none"/>
        </w:tabs>
        <w:spacing w:line="240" w:lineRule="auto" w:before="221" w:after="0"/>
        <w:ind w:left="2442" w:right="0" w:hanging="2268"/>
        <w:jc w:val="left"/>
        <w:rPr>
          <w:b/>
          <w:color w:val="009391"/>
          <w:sz w:val="28"/>
        </w:rPr>
      </w:pPr>
      <w:r>
        <w:rPr>
          <w:b/>
          <w:color w:val="009391"/>
          <w:spacing w:val="-1"/>
          <w:sz w:val="28"/>
          <w:u w:val="thick" w:color="0092C7"/>
        </w:rPr>
        <w:br w:type="column"/>
      </w:r>
      <w:r>
        <w:rPr>
          <w:b/>
          <w:color w:val="009391"/>
          <w:sz w:val="28"/>
          <w:u w:val="thick" w:color="0092C7"/>
        </w:rPr>
        <w:t>Earnings and</w:t>
      </w:r>
      <w:r>
        <w:rPr>
          <w:b/>
          <w:color w:val="009391"/>
          <w:spacing w:val="-25"/>
          <w:sz w:val="28"/>
          <w:u w:val="thick" w:color="0092C7"/>
        </w:rPr>
        <w:t> </w:t>
      </w:r>
      <w:r>
        <w:rPr>
          <w:b/>
          <w:color w:val="009391"/>
          <w:sz w:val="28"/>
          <w:u w:val="thick" w:color="0092C7"/>
        </w:rPr>
        <w:t>settlements</w:t>
        <w:tab/>
      </w:r>
    </w:p>
    <w:p>
      <w:pPr>
        <w:spacing w:line="242" w:lineRule="auto" w:before="264"/>
        <w:ind w:left="175" w:right="145" w:firstLine="0"/>
        <w:jc w:val="left"/>
        <w:rPr>
          <w:sz w:val="24"/>
        </w:rPr>
      </w:pPr>
      <w:r>
        <w:rPr>
          <w:sz w:val="24"/>
        </w:rPr>
        <w:t>Earnings growth, as measured by the Average Earnings Index (AEI), has been weaker in recent months than expected at the time of the May </w:t>
      </w:r>
      <w:r>
        <w:rPr>
          <w:i/>
          <w:sz w:val="24"/>
        </w:rPr>
        <w:t>Report</w:t>
      </w:r>
      <w:r>
        <w:rPr>
          <w:sz w:val="24"/>
        </w:rPr>
        <w:t>. The AEI headline rate of annual earnings growth fell to 4.6% in May, compared with the 6.0% figure for February reviewed in the May </w:t>
      </w:r>
      <w:r>
        <w:rPr>
          <w:i/>
          <w:sz w:val="24"/>
        </w:rPr>
        <w:t>Report</w:t>
      </w:r>
      <w:r>
        <w:rPr>
          <w:sz w:val="24"/>
        </w:rPr>
        <w:t>.</w:t>
      </w:r>
      <w:r>
        <w:rPr>
          <w:position w:val="5"/>
          <w:sz w:val="16"/>
        </w:rPr>
        <w:t>(1) </w:t>
      </w:r>
      <w:r>
        <w:rPr>
          <w:sz w:val="24"/>
        </w:rPr>
        <w:t>Earnings growth has slowed in both the private and public sectors (see</w:t>
      </w:r>
    </w:p>
    <w:p>
      <w:pPr>
        <w:spacing w:line="242" w:lineRule="auto" w:before="9"/>
        <w:ind w:left="175" w:right="177" w:firstLine="0"/>
        <w:jc w:val="left"/>
        <w:rPr>
          <w:sz w:val="24"/>
        </w:rPr>
      </w:pPr>
      <w:r>
        <w:rPr>
          <w:sz w:val="24"/>
        </w:rPr>
        <w:t>Chart 3.8). The slowdown was most pronounced in the </w:t>
      </w:r>
      <w:r>
        <w:rPr>
          <w:spacing w:val="-3"/>
          <w:sz w:val="24"/>
        </w:rPr>
        <w:t>private sector, </w:t>
      </w:r>
      <w:r>
        <w:rPr>
          <w:sz w:val="24"/>
        </w:rPr>
        <w:t>mainly reflecting </w:t>
      </w:r>
      <w:r>
        <w:rPr>
          <w:spacing w:val="-3"/>
          <w:sz w:val="24"/>
        </w:rPr>
        <w:t>private </w:t>
      </w:r>
      <w:r>
        <w:rPr>
          <w:sz w:val="24"/>
        </w:rPr>
        <w:t>services headline earnings growth falling from 6.9% in February to 4.9% in May (see Chart 3.9).  Manufacturing headline earnings growth also fell </w:t>
      </w:r>
      <w:r>
        <w:rPr>
          <w:spacing w:val="-3"/>
          <w:sz w:val="24"/>
        </w:rPr>
        <w:t>over </w:t>
      </w:r>
      <w:r>
        <w:rPr>
          <w:sz w:val="24"/>
        </w:rPr>
        <w:t>the period, but by</w:t>
      </w:r>
      <w:r>
        <w:rPr>
          <w:spacing w:val="-28"/>
          <w:sz w:val="24"/>
        </w:rPr>
        <w:t> </w:t>
      </w:r>
      <w:r>
        <w:rPr>
          <w:sz w:val="24"/>
        </w:rPr>
        <w:t>less.</w:t>
      </w:r>
    </w:p>
    <w:p>
      <w:pPr>
        <w:pStyle w:val="BodyText"/>
        <w:spacing w:before="2"/>
        <w:rPr>
          <w:sz w:val="23"/>
        </w:rPr>
      </w:pPr>
    </w:p>
    <w:p>
      <w:pPr>
        <w:spacing w:line="242" w:lineRule="auto" w:before="0"/>
        <w:ind w:left="175" w:right="137" w:firstLine="0"/>
        <w:jc w:val="left"/>
        <w:rPr>
          <w:sz w:val="24"/>
        </w:rPr>
      </w:pPr>
      <w:r>
        <w:rPr>
          <w:sz w:val="24"/>
        </w:rPr>
        <w:t>Table 3.C shows ONS estimates of the split of annual earnings growth into regular pay growth and the contribution of bonuses since February.</w:t>
      </w:r>
      <w:r>
        <w:rPr>
          <w:position w:val="5"/>
          <w:sz w:val="16"/>
        </w:rPr>
        <w:t>(2) </w:t>
      </w:r>
      <w:r>
        <w:rPr>
          <w:sz w:val="24"/>
        </w:rPr>
        <w:t>Bonuses made a strong contribution to whole-economy earnings growth in February and March. But bonuses made a</w:t>
      </w:r>
    </w:p>
    <w:p>
      <w:pPr>
        <w:spacing w:line="242" w:lineRule="auto" w:before="6"/>
        <w:ind w:left="175" w:right="137" w:firstLine="0"/>
        <w:jc w:val="left"/>
        <w:rPr>
          <w:sz w:val="24"/>
        </w:rPr>
      </w:pPr>
      <w:r>
        <w:rPr>
          <w:sz w:val="24"/>
        </w:rPr>
        <w:t>-0.7 percentage point contribution to annual earnings growth in May, as bonus payments were significantly lower than a year earlier. This pattern particularly reflected developments in private sector services.</w:t>
      </w:r>
    </w:p>
    <w:p>
      <w:pPr>
        <w:spacing w:line="242" w:lineRule="auto" w:before="5"/>
        <w:ind w:left="175" w:right="137" w:firstLine="0"/>
        <w:jc w:val="left"/>
        <w:rPr>
          <w:sz w:val="24"/>
        </w:rPr>
      </w:pPr>
      <w:r>
        <w:rPr>
          <w:sz w:val="24"/>
        </w:rPr>
        <w:t>Whole-economy regular pay growth also fell between February and May, but by less than headline earnings</w:t>
      </w:r>
    </w:p>
    <w:p>
      <w:pPr>
        <w:spacing w:after="0" w:line="242" w:lineRule="auto"/>
        <w:jc w:val="left"/>
        <w:rPr>
          <w:sz w:val="24"/>
        </w:rPr>
        <w:sectPr>
          <w:type w:val="continuous"/>
          <w:pgSz w:w="11900" w:h="16840"/>
          <w:pgMar w:top="1260" w:bottom="280" w:left="640" w:right="640"/>
          <w:cols w:num="2" w:equalWidth="0">
            <w:col w:w="4436" w:space="366"/>
            <w:col w:w="5818"/>
          </w:cols>
        </w:sectPr>
      </w:pPr>
    </w:p>
    <w:p>
      <w:pPr>
        <w:pStyle w:val="BodyText"/>
        <w:spacing w:before="8"/>
        <w:rPr>
          <w:sz w:val="15"/>
        </w:rPr>
      </w:pPr>
    </w:p>
    <w:p>
      <w:pPr>
        <w:pStyle w:val="BodyText"/>
        <w:spacing w:line="20" w:lineRule="exact"/>
        <w:ind w:left="4943"/>
        <w:rPr>
          <w:sz w:val="2"/>
        </w:rPr>
      </w:pPr>
      <w:r>
        <w:rPr>
          <w:sz w:val="2"/>
        </w:rPr>
        <w:pict>
          <v:group style="width:277.25pt;height:.15pt;mso-position-horizontal-relative:char;mso-position-vertical-relative:line" coordorigin="0,0" coordsize="5545,3">
            <v:line style="position:absolute" from="0,1" to="5544,1" stroked="true" strokeweight=".125pt" strokecolor="#000000">
              <v:stroke dashstyle="solid"/>
            </v:line>
          </v:group>
        </w:pict>
      </w:r>
      <w:r>
        <w:rPr>
          <w:sz w:val="2"/>
        </w:rPr>
      </w:r>
    </w:p>
    <w:p>
      <w:pPr>
        <w:pStyle w:val="ListParagraph"/>
        <w:numPr>
          <w:ilvl w:val="2"/>
          <w:numId w:val="21"/>
        </w:numPr>
        <w:tabs>
          <w:tab w:pos="5216" w:val="left" w:leader="none"/>
        </w:tabs>
        <w:spacing w:line="208" w:lineRule="auto" w:before="14" w:after="0"/>
        <w:ind w:left="5215" w:right="712" w:hanging="240"/>
        <w:jc w:val="left"/>
        <w:rPr>
          <w:sz w:val="16"/>
        </w:rPr>
      </w:pPr>
      <w:r>
        <w:rPr>
          <w:sz w:val="16"/>
        </w:rPr>
        <w:t>The February estimate reviewed in the May </w:t>
      </w:r>
      <w:r>
        <w:rPr>
          <w:i/>
          <w:sz w:val="16"/>
        </w:rPr>
        <w:t>Report </w:t>
      </w:r>
      <w:r>
        <w:rPr>
          <w:sz w:val="16"/>
        </w:rPr>
        <w:t>was actually 6.1%. It was subsequently revised down to</w:t>
      </w:r>
      <w:r>
        <w:rPr>
          <w:spacing w:val="-8"/>
          <w:sz w:val="16"/>
        </w:rPr>
        <w:t> </w:t>
      </w:r>
      <w:r>
        <w:rPr>
          <w:sz w:val="16"/>
        </w:rPr>
        <w:t>6.0%.</w:t>
      </w:r>
    </w:p>
    <w:p>
      <w:pPr>
        <w:pStyle w:val="ListParagraph"/>
        <w:numPr>
          <w:ilvl w:val="2"/>
          <w:numId w:val="21"/>
        </w:numPr>
        <w:tabs>
          <w:tab w:pos="5216" w:val="left" w:leader="none"/>
        </w:tabs>
        <w:spacing w:line="208" w:lineRule="auto" w:before="0" w:after="0"/>
        <w:ind w:left="5215" w:right="760" w:hanging="240"/>
        <w:jc w:val="left"/>
        <w:rPr>
          <w:sz w:val="16"/>
        </w:rPr>
      </w:pPr>
      <w:r>
        <w:rPr>
          <w:sz w:val="16"/>
        </w:rPr>
        <w:t>This decomposition of earnings growth cannot be estimated between February 1999 and January 2000 because of a change in the scope of the bonus data in February</w:t>
      </w:r>
      <w:r>
        <w:rPr>
          <w:spacing w:val="-6"/>
          <w:sz w:val="16"/>
        </w:rPr>
        <w:t> </w:t>
      </w:r>
      <w:r>
        <w:rPr>
          <w:sz w:val="16"/>
        </w:rPr>
        <w:t>1999.</w:t>
      </w:r>
    </w:p>
    <w:p>
      <w:pPr>
        <w:spacing w:after="0" w:line="208" w:lineRule="auto"/>
        <w:jc w:val="left"/>
        <w:rPr>
          <w:sz w:val="16"/>
        </w:rPr>
        <w:sectPr>
          <w:type w:val="continuous"/>
          <w:pgSz w:w="11900" w:h="16840"/>
          <w:pgMar w:top="1260" w:bottom="280" w:left="640" w:right="640"/>
        </w:sectPr>
      </w:pPr>
    </w:p>
    <w:p>
      <w:pPr>
        <w:pStyle w:val="BodyText"/>
        <w:rPr>
          <w:sz w:val="20"/>
        </w:rPr>
      </w:pPr>
    </w:p>
    <w:p>
      <w:pPr>
        <w:spacing w:after="0"/>
        <w:rPr>
          <w:sz w:val="20"/>
        </w:rPr>
        <w:sectPr>
          <w:pgSz w:w="11900" w:h="16840"/>
          <w:pgMar w:header="601" w:footer="592" w:top="780" w:bottom="780" w:left="640" w:right="640"/>
        </w:sectPr>
      </w:pPr>
    </w:p>
    <w:p>
      <w:pPr>
        <w:pStyle w:val="BodyText"/>
        <w:spacing w:before="2"/>
        <w:rPr>
          <w:sz w:val="21"/>
        </w:rPr>
      </w:pPr>
    </w:p>
    <w:p>
      <w:pPr>
        <w:pStyle w:val="Heading6"/>
        <w:spacing w:before="0"/>
        <w:ind w:left="174"/>
      </w:pPr>
      <w:r>
        <w:rPr>
          <w:color w:val="0092C7"/>
        </w:rPr>
        <w:t>Chart 3.9</w:t>
      </w:r>
    </w:p>
    <w:p>
      <w:pPr>
        <w:pStyle w:val="Heading6"/>
        <w:ind w:left="174"/>
        <w:rPr>
          <w:b w:val="0"/>
          <w:sz w:val="12"/>
        </w:rPr>
      </w:pPr>
      <w:r>
        <w:rPr>
          <w:color w:val="0092C7"/>
        </w:rPr>
        <w:t>Headline</w:t>
      </w:r>
      <w:r>
        <w:rPr>
          <w:color w:val="0092C7"/>
          <w:spacing w:val="-10"/>
        </w:rPr>
        <w:t> </w:t>
      </w:r>
      <w:r>
        <w:rPr>
          <w:color w:val="0092C7"/>
        </w:rPr>
        <w:t>growth</w:t>
      </w:r>
      <w:r>
        <w:rPr>
          <w:color w:val="0092C7"/>
          <w:spacing w:val="-10"/>
        </w:rPr>
        <w:t> </w:t>
      </w:r>
      <w:r>
        <w:rPr>
          <w:color w:val="0092C7"/>
        </w:rPr>
        <w:t>in</w:t>
      </w:r>
      <w:r>
        <w:rPr>
          <w:color w:val="0092C7"/>
          <w:spacing w:val="-10"/>
        </w:rPr>
        <w:t> </w:t>
      </w:r>
      <w:r>
        <w:rPr>
          <w:color w:val="0092C7"/>
        </w:rPr>
        <w:t>nominal</w:t>
      </w:r>
      <w:r>
        <w:rPr>
          <w:color w:val="0092C7"/>
          <w:spacing w:val="-9"/>
        </w:rPr>
        <w:t> </w:t>
      </w:r>
      <w:r>
        <w:rPr>
          <w:color w:val="0092C7"/>
        </w:rPr>
        <w:t>earnings</w:t>
      </w:r>
      <w:r>
        <w:rPr>
          <w:b w:val="0"/>
          <w:position w:val="4"/>
          <w:sz w:val="12"/>
        </w:rPr>
        <w:t>(a)</w:t>
      </w:r>
    </w:p>
    <w:p>
      <w:pPr>
        <w:spacing w:before="90"/>
        <w:ind w:left="1615" w:right="0" w:firstLine="0"/>
        <w:jc w:val="left"/>
        <w:rPr>
          <w:sz w:val="12"/>
        </w:rPr>
      </w:pPr>
      <w:r>
        <w:rPr/>
        <w:pict>
          <v:line style="position:absolute;mso-position-horizontal-relative:page;mso-position-vertical-relative:paragraph;z-index:16168960" from="40.678001pt,12.551623pt" to="45.011001pt,12.551623pt" stroked="true" strokeweight=".5pt" strokecolor="#000000">
            <v:stroke dashstyle="solid"/>
            <w10:wrap type="none"/>
          </v:line>
        </w:pict>
      </w:r>
      <w:r>
        <w:rPr/>
        <w:pict>
          <v:line style="position:absolute;mso-position-horizontal-relative:page;mso-position-vertical-relative:paragraph;z-index:-23127552" from="195.910004pt,13.104624pt" to="200.242004pt,13.104624pt" stroked="true" strokeweight=".5pt" strokecolor="#000000">
            <v:stroke dashstyle="solid"/>
            <w10:wrap type="none"/>
          </v:line>
        </w:pict>
      </w:r>
      <w:r>
        <w:rPr>
          <w:sz w:val="12"/>
        </w:rPr>
        <w:t>Percentage changes on a year earlier </w:t>
      </w:r>
      <w:r>
        <w:rPr>
          <w:spacing w:val="3"/>
          <w:sz w:val="12"/>
        </w:rPr>
        <w:t> </w:t>
      </w:r>
      <w:r>
        <w:rPr>
          <w:position w:val="-7"/>
          <w:sz w:val="12"/>
        </w:rPr>
        <w:t>8</w:t>
      </w:r>
    </w:p>
    <w:p>
      <w:pPr>
        <w:pStyle w:val="BodyText"/>
        <w:spacing w:before="10"/>
        <w:rPr>
          <w:sz w:val="19"/>
        </w:rPr>
      </w:pPr>
    </w:p>
    <w:p>
      <w:pPr>
        <w:spacing w:before="0"/>
        <w:ind w:left="0" w:right="879" w:firstLine="0"/>
        <w:jc w:val="right"/>
        <w:rPr>
          <w:sz w:val="12"/>
        </w:rPr>
      </w:pPr>
      <w:r>
        <w:rPr/>
        <w:pict>
          <v:group style="position:absolute;margin-left:48.720001pt;margin-top:3.740772pt;width:151.550pt;height:92.55pt;mso-position-horizontal-relative:page;mso-position-vertical-relative:paragraph;z-index:16164352" coordorigin="974,75" coordsize="3031,1851">
            <v:shape style="position:absolute;left:984;top:1172;width:130;height:105" coordorigin="984,1172" coordsize="130,105" path="m984,1207l1029,1277m1029,1277l1072,1207m1072,1207l1114,1172e" filled="false" stroked="true" strokeweight="1pt" strokecolor="#df2f36">
              <v:path arrowok="t"/>
              <v:stroke dashstyle="solid"/>
            </v:shape>
            <v:line style="position:absolute" from="1104,1174" to="1179,1174" stroked="true" strokeweight="1.125pt" strokecolor="#df2f36">
              <v:stroke dashstyle="solid"/>
            </v:line>
            <v:shape style="position:absolute;left:1169;top:1172;width:270;height:350" coordorigin="1169,1172" coordsize="270,350" path="m1169,1172l1212,1277m1212,1277l1254,1452m1254,1452l1299,1522m1299,1522l1342,1487m1342,1487l1384,1522m1384,1522l1439,1452e" filled="false" stroked="true" strokeweight="1pt" strokecolor="#df2f36">
              <v:path arrowok="t"/>
              <v:stroke dashstyle="solid"/>
            </v:shape>
            <v:shape style="position:absolute;left:1429;top:1453;width:150;height:2" coordorigin="1429,1454" coordsize="150,0" path="m1429,1454l1492,1454m1472,1454l1534,1454m1514,1454l1579,1454e" filled="false" stroked="true" strokeweight="1.125pt" strokecolor="#df2f36">
              <v:path arrowok="t"/>
              <v:stroke dashstyle="solid"/>
            </v:shape>
            <v:shape style="position:absolute;left:1569;top:1119;width:313;height:368" coordorigin="1569,1120" coordsize="313,368" path="m1569,1452l1612,1487m1612,1487l1654,1417m1654,1417l1709,1452m1709,1452l1752,1382m1752,1382l1797,1347m1797,1347l1839,1207m1839,1207l1882,1120e" filled="false" stroked="true" strokeweight="1pt" strokecolor="#df2f36">
              <v:path arrowok="t"/>
              <v:stroke dashstyle="solid"/>
            </v:shape>
            <v:line style="position:absolute" from="1872,1121" to="1934,1121" stroked="true" strokeweight="1.125pt" strokecolor="#df2f36">
              <v:stroke dashstyle="solid"/>
            </v:line>
            <v:rect style="position:absolute;left:1914;top:1109;width:65;height:23" filled="true" fillcolor="#df2f36" stroked="false">
              <v:fill type="solid"/>
            </v:rect>
            <v:shape style="position:absolute;left:1969;top:909;width:410;height:210" coordorigin="1969,910" coordsize="410,210" path="m1969,1120l2022,1085m2022,1085l2067,980m2067,980l2109,1015m2109,1015l2152,945m2152,945l2194,1015m2194,1015l2239,945m2239,945l2292,1015m2292,1015l2337,945m2337,945l2379,910e" filled="false" stroked="true" strokeweight="1pt" strokecolor="#df2f36">
              <v:path arrowok="t"/>
              <v:stroke dashstyle="solid"/>
            </v:shape>
            <v:line style="position:absolute" from="2369,911" to="2432,911" stroked="true" strokeweight="1.125pt" strokecolor="#df2f36">
              <v:stroke dashstyle="solid"/>
            </v:line>
            <v:shape style="position:absolute;left:2421;top:592;width:228;height:318" coordorigin="2422,592" coordsize="228,318" path="m2422,910l2464,840m2464,840l2509,805m2509,805l2552,697m2552,697l2607,662m2607,662l2649,592e" filled="false" stroked="true" strokeweight="1pt" strokecolor="#df2f36">
              <v:path arrowok="t"/>
              <v:stroke dashstyle="solid"/>
            </v:shape>
            <v:line style="position:absolute" from="2639,594" to="2702,594" stroked="true" strokeweight="1.125pt" strokecolor="#df2f36">
              <v:stroke dashstyle="solid"/>
            </v:line>
            <v:shape style="position:absolute;left:2691;top:329;width:88;height:263" coordorigin="2692,330" coordsize="88,263" path="m2692,592l2737,435m2737,435l2779,330e" filled="false" stroked="true" strokeweight="1pt" strokecolor="#df2f36">
              <v:path arrowok="t"/>
              <v:stroke dashstyle="solid"/>
            </v:shape>
            <v:line style="position:absolute" from="2769,331" to="2832,331" stroked="true" strokeweight="1.125pt" strokecolor="#df2f36">
              <v:stroke dashstyle="solid"/>
            </v:line>
            <v:shape style="position:absolute;left:2821;top:259;width:1038;height:790" coordorigin="2822,260" coordsize="1038,790" path="m2822,330l2877,400m2877,400l2919,592m2919,592l2962,627m2962,627l3007,732m3007,732l3049,767m3049,767l3092,910m3092,910l3147,945m3147,945l3189,910m3189,910l3232,840m3232,840l3277,910m3277,910l3319,1050m3319,1050l3362,1015m3362,1015l3404,945m3404,945l3459,805m3459,805l3502,875m3502,875l3547,767m3547,767l3589,732m3589,732l3632,505m3632,505l3677,330m3677,330l3729,260m3729,260l3772,400m3772,400l3817,662m3817,662l3859,875e" filled="false" stroked="true" strokeweight="1pt" strokecolor="#df2f36">
              <v:path arrowok="t"/>
              <v:stroke dashstyle="solid"/>
            </v:shape>
            <v:shape style="position:absolute;left:984;top:1347;width:498;height:475" coordorigin="984,1347" coordsize="498,475" path="m984,1452l1029,1557m1029,1557l1072,1417m1072,1417l1114,1452m1114,1452l1169,1347m1169,1347l1212,1592m1212,1592l1254,1752m1254,1752l1299,1822m1299,1822l1384,1752m1384,1752l1439,1592m1439,1592l1482,1522e" filled="false" stroked="true" strokeweight="1pt" strokecolor="#f6bd61">
              <v:path arrowok="t"/>
              <v:stroke dashstyle="solid"/>
            </v:shape>
            <v:shape style="position:absolute;left:1471;top:1523;width:108;height:2" coordorigin="1472,1524" coordsize="108,0" path="m1472,1524l1534,1524m1514,1524l1579,1524e" filled="false" stroked="true" strokeweight="1.125pt" strokecolor="#f6bd61">
              <v:path arrowok="t"/>
              <v:stroke dashstyle="solid"/>
            </v:shape>
            <v:shape style="position:absolute;left:1569;top:1119;width:355;height:508" coordorigin="1569,1120" coordsize="355,508" path="m1569,1522l1612,1627m1612,1627l1654,1522m1654,1522l1709,1592m1709,1592l1752,1452m1752,1452l1797,1382m1797,1382l1839,1242m1839,1242l1882,1172m1882,1172l1924,1120e" filled="false" stroked="true" strokeweight="1pt" strokecolor="#f6bd61">
              <v:path arrowok="t"/>
              <v:stroke dashstyle="solid"/>
            </v:shape>
            <v:rect style="position:absolute;left:1914;top:1109;width:65;height:23" filled="true" fillcolor="#f6bd61" stroked="false">
              <v:fill type="solid"/>
            </v:rect>
            <v:line style="position:absolute" from="1959,1121" to="2032,1121" stroked="true" strokeweight="1.125pt" strokecolor="#f6bd61">
              <v:stroke dashstyle="solid"/>
            </v:line>
            <v:line style="position:absolute" from="2022,1120" to="2067,1015" stroked="true" strokeweight="1pt" strokecolor="#f6bd61">
              <v:stroke dashstyle="solid"/>
            </v:line>
            <v:line style="position:absolute" from="2057,1016" to="2119,1016" stroked="true" strokeweight="1.125pt" strokecolor="#f6bd61">
              <v:stroke dashstyle="solid"/>
            </v:line>
            <v:shape style="position:absolute;left:2109;top:539;width:443;height:475" coordorigin="2109,540" coordsize="443,475" path="m2109,1015l2152,805m2152,805l2194,910m2194,910l2239,840m2239,840l2292,1015m2292,1015l2337,910m2337,910l2379,840m2379,840l2422,767m2422,767l2464,732m2464,732l2509,662m2509,662l2552,540e" filled="false" stroked="true" strokeweight="1pt" strokecolor="#f6bd61">
              <v:path arrowok="t"/>
              <v:stroke dashstyle="solid"/>
            </v:shape>
            <v:line style="position:absolute" from="2542,541" to="2617,541" stroked="true" strokeweight="1.125pt" strokecolor="#f6bd61">
              <v:stroke dashstyle="solid"/>
            </v:line>
            <v:line style="position:absolute" from="2607,540" to="2649,435" stroked="true" strokeweight="1pt" strokecolor="#f6bd61">
              <v:stroke dashstyle="solid"/>
            </v:line>
            <v:line style="position:absolute" from="2639,436" to="2702,436" stroked="true" strokeweight="1.125pt" strokecolor="#f6bd61">
              <v:stroke dashstyle="solid"/>
            </v:line>
            <v:shape style="position:absolute;left:2691;top:84;width:228;height:420" coordorigin="2692,85" coordsize="228,420" path="m2692,435l2737,225m2737,225l2779,85m2779,85l2822,120m2822,120l2877,260m2877,260l2919,505e" filled="false" stroked="true" strokeweight="1pt" strokecolor="#f6bd61">
              <v:path arrowok="t"/>
              <v:stroke dashstyle="solid"/>
            </v:shape>
            <v:line style="position:absolute" from="2909,506" to="2972,506" stroked="true" strokeweight="1.125pt" strokecolor="#f6bd61">
              <v:stroke dashstyle="solid"/>
            </v:line>
            <v:line style="position:absolute" from="2962,505" to="3007,627" stroked="true" strokeweight="1pt" strokecolor="#f6bd61">
              <v:stroke dashstyle="solid"/>
            </v:line>
            <v:line style="position:absolute" from="2997,629" to="3059,629" stroked="true" strokeweight="1.125pt" strokecolor="#f6bd61">
              <v:stroke dashstyle="solid"/>
            </v:line>
            <v:shape style="position:absolute;left:3049;top:504;width:498;height:475" coordorigin="3049,505" coordsize="498,475" path="m3049,627l3092,805m3092,805l3147,875m3147,875l3189,805m3189,805l3232,732m3232,732l3277,805m3277,805l3319,980m3319,980l3362,875m3362,875l3404,732m3404,732l3459,505m3459,505l3502,662m3502,662l3547,592e" filled="false" stroked="true" strokeweight="1pt" strokecolor="#f6bd61">
              <v:path arrowok="t"/>
              <v:stroke dashstyle="solid"/>
            </v:shape>
            <v:line style="position:absolute" from="3537,594" to="3599,594" stroked="true" strokeweight="1.125pt" strokecolor="#f6bd61">
              <v:stroke dashstyle="solid"/>
            </v:line>
            <v:shape style="position:absolute;left:3589;top:119;width:270;height:720" coordorigin="3589,120" coordsize="270,720" path="m3589,592l3632,365m3632,365l3677,155m3677,155l3729,120m3729,120l3772,260m3772,260l3817,540m3817,540l3859,840e" filled="false" stroked="true" strokeweight="1pt" strokecolor="#f6bd61">
              <v:path arrowok="t"/>
              <v:stroke dashstyle="solid"/>
            </v:shape>
            <v:shape style="position:absolute;left:984;top:627;width:628;height:685" coordorigin="984,627" coordsize="628,685" path="m984,697l1029,627m1029,627l1072,840m1072,840l1114,767m1114,767l1169,875m1169,875l1212,840m1212,840l1254,945m1254,945l1299,1015m1299,1015l1384,1085m1384,1085l1439,1172m1439,1172l1482,1277m1482,1277l1524,1312m1524,1312l1569,1277m1569,1277l1612,1120e" filled="false" stroked="true" strokeweight="1pt" strokecolor="#0099d9">
              <v:path arrowok="t"/>
              <v:stroke dashstyle="solid"/>
            </v:shape>
            <v:line style="position:absolute" from="1602,1121" to="1664,1121" stroked="true" strokeweight="1.125pt" strokecolor="#0099d9">
              <v:stroke dashstyle="solid"/>
            </v:line>
            <v:line style="position:absolute" from="1654,1120" to="1709,1085" stroked="true" strokeweight="1pt" strokecolor="#0099d9">
              <v:stroke dashstyle="solid"/>
            </v:line>
            <v:shape style="position:absolute;left:1699;top:1086;width:108;height:2" coordorigin="1699,1086" coordsize="108,0" path="m1699,1086l1762,1086m1742,1086l1807,1086e" filled="false" stroked="true" strokeweight="1.125pt" strokecolor="#0099d9">
              <v:path arrowok="t"/>
              <v:stroke dashstyle="solid"/>
            </v:shape>
            <v:line style="position:absolute" from="1797,1085" to="1839,1015" stroked="true" strokeweight="1pt" strokecolor="#0099d9">
              <v:stroke dashstyle="solid"/>
            </v:line>
            <v:line style="position:absolute" from="1829,1016" to="1892,1016" stroked="true" strokeweight="1.125pt" strokecolor="#0099d9">
              <v:stroke dashstyle="solid"/>
            </v:line>
            <v:shape style="position:absolute;left:1881;top:944;width:140;height:105" coordorigin="1882,945" coordsize="140,105" path="m1882,1015l1924,1050m1924,1050l1969,1015m1969,1015l2022,945e" filled="false" stroked="true" strokeweight="1pt" strokecolor="#0099d9">
              <v:path arrowok="t"/>
              <v:stroke dashstyle="solid"/>
            </v:shape>
            <v:line style="position:absolute" from="2012,946" to="2077,946" stroked="true" strokeweight="1.125pt" strokecolor="#0099d9">
              <v:stroke dashstyle="solid"/>
            </v:line>
            <v:shape style="position:absolute;left:2066;top:944;width:128;height:228" coordorigin="2067,945" coordsize="128,228" path="m2067,945l2109,980m2109,980l2152,1120m2152,1120l2194,1172e" filled="false" stroked="true" strokeweight="1pt" strokecolor="#0099d9">
              <v:path arrowok="t"/>
              <v:stroke dashstyle="solid"/>
            </v:shape>
            <v:line style="position:absolute" from="2184,1174" to="2249,1174" stroked="true" strokeweight="1.125pt" strokecolor="#0099d9">
              <v:stroke dashstyle="solid"/>
            </v:line>
            <v:shape style="position:absolute;left:2239;top:1084;width:98;height:88" coordorigin="2239,1085" coordsize="98,88" path="m2239,1172l2292,1120m2292,1120l2337,1085e" filled="false" stroked="true" strokeweight="1pt" strokecolor="#0099d9">
              <v:path arrowok="t"/>
              <v:stroke dashstyle="solid"/>
            </v:shape>
            <v:shape style="position:absolute;left:2326;top:1086;width:105;height:2" coordorigin="2327,1086" coordsize="105,0" path="m2327,1086l2389,1086m2369,1086l2432,1086e" filled="false" stroked="true" strokeweight="1.125pt" strokecolor="#0099d9">
              <v:path arrowok="t"/>
              <v:stroke dashstyle="solid"/>
            </v:shape>
            <v:shape style="position:absolute;left:2421;top:874;width:185;height:210" coordorigin="2422,875" coordsize="185,210" path="m2422,1085l2464,1015m2464,1015l2509,980m2509,980l2552,945m2552,945l2607,875e" filled="false" stroked="true" strokeweight="1pt" strokecolor="#0099d9">
              <v:path arrowok="t"/>
              <v:stroke dashstyle="solid"/>
            </v:shape>
            <v:line style="position:absolute" from="2597,876" to="2659,876" stroked="true" strokeweight="1.125pt" strokecolor="#0099d9">
              <v:stroke dashstyle="solid"/>
            </v:line>
            <v:line style="position:absolute" from="2649,875" to="2692,767" stroked="true" strokeweight="1pt" strokecolor="#0099d9">
              <v:stroke dashstyle="solid"/>
            </v:line>
            <v:line style="position:absolute" from="2682,769" to="2747,769" stroked="true" strokeweight="1.125pt" strokecolor="#0099d9">
              <v:stroke dashstyle="solid"/>
            </v:line>
            <v:shape style="position:absolute;left:2736;top:767;width:85;height:108" coordorigin="2737,767" coordsize="85,108" path="m2737,767l2779,805m2779,805l2822,875e" filled="false" stroked="true" strokeweight="1pt" strokecolor="#0099d9">
              <v:path arrowok="t"/>
              <v:stroke dashstyle="solid"/>
            </v:shape>
            <v:line style="position:absolute" from="2812,876" to="2887,876" stroked="true" strokeweight="1.125pt" strokecolor="#0099d9">
              <v:stroke dashstyle="solid"/>
            </v:line>
            <v:shape style="position:absolute;left:2876;top:874;width:400;height:473" coordorigin="2877,875" coordsize="400,473" path="m2877,875l2962,945m2962,945l3007,980m3007,980l3049,1120m3049,1120l3092,1277m3092,1277l3147,1312m3147,1312l3189,1347m3189,1347l3232,1312m3232,1312l3277,1347e" filled="false" stroked="true" strokeweight="1pt" strokecolor="#0099d9">
              <v:path arrowok="t"/>
              <v:stroke dashstyle="solid"/>
            </v:shape>
            <v:shape style="position:absolute;left:3266;top:1348;width:148;height:2" coordorigin="3267,1349" coordsize="148,0" path="m3267,1349l3329,1349m3309,1349l3372,1349m3352,1349l3414,1349e" filled="false" stroked="true" strokeweight="1.125pt" strokecolor="#0099d9">
              <v:path arrowok="t"/>
              <v:stroke dashstyle="solid"/>
            </v:shape>
            <v:shape style="position:absolute;left:3404;top:662;width:273;height:685" coordorigin="3404,662" coordsize="273,685" path="m3404,1347l3459,1277m3459,1277l3502,1172m3502,1172l3547,1050m3547,1050l3589,980m3589,980l3632,805m3632,805l3677,662e" filled="false" stroked="true" strokeweight="1pt" strokecolor="#0099d9">
              <v:path arrowok="t"/>
              <v:stroke dashstyle="solid"/>
            </v:shape>
            <v:line style="position:absolute" from="3667,664" to="3739,664" stroked="true" strokeweight="1.125pt" strokecolor="#0099d9">
              <v:stroke dashstyle="solid"/>
            </v:line>
            <v:shape style="position:absolute;left:3729;top:662;width:130;height:318" coordorigin="3729,662" coordsize="130,318" path="m3729,662l3772,840m3772,840l3817,980m3817,980l3859,945e" filled="false" stroked="true" strokeweight="1pt" strokecolor="#0099d9">
              <v:path arrowok="t"/>
              <v:stroke dashstyle="solid"/>
            </v:shape>
            <v:shape style="position:absolute;left:3263;top:87;width:741;height:1807" coordorigin="3264,87" coordsize="741,1807" path="m3918,87l4005,87m3918,449l4005,449m3918,810l4005,810m3918,1171l4005,1171m3918,1533l4005,1533m3918,1894l4005,1894m3350,1131l3264,1803e" filled="false" stroked="true" strokeweight=".5pt" strokecolor="#000000">
              <v:path arrowok="t"/>
              <v:stroke dashstyle="solid"/>
            </v:shape>
            <v:shape style="position:absolute;left:3322;top:1063;width:51;height:88" coordorigin="3323,1063" coordsize="51,88" path="m3359,1063l3323,1144,3373,1151,3360,1083,3359,1072,3359,1063xe" filled="true" fillcolor="#000000" stroked="false">
              <v:path arrowok="t"/>
              <v:fill type="solid"/>
            </v:shape>
            <v:shape style="position:absolute;left:1114;top:593;width:734;height:134" type="#_x0000_t202" filled="false" stroked="false">
              <v:textbox inset="0,0,0,0">
                <w:txbxContent>
                  <w:p>
                    <w:pPr>
                      <w:spacing w:line="133" w:lineRule="exact" w:before="0"/>
                      <w:ind w:left="0" w:right="0" w:firstLine="0"/>
                      <w:jc w:val="left"/>
                      <w:rPr>
                        <w:sz w:val="12"/>
                      </w:rPr>
                    </w:pPr>
                    <w:r>
                      <w:rPr>
                        <w:sz w:val="12"/>
                      </w:rPr>
                      <w:t>Manufacturing</w:t>
                    </w:r>
                  </w:p>
                </w:txbxContent>
              </v:textbox>
              <w10:wrap type="none"/>
            </v:shape>
            <v:shape style="position:absolute;left:1398;top:1782;width:777;height:134" type="#_x0000_t202" filled="false" stroked="false">
              <v:textbox inset="0,0,0,0">
                <w:txbxContent>
                  <w:p>
                    <w:pPr>
                      <w:spacing w:line="133" w:lineRule="exact" w:before="0"/>
                      <w:ind w:left="0" w:right="0" w:firstLine="0"/>
                      <w:jc w:val="left"/>
                      <w:rPr>
                        <w:sz w:val="12"/>
                      </w:rPr>
                    </w:pPr>
                    <w:r>
                      <w:rPr>
                        <w:sz w:val="12"/>
                      </w:rPr>
                      <w:t>Private services</w:t>
                    </w:r>
                  </w:p>
                </w:txbxContent>
              </v:textbox>
              <w10:wrap type="none"/>
            </v:shape>
            <v:shape style="position:absolute;left:2762;top:1792;width:677;height:134" type="#_x0000_t202" filled="false" stroked="false">
              <v:textbox inset="0,0,0,0">
                <w:txbxContent>
                  <w:p>
                    <w:pPr>
                      <w:spacing w:line="133" w:lineRule="exact" w:before="0"/>
                      <w:ind w:left="0" w:right="0" w:firstLine="0"/>
                      <w:jc w:val="left"/>
                      <w:rPr>
                        <w:sz w:val="12"/>
                      </w:rPr>
                    </w:pPr>
                    <w:r>
                      <w:rPr>
                        <w:sz w:val="12"/>
                      </w:rPr>
                      <w:t>Private sector</w:t>
                    </w:r>
                  </w:p>
                </w:txbxContent>
              </v:textbox>
              <w10:wrap type="none"/>
            </v:shape>
            <w10:wrap type="none"/>
          </v:group>
        </w:pict>
      </w:r>
      <w:r>
        <w:rPr/>
        <w:pict>
          <v:line style="position:absolute;mso-position-horizontal-relative:page;mso-position-vertical-relative:paragraph;z-index:16164864" from="40.678001pt,3.808771pt" to="45.011001pt,3.808771pt" stroked="true" strokeweight=".5pt" strokecolor="#000000">
            <v:stroke dashstyle="solid"/>
            <w10:wrap type="none"/>
          </v:line>
        </w:pict>
      </w:r>
      <w:r>
        <w:rPr>
          <w:sz w:val="12"/>
        </w:rPr>
        <w:t>7</w:t>
      </w:r>
    </w:p>
    <w:p>
      <w:pPr>
        <w:pStyle w:val="BodyText"/>
        <w:rPr>
          <w:sz w:val="12"/>
        </w:rPr>
      </w:pPr>
    </w:p>
    <w:p>
      <w:pPr>
        <w:spacing w:before="86"/>
        <w:ind w:left="0" w:right="879" w:firstLine="0"/>
        <w:jc w:val="right"/>
        <w:rPr>
          <w:sz w:val="12"/>
        </w:rPr>
      </w:pPr>
      <w:r>
        <w:rPr/>
        <w:pict>
          <v:line style="position:absolute;mso-position-horizontal-relative:page;mso-position-vertical-relative:paragraph;z-index:16165376" from="40.678001pt,8.083143pt" to="45.011001pt,8.083143pt" stroked="true" strokeweight=".5pt" strokecolor="#000000">
            <v:stroke dashstyle="solid"/>
            <w10:wrap type="none"/>
          </v:line>
        </w:pict>
      </w:r>
      <w:r>
        <w:rPr>
          <w:sz w:val="12"/>
        </w:rPr>
        <w:t>6</w:t>
      </w:r>
    </w:p>
    <w:p>
      <w:pPr>
        <w:pStyle w:val="BodyText"/>
        <w:rPr>
          <w:sz w:val="12"/>
        </w:rPr>
      </w:pPr>
    </w:p>
    <w:p>
      <w:pPr>
        <w:spacing w:before="86"/>
        <w:ind w:left="0" w:right="879" w:firstLine="0"/>
        <w:jc w:val="right"/>
        <w:rPr>
          <w:sz w:val="12"/>
        </w:rPr>
      </w:pPr>
      <w:r>
        <w:rPr/>
        <w:pict>
          <v:line style="position:absolute;mso-position-horizontal-relative:page;mso-position-vertical-relative:paragraph;z-index:16165888" from="40.678001pt,8.057577pt" to="45.011001pt,8.057577pt" stroked="true" strokeweight=".5pt" strokecolor="#000000">
            <v:stroke dashstyle="solid"/>
            <w10:wrap type="none"/>
          </v:line>
        </w:pict>
      </w:r>
      <w:r>
        <w:rPr>
          <w:sz w:val="12"/>
        </w:rPr>
        <w:t>5</w:t>
      </w:r>
    </w:p>
    <w:p>
      <w:pPr>
        <w:pStyle w:val="BodyText"/>
        <w:rPr>
          <w:sz w:val="12"/>
        </w:rPr>
      </w:pPr>
    </w:p>
    <w:p>
      <w:pPr>
        <w:spacing w:before="86"/>
        <w:ind w:left="0" w:right="879" w:firstLine="0"/>
        <w:jc w:val="right"/>
        <w:rPr>
          <w:sz w:val="12"/>
        </w:rPr>
      </w:pPr>
      <w:r>
        <w:rPr/>
        <w:pict>
          <v:line style="position:absolute;mso-position-horizontal-relative:page;mso-position-vertical-relative:paragraph;z-index:16166400" from="40.678001pt,8.030949pt" to="45.011001pt,8.030949pt" stroked="true" strokeweight=".5pt" strokecolor="#000000">
            <v:stroke dashstyle="solid"/>
            <w10:wrap type="none"/>
          </v:line>
        </w:pict>
      </w:r>
      <w:r>
        <w:rPr>
          <w:sz w:val="12"/>
        </w:rPr>
        <w:t>4</w:t>
      </w:r>
    </w:p>
    <w:p>
      <w:pPr>
        <w:pStyle w:val="BodyText"/>
        <w:rPr>
          <w:sz w:val="12"/>
        </w:rPr>
      </w:pPr>
    </w:p>
    <w:p>
      <w:pPr>
        <w:spacing w:before="86"/>
        <w:ind w:left="0" w:right="879" w:firstLine="0"/>
        <w:jc w:val="right"/>
        <w:rPr>
          <w:sz w:val="12"/>
        </w:rPr>
      </w:pPr>
      <w:r>
        <w:rPr/>
        <w:pict>
          <v:line style="position:absolute;mso-position-horizontal-relative:page;mso-position-vertical-relative:paragraph;z-index:16166912" from="40.678001pt,8.005382pt" to="45.011001pt,8.005382pt" stroked="true" strokeweight=".5pt" strokecolor="#000000">
            <v:stroke dashstyle="solid"/>
            <w10:wrap type="none"/>
          </v:line>
        </w:pict>
      </w:r>
      <w:r>
        <w:rPr>
          <w:sz w:val="12"/>
        </w:rPr>
        <w:t>3</w:t>
      </w:r>
    </w:p>
    <w:p>
      <w:pPr>
        <w:pStyle w:val="BodyText"/>
        <w:rPr>
          <w:sz w:val="12"/>
        </w:rPr>
      </w:pPr>
    </w:p>
    <w:p>
      <w:pPr>
        <w:spacing w:before="86"/>
        <w:ind w:left="0" w:right="879" w:firstLine="0"/>
        <w:jc w:val="right"/>
        <w:rPr>
          <w:sz w:val="12"/>
        </w:rPr>
      </w:pPr>
      <w:r>
        <w:rPr/>
        <w:pict>
          <v:line style="position:absolute;mso-position-horizontal-relative:page;mso-position-vertical-relative:paragraph;z-index:16167936" from="40.678001pt,7.979754pt" to="45.011001pt,7.979754pt" stroked="true" strokeweight=".5pt" strokecolor="#000000">
            <v:stroke dashstyle="solid"/>
            <w10:wrap type="none"/>
          </v:line>
        </w:pict>
      </w:r>
      <w:r>
        <w:rPr>
          <w:sz w:val="12"/>
        </w:rPr>
        <w:t>2</w:t>
      </w:r>
    </w:p>
    <w:p>
      <w:pPr>
        <w:pStyle w:val="BodyText"/>
        <w:rPr>
          <w:sz w:val="12"/>
        </w:rPr>
      </w:pPr>
    </w:p>
    <w:p>
      <w:pPr>
        <w:spacing w:before="85"/>
        <w:ind w:left="0" w:right="879" w:firstLine="0"/>
        <w:jc w:val="right"/>
        <w:rPr>
          <w:sz w:val="12"/>
        </w:rPr>
      </w:pPr>
      <w:r>
        <w:rPr/>
        <w:pict>
          <v:line style="position:absolute;mso-position-horizontal-relative:page;mso-position-vertical-relative:paragraph;z-index:16167424" from="40.678001pt,7.904187pt" to="45.011001pt,7.904187pt" stroked="true" strokeweight=".5pt" strokecolor="#000000">
            <v:stroke dashstyle="solid"/>
            <w10:wrap type="none"/>
          </v:line>
        </w:pict>
      </w:r>
      <w:r>
        <w:rPr/>
        <w:pict>
          <v:line style="position:absolute;mso-position-horizontal-relative:page;mso-position-vertical-relative:paragraph;z-index:16169472" from="195.910004pt,8.456187pt" to="200.242004pt,8.456187pt" stroked="true" strokeweight=".5pt" strokecolor="#000000">
            <v:stroke dashstyle="solid"/>
            <w10:wrap type="none"/>
          </v:line>
        </w:pict>
      </w:r>
      <w:r>
        <w:rPr>
          <w:sz w:val="12"/>
        </w:rPr>
        <w:t>1</w:t>
      </w:r>
    </w:p>
    <w:p>
      <w:pPr>
        <w:pStyle w:val="BodyText"/>
        <w:rPr>
          <w:sz w:val="12"/>
        </w:rPr>
      </w:pPr>
    </w:p>
    <w:p>
      <w:pPr>
        <w:spacing w:line="131" w:lineRule="exact" w:before="86"/>
        <w:ind w:left="3428" w:right="0" w:firstLine="0"/>
        <w:jc w:val="left"/>
        <w:rPr>
          <w:sz w:val="12"/>
        </w:rPr>
      </w:pPr>
      <w:r>
        <w:rPr/>
        <w:pict>
          <v:line style="position:absolute;mso-position-horizontal-relative:page;mso-position-vertical-relative:paragraph;z-index:16168448" from="40.678001pt,7.928559pt" to="45.011001pt,7.928559pt" stroked="true" strokeweight=".5pt" strokecolor="#000000">
            <v:stroke dashstyle="solid"/>
            <w10:wrap type="none"/>
          </v:line>
        </w:pict>
      </w:r>
      <w:r>
        <w:rPr/>
        <w:pict>
          <v:shape style="position:absolute;margin-left:49.388pt;margin-top:2.772559pt;width:150.9pt;height:5.8pt;mso-position-horizontal-relative:page;mso-position-vertical-relative:paragraph;z-index:16169984" coordorigin="988,55" coordsize="3018,116" path="m3918,170l4005,170m988,171l3859,171m989,55l989,171m1258,125l1258,171m1124,125l1124,171m1393,125l1393,171m1528,55l1528,171m1797,125l1797,171m1662,125l1662,171m1932,125l1932,171m2066,55l2066,171m2336,125l2336,171m2201,125l2201,171m2470,125l2470,171m2605,55l2605,171m2874,125l2874,171m2740,125l2740,171m3009,125l3009,171m3144,55l3144,171m3413,125l3413,171m3278,125l3278,171m3548,125l3548,171m3682,55l3682,171m3817,125l3817,171e" filled="false" stroked="true" strokeweight=".5pt" strokecolor="#000000">
            <v:path arrowok="t"/>
            <v:stroke dashstyle="solid"/>
            <w10:wrap type="none"/>
          </v:shape>
        </w:pict>
      </w:r>
      <w:r>
        <w:rPr>
          <w:sz w:val="12"/>
        </w:rPr>
        <w:t>0</w:t>
      </w:r>
    </w:p>
    <w:p>
      <w:pPr>
        <w:tabs>
          <w:tab w:pos="1094" w:val="left" w:leader="none"/>
          <w:tab w:pos="1638" w:val="left" w:leader="none"/>
          <w:tab w:pos="2174" w:val="left" w:leader="none"/>
          <w:tab w:pos="2706" w:val="left" w:leader="none"/>
          <w:tab w:pos="3056" w:val="left" w:leader="none"/>
        </w:tabs>
        <w:spacing w:line="131" w:lineRule="exact" w:before="0"/>
        <w:ind w:left="479" w:right="0" w:firstLine="0"/>
        <w:jc w:val="left"/>
        <w:rPr>
          <w:sz w:val="12"/>
        </w:rPr>
      </w:pPr>
      <w:r>
        <w:rPr>
          <w:sz w:val="12"/>
        </w:rPr>
        <w:t>1995</w:t>
        <w:tab/>
        <w:t>96</w:t>
        <w:tab/>
        <w:t>97</w:t>
        <w:tab/>
        <w:t>98</w:t>
        <w:tab/>
        <w:t>99</w:t>
        <w:tab/>
        <w:t>2000</w:t>
      </w:r>
    </w:p>
    <w:p>
      <w:pPr>
        <w:pStyle w:val="BodyText"/>
        <w:spacing w:before="8"/>
        <w:rPr>
          <w:sz w:val="17"/>
        </w:rPr>
      </w:pPr>
    </w:p>
    <w:p>
      <w:pPr>
        <w:spacing w:line="208" w:lineRule="auto" w:before="0"/>
        <w:ind w:left="414" w:right="1021" w:hanging="240"/>
        <w:jc w:val="left"/>
        <w:rPr>
          <w:sz w:val="12"/>
        </w:rPr>
      </w:pPr>
      <w:r>
        <w:rPr>
          <w:sz w:val="12"/>
        </w:rPr>
        <w:t>(a) Backward-looking three-month average of annual growth in the AEI.</w:t>
      </w:r>
    </w:p>
    <w:p>
      <w:pPr>
        <w:pStyle w:val="BodyText"/>
        <w:rPr>
          <w:sz w:val="12"/>
        </w:rPr>
      </w:pPr>
    </w:p>
    <w:p>
      <w:pPr>
        <w:pStyle w:val="BodyText"/>
        <w:rPr>
          <w:sz w:val="12"/>
        </w:rPr>
      </w:pPr>
    </w:p>
    <w:p>
      <w:pPr>
        <w:pStyle w:val="BodyText"/>
        <w:spacing w:before="6"/>
        <w:rPr>
          <w:sz w:val="17"/>
        </w:rPr>
      </w:pPr>
    </w:p>
    <w:p>
      <w:pPr>
        <w:pStyle w:val="Heading6"/>
        <w:spacing w:before="0"/>
        <w:ind w:left="174"/>
      </w:pPr>
      <w:r>
        <w:rPr>
          <w:color w:val="0092C7"/>
        </w:rPr>
        <w:t>Table 3.C</w:t>
      </w:r>
    </w:p>
    <w:p>
      <w:pPr>
        <w:pStyle w:val="Heading6"/>
        <w:ind w:left="174"/>
        <w:rPr>
          <w:b w:val="0"/>
          <w:sz w:val="12"/>
        </w:rPr>
      </w:pPr>
      <w:r>
        <w:rPr>
          <w:color w:val="0092C7"/>
        </w:rPr>
        <w:t>Components of earnings growth</w:t>
      </w:r>
      <w:r>
        <w:rPr>
          <w:b w:val="0"/>
          <w:position w:val="4"/>
          <w:sz w:val="12"/>
        </w:rPr>
        <w:t>(a)</w:t>
      </w:r>
    </w:p>
    <w:p>
      <w:pPr>
        <w:tabs>
          <w:tab w:pos="3049" w:val="left" w:leader="none"/>
          <w:tab w:pos="3274" w:val="left" w:leader="none"/>
          <w:tab w:pos="4329" w:val="left" w:leader="none"/>
        </w:tabs>
        <w:spacing w:line="33" w:lineRule="exact" w:before="136"/>
        <w:ind w:left="894" w:right="0" w:firstLine="0"/>
        <w:jc w:val="left"/>
        <w:rPr>
          <w:sz w:val="14"/>
        </w:rPr>
      </w:pPr>
      <w:r>
        <w:rPr>
          <w:sz w:val="14"/>
          <w:u w:val="single"/>
        </w:rPr>
        <w:t>Whole-economy </w:t>
      </w:r>
      <w:r>
        <w:rPr>
          <w:sz w:val="14"/>
        </w:rPr>
        <w:t>   </w:t>
      </w:r>
      <w:r>
        <w:rPr>
          <w:spacing w:val="22"/>
          <w:sz w:val="14"/>
          <w:u w:val="single"/>
        </w:rPr>
        <w:t> </w:t>
      </w:r>
      <w:r>
        <w:rPr>
          <w:sz w:val="14"/>
          <w:u w:val="single"/>
        </w:rPr>
        <w:t>Private</w:t>
      </w:r>
      <w:r>
        <w:rPr>
          <w:spacing w:val="-4"/>
          <w:sz w:val="14"/>
          <w:u w:val="single"/>
        </w:rPr>
        <w:t> </w:t>
      </w:r>
      <w:r>
        <w:rPr>
          <w:sz w:val="14"/>
          <w:u w:val="single"/>
        </w:rPr>
        <w:t>sector</w:t>
        <w:tab/>
      </w:r>
      <w:r>
        <w:rPr>
          <w:sz w:val="14"/>
        </w:rPr>
        <w:tab/>
      </w:r>
      <w:r>
        <w:rPr>
          <w:sz w:val="14"/>
          <w:u w:val="single"/>
        </w:rPr>
        <w:t>Public</w:t>
      </w:r>
      <w:r>
        <w:rPr>
          <w:spacing w:val="-11"/>
          <w:sz w:val="14"/>
          <w:u w:val="single"/>
        </w:rPr>
        <w:t> </w:t>
      </w:r>
      <w:r>
        <w:rPr>
          <w:sz w:val="14"/>
          <w:u w:val="single"/>
        </w:rPr>
        <w:t>sector</w:t>
        <w:tab/>
      </w:r>
    </w:p>
    <w:p>
      <w:pPr>
        <w:pStyle w:val="BodyText"/>
        <w:spacing w:before="5"/>
        <w:rPr>
          <w:sz w:val="20"/>
        </w:rPr>
      </w:pPr>
      <w:r>
        <w:rPr/>
        <w:br w:type="column"/>
      </w:r>
      <w:r>
        <w:rPr>
          <w:sz w:val="20"/>
        </w:rPr>
      </w:r>
    </w:p>
    <w:p>
      <w:pPr>
        <w:spacing w:line="242" w:lineRule="auto" w:before="0"/>
        <w:ind w:left="174" w:right="245" w:firstLine="0"/>
        <w:jc w:val="left"/>
        <w:rPr>
          <w:sz w:val="24"/>
        </w:rPr>
      </w:pPr>
      <w:r>
        <w:rPr>
          <w:sz w:val="24"/>
        </w:rPr>
        <w:t>growth. And regular pay growth recovered somewhat in May.</w:t>
      </w:r>
    </w:p>
    <w:p>
      <w:pPr>
        <w:pStyle w:val="BodyText"/>
        <w:spacing w:before="3"/>
        <w:rPr>
          <w:sz w:val="26"/>
        </w:rPr>
      </w:pPr>
    </w:p>
    <w:p>
      <w:pPr>
        <w:spacing w:line="242" w:lineRule="auto" w:before="0"/>
        <w:ind w:left="174" w:right="214" w:firstLine="0"/>
        <w:jc w:val="left"/>
        <w:rPr>
          <w:sz w:val="24"/>
        </w:rPr>
      </w:pPr>
      <w:r>
        <w:rPr>
          <w:sz w:val="24"/>
        </w:rPr>
        <w:t>As noted in the previous </w:t>
      </w:r>
      <w:r>
        <w:rPr>
          <w:i/>
          <w:sz w:val="24"/>
        </w:rPr>
        <w:t>Report</w:t>
      </w:r>
      <w:r>
        <w:rPr>
          <w:sz w:val="24"/>
        </w:rPr>
        <w:t>, the MPC judged that the rise in earnings growth around the New Year was likely to be temporary; and that earnings growth would slow markedly once the major bonus months and payments for millennium work had passed. In practice, earnings growth has slowed even more quickly than the Committee expected.</w:t>
      </w:r>
    </w:p>
    <w:p>
      <w:pPr>
        <w:pStyle w:val="BodyText"/>
        <w:spacing w:before="10"/>
        <w:rPr>
          <w:sz w:val="26"/>
        </w:rPr>
      </w:pPr>
    </w:p>
    <w:p>
      <w:pPr>
        <w:spacing w:line="242" w:lineRule="auto" w:before="0"/>
        <w:ind w:left="174" w:right="214" w:firstLine="0"/>
        <w:jc w:val="left"/>
        <w:rPr>
          <w:sz w:val="24"/>
        </w:rPr>
      </w:pPr>
      <w:r>
        <w:rPr>
          <w:sz w:val="24"/>
        </w:rPr>
        <w:t>It is possible that special payments around the millennium were larger than was previously thought. The magnitude of such payments cannot be directly measured—factors unrelated to the millennium could also have contributed to the rise in earnings growth around the New Year. But simple illustrative estimates based on smoothing actual AEI growth suggest that special payments could have raised earnings growth by</w:t>
      </w:r>
    </w:p>
    <w:p>
      <w:pPr>
        <w:spacing w:line="21" w:lineRule="exact" w:before="20"/>
        <w:ind w:left="721" w:right="0" w:firstLine="0"/>
        <w:jc w:val="left"/>
        <w:rPr>
          <w:sz w:val="12"/>
        </w:rPr>
      </w:pPr>
      <w:r>
        <w:rPr>
          <w:sz w:val="12"/>
        </w:rPr>
        <w:t>1</w:t>
      </w:r>
    </w:p>
    <w:p>
      <w:pPr>
        <w:spacing w:after="0" w:line="21" w:lineRule="exact"/>
        <w:jc w:val="left"/>
        <w:rPr>
          <w:sz w:val="12"/>
        </w:rPr>
        <w:sectPr>
          <w:type w:val="continuous"/>
          <w:pgSz w:w="11900" w:h="16840"/>
          <w:pgMar w:top="1260" w:bottom="280" w:left="640" w:right="640"/>
          <w:cols w:num="2" w:equalWidth="0">
            <w:col w:w="4371" w:space="425"/>
            <w:col w:w="5824"/>
          </w:cols>
        </w:sectPr>
      </w:pPr>
    </w:p>
    <w:p>
      <w:pPr>
        <w:spacing w:line="246" w:lineRule="exact" w:before="0"/>
        <w:ind w:left="4969" w:right="0" w:firstLine="0"/>
        <w:jc w:val="left"/>
        <w:rPr>
          <w:sz w:val="24"/>
        </w:rPr>
      </w:pPr>
      <w:r>
        <w:rPr/>
        <w:pict>
          <v:shape style="position:absolute;margin-left:38.218498pt;margin-top:5.678858pt;width:213.5pt;height:48.8pt;mso-position-horizontal-relative:page;mso-position-vertical-relative:paragraph;z-index:1617100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3"/>
                    <w:gridCol w:w="603"/>
                    <w:gridCol w:w="600"/>
                    <w:gridCol w:w="568"/>
                    <w:gridCol w:w="637"/>
                    <w:gridCol w:w="590"/>
                    <w:gridCol w:w="609"/>
                  </w:tblGrid>
                  <w:tr>
                    <w:trPr>
                      <w:trHeight w:val="347" w:hRule="atLeast"/>
                    </w:trPr>
                    <w:tc>
                      <w:tcPr>
                        <w:tcW w:w="663" w:type="dxa"/>
                      </w:tcPr>
                      <w:p>
                        <w:pPr>
                          <w:pStyle w:val="TableParagraph"/>
                          <w:spacing w:line="240" w:lineRule="auto" w:before="134"/>
                          <w:ind w:left="50"/>
                          <w:rPr>
                            <w:sz w:val="14"/>
                          </w:rPr>
                        </w:pPr>
                        <w:r>
                          <w:rPr>
                            <w:sz w:val="14"/>
                          </w:rPr>
                          <w:t>2000</w:t>
                        </w:r>
                      </w:p>
                    </w:tc>
                    <w:tc>
                      <w:tcPr>
                        <w:tcW w:w="603" w:type="dxa"/>
                      </w:tcPr>
                      <w:p>
                        <w:pPr>
                          <w:pStyle w:val="TableParagraph"/>
                          <w:tabs>
                            <w:tab w:pos="542" w:val="left" w:leader="none"/>
                          </w:tabs>
                          <w:spacing w:line="208" w:lineRule="auto" w:before="11"/>
                          <w:ind w:left="106" w:right="54"/>
                          <w:rPr>
                            <w:sz w:val="14"/>
                          </w:rPr>
                        </w:pPr>
                        <w:r>
                          <w:rPr>
                            <w:spacing w:val="-1"/>
                            <w:sz w:val="14"/>
                          </w:rPr>
                          <w:t>Regular </w:t>
                        </w:r>
                        <w:r>
                          <w:rPr>
                            <w:sz w:val="14"/>
                            <w:u w:val="single"/>
                          </w:rPr>
                          <w:t>pay</w:t>
                          <w:tab/>
                        </w:r>
                      </w:p>
                    </w:tc>
                    <w:tc>
                      <w:tcPr>
                        <w:tcW w:w="600" w:type="dxa"/>
                      </w:tcPr>
                      <w:p>
                        <w:pPr>
                          <w:pStyle w:val="TableParagraph"/>
                          <w:spacing w:line="208" w:lineRule="auto" w:before="11"/>
                          <w:ind w:left="53"/>
                          <w:rPr>
                            <w:sz w:val="12"/>
                          </w:rPr>
                        </w:pPr>
                        <w:r>
                          <w:rPr>
                            <w:sz w:val="14"/>
                          </w:rPr>
                          <w:t>Bonus </w:t>
                        </w:r>
                        <w:r>
                          <w:rPr>
                            <w:sz w:val="14"/>
                            <w:u w:val="single"/>
                          </w:rPr>
                          <w:t>effect </w:t>
                        </w:r>
                        <w:r>
                          <w:rPr>
                            <w:sz w:val="12"/>
                            <w:u w:val="single"/>
                          </w:rPr>
                          <w:t>(b</w:t>
                        </w:r>
                        <w:r>
                          <w:rPr>
                            <w:sz w:val="12"/>
                          </w:rPr>
                          <w:t>)</w:t>
                        </w:r>
                      </w:p>
                    </w:tc>
                    <w:tc>
                      <w:tcPr>
                        <w:tcW w:w="568" w:type="dxa"/>
                      </w:tcPr>
                      <w:p>
                        <w:pPr>
                          <w:pStyle w:val="TableParagraph"/>
                          <w:tabs>
                            <w:tab w:pos="499" w:val="left" w:leader="none"/>
                          </w:tabs>
                          <w:spacing w:line="208" w:lineRule="auto" w:before="11"/>
                          <w:ind w:left="54" w:right="66" w:hanging="1"/>
                          <w:rPr>
                            <w:sz w:val="14"/>
                          </w:rPr>
                        </w:pPr>
                        <w:r>
                          <w:rPr>
                            <w:sz w:val="14"/>
                          </w:rPr>
                          <w:t>Regular </w:t>
                        </w:r>
                        <w:r>
                          <w:rPr>
                            <w:sz w:val="14"/>
                            <w:u w:val="single"/>
                          </w:rPr>
                          <w:t>pay</w:t>
                          <w:tab/>
                        </w:r>
                      </w:p>
                    </w:tc>
                    <w:tc>
                      <w:tcPr>
                        <w:tcW w:w="637" w:type="dxa"/>
                      </w:tcPr>
                      <w:p>
                        <w:pPr>
                          <w:pStyle w:val="TableParagraph"/>
                          <w:spacing w:line="208" w:lineRule="auto" w:before="11"/>
                          <w:ind w:left="65" w:hanging="1"/>
                          <w:rPr>
                            <w:sz w:val="12"/>
                          </w:rPr>
                        </w:pPr>
                        <w:r>
                          <w:rPr>
                            <w:sz w:val="14"/>
                          </w:rPr>
                          <w:t>Bonus </w:t>
                        </w:r>
                        <w:r>
                          <w:rPr>
                            <w:sz w:val="14"/>
                            <w:u w:val="single"/>
                          </w:rPr>
                          <w:t>effect </w:t>
                        </w:r>
                        <w:r>
                          <w:rPr>
                            <w:sz w:val="12"/>
                            <w:u w:val="single"/>
                          </w:rPr>
                          <w:t>(b</w:t>
                        </w:r>
                        <w:r>
                          <w:rPr>
                            <w:sz w:val="12"/>
                          </w:rPr>
                          <w:t>)</w:t>
                        </w:r>
                      </w:p>
                    </w:tc>
                    <w:tc>
                      <w:tcPr>
                        <w:tcW w:w="590" w:type="dxa"/>
                      </w:tcPr>
                      <w:p>
                        <w:pPr>
                          <w:pStyle w:val="TableParagraph"/>
                          <w:tabs>
                            <w:tab w:pos="514" w:val="left" w:leader="none"/>
                          </w:tabs>
                          <w:spacing w:line="208" w:lineRule="auto" w:before="11"/>
                          <w:ind w:left="79" w:right="68" w:hanging="1"/>
                          <w:rPr>
                            <w:sz w:val="14"/>
                          </w:rPr>
                        </w:pPr>
                        <w:r>
                          <w:rPr>
                            <w:spacing w:val="-1"/>
                            <w:sz w:val="14"/>
                          </w:rPr>
                          <w:t>Regular </w:t>
                        </w:r>
                        <w:r>
                          <w:rPr>
                            <w:sz w:val="14"/>
                            <w:u w:val="single"/>
                          </w:rPr>
                          <w:t>pay</w:t>
                          <w:tab/>
                        </w:r>
                      </w:p>
                    </w:tc>
                    <w:tc>
                      <w:tcPr>
                        <w:tcW w:w="609" w:type="dxa"/>
                      </w:tcPr>
                      <w:p>
                        <w:pPr>
                          <w:pStyle w:val="TableParagraph"/>
                          <w:spacing w:line="208" w:lineRule="auto" w:before="11"/>
                          <w:ind w:left="68" w:hanging="1"/>
                          <w:rPr>
                            <w:sz w:val="12"/>
                          </w:rPr>
                        </w:pPr>
                        <w:r>
                          <w:rPr>
                            <w:sz w:val="14"/>
                          </w:rPr>
                          <w:t>Bonus </w:t>
                        </w:r>
                        <w:r>
                          <w:rPr>
                            <w:sz w:val="14"/>
                            <w:u w:val="single"/>
                          </w:rPr>
                          <w:t>effect </w:t>
                        </w:r>
                        <w:r>
                          <w:rPr>
                            <w:sz w:val="12"/>
                            <w:u w:val="single"/>
                          </w:rPr>
                          <w:t>(b</w:t>
                        </w:r>
                        <w:r>
                          <w:rPr>
                            <w:sz w:val="12"/>
                          </w:rPr>
                          <w:t>)</w:t>
                        </w:r>
                      </w:p>
                    </w:tc>
                  </w:tr>
                  <w:tr>
                    <w:trPr>
                      <w:trHeight w:val="199" w:hRule="atLeast"/>
                    </w:trPr>
                    <w:tc>
                      <w:tcPr>
                        <w:tcW w:w="663" w:type="dxa"/>
                      </w:tcPr>
                      <w:p>
                        <w:pPr>
                          <w:pStyle w:val="TableParagraph"/>
                          <w:spacing w:line="133" w:lineRule="exact" w:before="46"/>
                          <w:ind w:left="50"/>
                          <w:rPr>
                            <w:sz w:val="14"/>
                          </w:rPr>
                        </w:pPr>
                        <w:r>
                          <w:rPr>
                            <w:sz w:val="14"/>
                          </w:rPr>
                          <w:t>February</w:t>
                        </w:r>
                      </w:p>
                    </w:tc>
                    <w:tc>
                      <w:tcPr>
                        <w:tcW w:w="603" w:type="dxa"/>
                      </w:tcPr>
                      <w:p>
                        <w:pPr>
                          <w:pStyle w:val="TableParagraph"/>
                          <w:spacing w:line="133" w:lineRule="exact" w:before="46"/>
                          <w:ind w:left="112"/>
                          <w:rPr>
                            <w:sz w:val="14"/>
                          </w:rPr>
                        </w:pPr>
                        <w:r>
                          <w:rPr>
                            <w:sz w:val="14"/>
                          </w:rPr>
                          <w:t>5.1</w:t>
                        </w:r>
                      </w:p>
                    </w:tc>
                    <w:tc>
                      <w:tcPr>
                        <w:tcW w:w="600" w:type="dxa"/>
                      </w:tcPr>
                      <w:p>
                        <w:pPr>
                          <w:pStyle w:val="TableParagraph"/>
                          <w:spacing w:line="133" w:lineRule="exact" w:before="46"/>
                          <w:ind w:left="109"/>
                          <w:rPr>
                            <w:sz w:val="14"/>
                          </w:rPr>
                        </w:pPr>
                        <w:r>
                          <w:rPr>
                            <w:sz w:val="14"/>
                          </w:rPr>
                          <w:t>0.6</w:t>
                        </w:r>
                      </w:p>
                    </w:tc>
                    <w:tc>
                      <w:tcPr>
                        <w:tcW w:w="568" w:type="dxa"/>
                      </w:tcPr>
                      <w:p>
                        <w:pPr>
                          <w:pStyle w:val="TableParagraph"/>
                          <w:spacing w:line="133" w:lineRule="exact" w:before="46"/>
                          <w:ind w:left="59"/>
                          <w:rPr>
                            <w:sz w:val="14"/>
                          </w:rPr>
                        </w:pPr>
                        <w:r>
                          <w:rPr>
                            <w:sz w:val="14"/>
                          </w:rPr>
                          <w:t>5.1</w:t>
                        </w:r>
                      </w:p>
                    </w:tc>
                    <w:tc>
                      <w:tcPr>
                        <w:tcW w:w="637" w:type="dxa"/>
                      </w:tcPr>
                      <w:p>
                        <w:pPr>
                          <w:pStyle w:val="TableParagraph"/>
                          <w:spacing w:line="133" w:lineRule="exact" w:before="46"/>
                          <w:ind w:left="121"/>
                          <w:rPr>
                            <w:sz w:val="14"/>
                          </w:rPr>
                        </w:pPr>
                        <w:r>
                          <w:rPr>
                            <w:sz w:val="14"/>
                          </w:rPr>
                          <w:t>0.8</w:t>
                        </w:r>
                      </w:p>
                    </w:tc>
                    <w:tc>
                      <w:tcPr>
                        <w:tcW w:w="590" w:type="dxa"/>
                      </w:tcPr>
                      <w:p>
                        <w:pPr>
                          <w:pStyle w:val="TableParagraph"/>
                          <w:spacing w:line="133" w:lineRule="exact" w:before="46"/>
                          <w:ind w:left="94"/>
                          <w:rPr>
                            <w:sz w:val="14"/>
                          </w:rPr>
                        </w:pPr>
                        <w:r>
                          <w:rPr>
                            <w:sz w:val="14"/>
                          </w:rPr>
                          <w:t>4.8</w:t>
                        </w:r>
                      </w:p>
                    </w:tc>
                    <w:tc>
                      <w:tcPr>
                        <w:tcW w:w="609" w:type="dxa"/>
                      </w:tcPr>
                      <w:p>
                        <w:pPr>
                          <w:pStyle w:val="TableParagraph"/>
                          <w:spacing w:line="133" w:lineRule="exact" w:before="46"/>
                          <w:ind w:left="74"/>
                          <w:rPr>
                            <w:sz w:val="14"/>
                          </w:rPr>
                        </w:pPr>
                        <w:r>
                          <w:rPr>
                            <w:sz w:val="14"/>
                          </w:rPr>
                          <w:t>0.0</w:t>
                        </w:r>
                      </w:p>
                    </w:tc>
                  </w:tr>
                  <w:tr>
                    <w:trPr>
                      <w:trHeight w:val="140" w:hRule="atLeast"/>
                    </w:trPr>
                    <w:tc>
                      <w:tcPr>
                        <w:tcW w:w="663" w:type="dxa"/>
                      </w:tcPr>
                      <w:p>
                        <w:pPr>
                          <w:pStyle w:val="TableParagraph"/>
                          <w:ind w:left="50"/>
                          <w:rPr>
                            <w:sz w:val="14"/>
                          </w:rPr>
                        </w:pPr>
                        <w:r>
                          <w:rPr>
                            <w:sz w:val="14"/>
                          </w:rPr>
                          <w:t>March</w:t>
                        </w:r>
                      </w:p>
                    </w:tc>
                    <w:tc>
                      <w:tcPr>
                        <w:tcW w:w="603" w:type="dxa"/>
                      </w:tcPr>
                      <w:p>
                        <w:pPr>
                          <w:pStyle w:val="TableParagraph"/>
                          <w:ind w:left="112"/>
                          <w:rPr>
                            <w:sz w:val="14"/>
                          </w:rPr>
                        </w:pPr>
                        <w:r>
                          <w:rPr>
                            <w:sz w:val="14"/>
                          </w:rPr>
                          <w:t>4.7</w:t>
                        </w:r>
                      </w:p>
                    </w:tc>
                    <w:tc>
                      <w:tcPr>
                        <w:tcW w:w="600" w:type="dxa"/>
                      </w:tcPr>
                      <w:p>
                        <w:pPr>
                          <w:pStyle w:val="TableParagraph"/>
                          <w:ind w:left="109"/>
                          <w:rPr>
                            <w:sz w:val="14"/>
                          </w:rPr>
                        </w:pPr>
                        <w:r>
                          <w:rPr>
                            <w:sz w:val="14"/>
                          </w:rPr>
                          <w:t>0.9</w:t>
                        </w:r>
                      </w:p>
                    </w:tc>
                    <w:tc>
                      <w:tcPr>
                        <w:tcW w:w="568" w:type="dxa"/>
                      </w:tcPr>
                      <w:p>
                        <w:pPr>
                          <w:pStyle w:val="TableParagraph"/>
                          <w:ind w:left="59"/>
                          <w:rPr>
                            <w:sz w:val="14"/>
                          </w:rPr>
                        </w:pPr>
                        <w:r>
                          <w:rPr>
                            <w:sz w:val="14"/>
                          </w:rPr>
                          <w:t>4.9</w:t>
                        </w:r>
                      </w:p>
                    </w:tc>
                    <w:tc>
                      <w:tcPr>
                        <w:tcW w:w="637" w:type="dxa"/>
                      </w:tcPr>
                      <w:p>
                        <w:pPr>
                          <w:pStyle w:val="TableParagraph"/>
                          <w:ind w:left="121"/>
                          <w:rPr>
                            <w:sz w:val="14"/>
                          </w:rPr>
                        </w:pPr>
                        <w:r>
                          <w:rPr>
                            <w:sz w:val="14"/>
                          </w:rPr>
                          <w:t>1.1</w:t>
                        </w:r>
                      </w:p>
                    </w:tc>
                    <w:tc>
                      <w:tcPr>
                        <w:tcW w:w="590" w:type="dxa"/>
                      </w:tcPr>
                      <w:p>
                        <w:pPr>
                          <w:pStyle w:val="TableParagraph"/>
                          <w:ind w:left="94"/>
                          <w:rPr>
                            <w:sz w:val="14"/>
                          </w:rPr>
                        </w:pPr>
                        <w:r>
                          <w:rPr>
                            <w:sz w:val="14"/>
                          </w:rPr>
                          <w:t>4.2</w:t>
                        </w:r>
                      </w:p>
                    </w:tc>
                    <w:tc>
                      <w:tcPr>
                        <w:tcW w:w="609" w:type="dxa"/>
                      </w:tcPr>
                      <w:p>
                        <w:pPr>
                          <w:pStyle w:val="TableParagraph"/>
                          <w:ind w:left="74"/>
                          <w:rPr>
                            <w:sz w:val="14"/>
                          </w:rPr>
                        </w:pPr>
                        <w:r>
                          <w:rPr>
                            <w:sz w:val="14"/>
                          </w:rPr>
                          <w:t>0.0</w:t>
                        </w:r>
                      </w:p>
                    </w:tc>
                  </w:tr>
                  <w:tr>
                    <w:trPr>
                      <w:trHeight w:val="140" w:hRule="atLeast"/>
                    </w:trPr>
                    <w:tc>
                      <w:tcPr>
                        <w:tcW w:w="663" w:type="dxa"/>
                      </w:tcPr>
                      <w:p>
                        <w:pPr>
                          <w:pStyle w:val="TableParagraph"/>
                          <w:ind w:left="50"/>
                          <w:rPr>
                            <w:sz w:val="14"/>
                          </w:rPr>
                        </w:pPr>
                        <w:r>
                          <w:rPr>
                            <w:sz w:val="14"/>
                          </w:rPr>
                          <w:t>April</w:t>
                        </w:r>
                      </w:p>
                    </w:tc>
                    <w:tc>
                      <w:tcPr>
                        <w:tcW w:w="603" w:type="dxa"/>
                      </w:tcPr>
                      <w:p>
                        <w:pPr>
                          <w:pStyle w:val="TableParagraph"/>
                          <w:ind w:left="112"/>
                          <w:rPr>
                            <w:sz w:val="14"/>
                          </w:rPr>
                        </w:pPr>
                        <w:r>
                          <w:rPr>
                            <w:sz w:val="14"/>
                          </w:rPr>
                          <w:t>4.4</w:t>
                        </w:r>
                      </w:p>
                    </w:tc>
                    <w:tc>
                      <w:tcPr>
                        <w:tcW w:w="600" w:type="dxa"/>
                      </w:tcPr>
                      <w:p>
                        <w:pPr>
                          <w:pStyle w:val="TableParagraph"/>
                          <w:ind w:left="109"/>
                          <w:rPr>
                            <w:sz w:val="14"/>
                          </w:rPr>
                        </w:pPr>
                        <w:r>
                          <w:rPr>
                            <w:sz w:val="14"/>
                          </w:rPr>
                          <w:t>0.0</w:t>
                        </w:r>
                      </w:p>
                    </w:tc>
                    <w:tc>
                      <w:tcPr>
                        <w:tcW w:w="568" w:type="dxa"/>
                      </w:tcPr>
                      <w:p>
                        <w:pPr>
                          <w:pStyle w:val="TableParagraph"/>
                          <w:ind w:left="59"/>
                          <w:rPr>
                            <w:sz w:val="14"/>
                          </w:rPr>
                        </w:pPr>
                        <w:r>
                          <w:rPr>
                            <w:sz w:val="14"/>
                          </w:rPr>
                          <w:t>4.4</w:t>
                        </w:r>
                      </w:p>
                    </w:tc>
                    <w:tc>
                      <w:tcPr>
                        <w:tcW w:w="637" w:type="dxa"/>
                      </w:tcPr>
                      <w:p>
                        <w:pPr>
                          <w:pStyle w:val="TableParagraph"/>
                          <w:ind w:left="121"/>
                          <w:rPr>
                            <w:sz w:val="14"/>
                          </w:rPr>
                        </w:pPr>
                        <w:r>
                          <w:rPr>
                            <w:sz w:val="14"/>
                          </w:rPr>
                          <w:t>0.0</w:t>
                        </w:r>
                      </w:p>
                    </w:tc>
                    <w:tc>
                      <w:tcPr>
                        <w:tcW w:w="590" w:type="dxa"/>
                      </w:tcPr>
                      <w:p>
                        <w:pPr>
                          <w:pStyle w:val="TableParagraph"/>
                          <w:ind w:left="94"/>
                          <w:rPr>
                            <w:sz w:val="14"/>
                          </w:rPr>
                        </w:pPr>
                        <w:r>
                          <w:rPr>
                            <w:sz w:val="14"/>
                          </w:rPr>
                          <w:t>4.4</w:t>
                        </w:r>
                      </w:p>
                    </w:tc>
                    <w:tc>
                      <w:tcPr>
                        <w:tcW w:w="609" w:type="dxa"/>
                      </w:tcPr>
                      <w:p>
                        <w:pPr>
                          <w:pStyle w:val="TableParagraph"/>
                          <w:ind w:left="74"/>
                          <w:rPr>
                            <w:sz w:val="14"/>
                          </w:rPr>
                        </w:pPr>
                        <w:r>
                          <w:rPr>
                            <w:sz w:val="14"/>
                          </w:rPr>
                          <w:t>0.1</w:t>
                        </w:r>
                      </w:p>
                    </w:tc>
                  </w:tr>
                  <w:tr>
                    <w:trPr>
                      <w:trHeight w:val="147" w:hRule="atLeast"/>
                    </w:trPr>
                    <w:tc>
                      <w:tcPr>
                        <w:tcW w:w="663" w:type="dxa"/>
                      </w:tcPr>
                      <w:p>
                        <w:pPr>
                          <w:pStyle w:val="TableParagraph"/>
                          <w:spacing w:line="128" w:lineRule="exact"/>
                          <w:ind w:left="50"/>
                          <w:rPr>
                            <w:sz w:val="14"/>
                          </w:rPr>
                        </w:pPr>
                        <w:r>
                          <w:rPr>
                            <w:sz w:val="14"/>
                          </w:rPr>
                          <w:t>May</w:t>
                        </w:r>
                      </w:p>
                    </w:tc>
                    <w:tc>
                      <w:tcPr>
                        <w:tcW w:w="603" w:type="dxa"/>
                      </w:tcPr>
                      <w:p>
                        <w:pPr>
                          <w:pStyle w:val="TableParagraph"/>
                          <w:spacing w:line="128" w:lineRule="exact"/>
                          <w:ind w:left="112"/>
                          <w:rPr>
                            <w:sz w:val="14"/>
                          </w:rPr>
                        </w:pPr>
                        <w:r>
                          <w:rPr>
                            <w:sz w:val="14"/>
                          </w:rPr>
                          <w:t>4.6</w:t>
                        </w:r>
                      </w:p>
                    </w:tc>
                    <w:tc>
                      <w:tcPr>
                        <w:tcW w:w="600" w:type="dxa"/>
                      </w:tcPr>
                      <w:p>
                        <w:pPr>
                          <w:pStyle w:val="TableParagraph"/>
                          <w:spacing w:line="128" w:lineRule="exact"/>
                          <w:ind w:left="62"/>
                          <w:rPr>
                            <w:sz w:val="14"/>
                          </w:rPr>
                        </w:pPr>
                        <w:r>
                          <w:rPr>
                            <w:sz w:val="14"/>
                          </w:rPr>
                          <w:t>-0.7</w:t>
                        </w:r>
                      </w:p>
                    </w:tc>
                    <w:tc>
                      <w:tcPr>
                        <w:tcW w:w="568" w:type="dxa"/>
                      </w:tcPr>
                      <w:p>
                        <w:pPr>
                          <w:pStyle w:val="TableParagraph"/>
                          <w:spacing w:line="128" w:lineRule="exact"/>
                          <w:ind w:left="59"/>
                          <w:rPr>
                            <w:sz w:val="14"/>
                          </w:rPr>
                        </w:pPr>
                        <w:r>
                          <w:rPr>
                            <w:sz w:val="14"/>
                          </w:rPr>
                          <w:t>4.9</w:t>
                        </w:r>
                      </w:p>
                    </w:tc>
                    <w:tc>
                      <w:tcPr>
                        <w:tcW w:w="637" w:type="dxa"/>
                      </w:tcPr>
                      <w:p>
                        <w:pPr>
                          <w:pStyle w:val="TableParagraph"/>
                          <w:spacing w:line="128" w:lineRule="exact"/>
                          <w:ind w:left="74"/>
                          <w:rPr>
                            <w:sz w:val="14"/>
                          </w:rPr>
                        </w:pPr>
                        <w:r>
                          <w:rPr>
                            <w:sz w:val="14"/>
                          </w:rPr>
                          <w:t>-0.9</w:t>
                        </w:r>
                      </w:p>
                    </w:tc>
                    <w:tc>
                      <w:tcPr>
                        <w:tcW w:w="590" w:type="dxa"/>
                      </w:tcPr>
                      <w:p>
                        <w:pPr>
                          <w:pStyle w:val="TableParagraph"/>
                          <w:spacing w:line="128" w:lineRule="exact"/>
                          <w:ind w:left="94"/>
                          <w:rPr>
                            <w:sz w:val="14"/>
                          </w:rPr>
                        </w:pPr>
                        <w:r>
                          <w:rPr>
                            <w:sz w:val="14"/>
                          </w:rPr>
                          <w:t>3.3</w:t>
                        </w:r>
                      </w:p>
                    </w:tc>
                    <w:tc>
                      <w:tcPr>
                        <w:tcW w:w="609" w:type="dxa"/>
                      </w:tcPr>
                      <w:p>
                        <w:pPr>
                          <w:pStyle w:val="TableParagraph"/>
                          <w:spacing w:line="128" w:lineRule="exact"/>
                          <w:ind w:left="74"/>
                          <w:rPr>
                            <w:sz w:val="14"/>
                          </w:rPr>
                        </w:pPr>
                        <w:r>
                          <w:rPr>
                            <w:sz w:val="14"/>
                          </w:rPr>
                          <w:t>0.0</w:t>
                        </w:r>
                      </w:p>
                    </w:tc>
                  </w:tr>
                </w:tbl>
                <w:p>
                  <w:pPr>
                    <w:pStyle w:val="BodyText"/>
                  </w:pPr>
                </w:p>
              </w:txbxContent>
            </v:textbox>
            <w10:wrap type="none"/>
          </v:shape>
        </w:pict>
      </w:r>
      <w:r>
        <w:rPr>
          <w:sz w:val="24"/>
        </w:rPr>
        <w:t>up to /</w:t>
      </w:r>
      <w:r>
        <w:rPr>
          <w:sz w:val="12"/>
        </w:rPr>
        <w:t>2 </w:t>
      </w:r>
      <w:r>
        <w:rPr>
          <w:sz w:val="24"/>
        </w:rPr>
        <w:t>percentage point in 1999 Q4 and by up to</w:t>
      </w:r>
    </w:p>
    <w:p>
      <w:pPr>
        <w:spacing w:after="0" w:line="246" w:lineRule="exact"/>
        <w:jc w:val="left"/>
        <w:rPr>
          <w:sz w:val="24"/>
        </w:rPr>
        <w:sectPr>
          <w:type w:val="continuous"/>
          <w:pgSz w:w="11900" w:h="16840"/>
          <w:pgMar w:top="1260" w:bottom="28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1"/>
        </w:rPr>
      </w:pPr>
    </w:p>
    <w:p>
      <w:pPr>
        <w:pStyle w:val="ListParagraph"/>
        <w:numPr>
          <w:ilvl w:val="0"/>
          <w:numId w:val="26"/>
        </w:numPr>
        <w:tabs>
          <w:tab w:pos="361" w:val="left" w:leader="none"/>
        </w:tabs>
        <w:spacing w:line="129" w:lineRule="exact" w:before="0" w:after="0"/>
        <w:ind w:left="360" w:right="0" w:hanging="187"/>
        <w:jc w:val="left"/>
        <w:rPr>
          <w:sz w:val="12"/>
        </w:rPr>
      </w:pPr>
      <w:r>
        <w:rPr>
          <w:sz w:val="12"/>
        </w:rPr>
        <w:t>Annual changes. Not seasonally</w:t>
      </w:r>
      <w:r>
        <w:rPr>
          <w:spacing w:val="5"/>
          <w:sz w:val="12"/>
        </w:rPr>
        <w:t> </w:t>
      </w:r>
      <w:r>
        <w:rPr>
          <w:sz w:val="12"/>
        </w:rPr>
        <w:t>adjusted.</w:t>
      </w:r>
    </w:p>
    <w:p>
      <w:pPr>
        <w:pStyle w:val="ListParagraph"/>
        <w:numPr>
          <w:ilvl w:val="0"/>
          <w:numId w:val="26"/>
        </w:numPr>
        <w:tabs>
          <w:tab w:pos="375" w:val="left" w:leader="none"/>
        </w:tabs>
        <w:spacing w:line="129" w:lineRule="exact" w:before="0" w:after="0"/>
        <w:ind w:left="374" w:right="0" w:hanging="201"/>
        <w:jc w:val="left"/>
        <w:rPr>
          <w:sz w:val="12"/>
        </w:rPr>
      </w:pPr>
      <w:r>
        <w:rPr>
          <w:sz w:val="12"/>
        </w:rPr>
        <w:t>Percentage</w:t>
      </w:r>
      <w:r>
        <w:rPr>
          <w:spacing w:val="-2"/>
          <w:sz w:val="12"/>
        </w:rPr>
        <w:t> </w:t>
      </w:r>
      <w:r>
        <w:rPr>
          <w:sz w:val="12"/>
        </w:rPr>
        <w:t>points.</w:t>
      </w:r>
    </w:p>
    <w:p>
      <w:pPr>
        <w:spacing w:line="242" w:lineRule="auto" w:before="4"/>
        <w:ind w:left="174" w:right="225" w:firstLine="0"/>
        <w:jc w:val="left"/>
        <w:rPr>
          <w:sz w:val="24"/>
        </w:rPr>
      </w:pPr>
      <w:r>
        <w:rPr/>
        <w:br w:type="column"/>
      </w:r>
      <w:r>
        <w:rPr>
          <w:sz w:val="24"/>
        </w:rPr>
        <w:t>1 percentage point in 2000 Q1. Such estimates imply that underlying earnings growth, which abstracts from the one-off millennium payments, may have fallen a little from rates of just below 5% in the autumn to just above 4</w:t>
      </w:r>
      <w:r>
        <w:rPr>
          <w:position w:val="8"/>
          <w:sz w:val="12"/>
        </w:rPr>
        <w:t>1</w:t>
      </w:r>
      <w:r>
        <w:rPr>
          <w:sz w:val="24"/>
        </w:rPr>
        <w:t>/</w:t>
      </w:r>
      <w:r>
        <w:rPr>
          <w:sz w:val="12"/>
        </w:rPr>
        <w:t>2</w:t>
      </w:r>
      <w:r>
        <w:rPr>
          <w:sz w:val="24"/>
        </w:rPr>
        <w:t>%.</w:t>
      </w:r>
    </w:p>
    <w:p>
      <w:pPr>
        <w:pStyle w:val="BodyText"/>
        <w:spacing w:before="4"/>
        <w:rPr>
          <w:sz w:val="28"/>
        </w:rPr>
      </w:pPr>
    </w:p>
    <w:p>
      <w:pPr>
        <w:spacing w:line="242" w:lineRule="auto" w:before="0"/>
        <w:ind w:left="174" w:right="86" w:firstLine="0"/>
        <w:jc w:val="left"/>
        <w:rPr>
          <w:sz w:val="24"/>
        </w:rPr>
      </w:pPr>
      <w:r>
        <w:rPr>
          <w:sz w:val="24"/>
        </w:rPr>
        <w:t>The AEI measures earnings per employee. Another way of examining pay developments is to estimate the growth rate of earnings per hour worked—by subtracting the growth of average hours worked from AEI growth. This measure is, however, subject to considerable uncertainty because average hours worked are measured imprecisely and the calculation fails to take account of any compositional changes across different sectors. Inferred earnings per hour have generally grown faster than earnings per employee since the second quarter of 1999—because average hours worked fell over that period. Estimated headline earnings per hour growth reached a peak of around 7% in March, before falling to just over 6% in May—reflecting the decline in headline AEI growth over the period.</w:t>
      </w:r>
    </w:p>
    <w:p>
      <w:pPr>
        <w:pStyle w:val="BodyText"/>
        <w:spacing w:before="5"/>
        <w:rPr>
          <w:sz w:val="29"/>
        </w:rPr>
      </w:pPr>
    </w:p>
    <w:p>
      <w:pPr>
        <w:spacing w:line="242" w:lineRule="auto" w:before="1"/>
        <w:ind w:left="174" w:right="152" w:firstLine="0"/>
        <w:jc w:val="left"/>
        <w:rPr>
          <w:sz w:val="24"/>
        </w:rPr>
      </w:pPr>
      <w:r>
        <w:rPr>
          <w:sz w:val="24"/>
        </w:rPr>
        <w:t>Another way of examining earnings growth is to express it as the sum of wage settlements and wage drift. Wage drift includes factors such as overtime payments, bonuses, profit-related pay, individual merit awards, and compositional changes in the workforce. The Bank collects a sample of settlements and weights them to make them consistent with the AEI sample. Importantly, however, not all firms use settlements in the remuneration of their staff, which reduces the</w:t>
      </w:r>
    </w:p>
    <w:p>
      <w:pPr>
        <w:spacing w:after="0" w:line="242" w:lineRule="auto"/>
        <w:jc w:val="left"/>
        <w:rPr>
          <w:sz w:val="24"/>
        </w:rPr>
        <w:sectPr>
          <w:type w:val="continuous"/>
          <w:pgSz w:w="11900" w:h="16840"/>
          <w:pgMar w:top="1260" w:bottom="280" w:left="640" w:right="640"/>
          <w:cols w:num="2" w:equalWidth="0">
            <w:col w:w="2430" w:space="2365"/>
            <w:col w:w="5825"/>
          </w:cols>
        </w:sectPr>
      </w:pPr>
    </w:p>
    <w:p>
      <w:pPr>
        <w:pStyle w:val="BodyText"/>
        <w:rPr>
          <w:sz w:val="20"/>
        </w:rPr>
      </w:pPr>
    </w:p>
    <w:p>
      <w:pPr>
        <w:spacing w:after="0"/>
        <w:rPr>
          <w:sz w:val="20"/>
        </w:rPr>
        <w:sectPr>
          <w:pgSz w:w="11900" w:h="16840"/>
          <w:pgMar w:header="586" w:footer="612" w:top="800" w:bottom="800" w:left="640" w:right="640"/>
        </w:sectPr>
      </w:pPr>
    </w:p>
    <w:p>
      <w:pPr>
        <w:pStyle w:val="BodyText"/>
        <w:spacing w:before="1"/>
        <w:rPr>
          <w:sz w:val="20"/>
        </w:rPr>
      </w:pPr>
    </w:p>
    <w:p>
      <w:pPr>
        <w:pStyle w:val="Heading6"/>
        <w:spacing w:before="0"/>
        <w:ind w:left="175"/>
      </w:pPr>
      <w:r>
        <w:rPr>
          <w:color w:val="0092C7"/>
        </w:rPr>
        <w:t>Chart 3.10</w:t>
      </w:r>
    </w:p>
    <w:p>
      <w:pPr>
        <w:pStyle w:val="Heading6"/>
        <w:spacing w:line="249" w:lineRule="auto"/>
        <w:ind w:left="175"/>
      </w:pPr>
      <w:r>
        <w:rPr>
          <w:color w:val="0092C7"/>
        </w:rPr>
        <w:t>Settlements, nominal earnings growth and wage drift</w:t>
      </w:r>
    </w:p>
    <w:p>
      <w:pPr>
        <w:spacing w:before="81"/>
        <w:ind w:left="2974" w:right="0" w:firstLine="0"/>
        <w:jc w:val="left"/>
        <w:rPr>
          <w:sz w:val="12"/>
        </w:rPr>
      </w:pPr>
      <w:r>
        <w:rPr/>
        <w:pict>
          <v:group style="position:absolute;margin-left:40.841pt;margin-top:18.312071pt;width:159.4pt;height:133.65pt;mso-position-horizontal-relative:page;mso-position-vertical-relative:paragraph;z-index:16173568" coordorigin="817,366" coordsize="3188,2673">
            <v:line style="position:absolute" from="973,2732" to="3853,2732" stroked="true" strokeweight=".5pt" strokecolor="#000000">
              <v:stroke dashstyle="solid"/>
            </v:line>
            <v:shape style="position:absolute;left:968;top:709;width:623;height:605" coordorigin="968,710" coordsize="623,605" path="m968,947l991,957m991,957l1001,982m1001,982l1021,985m1021,982l1031,1030m1031,1030l1051,1065m1051,1065l1073,1090m1073,1090l1083,1052m1083,1052l1103,1195m1103,1195l1123,1172m1123,1172l1136,1147m1136,1147l1156,1065m1156,1065l1166,1112m1166,1112l1186,1172m1186,1172l1206,1230m1206,1230l1218,1315m1218,1315l1238,1230m1238,1230l1248,1172m1248,1172l1268,1052m1268,1052l1291,1135m1291,1135l1301,1112m1301,1112l1321,1090m1321,1090l1341,1052m1341,1052l1351,982m1351,982l1373,957m1373,957l1383,960m1383,957l1403,960m1403,957l1423,960m1423,957l1433,1005m1433,1005l1456,1030m1456,1030l1466,1005m1466,1005l1486,947m1486,947l1506,900m1506,900l1518,862m1518,862l1538,865m1538,862l1558,780m1558,780l1568,757m1568,757l1591,710e" filled="false" stroked="true" strokeweight="1pt" strokecolor="#006caa">
              <v:path arrowok="t"/>
              <v:stroke dashstyle="solid"/>
            </v:shape>
            <v:line style="position:absolute" from="1596,700" to="1596,802" stroked="true" strokeweight="1.5pt" strokecolor="#006caa">
              <v:stroke dashstyle="solid"/>
            </v:line>
            <v:shape style="position:absolute;left:1600;top:542;width:310;height:440" coordorigin="1601,542" coordsize="310,440" path="m1601,792l1621,780m1621,780l1641,792m1641,792l1651,780m1651,780l1673,840m1673,840l1693,875m1693,875l1703,840m1703,840l1723,780m1723,780l1733,732m1733,732l1756,900m1756,900l1776,957m1776,957l1786,982m1786,982l1806,840m1806,840l1818,842m1818,840l1838,732m1838,732l1858,627m1858,627l1868,590m1868,590l1891,542m1891,542l1911,615e" filled="false" stroked="true" strokeweight="1pt" strokecolor="#006caa">
              <v:path arrowok="t"/>
              <v:stroke dashstyle="solid"/>
            </v:shape>
            <v:line style="position:absolute" from="1916,605" to="1916,707" stroked="true" strokeweight="1.5pt" strokecolor="#006caa">
              <v:stroke dashstyle="solid"/>
            </v:line>
            <v:shape style="position:absolute;left:1920;top:697;width:73;height:95" coordorigin="1921,697" coordsize="73,95" path="m1921,697l1941,792m1941,792l1951,732m1951,732l1973,710m1973,710l1993,732e" filled="false" stroked="true" strokeweight="1pt" strokecolor="#006caa">
              <v:path arrowok="t"/>
              <v:stroke dashstyle="solid"/>
            </v:shape>
            <v:line style="position:absolute" from="1998,722" to="1998,850" stroked="true" strokeweight="1.5pt" strokecolor="#006caa">
              <v:stroke dashstyle="solid"/>
            </v:line>
            <v:shape style="position:absolute;left:2003;top:839;width:238;height:465" coordorigin="2003,840" coordsize="238,465" path="m2003,840l2023,922m2023,922l2033,982m2033,982l2056,1065m2056,1065l2076,1172m2076,1172l2086,1195m2086,1195l2106,1197m2106,1195l2128,1197m2128,1195l2138,1230m2138,1230l2158,1302m2158,1302l2168,1305m2168,1302l2191,1277m2191,1277l2211,1147m2211,1147l2221,1220m2221,1220l2241,1302e" filled="false" stroked="true" strokeweight="1pt" strokecolor="#006caa">
              <v:path arrowok="t"/>
              <v:stroke dashstyle="solid"/>
            </v:shape>
            <v:line style="position:absolute" from="2246,1292" to="2246,1477" stroked="true" strokeweight="1.5pt" strokecolor="#006caa">
              <v:stroke dashstyle="solid"/>
            </v:line>
            <v:shape style="position:absolute;left:2250;top:1467;width:135;height:415" coordorigin="2251,1467" coordsize="135,415" path="m2251,1467l2273,1480m2273,1480l2293,1550m2293,1550l2303,1610m2303,1610l2323,1645m2323,1645l2346,1692m2346,1692l2356,1740m2356,1740l2376,1825m2376,1825l2386,1882e" filled="false" stroked="true" strokeweight="1pt" strokecolor="#006caa">
              <v:path arrowok="t"/>
              <v:stroke dashstyle="solid"/>
            </v:shape>
            <v:line style="position:absolute" from="2396,1872" to="2396,2082" stroked="true" strokeweight="2pt" strokecolor="#006caa">
              <v:stroke dashstyle="solid"/>
            </v:line>
            <v:shape style="position:absolute;left:2405;top:2049;width:188;height:105" coordorigin="2406,2050" coordsize="188,105" path="m2406,2072l2428,2075m2428,2072l2438,2085m2438,2085l2458,2050m2458,2050l2468,2085m2468,2085l2488,2087m2488,2085l2511,2087m2511,2085l2521,2155m2521,2155l2541,2132m2541,2132l2561,2135m2561,2132l2573,2107m2573,2107l2593,2072e" filled="false" stroked="true" strokeweight="1pt" strokecolor="#006caa">
              <v:path arrowok="t"/>
              <v:stroke dashstyle="solid"/>
            </v:shape>
            <v:line style="position:absolute" from="2598,1955" to="2598,2082" stroked="true" strokeweight="1.5pt" strokecolor="#006caa">
              <v:stroke dashstyle="solid"/>
            </v:line>
            <v:shape style="position:absolute;left:2603;top:1479;width:1210;height:690" coordorigin="2603,1480" coordsize="1210,690" path="m2603,1965l2623,1990m2623,1990l2646,2002m2646,2002l2656,2005m2656,2002l2676,1990m2676,1990l2686,1942m2686,1942l2706,1965m2706,1965l2728,1942m2728,1942l2738,1990m2738,1990l2758,1992m2758,1990l2778,1992m2778,1990l2788,2002m2788,2002l2811,2005m2811,2002l2821,1965m2821,1965l2841,1990m2841,1990l2861,2050m2861,2050l2873,2132m2873,2132l2893,2167m2893,2167l2903,2170m2903,2167l2923,2155m2923,2155l2946,2107m2946,2107l2956,2110m2956,2107l2976,2110m2976,2107l2996,2110m2996,2107l3006,2110m3006,2107l3028,2072m3028,2072l3038,2085m3038,2085l3058,2025m3058,2025l3078,2002m3078,2002l3088,1965m3088,1965l3111,1917m3111,1917l3131,1920m3131,1917l3141,1920m3141,1917l3161,1920m3161,1917l3173,1860m3173,1860l3193,1882m3193,1882l3213,1860m3213,1860l3223,1907m3223,1907l3243,1882m3243,1882l3256,1917m3256,1917l3276,1907m3276,1907l3296,1860m3296,1860l3306,1862m3306,1860l3328,1825m3328,1825l3348,1800m3348,1800l3358,1740m3358,1740l3378,1717m3378,1717l3388,1692m3388,1692l3411,1695m3411,1692l3431,1635m3431,1635l3441,1562m3441,1562l3461,1550m3461,1550l3473,1562m3473,1562l3493,1645m3493,1645l3513,1647m3513,1645l3523,1717m3523,1717l3543,1740m3543,1740l3566,1800m3566,1800l3576,1825m3576,1825l3596,1800m3596,1800l3606,1740m3606,1740l3628,1777m3628,1777l3648,1835m3648,1835l3658,1800m3658,1800l3678,1777m3678,1777l3688,1717m3688,1717l3711,1752m3711,1752l3731,1717m3731,1717l3741,1720m3741,1717l3761,1587m3761,1587l3783,1505m3783,1505l3793,1480m3793,1480l3813,1550e" filled="false" stroked="true" strokeweight="1pt" strokecolor="#006caa">
              <v:path arrowok="t"/>
              <v:stroke dashstyle="solid"/>
            </v:shape>
            <v:line style="position:absolute" from="3818,1540" to="3818,1680" stroked="true" strokeweight="1.5pt" strokecolor="#006caa">
              <v:stroke dashstyle="solid"/>
            </v:line>
            <v:line style="position:absolute" from="3823,1670" to="3843,1777" stroked="true" strokeweight="1pt" strokecolor="#006caa">
              <v:stroke dashstyle="solid"/>
            </v:line>
            <v:shape style="position:absolute;left:968;top:1397;width:673;height:153" coordorigin="968,1397" coordsize="673,153" path="m968,1505l991,1507m991,1505l1001,1507m1001,1505l1021,1480m1021,1480l1031,1482m1031,1480l1051,1505m1051,1505l1073,1507m1073,1505l1083,1507m1083,1505l1103,1507m1103,1505l1123,1507m1123,1505l1136,1507m1136,1505l1156,1507m1156,1505l1166,1507m1166,1505l1186,1507m1186,1505l1206,1507m1206,1505l1218,1507m1218,1505l1238,1507m1238,1505l1248,1507m1248,1505l1268,1480m1268,1480l1291,1482m1291,1480l1301,1527m1301,1527l1321,1530m1321,1527l1341,1530m1341,1527l1351,1530m1351,1527l1373,1530m1373,1527l1383,1505m1383,1505l1403,1527m1403,1527l1423,1480m1423,1480l1433,1482m1433,1480l1456,1482m1456,1480l1466,1527m1466,1527l1486,1530m1486,1527l1506,1550m1506,1550l1518,1527m1518,1527l1538,1530m1538,1527l1558,1530m1558,1527l1568,1505m1568,1505l1591,1480m1591,1480l1601,1482m1601,1480l1621,1397m1621,1397l1641,1420e" filled="false" stroked="true" strokeweight="1pt" strokecolor="#acbc4a">
              <v:path arrowok="t"/>
              <v:stroke dashstyle="solid"/>
            </v:shape>
            <v:line style="position:absolute" from="1646,1305" to="1646,1430" stroked="true" strokeweight="1.5pt" strokecolor="#acbc4a">
              <v:stroke dashstyle="solid"/>
            </v:line>
            <v:shape style="position:absolute;left:1650;top:1064;width:155;height:250" coordorigin="1651,1065" coordsize="155,250" path="m1651,1315l1673,1302m1673,1302l1693,1230m1693,1230l1703,1172m1703,1172l1723,1175m1723,1172l1733,1147m1733,1147l1756,1150m1756,1147l1776,1065m1776,1065l1786,1067m1786,1065l1806,1067e" filled="false" stroked="true" strokeweight="1pt" strokecolor="#acbc4a">
              <v:path arrowok="t"/>
              <v:stroke dashstyle="solid"/>
            </v:shape>
            <v:line style="position:absolute" from="1812,947" to="1812,1075" stroked="true" strokeweight="1.625pt" strokecolor="#acbc4a">
              <v:stroke dashstyle="solid"/>
            </v:line>
            <v:shape style="position:absolute;left:1818;top:947;width:40;height:13" coordorigin="1818,947" coordsize="40,13" path="m1818,957l1838,960m1838,957l1858,947e" filled="false" stroked="true" strokeweight="1pt" strokecolor="#acbc4a">
              <v:path arrowok="t"/>
              <v:stroke dashstyle="solid"/>
            </v:shape>
            <v:line style="position:absolute" from="1863,852" to="1863,957" stroked="true" strokeweight="1.5pt" strokecolor="#acbc4a">
              <v:stroke dashstyle="solid"/>
            </v:line>
            <v:shape style="position:absolute;left:1868;top:792;width:425;height:798" coordorigin="1868,792" coordsize="425,798" path="m1868,862l1891,865m1891,862l1911,865m1911,862l1921,840m1921,840l1941,815m1941,815l1951,817m1951,815l1973,817m1973,815l1993,817m1993,815l2003,817m2003,815l2023,792m2023,792l2033,795m2033,792l2056,862m2056,862l2076,957m2076,957l2086,982m2086,982l2106,1147m2106,1147l2128,1150m2128,1147l2138,1220m2138,1220l2158,1315m2158,1315l2168,1385m2168,1385l2191,1387m2191,1385l2211,1420m2211,1420l2221,1467m2221,1467l2241,1480m2241,1480l2251,1482m2251,1480l2273,1587m2273,1587l2293,1590e" filled="false" stroked="true" strokeweight="1pt" strokecolor="#acbc4a">
              <v:path arrowok="t"/>
              <v:stroke dashstyle="solid"/>
            </v:shape>
            <v:line style="position:absolute" from="2298,1577" to="2298,1845" stroked="true" strokeweight="1.5pt" strokecolor="#acbc4a">
              <v:stroke dashstyle="solid"/>
            </v:line>
            <v:shape style="position:absolute;left:2303;top:1834;width:258;height:335" coordorigin="2303,1835" coordsize="258,335" path="m2303,1835l2323,1837m2323,1835l2346,1860m2346,1860l2356,1882m2356,1882l2376,1907m2376,1907l2386,1910m2386,1907l2406,1910m2406,1907l2428,2107m2428,2107l2438,2110m2438,2107l2458,2110m2458,2107l2468,2132m2468,2132l2488,2145m2488,2145l2511,2147m2511,2145l2521,2167m2521,2167l2541,2170m2541,2167l2561,2170e" filled="false" stroked="true" strokeweight="1pt" strokecolor="#acbc4a">
              <v:path arrowok="t"/>
              <v:stroke dashstyle="solid"/>
            </v:shape>
            <v:line style="position:absolute" from="2567,2157" to="2567,2285" stroked="true" strokeweight="1.625pt" strokecolor="#acbc4a">
              <v:stroke dashstyle="solid"/>
            </v:line>
            <v:shape style="position:absolute;left:2573;top:1964;width:1270;height:323" coordorigin="2573,1965" coordsize="1270,323" path="m2573,2275l2593,2277m2593,2275l2603,2287m2603,2287l2623,2262m2623,2262l2646,2250m2646,2250l2656,2227m2656,2227l2676,2215m2676,2215l2686,2202m2686,2202l2706,2180m2706,2180l2728,2182m2728,2180l2738,2182m2738,2180l2778,2155m2778,2155l2788,2157m2788,2155l2811,2145m2811,2145l2821,2120m2821,2120l2841,2107m2841,2107l2861,2110m2861,2107l2873,2097m2873,2097l2893,2100m2893,2097l2903,2100m2903,2097l2923,2085m2923,2085l2946,2087m2946,2085l2956,2087m2956,2085l2976,2072m2976,2072l2996,2075m2996,2072l3006,2075m3006,2072l3028,2075m3028,2072l3038,2060m3038,2060l3058,2062m3058,2060l3078,2062m3078,2060l3088,2050m3088,2050l3111,2052m3111,2050l3131,2052m3131,2050l3141,2052m3141,2050l3161,2052m3161,2050l3173,2060m3173,2060l3193,2062m3193,2060l3213,2062m3213,2060l3223,2025m3223,2025l3243,2037m3243,2037l3256,2025m3256,2025l3276,2027m3276,2025l3296,2027m3296,2025l3306,2027m3306,2025l3328,2027m3328,2025l3348,2027m3348,2025l3358,2027m3358,2025l3378,2002m3378,2002l3388,1990m3388,1990l3411,1992m3411,1990l3431,1992m3431,1990l3441,1977m3441,1977l3461,1980m3461,1977l3473,1965m3473,1965l3493,1967m3493,1965l3513,1967m3513,1965l3523,1967m3523,1965l3543,1967m3543,1965l3566,1967m3566,1965l3576,1990m3576,1990l3596,1992m3596,1990l3606,1992m3606,1990l3628,1992m3628,1990l3648,2002m3648,2002l3658,1990m3658,1990l3678,2002m3678,2002l3688,2012m3688,2012l3711,2015m3711,2012l3731,2015m3731,2012l3741,2025m3741,2025l3761,2027m3761,2025l3783,2037m3783,2037l3793,2050m3793,2050l3813,2037m3813,2037l3823,2085m3823,2085l3843,2097e" filled="false" stroked="true" strokeweight="1pt" strokecolor="#acbc4a">
              <v:path arrowok="t"/>
              <v:stroke dashstyle="solid"/>
            </v:shape>
            <v:shape style="position:absolute;left:968;top:1964;width:623;height:583" coordorigin="968,1965" coordsize="623,583" path="m968,2167l991,2192m991,2192l1001,2215m1001,2215l1021,2240m1021,2240l1031,2275m1031,2275l1051,2297m1051,2297l1073,2322m1073,2322l1083,2275m1083,2275l1103,2417m1103,2417l1123,2405m1123,2405l1136,2380m1136,2380l1156,2297m1156,2297l1166,2332m1166,2332l1186,2405m1186,2405l1206,2465m1206,2465l1218,2547m1218,2547l1238,2465m1238,2465l1248,2405m1248,2405l1268,2297m1268,2297l1291,2380m1291,2380l1301,2322m1301,2322l1321,2297m1321,2297l1341,2250m1341,2250l1351,2192m1351,2192l1373,2167m1373,2167l1383,2192m1383,2192l1403,2167m1403,2167l1423,2215m1423,2215l1433,2250m1433,2250l1456,2275m1456,2275l1466,2215m1466,2215l1486,2155m1486,2155l1506,2085m1506,2085l1518,2072m1518,2072l1538,2075m1538,2072l1558,1990m1558,1990l1568,1992m1568,1990l1591,1965e" filled="false" stroked="true" strokeweight="1pt" strokecolor="#009391">
              <v:path arrowok="t"/>
              <v:stroke dashstyle="solid"/>
            </v:shape>
            <v:line style="position:absolute" from="1596,1955" to="1596,2060" stroked="true" strokeweight="1.5pt" strokecolor="#009391">
              <v:stroke dashstyle="solid"/>
            </v:line>
            <v:shape style="position:absolute;left:1600;top:2049;width:40;height:60" coordorigin="1601,2050" coordsize="40,60" path="m1601,2050l1621,2107m1621,2107l1641,2110e" filled="false" stroked="true" strokeweight="1pt" strokecolor="#009391">
              <v:path arrowok="t"/>
              <v:stroke dashstyle="solid"/>
            </v:shape>
            <v:line style="position:absolute" from="1646,2097" to="1646,2202" stroked="true" strokeweight="1.5pt" strokecolor="#009391">
              <v:stroke dashstyle="solid"/>
            </v:line>
            <v:shape style="position:absolute;left:1650;top:2192;width:260;height:463" coordorigin="1651,2192" coordsize="260,463" path="m1651,2192l1673,2275m1673,2275l1693,2380m1693,2380l1703,2405m1703,2405l1723,2332m1723,2332l1733,2322m1733,2322l1756,2487m1756,2487l1776,2630m1776,2630l1786,2655m1786,2655l1806,2512m1806,2512l1818,2607m1818,2607l1858,2417m1858,2417l1868,2465m1868,2465l1891,2417m1891,2417l1911,2487e" filled="false" stroked="true" strokeweight="1pt" strokecolor="#009391">
              <v:path arrowok="t"/>
              <v:stroke dashstyle="solid"/>
            </v:shape>
            <v:line style="position:absolute" from="1916,2477" to="1916,2605" stroked="true" strokeweight="1.5pt" strokecolor="#009391">
              <v:stroke dashstyle="solid"/>
            </v:line>
            <v:shape style="position:absolute;left:1920;top:2594;width:73;height:118" coordorigin="1921,2595" coordsize="73,118" path="m1921,2595l1941,2712m1941,2712l1951,2655m1951,2655l1973,2630m1973,2630l1993,2655e" filled="false" stroked="true" strokeweight="1pt" strokecolor="#009391">
              <v:path arrowok="t"/>
              <v:stroke dashstyle="solid"/>
            </v:shape>
            <v:line style="position:absolute" from="1998,2645" to="1998,2770" stroked="true" strokeweight="1.5pt" strokecolor="#009391">
              <v:stroke dashstyle="solid"/>
            </v:line>
            <v:shape style="position:absolute;left:2003;top:2464;width:238;height:475" coordorigin="2003,2465" coordsize="238,475" path="m2003,2760l2023,2855m2023,2855l2033,2927m2033,2927l2056,2937m2056,2937l2076,2940m2076,2937l2086,2940m2086,2937l2106,2772m2106,2772l2128,2775m2128,2772l2138,2760m2138,2760l2158,2712m2158,2712l2168,2655m2168,2655l2191,2630m2191,2630l2211,2465m2211,2465l2221,2487m2221,2487l2241,2547e" filled="false" stroked="true" strokeweight="1pt" strokecolor="#009391">
              <v:path arrowok="t"/>
              <v:stroke dashstyle="solid"/>
            </v:shape>
            <v:line style="position:absolute" from="2246,2537" to="2246,2722" stroked="true" strokeweight="1.5pt" strokecolor="#009391">
              <v:stroke dashstyle="solid"/>
            </v:line>
            <v:shape style="position:absolute;left:2250;top:2629;width:43;height:83" coordorigin="2251,2630" coordsize="43,83" path="m2251,2712l2273,2630m2273,2630l2293,2690e" filled="false" stroked="true" strokeweight="1pt" strokecolor="#009391">
              <v:path arrowok="t"/>
              <v:stroke dashstyle="solid"/>
            </v:shape>
            <v:line style="position:absolute" from="2298,2502" to="2298,2700" stroked="true" strokeweight="1.5pt" strokecolor="#009391">
              <v:stroke dashstyle="solid"/>
            </v:line>
            <v:shape style="position:absolute;left:2303;top:2512;width:83;height:200" coordorigin="2303,2512" coordsize="83,200" path="m2303,2512l2323,2547m2323,2547l2346,2570m2346,2570l2356,2595m2356,2595l2376,2655m2376,2655l2386,2712e" filled="false" stroked="true" strokeweight="1pt" strokecolor="#009391">
              <v:path arrowok="t"/>
              <v:stroke dashstyle="solid"/>
            </v:shape>
            <v:line style="position:absolute" from="2396,2702" to="2396,2912" stroked="true" strokeweight="2pt" strokecolor="#009391">
              <v:stroke dashstyle="solid"/>
            </v:line>
            <v:line style="position:absolute" from="2417,2680" to="2417,2912" stroked="true" strokeweight="2.125pt" strokecolor="#009391">
              <v:stroke dashstyle="solid"/>
            </v:line>
            <v:shape style="position:absolute;left:2428;top:2677;width:133;height:35" coordorigin="2428,2677" coordsize="133,35" path="m2428,2690l2438,2712m2438,2712l2458,2677m2458,2677l2468,2690m2468,2690l2488,2677m2488,2677l2511,2680m2511,2677l2521,2712m2521,2712l2541,2700m2541,2700l2561,2702e" filled="false" stroked="true" strokeweight="1pt" strokecolor="#009391">
              <v:path arrowok="t"/>
              <v:stroke dashstyle="solid"/>
            </v:shape>
            <v:line style="position:absolute" from="2567,2560" to="2567,2710" stroked="true" strokeweight="1.625pt" strokecolor="#009391">
              <v:stroke dashstyle="solid"/>
            </v:line>
            <v:line style="position:absolute" from="2573,2570" to="2593,2522" stroked="true" strokeweight="1pt" strokecolor="#009391">
              <v:stroke dashstyle="solid"/>
            </v:line>
            <v:line style="position:absolute" from="2598,2407" to="2598,2532" stroked="true" strokeweight="1.5pt" strokecolor="#009391">
              <v:stroke dashstyle="solid"/>
            </v:line>
            <v:shape style="position:absolute;left:2603;top:2179;width:1210;height:643" coordorigin="2603,2180" coordsize="1210,643" path="m2603,2417l2623,2465m2623,2465l2646,2487m2646,2487l2656,2512m2656,2512l2676,2515m2676,2512l2686,2475m2686,2475l2706,2512m2706,2512l2728,2500m2728,2500l2738,2547m2738,2547l2758,2550m2758,2547l2778,2560m2778,2560l2788,2595m2788,2595l2811,2597m2811,2595l2821,2582m2821,2582l2841,2607m2841,2607l2861,2677m2861,2677l2873,2772m2873,2772l2893,2820m2893,2820l2903,2822m2903,2820l2923,2795m2923,2795l2946,2760m2946,2760l2956,2762m2956,2760l2976,2772m2976,2772l2996,2775m2996,2772l3006,2775m3006,2772l3028,2737m3028,2737l3038,2760m3038,2760l3058,2700m3058,2700l3078,2690m3078,2690l3088,2642m3088,2642l3111,2607m3111,2607l3131,2610m3131,2607l3141,2610m3141,2607l3161,2610m3161,2607l3173,2535m3173,2535l3193,2560m3193,2560l3213,2535m3213,2535l3223,2607m3223,2607l3243,2582m3243,2582l3256,2630m3256,2630l3276,2617m3276,2617l3296,2570m3296,2570l3306,2572m3306,2570l3328,2522m3328,2522l3348,2512m3348,2512l3358,2452m3358,2452l3378,2455m3378,2452l3388,2427m3388,2427l3411,2440m3411,2440l3431,2380m3431,2380l3441,2322m3441,2322l3461,2310m3461,2310l3473,2332m3473,2332l3493,2417m3493,2417l3513,2420m3513,2417l3523,2475m3523,2475l3543,2500m3543,2500l3566,2560m3566,2560l3576,2570m3576,2570l3596,2547m3596,2547l3606,2475m3606,2475l3628,2522m3628,2522l3648,2570m3648,2570l3658,2535m3658,2535l3678,2500m3678,2500l3688,2440m3688,2440l3711,2475m3711,2475l3731,2427m3731,2427l3741,2430m3741,2427l3761,2297m3761,2297l3783,2202m3783,2202l3793,2180m3793,2180l3813,2240e" filled="false" stroked="true" strokeweight="1pt" strokecolor="#009391">
              <v:path arrowok="t"/>
              <v:stroke dashstyle="solid"/>
            </v:shape>
            <v:line style="position:absolute" from="3818,2230" to="3818,2332" stroked="true" strokeweight="1.5pt" strokecolor="#009391">
              <v:stroke dashstyle="solid"/>
            </v:line>
            <v:line style="position:absolute" from="3823,2322" to="3843,2417" stroked="true" strokeweight="1pt" strokecolor="#009391">
              <v:stroke dashstyle="solid"/>
            </v:line>
            <v:line style="position:absolute" from="973,2502" to="3853,2502" stroked="true" strokeweight=".5pt" strokecolor="#000000">
              <v:stroke dashstyle="dash"/>
            </v:line>
            <v:shape style="position:absolute;left:816;top:654;width:3188;height:2167" coordorigin="817,655" coordsize="3188,2167" path="m817,655l903,655m817,1071l903,1071m817,1488l903,1488m817,1904l903,1904m817,2732l903,2732m817,2321l903,2321m3917,656l4004,656m3917,1073l4004,1073m3917,1489l4004,1489m3917,1906l4004,1906m3917,2732l4004,2732m3917,2322l4004,2322m1499,2578l1426,2821e" filled="false" stroked="true" strokeweight=".5pt" strokecolor="#000000">
              <v:path arrowok="t"/>
              <v:stroke dashstyle="solid"/>
            </v:shape>
            <v:shape style="position:absolute;left:1470;top:2513;width:49;height:89" coordorigin="1470,2514" coordsize="49,89" path="m1519,2514l1470,2587,1518,2602,1517,2585,1516,2572,1516,2559,1516,2545,1517,2533,1517,2522,1519,2514xe" filled="true" fillcolor="#000000" stroked="false">
              <v:path arrowok="t"/>
              <v:fill type="solid"/>
            </v:shape>
            <v:shape style="position:absolute;left:1893;top:366;width:1170;height:253" type="#_x0000_t202" filled="false" stroked="false">
              <v:textbox inset="0,0,0,0">
                <w:txbxContent>
                  <w:p>
                    <w:pPr>
                      <w:spacing w:line="208" w:lineRule="auto" w:before="9"/>
                      <w:ind w:left="83" w:right="-2" w:hanging="84"/>
                      <w:jc w:val="left"/>
                      <w:rPr>
                        <w:sz w:val="12"/>
                      </w:rPr>
                    </w:pPr>
                    <w:r>
                      <w:rPr>
                        <w:sz w:val="12"/>
                      </w:rPr>
                      <w:t>Headline annual growth in nominal earnings</w:t>
                    </w:r>
                  </w:p>
                </w:txbxContent>
              </v:textbox>
              <w10:wrap type="none"/>
            </v:shape>
            <v:shape style="position:absolute;left:1136;top:1531;width:744;height:134" type="#_x0000_t202" filled="false" stroked="false">
              <v:textbox inset="0,0,0,0">
                <w:txbxContent>
                  <w:p>
                    <w:pPr>
                      <w:spacing w:line="133" w:lineRule="exact" w:before="0"/>
                      <w:ind w:left="0" w:right="0" w:firstLine="0"/>
                      <w:jc w:val="left"/>
                      <w:rPr>
                        <w:sz w:val="12"/>
                      </w:rPr>
                    </w:pPr>
                    <w:r>
                      <w:rPr>
                        <w:sz w:val="12"/>
                      </w:rPr>
                      <w:t>Settlements (a)</w:t>
                    </w:r>
                  </w:p>
                </w:txbxContent>
              </v:textbox>
              <w10:wrap type="none"/>
            </v:shape>
            <v:shape style="position:absolute;left:1002;top:2786;width:737;height:254" type="#_x0000_t202" filled="false" stroked="false">
              <v:textbox inset="0,0,0,0">
                <w:txbxContent>
                  <w:p>
                    <w:pPr>
                      <w:spacing w:line="208" w:lineRule="auto" w:before="9"/>
                      <w:ind w:left="60" w:right="0" w:hanging="60"/>
                      <w:jc w:val="left"/>
                      <w:rPr>
                        <w:sz w:val="12"/>
                      </w:rPr>
                    </w:pPr>
                    <w:r>
                      <w:rPr>
                        <w:sz w:val="12"/>
                      </w:rPr>
                      <w:t>Average wage drift 1986–99</w:t>
                    </w:r>
                  </w:p>
                </w:txbxContent>
              </v:textbox>
              <w10:wrap type="none"/>
            </v:shape>
            <v:shape style="position:absolute;left:2922;top:2817;width:707;height:134" type="#_x0000_t202" filled="false" stroked="false">
              <v:textbox inset="0,0,0,0">
                <w:txbxContent>
                  <w:p>
                    <w:pPr>
                      <w:spacing w:line="133" w:lineRule="exact" w:before="0"/>
                      <w:ind w:left="0" w:right="0" w:firstLine="0"/>
                      <w:jc w:val="left"/>
                      <w:rPr>
                        <w:sz w:val="12"/>
                      </w:rPr>
                    </w:pPr>
                    <w:r>
                      <w:rPr>
                        <w:sz w:val="12"/>
                      </w:rPr>
                      <w:t>Wage drift (b)</w:t>
                    </w:r>
                  </w:p>
                </w:txbxContent>
              </v:textbox>
              <w10:wrap type="none"/>
            </v:shape>
            <w10:wrap type="none"/>
          </v:group>
        </w:pict>
      </w:r>
      <w:r>
        <w:rPr/>
        <w:pict>
          <v:line style="position:absolute;mso-position-horizontal-relative:page;mso-position-vertical-relative:paragraph;z-index:16174592" from="40.841pt,11.902151pt" to="45.174pt,11.902151pt" stroked="true" strokeweight=".5pt" strokecolor="#000000">
            <v:stroke dashstyle="solid"/>
            <w10:wrap type="none"/>
          </v:line>
        </w:pict>
      </w:r>
      <w:r>
        <w:rPr>
          <w:sz w:val="12"/>
        </w:rPr>
        <w:t>Per ce</w:t>
      </w:r>
      <w:r>
        <w:rPr>
          <w:sz w:val="12"/>
          <w:u w:val="single"/>
        </w:rPr>
        <w:t>n</w:t>
      </w:r>
      <w:r>
        <w:rPr>
          <w:sz w:val="12"/>
        </w:rPr>
        <w:t>t</w:t>
      </w:r>
      <w:r>
        <w:rPr>
          <w:spacing w:val="-1"/>
          <w:sz w:val="12"/>
        </w:rPr>
        <w:t> </w:t>
      </w:r>
      <w:r>
        <w:rPr>
          <w:position w:val="-7"/>
          <w:sz w:val="12"/>
        </w:rPr>
        <w:t>12</w:t>
      </w:r>
    </w:p>
    <w:p>
      <w:pPr>
        <w:pStyle w:val="BodyText"/>
        <w:rPr>
          <w:sz w:val="24"/>
        </w:rPr>
      </w:pPr>
    </w:p>
    <w:p>
      <w:pPr>
        <w:spacing w:before="0"/>
        <w:ind w:left="0" w:right="38" w:firstLine="0"/>
        <w:jc w:val="right"/>
        <w:rPr>
          <w:sz w:val="12"/>
        </w:rPr>
      </w:pPr>
      <w:r>
        <w:rPr>
          <w:sz w:val="12"/>
        </w:rPr>
        <w:t>10</w:t>
      </w:r>
    </w:p>
    <w:p>
      <w:pPr>
        <w:pStyle w:val="BodyText"/>
        <w:rPr>
          <w:sz w:val="12"/>
        </w:rPr>
      </w:pPr>
    </w:p>
    <w:p>
      <w:pPr>
        <w:pStyle w:val="BodyText"/>
        <w:spacing w:before="3"/>
        <w:rPr>
          <w:sz w:val="12"/>
        </w:rPr>
      </w:pPr>
    </w:p>
    <w:p>
      <w:pPr>
        <w:spacing w:before="0"/>
        <w:ind w:left="0" w:right="38" w:firstLine="0"/>
        <w:jc w:val="right"/>
        <w:rPr>
          <w:sz w:val="12"/>
        </w:rPr>
      </w:pPr>
      <w:r>
        <w:rPr>
          <w:sz w:val="12"/>
        </w:rPr>
        <w:t>8</w:t>
      </w:r>
    </w:p>
    <w:p>
      <w:pPr>
        <w:pStyle w:val="BodyText"/>
        <w:rPr>
          <w:sz w:val="12"/>
        </w:rPr>
      </w:pPr>
    </w:p>
    <w:p>
      <w:pPr>
        <w:pStyle w:val="BodyText"/>
        <w:spacing w:before="2"/>
        <w:rPr>
          <w:sz w:val="12"/>
        </w:rPr>
      </w:pPr>
    </w:p>
    <w:p>
      <w:pPr>
        <w:spacing w:before="1"/>
        <w:ind w:left="0" w:right="38" w:firstLine="0"/>
        <w:jc w:val="right"/>
        <w:rPr>
          <w:sz w:val="12"/>
        </w:rPr>
      </w:pPr>
      <w:r>
        <w:rPr>
          <w:sz w:val="12"/>
        </w:rPr>
        <w:t>6</w:t>
      </w:r>
    </w:p>
    <w:p>
      <w:pPr>
        <w:pStyle w:val="BodyText"/>
        <w:rPr>
          <w:sz w:val="12"/>
        </w:rPr>
      </w:pPr>
    </w:p>
    <w:p>
      <w:pPr>
        <w:pStyle w:val="BodyText"/>
        <w:spacing w:before="2"/>
        <w:rPr>
          <w:sz w:val="12"/>
        </w:rPr>
      </w:pPr>
    </w:p>
    <w:p>
      <w:pPr>
        <w:spacing w:before="0"/>
        <w:ind w:left="0" w:right="38" w:firstLine="0"/>
        <w:jc w:val="right"/>
        <w:rPr>
          <w:sz w:val="12"/>
        </w:rPr>
      </w:pPr>
      <w:r>
        <w:rPr>
          <w:sz w:val="12"/>
        </w:rPr>
        <w:t>4</w:t>
      </w:r>
    </w:p>
    <w:p>
      <w:pPr>
        <w:spacing w:line="242" w:lineRule="auto" w:before="220"/>
        <w:ind w:left="175" w:right="139" w:firstLine="0"/>
        <w:jc w:val="left"/>
        <w:rPr>
          <w:sz w:val="24"/>
        </w:rPr>
      </w:pPr>
      <w:r>
        <w:rPr/>
        <w:br w:type="column"/>
      </w:r>
      <w:r>
        <w:rPr>
          <w:sz w:val="24"/>
        </w:rPr>
        <w:t>information content of the settlements and estimated wage drift series. The Bank’s estimate of three-month mean settlements edged up in April before flattening out. The estimate of twelve-month mean settlements has edged down since February (see Chart 3.10), but by much less than headline AEI growth. So estimated wage drift fell between February and May, but remains above its 1986–99 average. More recently, however, there have been reports that settlements may be beginning to edge up.</w:t>
      </w:r>
    </w:p>
    <w:p>
      <w:pPr>
        <w:spacing w:after="0" w:line="242" w:lineRule="auto"/>
        <w:jc w:val="left"/>
        <w:rPr>
          <w:sz w:val="24"/>
        </w:rPr>
        <w:sectPr>
          <w:type w:val="continuous"/>
          <w:pgSz w:w="11900" w:h="16840"/>
          <w:pgMar w:top="1260" w:bottom="280" w:left="640" w:right="640"/>
          <w:cols w:num="2" w:equalWidth="0">
            <w:col w:w="3554" w:space="1246"/>
            <w:col w:w="5820"/>
          </w:cols>
        </w:sectPr>
      </w:pPr>
    </w:p>
    <w:p>
      <w:pPr>
        <w:pStyle w:val="BodyText"/>
        <w:rPr>
          <w:sz w:val="16"/>
        </w:rPr>
      </w:pPr>
    </w:p>
    <w:p>
      <w:pPr>
        <w:spacing w:line="136" w:lineRule="exact" w:before="0"/>
        <w:ind w:left="3453" w:right="0" w:firstLine="0"/>
        <w:jc w:val="left"/>
        <w:rPr>
          <w:sz w:val="12"/>
        </w:rPr>
      </w:pPr>
      <w:r>
        <w:rPr>
          <w:sz w:val="12"/>
        </w:rPr>
        <w:t>2</w:t>
      </w:r>
    </w:p>
    <w:p>
      <w:pPr>
        <w:tabs>
          <w:tab w:pos="4975" w:val="left" w:leader="none"/>
        </w:tabs>
        <w:spacing w:line="274" w:lineRule="exact" w:before="0"/>
        <w:ind w:left="3350" w:right="0" w:firstLine="0"/>
        <w:jc w:val="left"/>
        <w:rPr>
          <w:sz w:val="24"/>
        </w:rPr>
      </w:pPr>
      <w:r>
        <w:rPr>
          <w:sz w:val="16"/>
        </w:rPr>
        <w:t>+</w:t>
        <w:tab/>
      </w:r>
      <w:r>
        <w:rPr>
          <w:position w:val="1"/>
          <w:sz w:val="24"/>
        </w:rPr>
        <w:t>There is considerable uncertainty about developments</w:t>
      </w:r>
      <w:r>
        <w:rPr>
          <w:spacing w:val="-35"/>
          <w:position w:val="1"/>
          <w:sz w:val="24"/>
        </w:rPr>
        <w:t> </w:t>
      </w:r>
      <w:r>
        <w:rPr>
          <w:position w:val="1"/>
          <w:sz w:val="24"/>
        </w:rPr>
        <w:t>in</w:t>
      </w:r>
    </w:p>
    <w:p>
      <w:pPr>
        <w:spacing w:after="0" w:line="274" w:lineRule="exact"/>
        <w:jc w:val="left"/>
        <w:rPr>
          <w:sz w:val="24"/>
        </w:rPr>
        <w:sectPr>
          <w:type w:val="continuous"/>
          <w:pgSz w:w="11900" w:h="16840"/>
          <w:pgMar w:top="1260" w:bottom="280" w:left="640" w:right="640"/>
        </w:sectPr>
      </w:pPr>
    </w:p>
    <w:p>
      <w:pPr>
        <w:pStyle w:val="BodyText"/>
        <w:rPr>
          <w:sz w:val="12"/>
        </w:rPr>
      </w:pPr>
    </w:p>
    <w:p>
      <w:pPr>
        <w:pStyle w:val="BodyText"/>
        <w:rPr>
          <w:sz w:val="12"/>
        </w:rPr>
      </w:pPr>
    </w:p>
    <w:p>
      <w:pPr>
        <w:pStyle w:val="BodyText"/>
        <w:rPr>
          <w:sz w:val="12"/>
        </w:rPr>
      </w:pPr>
    </w:p>
    <w:p>
      <w:pPr>
        <w:pStyle w:val="BodyText"/>
        <w:spacing w:before="5"/>
        <w:rPr>
          <w:sz w:val="12"/>
        </w:rPr>
      </w:pPr>
    </w:p>
    <w:p>
      <w:pPr>
        <w:tabs>
          <w:tab w:pos="678" w:val="left" w:leader="none"/>
          <w:tab w:pos="1079" w:val="left" w:leader="none"/>
          <w:tab w:pos="1481" w:val="left" w:leader="none"/>
        </w:tabs>
        <w:spacing w:before="0"/>
        <w:ind w:left="215" w:right="0" w:firstLine="0"/>
        <w:jc w:val="left"/>
        <w:rPr>
          <w:sz w:val="12"/>
        </w:rPr>
      </w:pPr>
      <w:r>
        <w:rPr>
          <w:sz w:val="12"/>
        </w:rPr>
        <w:t>1986</w:t>
        <w:tab/>
        <w:t>88</w:t>
        <w:tab/>
        <w:t>90</w:t>
        <w:tab/>
      </w:r>
      <w:r>
        <w:rPr>
          <w:spacing w:val="-10"/>
          <w:sz w:val="12"/>
        </w:rPr>
        <w:t>92</w:t>
      </w:r>
    </w:p>
    <w:p>
      <w:pPr>
        <w:spacing w:line="105" w:lineRule="exact" w:before="8"/>
        <w:ind w:left="1786" w:right="0" w:firstLine="0"/>
        <w:jc w:val="left"/>
        <w:rPr>
          <w:sz w:val="12"/>
        </w:rPr>
      </w:pPr>
      <w:r>
        <w:rPr/>
        <w:br w:type="column"/>
      </w:r>
      <w:r>
        <w:rPr>
          <w:sz w:val="12"/>
        </w:rPr>
        <w:t>0</w:t>
      </w:r>
    </w:p>
    <w:p>
      <w:pPr>
        <w:spacing w:line="151" w:lineRule="exact" w:before="0"/>
        <w:ind w:left="1695" w:right="0" w:firstLine="0"/>
        <w:jc w:val="left"/>
        <w:rPr>
          <w:sz w:val="16"/>
        </w:rPr>
      </w:pPr>
      <w:r>
        <w:rPr>
          <w:sz w:val="16"/>
        </w:rPr>
        <w:t>_</w:t>
      </w:r>
    </w:p>
    <w:p>
      <w:pPr>
        <w:spacing w:line="135" w:lineRule="exact" w:before="160"/>
        <w:ind w:left="1786" w:right="0" w:firstLine="0"/>
        <w:jc w:val="left"/>
        <w:rPr>
          <w:sz w:val="12"/>
        </w:rPr>
      </w:pPr>
      <w:r>
        <w:rPr/>
        <w:pict>
          <v:shape style="position:absolute;margin-left:40.841pt;margin-top:8.646575pt;width:159.4pt;height:3.4pt;mso-position-horizontal-relative:page;mso-position-vertical-relative:paragraph;z-index:16174080" coordorigin="817,173" coordsize="3188,68" path="m971,240l3848,240m968,173l968,240m1370,173l1370,240m1773,173l1773,240m2175,173l2175,240m2578,173l2578,240m2980,173l2980,240m3383,173l3383,240m3785,173l3785,240m817,238l903,238m3917,240l4004,240e" filled="false" stroked="true" strokeweight=".5pt" strokecolor="#000000">
            <v:path arrowok="t"/>
            <v:stroke dashstyle="solid"/>
            <w10:wrap type="none"/>
          </v:shape>
        </w:pict>
      </w:r>
      <w:r>
        <w:rPr>
          <w:sz w:val="12"/>
        </w:rPr>
        <w:t>2</w:t>
      </w:r>
    </w:p>
    <w:p>
      <w:pPr>
        <w:tabs>
          <w:tab w:pos="616" w:val="left" w:leader="none"/>
          <w:tab w:pos="1018" w:val="left" w:leader="none"/>
          <w:tab w:pos="1362" w:val="left" w:leader="none"/>
        </w:tabs>
        <w:spacing w:line="135" w:lineRule="exact" w:before="0"/>
        <w:ind w:left="215" w:right="0" w:firstLine="0"/>
        <w:jc w:val="left"/>
        <w:rPr>
          <w:sz w:val="12"/>
        </w:rPr>
      </w:pPr>
      <w:r>
        <w:rPr>
          <w:sz w:val="12"/>
        </w:rPr>
        <w:t>94</w:t>
        <w:tab/>
        <w:t>96</w:t>
        <w:tab/>
        <w:t>98</w:t>
        <w:tab/>
        <w:t>2000</w:t>
      </w:r>
    </w:p>
    <w:p>
      <w:pPr>
        <w:spacing w:line="242" w:lineRule="auto" w:before="0"/>
        <w:ind w:left="215" w:right="0" w:firstLine="0"/>
        <w:jc w:val="left"/>
        <w:rPr>
          <w:sz w:val="24"/>
        </w:rPr>
      </w:pPr>
      <w:r>
        <w:rPr/>
        <w:br w:type="column"/>
      </w:r>
      <w:r>
        <w:rPr>
          <w:sz w:val="24"/>
        </w:rPr>
        <w:t>the various sources of estimated wage drift. Official data only provide information on overtime payments and bonuses. But these components usually only partly</w:t>
      </w:r>
    </w:p>
    <w:p>
      <w:pPr>
        <w:spacing w:after="0" w:line="242" w:lineRule="auto"/>
        <w:jc w:val="left"/>
        <w:rPr>
          <w:sz w:val="24"/>
        </w:rPr>
        <w:sectPr>
          <w:type w:val="continuous"/>
          <w:pgSz w:w="11900" w:h="16840"/>
          <w:pgMar w:top="1260" w:bottom="280" w:left="640" w:right="640"/>
          <w:cols w:num="3" w:equalWidth="0">
            <w:col w:w="1602" w:space="66"/>
            <w:col w:w="1887" w:space="1206"/>
            <w:col w:w="5859"/>
          </w:cols>
        </w:sectPr>
      </w:pPr>
    </w:p>
    <w:p>
      <w:pPr>
        <w:spacing w:before="4"/>
        <w:ind w:left="175" w:right="0" w:firstLine="0"/>
        <w:jc w:val="left"/>
        <w:rPr>
          <w:sz w:val="12"/>
        </w:rPr>
      </w:pPr>
      <w:r>
        <w:rPr>
          <w:sz w:val="12"/>
        </w:rPr>
        <w:t>Sources: ONS, Bank of England and Industrial Relations Services (IRS).</w:t>
      </w:r>
    </w:p>
    <w:p>
      <w:pPr>
        <w:pStyle w:val="BodyText"/>
        <w:spacing w:before="1"/>
        <w:rPr>
          <w:sz w:val="10"/>
        </w:rPr>
      </w:pPr>
    </w:p>
    <w:p>
      <w:pPr>
        <w:pStyle w:val="ListParagraph"/>
        <w:numPr>
          <w:ilvl w:val="0"/>
          <w:numId w:val="27"/>
        </w:numPr>
        <w:tabs>
          <w:tab w:pos="416" w:val="left" w:leader="none"/>
        </w:tabs>
        <w:spacing w:line="208" w:lineRule="auto" w:before="0" w:after="0"/>
        <w:ind w:left="415" w:right="744" w:hanging="240"/>
        <w:jc w:val="left"/>
        <w:rPr>
          <w:sz w:val="12"/>
        </w:rPr>
      </w:pPr>
      <w:r>
        <w:rPr>
          <w:sz w:val="12"/>
        </w:rPr>
        <w:t>Based</w:t>
      </w:r>
      <w:r>
        <w:rPr>
          <w:spacing w:val="-5"/>
          <w:sz w:val="12"/>
        </w:rPr>
        <w:t> </w:t>
      </w:r>
      <w:r>
        <w:rPr>
          <w:sz w:val="12"/>
        </w:rPr>
        <w:t>on</w:t>
      </w:r>
      <w:r>
        <w:rPr>
          <w:spacing w:val="-5"/>
          <w:sz w:val="12"/>
        </w:rPr>
        <w:t> </w:t>
      </w:r>
      <w:r>
        <w:rPr>
          <w:sz w:val="12"/>
        </w:rPr>
        <w:t>IRS</w:t>
      </w:r>
      <w:r>
        <w:rPr>
          <w:spacing w:val="-5"/>
          <w:sz w:val="12"/>
        </w:rPr>
        <w:t> </w:t>
      </w:r>
      <w:r>
        <w:rPr>
          <w:sz w:val="12"/>
        </w:rPr>
        <w:t>data</w:t>
      </w:r>
      <w:r>
        <w:rPr>
          <w:spacing w:val="-5"/>
          <w:sz w:val="12"/>
        </w:rPr>
        <w:t> </w:t>
      </w:r>
      <w:r>
        <w:rPr>
          <w:sz w:val="12"/>
        </w:rPr>
        <w:t>until</w:t>
      </w:r>
      <w:r>
        <w:rPr>
          <w:spacing w:val="-5"/>
          <w:sz w:val="12"/>
        </w:rPr>
        <w:t> </w:t>
      </w:r>
      <w:r>
        <w:rPr>
          <w:sz w:val="12"/>
        </w:rPr>
        <w:t>1994,</w:t>
      </w:r>
      <w:r>
        <w:rPr>
          <w:spacing w:val="-4"/>
          <w:sz w:val="12"/>
        </w:rPr>
        <w:t> </w:t>
      </w:r>
      <w:r>
        <w:rPr>
          <w:sz w:val="12"/>
        </w:rPr>
        <w:t>thereafter</w:t>
      </w:r>
      <w:r>
        <w:rPr>
          <w:spacing w:val="-5"/>
          <w:sz w:val="12"/>
        </w:rPr>
        <w:t> </w:t>
      </w:r>
      <w:r>
        <w:rPr>
          <w:sz w:val="12"/>
        </w:rPr>
        <w:t>Bank</w:t>
      </w:r>
      <w:r>
        <w:rPr>
          <w:spacing w:val="-5"/>
          <w:sz w:val="12"/>
        </w:rPr>
        <w:t> </w:t>
      </w:r>
      <w:r>
        <w:rPr>
          <w:sz w:val="12"/>
        </w:rPr>
        <w:t>of</w:t>
      </w:r>
      <w:r>
        <w:rPr>
          <w:spacing w:val="-5"/>
          <w:sz w:val="12"/>
        </w:rPr>
        <w:t> </w:t>
      </w:r>
      <w:r>
        <w:rPr>
          <w:sz w:val="12"/>
        </w:rPr>
        <w:t>England</w:t>
      </w:r>
      <w:r>
        <w:rPr>
          <w:spacing w:val="-5"/>
          <w:sz w:val="12"/>
        </w:rPr>
        <w:t> </w:t>
      </w:r>
      <w:r>
        <w:rPr>
          <w:sz w:val="12"/>
        </w:rPr>
        <w:t>estimates, which draw on information from the CBI, Incomes Data Services, Industrial Relations Services, Labour Research Department and the Bank’s regional</w:t>
      </w:r>
      <w:r>
        <w:rPr>
          <w:spacing w:val="-9"/>
          <w:sz w:val="12"/>
        </w:rPr>
        <w:t> </w:t>
      </w:r>
      <w:r>
        <w:rPr>
          <w:sz w:val="12"/>
        </w:rPr>
        <w:t>Agents.</w:t>
      </w:r>
    </w:p>
    <w:p>
      <w:pPr>
        <w:pStyle w:val="ListParagraph"/>
        <w:numPr>
          <w:ilvl w:val="0"/>
          <w:numId w:val="27"/>
        </w:numPr>
        <w:tabs>
          <w:tab w:pos="416" w:val="left" w:leader="none"/>
        </w:tabs>
        <w:spacing w:line="123" w:lineRule="exact" w:before="0" w:after="0"/>
        <w:ind w:left="415" w:right="0" w:hanging="241"/>
        <w:jc w:val="left"/>
        <w:rPr>
          <w:sz w:val="12"/>
        </w:rPr>
      </w:pPr>
      <w:r>
        <w:rPr>
          <w:sz w:val="12"/>
        </w:rPr>
        <w:t>Difference between earnings growth and</w:t>
      </w:r>
      <w:r>
        <w:rPr>
          <w:spacing w:val="-9"/>
          <w:sz w:val="12"/>
        </w:rPr>
        <w:t> </w:t>
      </w:r>
      <w:r>
        <w:rPr>
          <w:sz w:val="12"/>
        </w:rPr>
        <w:t>settlements.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6"/>
        </w:rPr>
      </w:pPr>
    </w:p>
    <w:p>
      <w:pPr>
        <w:pStyle w:val="Heading6"/>
        <w:spacing w:before="0"/>
        <w:ind w:left="175"/>
      </w:pPr>
      <w:r>
        <w:rPr>
          <w:color w:val="0092C7"/>
        </w:rPr>
        <w:t>Table 3.D</w:t>
      </w:r>
    </w:p>
    <w:p>
      <w:pPr>
        <w:pStyle w:val="Heading6"/>
        <w:ind w:left="175"/>
        <w:rPr>
          <w:b w:val="0"/>
          <w:sz w:val="12"/>
        </w:rPr>
      </w:pPr>
      <w:r>
        <w:rPr>
          <w:color w:val="0092C7"/>
        </w:rPr>
        <w:t>Survey-based inflation expectations</w:t>
      </w:r>
      <w:r>
        <w:rPr>
          <w:b w:val="0"/>
          <w:position w:val="4"/>
          <w:sz w:val="12"/>
        </w:rPr>
        <w:t>(a)</w:t>
      </w:r>
    </w:p>
    <w:p>
      <w:pPr>
        <w:spacing w:before="106"/>
        <w:ind w:left="175" w:right="0" w:firstLine="0"/>
        <w:jc w:val="left"/>
        <w:rPr>
          <w:sz w:val="14"/>
        </w:rPr>
      </w:pPr>
      <w:r>
        <w:rPr>
          <w:sz w:val="14"/>
        </w:rPr>
        <w:t>Percentage increase in prices</w:t>
      </w:r>
    </w:p>
    <w:p>
      <w:pPr>
        <w:tabs>
          <w:tab w:pos="3505" w:val="left" w:leader="none"/>
          <w:tab w:pos="4399" w:val="left" w:leader="none"/>
        </w:tabs>
        <w:spacing w:line="146" w:lineRule="exact" w:before="119"/>
        <w:ind w:left="1690" w:right="0" w:firstLine="0"/>
        <w:jc w:val="left"/>
        <w:rPr>
          <w:sz w:val="14"/>
        </w:rPr>
      </w:pPr>
      <w:r>
        <w:rPr>
          <w:spacing w:val="-20"/>
          <w:sz w:val="14"/>
          <w:u w:val="single"/>
        </w:rPr>
        <w:t> </w:t>
      </w:r>
      <w:r>
        <w:rPr>
          <w:sz w:val="14"/>
          <w:u w:val="single"/>
        </w:rPr>
        <w:t>1999</w:t>
        <w:tab/>
        <w:t> 2000</w:t>
        <w:tab/>
      </w:r>
    </w:p>
    <w:p>
      <w:pPr>
        <w:spacing w:line="242" w:lineRule="auto" w:before="3"/>
        <w:ind w:left="175" w:right="201" w:firstLine="0"/>
        <w:jc w:val="left"/>
        <w:rPr>
          <w:sz w:val="24"/>
        </w:rPr>
      </w:pPr>
      <w:r>
        <w:rPr/>
        <w:br w:type="column"/>
      </w:r>
      <w:r>
        <w:rPr>
          <w:sz w:val="24"/>
        </w:rPr>
        <w:t>account for estimated wage drift movements. So developments for which no official data are available, such as profit-related pay, individual merit awards and compositional changes in the workforce, also have important effects on wage drift.</w:t>
      </w:r>
    </w:p>
    <w:p>
      <w:pPr>
        <w:pStyle w:val="BodyText"/>
        <w:spacing w:before="7"/>
        <w:rPr>
          <w:sz w:val="26"/>
        </w:rPr>
      </w:pPr>
    </w:p>
    <w:p>
      <w:pPr>
        <w:spacing w:line="242" w:lineRule="auto" w:before="1"/>
        <w:ind w:left="175" w:right="167" w:firstLine="0"/>
        <w:jc w:val="left"/>
        <w:rPr>
          <w:sz w:val="24"/>
        </w:rPr>
      </w:pPr>
      <w:r>
        <w:rPr>
          <w:sz w:val="24"/>
        </w:rPr>
        <w:t>Another indicator of pay developments is the trend in wages and salaries paid to households, which is published quarterly as part of the National Accounts (early estimates of which are based partly on the AEI). Annual growth in wages and salaries per head rose slightly to 5.2% in 2000 Q1—0.5 percentage points lower than headline AEI earnings growth at that time. The REC </w:t>
      </w:r>
      <w:r>
        <w:rPr>
          <w:spacing w:val="-4"/>
          <w:sz w:val="24"/>
        </w:rPr>
        <w:t>survey, </w:t>
      </w:r>
      <w:r>
        <w:rPr>
          <w:sz w:val="24"/>
        </w:rPr>
        <w:t>which covers the segment of the labour market using recruitment and placement agencies, reports sharp rises in salaries for both permanent and temporary/contract staff in recent months.</w:t>
      </w:r>
    </w:p>
    <w:p>
      <w:pPr>
        <w:pStyle w:val="BodyText"/>
        <w:rPr>
          <w:sz w:val="29"/>
        </w:rPr>
      </w:pPr>
    </w:p>
    <w:p>
      <w:pPr>
        <w:spacing w:line="242" w:lineRule="auto" w:before="0"/>
        <w:ind w:left="175" w:right="0" w:firstLine="0"/>
        <w:jc w:val="left"/>
        <w:rPr>
          <w:sz w:val="24"/>
        </w:rPr>
      </w:pPr>
      <w:r>
        <w:rPr>
          <w:sz w:val="24"/>
        </w:rPr>
        <w:t>Although wages are typically agreed in nominal terms, firms and employees care ultimately about expected real wages, which depend also on expected inflation. Lower expectations of future inflation tend to result in lower</w:t>
      </w:r>
    </w:p>
    <w:p>
      <w:pPr>
        <w:spacing w:after="0" w:line="242" w:lineRule="auto"/>
        <w:jc w:val="left"/>
        <w:rPr>
          <w:sz w:val="24"/>
        </w:rPr>
        <w:sectPr>
          <w:type w:val="continuous"/>
          <w:pgSz w:w="11900" w:h="16840"/>
          <w:pgMar w:top="1260" w:bottom="280" w:left="640" w:right="640"/>
          <w:cols w:num="2" w:equalWidth="0">
            <w:col w:w="4440" w:space="360"/>
            <w:col w:w="5820"/>
          </w:cols>
        </w:sectPr>
      </w:pPr>
    </w:p>
    <w:p>
      <w:pPr>
        <w:spacing w:line="208" w:lineRule="auto" w:before="130"/>
        <w:ind w:left="210" w:right="20" w:hanging="35"/>
        <w:jc w:val="left"/>
        <w:rPr>
          <w:b/>
          <w:sz w:val="14"/>
        </w:rPr>
      </w:pPr>
      <w:r>
        <w:rPr/>
        <w:pict>
          <v:shape style="position:absolute;margin-left:38.2756pt;margin-top:19.947788pt;width:215pt;height:48.55pt;mso-position-horizontal-relative:page;mso-position-vertical-relative:paragraph;z-index:1617510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86"/>
                    <w:gridCol w:w="371"/>
                    <w:gridCol w:w="515"/>
                    <w:gridCol w:w="500"/>
                    <w:gridCol w:w="490"/>
                    <w:gridCol w:w="470"/>
                    <w:gridCol w:w="368"/>
                  </w:tblGrid>
                  <w:tr>
                    <w:trPr>
                      <w:trHeight w:val="147" w:hRule="atLeast"/>
                    </w:trPr>
                    <w:tc>
                      <w:tcPr>
                        <w:tcW w:w="1586" w:type="dxa"/>
                      </w:tcPr>
                      <w:p>
                        <w:pPr>
                          <w:pStyle w:val="TableParagraph"/>
                          <w:spacing w:line="128" w:lineRule="exact"/>
                          <w:ind w:left="50"/>
                          <w:rPr>
                            <w:sz w:val="14"/>
                          </w:rPr>
                        </w:pPr>
                        <w:r>
                          <w:rPr>
                            <w:sz w:val="14"/>
                          </w:rPr>
                          <w:t>Academic economists</w:t>
                        </w:r>
                      </w:p>
                    </w:tc>
                    <w:tc>
                      <w:tcPr>
                        <w:tcW w:w="371" w:type="dxa"/>
                      </w:tcPr>
                      <w:p>
                        <w:pPr>
                          <w:pStyle w:val="TableParagraph"/>
                          <w:spacing w:line="128" w:lineRule="exact"/>
                          <w:ind w:left="18"/>
                          <w:rPr>
                            <w:sz w:val="14"/>
                          </w:rPr>
                        </w:pPr>
                        <w:r>
                          <w:rPr>
                            <w:sz w:val="14"/>
                          </w:rPr>
                          <w:t>2.3</w:t>
                        </w:r>
                      </w:p>
                    </w:tc>
                    <w:tc>
                      <w:tcPr>
                        <w:tcW w:w="515" w:type="dxa"/>
                      </w:tcPr>
                      <w:p>
                        <w:pPr>
                          <w:pStyle w:val="TableParagraph"/>
                          <w:spacing w:line="128" w:lineRule="exact"/>
                          <w:ind w:left="157" w:right="142"/>
                          <w:jc w:val="center"/>
                          <w:rPr>
                            <w:sz w:val="14"/>
                          </w:rPr>
                        </w:pPr>
                        <w:r>
                          <w:rPr>
                            <w:sz w:val="14"/>
                          </w:rPr>
                          <w:t>2.3</w:t>
                        </w:r>
                      </w:p>
                    </w:tc>
                    <w:tc>
                      <w:tcPr>
                        <w:tcW w:w="500" w:type="dxa"/>
                      </w:tcPr>
                      <w:p>
                        <w:pPr>
                          <w:pStyle w:val="TableParagraph"/>
                          <w:spacing w:line="128" w:lineRule="exact"/>
                          <w:ind w:right="160"/>
                          <w:jc w:val="right"/>
                          <w:rPr>
                            <w:sz w:val="14"/>
                          </w:rPr>
                        </w:pPr>
                        <w:r>
                          <w:rPr>
                            <w:sz w:val="14"/>
                          </w:rPr>
                          <w:t>2.5</w:t>
                        </w:r>
                      </w:p>
                    </w:tc>
                    <w:tc>
                      <w:tcPr>
                        <w:tcW w:w="490" w:type="dxa"/>
                      </w:tcPr>
                      <w:p>
                        <w:pPr>
                          <w:pStyle w:val="TableParagraph"/>
                          <w:spacing w:line="128" w:lineRule="exact"/>
                          <w:ind w:left="142" w:right="132"/>
                          <w:jc w:val="center"/>
                          <w:rPr>
                            <w:sz w:val="14"/>
                          </w:rPr>
                        </w:pPr>
                        <w:r>
                          <w:rPr>
                            <w:sz w:val="14"/>
                          </w:rPr>
                          <w:t>2.2</w:t>
                        </w:r>
                      </w:p>
                    </w:tc>
                    <w:tc>
                      <w:tcPr>
                        <w:tcW w:w="470" w:type="dxa"/>
                      </w:tcPr>
                      <w:p>
                        <w:pPr>
                          <w:pStyle w:val="TableParagraph"/>
                          <w:spacing w:line="128" w:lineRule="exact"/>
                          <w:ind w:left="132" w:right="122"/>
                          <w:jc w:val="center"/>
                          <w:rPr>
                            <w:sz w:val="14"/>
                          </w:rPr>
                        </w:pPr>
                        <w:r>
                          <w:rPr>
                            <w:sz w:val="14"/>
                          </w:rPr>
                          <w:t>2.4</w:t>
                        </w:r>
                      </w:p>
                    </w:tc>
                    <w:tc>
                      <w:tcPr>
                        <w:tcW w:w="368" w:type="dxa"/>
                      </w:tcPr>
                      <w:p>
                        <w:pPr>
                          <w:pStyle w:val="TableParagraph"/>
                          <w:spacing w:line="128" w:lineRule="exact"/>
                          <w:ind w:right="48"/>
                          <w:jc w:val="right"/>
                          <w:rPr>
                            <w:sz w:val="14"/>
                          </w:rPr>
                        </w:pPr>
                        <w:r>
                          <w:rPr>
                            <w:sz w:val="14"/>
                          </w:rPr>
                          <w:t>2.6</w:t>
                        </w:r>
                      </w:p>
                    </w:tc>
                  </w:tr>
                  <w:tr>
                    <w:trPr>
                      <w:trHeight w:val="140" w:hRule="atLeast"/>
                    </w:trPr>
                    <w:tc>
                      <w:tcPr>
                        <w:tcW w:w="1586" w:type="dxa"/>
                      </w:tcPr>
                      <w:p>
                        <w:pPr>
                          <w:pStyle w:val="TableParagraph"/>
                          <w:ind w:left="50"/>
                          <w:rPr>
                            <w:sz w:val="14"/>
                          </w:rPr>
                        </w:pPr>
                        <w:r>
                          <w:rPr>
                            <w:sz w:val="14"/>
                          </w:rPr>
                          <w:t>Business economists</w:t>
                        </w:r>
                      </w:p>
                    </w:tc>
                    <w:tc>
                      <w:tcPr>
                        <w:tcW w:w="371" w:type="dxa"/>
                      </w:tcPr>
                      <w:p>
                        <w:pPr>
                          <w:pStyle w:val="TableParagraph"/>
                          <w:ind w:left="18"/>
                          <w:rPr>
                            <w:sz w:val="14"/>
                          </w:rPr>
                        </w:pPr>
                        <w:r>
                          <w:rPr>
                            <w:sz w:val="14"/>
                          </w:rPr>
                          <w:t>2.1</w:t>
                        </w:r>
                      </w:p>
                    </w:tc>
                    <w:tc>
                      <w:tcPr>
                        <w:tcW w:w="515" w:type="dxa"/>
                      </w:tcPr>
                      <w:p>
                        <w:pPr>
                          <w:pStyle w:val="TableParagraph"/>
                          <w:ind w:left="157" w:right="142"/>
                          <w:jc w:val="center"/>
                          <w:rPr>
                            <w:sz w:val="14"/>
                          </w:rPr>
                        </w:pPr>
                        <w:r>
                          <w:rPr>
                            <w:sz w:val="14"/>
                          </w:rPr>
                          <w:t>2.2</w:t>
                        </w:r>
                      </w:p>
                    </w:tc>
                    <w:tc>
                      <w:tcPr>
                        <w:tcW w:w="500" w:type="dxa"/>
                      </w:tcPr>
                      <w:p>
                        <w:pPr>
                          <w:pStyle w:val="TableParagraph"/>
                          <w:ind w:right="160"/>
                          <w:jc w:val="right"/>
                          <w:rPr>
                            <w:sz w:val="14"/>
                          </w:rPr>
                        </w:pPr>
                        <w:r>
                          <w:rPr>
                            <w:sz w:val="14"/>
                          </w:rPr>
                          <w:t>2.4</w:t>
                        </w:r>
                      </w:p>
                    </w:tc>
                    <w:tc>
                      <w:tcPr>
                        <w:tcW w:w="490" w:type="dxa"/>
                      </w:tcPr>
                      <w:p>
                        <w:pPr>
                          <w:pStyle w:val="TableParagraph"/>
                          <w:ind w:left="142" w:right="132"/>
                          <w:jc w:val="center"/>
                          <w:rPr>
                            <w:sz w:val="14"/>
                          </w:rPr>
                        </w:pPr>
                        <w:r>
                          <w:rPr>
                            <w:sz w:val="14"/>
                          </w:rPr>
                          <w:t>2.4</w:t>
                        </w:r>
                      </w:p>
                    </w:tc>
                    <w:tc>
                      <w:tcPr>
                        <w:tcW w:w="470" w:type="dxa"/>
                      </w:tcPr>
                      <w:p>
                        <w:pPr>
                          <w:pStyle w:val="TableParagraph"/>
                          <w:ind w:left="132" w:right="122"/>
                          <w:jc w:val="center"/>
                          <w:rPr>
                            <w:sz w:val="14"/>
                          </w:rPr>
                        </w:pPr>
                        <w:r>
                          <w:rPr>
                            <w:sz w:val="14"/>
                          </w:rPr>
                          <w:t>2.5</w:t>
                        </w:r>
                      </w:p>
                    </w:tc>
                    <w:tc>
                      <w:tcPr>
                        <w:tcW w:w="368" w:type="dxa"/>
                      </w:tcPr>
                      <w:p>
                        <w:pPr>
                          <w:pStyle w:val="TableParagraph"/>
                          <w:ind w:right="48"/>
                          <w:jc w:val="right"/>
                          <w:rPr>
                            <w:sz w:val="14"/>
                          </w:rPr>
                        </w:pPr>
                        <w:r>
                          <w:rPr>
                            <w:sz w:val="14"/>
                          </w:rPr>
                          <w:t>2.5</w:t>
                        </w:r>
                      </w:p>
                    </w:tc>
                  </w:tr>
                  <w:tr>
                    <w:trPr>
                      <w:trHeight w:val="140" w:hRule="atLeast"/>
                    </w:trPr>
                    <w:tc>
                      <w:tcPr>
                        <w:tcW w:w="1586" w:type="dxa"/>
                      </w:tcPr>
                      <w:p>
                        <w:pPr>
                          <w:pStyle w:val="TableParagraph"/>
                          <w:ind w:left="50"/>
                          <w:rPr>
                            <w:sz w:val="14"/>
                          </w:rPr>
                        </w:pPr>
                        <w:r>
                          <w:rPr>
                            <w:sz w:val="14"/>
                          </w:rPr>
                          <w:t>Finance directors</w:t>
                        </w:r>
                      </w:p>
                    </w:tc>
                    <w:tc>
                      <w:tcPr>
                        <w:tcW w:w="371" w:type="dxa"/>
                      </w:tcPr>
                      <w:p>
                        <w:pPr>
                          <w:pStyle w:val="TableParagraph"/>
                          <w:ind w:left="18"/>
                          <w:rPr>
                            <w:sz w:val="14"/>
                          </w:rPr>
                        </w:pPr>
                        <w:r>
                          <w:rPr>
                            <w:sz w:val="14"/>
                          </w:rPr>
                          <w:t>2.3</w:t>
                        </w:r>
                      </w:p>
                    </w:tc>
                    <w:tc>
                      <w:tcPr>
                        <w:tcW w:w="515" w:type="dxa"/>
                      </w:tcPr>
                      <w:p>
                        <w:pPr>
                          <w:pStyle w:val="TableParagraph"/>
                          <w:ind w:left="157" w:right="142"/>
                          <w:jc w:val="center"/>
                          <w:rPr>
                            <w:sz w:val="14"/>
                          </w:rPr>
                        </w:pPr>
                        <w:r>
                          <w:rPr>
                            <w:sz w:val="14"/>
                          </w:rPr>
                          <w:t>2.3</w:t>
                        </w:r>
                      </w:p>
                    </w:tc>
                    <w:tc>
                      <w:tcPr>
                        <w:tcW w:w="500" w:type="dxa"/>
                      </w:tcPr>
                      <w:p>
                        <w:pPr>
                          <w:pStyle w:val="TableParagraph"/>
                          <w:ind w:right="160"/>
                          <w:jc w:val="right"/>
                          <w:rPr>
                            <w:sz w:val="14"/>
                          </w:rPr>
                        </w:pPr>
                        <w:r>
                          <w:rPr>
                            <w:sz w:val="14"/>
                          </w:rPr>
                          <w:t>2.4</w:t>
                        </w:r>
                      </w:p>
                    </w:tc>
                    <w:tc>
                      <w:tcPr>
                        <w:tcW w:w="490" w:type="dxa"/>
                      </w:tcPr>
                      <w:p>
                        <w:pPr>
                          <w:pStyle w:val="TableParagraph"/>
                          <w:ind w:left="142" w:right="132"/>
                          <w:jc w:val="center"/>
                          <w:rPr>
                            <w:sz w:val="14"/>
                          </w:rPr>
                        </w:pPr>
                        <w:r>
                          <w:rPr>
                            <w:sz w:val="14"/>
                          </w:rPr>
                          <w:t>2.3</w:t>
                        </w:r>
                      </w:p>
                    </w:tc>
                    <w:tc>
                      <w:tcPr>
                        <w:tcW w:w="470" w:type="dxa"/>
                      </w:tcPr>
                      <w:p>
                        <w:pPr>
                          <w:pStyle w:val="TableParagraph"/>
                          <w:ind w:left="132" w:right="122"/>
                          <w:jc w:val="center"/>
                          <w:rPr>
                            <w:sz w:val="14"/>
                          </w:rPr>
                        </w:pPr>
                        <w:r>
                          <w:rPr>
                            <w:sz w:val="14"/>
                          </w:rPr>
                          <w:t>2.4</w:t>
                        </w:r>
                      </w:p>
                    </w:tc>
                    <w:tc>
                      <w:tcPr>
                        <w:tcW w:w="368" w:type="dxa"/>
                      </w:tcPr>
                      <w:p>
                        <w:pPr>
                          <w:pStyle w:val="TableParagraph"/>
                          <w:ind w:right="48"/>
                          <w:jc w:val="right"/>
                          <w:rPr>
                            <w:sz w:val="14"/>
                          </w:rPr>
                        </w:pPr>
                        <w:r>
                          <w:rPr>
                            <w:sz w:val="14"/>
                          </w:rPr>
                          <w:t>2.5</w:t>
                        </w:r>
                      </w:p>
                    </w:tc>
                  </w:tr>
                  <w:tr>
                    <w:trPr>
                      <w:trHeight w:val="140" w:hRule="atLeast"/>
                    </w:trPr>
                    <w:tc>
                      <w:tcPr>
                        <w:tcW w:w="1586" w:type="dxa"/>
                      </w:tcPr>
                      <w:p>
                        <w:pPr>
                          <w:pStyle w:val="TableParagraph"/>
                          <w:ind w:left="50"/>
                          <w:rPr>
                            <w:sz w:val="14"/>
                          </w:rPr>
                        </w:pPr>
                        <w:r>
                          <w:rPr>
                            <w:sz w:val="14"/>
                          </w:rPr>
                          <w:t>Trade unions</w:t>
                        </w:r>
                      </w:p>
                    </w:tc>
                    <w:tc>
                      <w:tcPr>
                        <w:tcW w:w="371" w:type="dxa"/>
                      </w:tcPr>
                      <w:p>
                        <w:pPr>
                          <w:pStyle w:val="TableParagraph"/>
                          <w:ind w:left="18"/>
                          <w:rPr>
                            <w:sz w:val="14"/>
                          </w:rPr>
                        </w:pPr>
                        <w:r>
                          <w:rPr>
                            <w:sz w:val="14"/>
                          </w:rPr>
                          <w:t>2.7</w:t>
                        </w:r>
                      </w:p>
                    </w:tc>
                    <w:tc>
                      <w:tcPr>
                        <w:tcW w:w="515" w:type="dxa"/>
                      </w:tcPr>
                      <w:p>
                        <w:pPr>
                          <w:pStyle w:val="TableParagraph"/>
                          <w:ind w:left="157" w:right="142"/>
                          <w:jc w:val="center"/>
                          <w:rPr>
                            <w:sz w:val="14"/>
                          </w:rPr>
                        </w:pPr>
                        <w:r>
                          <w:rPr>
                            <w:sz w:val="14"/>
                          </w:rPr>
                          <w:t>2.5</w:t>
                        </w:r>
                      </w:p>
                    </w:tc>
                    <w:tc>
                      <w:tcPr>
                        <w:tcW w:w="500" w:type="dxa"/>
                      </w:tcPr>
                      <w:p>
                        <w:pPr>
                          <w:pStyle w:val="TableParagraph"/>
                          <w:ind w:right="160"/>
                          <w:jc w:val="right"/>
                          <w:rPr>
                            <w:sz w:val="14"/>
                          </w:rPr>
                        </w:pPr>
                        <w:r>
                          <w:rPr>
                            <w:sz w:val="14"/>
                          </w:rPr>
                          <w:t>2.5</w:t>
                        </w:r>
                      </w:p>
                    </w:tc>
                    <w:tc>
                      <w:tcPr>
                        <w:tcW w:w="490" w:type="dxa"/>
                      </w:tcPr>
                      <w:p>
                        <w:pPr>
                          <w:pStyle w:val="TableParagraph"/>
                          <w:ind w:left="142" w:right="132"/>
                          <w:jc w:val="center"/>
                          <w:rPr>
                            <w:sz w:val="14"/>
                          </w:rPr>
                        </w:pPr>
                        <w:r>
                          <w:rPr>
                            <w:sz w:val="14"/>
                          </w:rPr>
                          <w:t>2.6</w:t>
                        </w:r>
                      </w:p>
                    </w:tc>
                    <w:tc>
                      <w:tcPr>
                        <w:tcW w:w="470" w:type="dxa"/>
                      </w:tcPr>
                      <w:p>
                        <w:pPr>
                          <w:pStyle w:val="TableParagraph"/>
                          <w:ind w:left="132" w:right="122"/>
                          <w:jc w:val="center"/>
                          <w:rPr>
                            <w:sz w:val="14"/>
                          </w:rPr>
                        </w:pPr>
                        <w:r>
                          <w:rPr>
                            <w:sz w:val="14"/>
                          </w:rPr>
                          <w:t>2.4</w:t>
                        </w:r>
                      </w:p>
                    </w:tc>
                    <w:tc>
                      <w:tcPr>
                        <w:tcW w:w="368" w:type="dxa"/>
                      </w:tcPr>
                      <w:p>
                        <w:pPr>
                          <w:pStyle w:val="TableParagraph"/>
                          <w:ind w:right="48"/>
                          <w:jc w:val="right"/>
                          <w:rPr>
                            <w:sz w:val="14"/>
                          </w:rPr>
                        </w:pPr>
                        <w:r>
                          <w:rPr>
                            <w:sz w:val="14"/>
                          </w:rPr>
                          <w:t>2.6</w:t>
                        </w:r>
                      </w:p>
                    </w:tc>
                  </w:tr>
                  <w:tr>
                    <w:trPr>
                      <w:trHeight w:val="403" w:hRule="atLeast"/>
                    </w:trPr>
                    <w:tc>
                      <w:tcPr>
                        <w:tcW w:w="1586" w:type="dxa"/>
                      </w:tcPr>
                      <w:p>
                        <w:pPr>
                          <w:pStyle w:val="TableParagraph"/>
                          <w:spacing w:line="148" w:lineRule="exact"/>
                          <w:ind w:left="50"/>
                          <w:rPr>
                            <w:sz w:val="14"/>
                          </w:rPr>
                        </w:pPr>
                        <w:r>
                          <w:rPr>
                            <w:sz w:val="14"/>
                          </w:rPr>
                          <w:t>General public</w:t>
                        </w:r>
                      </w:p>
                      <w:p>
                        <w:pPr>
                          <w:pStyle w:val="TableParagraph"/>
                          <w:spacing w:line="118" w:lineRule="exact" w:before="117"/>
                          <w:ind w:left="50"/>
                          <w:rPr>
                            <w:sz w:val="12"/>
                          </w:rPr>
                        </w:pPr>
                        <w:r>
                          <w:rPr>
                            <w:sz w:val="12"/>
                          </w:rPr>
                          <w:t>Source: Barclays Basix survey.</w:t>
                        </w:r>
                      </w:p>
                    </w:tc>
                    <w:tc>
                      <w:tcPr>
                        <w:tcW w:w="371" w:type="dxa"/>
                      </w:tcPr>
                      <w:p>
                        <w:pPr>
                          <w:pStyle w:val="TableParagraph"/>
                          <w:spacing w:line="148" w:lineRule="exact"/>
                          <w:ind w:left="18"/>
                          <w:rPr>
                            <w:sz w:val="14"/>
                          </w:rPr>
                        </w:pPr>
                        <w:r>
                          <w:rPr>
                            <w:sz w:val="14"/>
                          </w:rPr>
                          <w:t>4.1</w:t>
                        </w:r>
                      </w:p>
                    </w:tc>
                    <w:tc>
                      <w:tcPr>
                        <w:tcW w:w="515" w:type="dxa"/>
                      </w:tcPr>
                      <w:p>
                        <w:pPr>
                          <w:pStyle w:val="TableParagraph"/>
                          <w:spacing w:line="148" w:lineRule="exact"/>
                          <w:ind w:left="157" w:right="142"/>
                          <w:jc w:val="center"/>
                          <w:rPr>
                            <w:sz w:val="14"/>
                          </w:rPr>
                        </w:pPr>
                        <w:r>
                          <w:rPr>
                            <w:sz w:val="14"/>
                          </w:rPr>
                          <w:t>4.0</w:t>
                        </w:r>
                      </w:p>
                    </w:tc>
                    <w:tc>
                      <w:tcPr>
                        <w:tcW w:w="500" w:type="dxa"/>
                      </w:tcPr>
                      <w:p>
                        <w:pPr>
                          <w:pStyle w:val="TableParagraph"/>
                          <w:spacing w:line="148" w:lineRule="exact"/>
                          <w:ind w:right="160"/>
                          <w:jc w:val="right"/>
                          <w:rPr>
                            <w:sz w:val="14"/>
                          </w:rPr>
                        </w:pPr>
                        <w:r>
                          <w:rPr>
                            <w:sz w:val="14"/>
                          </w:rPr>
                          <w:t>3.7</w:t>
                        </w:r>
                      </w:p>
                    </w:tc>
                    <w:tc>
                      <w:tcPr>
                        <w:tcW w:w="490" w:type="dxa"/>
                      </w:tcPr>
                      <w:p>
                        <w:pPr>
                          <w:pStyle w:val="TableParagraph"/>
                          <w:spacing w:line="148" w:lineRule="exact"/>
                          <w:ind w:left="142" w:right="132"/>
                          <w:jc w:val="center"/>
                          <w:rPr>
                            <w:sz w:val="14"/>
                          </w:rPr>
                        </w:pPr>
                        <w:r>
                          <w:rPr>
                            <w:sz w:val="14"/>
                          </w:rPr>
                          <w:t>3.9</w:t>
                        </w:r>
                      </w:p>
                    </w:tc>
                    <w:tc>
                      <w:tcPr>
                        <w:tcW w:w="470" w:type="dxa"/>
                      </w:tcPr>
                      <w:p>
                        <w:pPr>
                          <w:pStyle w:val="TableParagraph"/>
                          <w:spacing w:line="148" w:lineRule="exact"/>
                          <w:ind w:left="132" w:right="122"/>
                          <w:jc w:val="center"/>
                          <w:rPr>
                            <w:sz w:val="14"/>
                          </w:rPr>
                        </w:pPr>
                        <w:r>
                          <w:rPr>
                            <w:sz w:val="14"/>
                          </w:rPr>
                          <w:t>3.9</w:t>
                        </w:r>
                      </w:p>
                    </w:tc>
                    <w:tc>
                      <w:tcPr>
                        <w:tcW w:w="368" w:type="dxa"/>
                      </w:tcPr>
                      <w:p>
                        <w:pPr>
                          <w:pStyle w:val="TableParagraph"/>
                          <w:spacing w:line="148" w:lineRule="exact"/>
                          <w:ind w:right="48"/>
                          <w:jc w:val="right"/>
                          <w:rPr>
                            <w:sz w:val="14"/>
                          </w:rPr>
                        </w:pPr>
                        <w:r>
                          <w:rPr>
                            <w:sz w:val="14"/>
                          </w:rPr>
                          <w:t>3.8</w:t>
                        </w:r>
                      </w:p>
                    </w:tc>
                  </w:tr>
                </w:tbl>
                <w:p>
                  <w:pPr>
                    <w:pStyle w:val="BodyText"/>
                  </w:pPr>
                </w:p>
              </w:txbxContent>
            </v:textbox>
            <w10:wrap type="none"/>
          </v:shape>
        </w:pict>
      </w:r>
      <w:r>
        <w:rPr>
          <w:b/>
          <w:sz w:val="14"/>
        </w:rPr>
        <w:t>RPI inflation rate one year ahead</w:t>
      </w:r>
    </w:p>
    <w:p>
      <w:pPr>
        <w:tabs>
          <w:tab w:pos="715" w:val="left" w:leader="none"/>
          <w:tab w:pos="1215" w:val="left" w:leader="none"/>
          <w:tab w:pos="1740" w:val="left" w:leader="none"/>
        </w:tabs>
        <w:spacing w:line="134" w:lineRule="exact" w:before="0"/>
        <w:ind w:left="175" w:right="0" w:firstLine="0"/>
        <w:jc w:val="left"/>
        <w:rPr>
          <w:sz w:val="14"/>
        </w:rPr>
      </w:pPr>
      <w:r>
        <w:rPr/>
        <w:br w:type="column"/>
      </w:r>
      <w:r>
        <w:rPr>
          <w:spacing w:val="-10"/>
          <w:sz w:val="14"/>
          <w:u w:val="single"/>
        </w:rPr>
        <w:t> </w:t>
      </w:r>
      <w:r>
        <w:rPr>
          <w:sz w:val="14"/>
          <w:u w:val="single"/>
        </w:rPr>
        <w:t>Q1</w:t>
      </w:r>
      <w:r>
        <w:rPr>
          <w:sz w:val="14"/>
        </w:rPr>
        <w:tab/>
      </w:r>
      <w:r>
        <w:rPr>
          <w:sz w:val="14"/>
          <w:u w:val="single"/>
        </w:rPr>
        <w:t> Q2</w:t>
      </w:r>
      <w:r>
        <w:rPr>
          <w:sz w:val="14"/>
        </w:rPr>
        <w:tab/>
      </w:r>
      <w:r>
        <w:rPr>
          <w:sz w:val="14"/>
          <w:u w:val="single"/>
        </w:rPr>
        <w:t> Q3</w:t>
      </w:r>
      <w:r>
        <w:rPr>
          <w:sz w:val="14"/>
        </w:rPr>
        <w:tab/>
      </w:r>
      <w:r>
        <w:rPr>
          <w:sz w:val="14"/>
          <w:u w:val="single"/>
        </w:rPr>
        <w:t>Q4 Q1</w:t>
      </w:r>
      <w:r>
        <w:rPr>
          <w:spacing w:val="18"/>
          <w:sz w:val="14"/>
          <w:u w:val="single"/>
        </w:rPr>
        <w:t> </w:t>
      </w:r>
      <w:r>
        <w:rPr>
          <w:sz w:val="14"/>
          <w:u w:val="single"/>
        </w:rPr>
        <w:t>Q2</w:t>
      </w:r>
      <w:r>
        <w:rPr>
          <w:spacing w:val="-7"/>
          <w:sz w:val="14"/>
          <w:u w:val="single"/>
        </w:rPr>
        <w:t> </w:t>
      </w:r>
    </w:p>
    <w:p>
      <w:pPr>
        <w:spacing w:line="242" w:lineRule="auto" w:before="5"/>
        <w:ind w:left="175" w:right="153" w:firstLine="0"/>
        <w:jc w:val="left"/>
        <w:rPr>
          <w:sz w:val="24"/>
        </w:rPr>
      </w:pPr>
      <w:r>
        <w:rPr/>
        <w:br w:type="column"/>
      </w:r>
      <w:r>
        <w:rPr>
          <w:sz w:val="24"/>
        </w:rPr>
        <w:t>nominal earnings growth. RPI inflation expectations according to the Barclays Basix survey have fallen since 1998, although there were some slight increases for most groups at some time during the first half of 2000 (see Table 3.D). Inflation expectations of trade unions and</w:t>
      </w:r>
    </w:p>
    <w:p>
      <w:pPr>
        <w:spacing w:after="0" w:line="242" w:lineRule="auto"/>
        <w:jc w:val="left"/>
        <w:rPr>
          <w:sz w:val="24"/>
        </w:rPr>
        <w:sectPr>
          <w:type w:val="continuous"/>
          <w:pgSz w:w="11900" w:h="16840"/>
          <w:pgMar w:top="1260" w:bottom="280" w:left="640" w:right="640"/>
          <w:cols w:num="3" w:equalWidth="0">
            <w:col w:w="1273" w:space="231"/>
            <w:col w:w="2976" w:space="320"/>
            <w:col w:w="5820"/>
          </w:cols>
        </w:sectPr>
      </w:pPr>
    </w:p>
    <w:p>
      <w:pPr>
        <w:spacing w:line="208" w:lineRule="auto" w:before="87"/>
        <w:ind w:left="415" w:right="0" w:hanging="240"/>
        <w:jc w:val="left"/>
        <w:rPr>
          <w:sz w:val="12"/>
        </w:rPr>
      </w:pPr>
      <w:r>
        <w:rPr>
          <w:sz w:val="12"/>
        </w:rPr>
        <w:t>(a) Figures refer to RPI inflation except for general public, for which the measure of inflation is not specified.</w:t>
      </w:r>
    </w:p>
    <w:p>
      <w:pPr>
        <w:spacing w:line="242" w:lineRule="auto" w:before="7"/>
        <w:ind w:left="175" w:right="201" w:firstLine="0"/>
        <w:jc w:val="left"/>
        <w:rPr>
          <w:sz w:val="24"/>
        </w:rPr>
      </w:pPr>
      <w:r>
        <w:rPr/>
        <w:br w:type="column"/>
      </w:r>
      <w:r>
        <w:rPr>
          <w:sz w:val="24"/>
        </w:rPr>
        <w:t>the general public were, however, no higher in 2000 Q2 than in 1999 Q4.</w:t>
      </w:r>
    </w:p>
    <w:p>
      <w:pPr>
        <w:pStyle w:val="BodyText"/>
        <w:rPr>
          <w:sz w:val="28"/>
        </w:rPr>
      </w:pPr>
    </w:p>
    <w:p>
      <w:pPr>
        <w:spacing w:line="242" w:lineRule="auto" w:before="0"/>
        <w:ind w:left="175" w:right="181" w:firstLine="0"/>
        <w:jc w:val="left"/>
        <w:rPr>
          <w:sz w:val="24"/>
        </w:rPr>
      </w:pPr>
      <w:r>
        <w:rPr>
          <w:sz w:val="24"/>
        </w:rPr>
        <w:t>When </w:t>
      </w:r>
      <w:r>
        <w:rPr>
          <w:spacing w:val="-3"/>
          <w:sz w:val="24"/>
        </w:rPr>
        <w:t>involved </w:t>
      </w:r>
      <w:r>
        <w:rPr>
          <w:sz w:val="24"/>
        </w:rPr>
        <w:t>in wage negotiations, employers care about the real product wage, which is their total labour costs per employee in relation to the prices of the goods and services that they sell. Employees, on the other hand, care about their real consumption wage—the real purchasing power of their post-tax earnings.</w:t>
      </w:r>
      <w:r>
        <w:rPr>
          <w:spacing w:val="5"/>
          <w:sz w:val="24"/>
        </w:rPr>
        <w:t> </w:t>
      </w:r>
      <w:r>
        <w:rPr>
          <w:sz w:val="24"/>
        </w:rPr>
        <w:t>Differences</w:t>
      </w:r>
    </w:p>
    <w:p>
      <w:pPr>
        <w:spacing w:after="0" w:line="242" w:lineRule="auto"/>
        <w:jc w:val="left"/>
        <w:rPr>
          <w:sz w:val="24"/>
        </w:rPr>
        <w:sectPr>
          <w:type w:val="continuous"/>
          <w:pgSz w:w="11900" w:h="16840"/>
          <w:pgMar w:top="1260" w:bottom="280" w:left="640" w:right="640"/>
          <w:cols w:num="2" w:equalWidth="0">
            <w:col w:w="4332" w:space="468"/>
            <w:col w:w="5820"/>
          </w:cols>
        </w:sectPr>
      </w:pPr>
    </w:p>
    <w:p>
      <w:pPr>
        <w:pStyle w:val="BodyText"/>
        <w:rPr>
          <w:sz w:val="20"/>
        </w:rPr>
      </w:pPr>
    </w:p>
    <w:p>
      <w:pPr>
        <w:spacing w:after="0"/>
        <w:rPr>
          <w:sz w:val="20"/>
        </w:rPr>
        <w:sectPr>
          <w:pgSz w:w="11900" w:h="16840"/>
          <w:pgMar w:header="601" w:footer="592" w:top="780" w:bottom="780" w:left="640" w:right="640"/>
        </w:sectPr>
      </w:pPr>
    </w:p>
    <w:p>
      <w:pPr>
        <w:pStyle w:val="BodyText"/>
        <w:spacing w:before="9"/>
        <w:rPr>
          <w:sz w:val="21"/>
        </w:rPr>
      </w:pPr>
    </w:p>
    <w:p>
      <w:pPr>
        <w:pStyle w:val="Heading6"/>
        <w:spacing w:before="0"/>
      </w:pPr>
      <w:bookmarkStart w:name="Labour productivity and unit wage costs" w:id="50"/>
      <w:bookmarkEnd w:id="50"/>
      <w:r>
        <w:rPr>
          <w:b w:val="0"/>
        </w:rPr>
      </w:r>
      <w:bookmarkStart w:name="_bookmark19" w:id="51"/>
      <w:bookmarkEnd w:id="51"/>
      <w:r>
        <w:rPr>
          <w:b w:val="0"/>
        </w:rPr>
      </w:r>
      <w:r>
        <w:rPr>
          <w:color w:val="0092C7"/>
        </w:rPr>
        <w:t>Chart 3.11</w:t>
      </w:r>
    </w:p>
    <w:p>
      <w:pPr>
        <w:pStyle w:val="Heading6"/>
      </w:pPr>
      <w:r>
        <w:rPr>
          <w:color w:val="0092C7"/>
        </w:rPr>
        <w:t>Growth in real earnings</w:t>
      </w:r>
    </w:p>
    <w:p>
      <w:pPr>
        <w:spacing w:line="123" w:lineRule="exact" w:before="112"/>
        <w:ind w:left="1642" w:right="0" w:firstLine="0"/>
        <w:jc w:val="left"/>
        <w:rPr>
          <w:sz w:val="12"/>
        </w:rPr>
      </w:pPr>
      <w:r>
        <w:rPr>
          <w:sz w:val="12"/>
        </w:rPr>
        <w:t>Percentage changes on a year earlier</w:t>
      </w:r>
    </w:p>
    <w:p>
      <w:pPr>
        <w:spacing w:line="123" w:lineRule="exact" w:before="0"/>
        <w:ind w:left="3470" w:right="0" w:firstLine="0"/>
        <w:jc w:val="left"/>
        <w:rPr>
          <w:sz w:val="12"/>
        </w:rPr>
      </w:pPr>
      <w:r>
        <w:rPr/>
        <w:pict>
          <v:group style="position:absolute;margin-left:41.639999pt;margin-top:3.215115pt;width:159.950pt;height:135.4pt;mso-position-horizontal-relative:page;mso-position-vertical-relative:paragraph;z-index:16177152" coordorigin="833,64" coordsize="3199,2708">
            <v:line style="position:absolute" from="974,2490" to="3870,2490" stroked="true" strokeweight=".5pt" strokecolor="#000000">
              <v:stroke dashstyle="solid"/>
            </v:line>
            <v:line style="position:absolute" from="980,2302" to="1097,2735" stroked="true" strokeweight="1pt" strokecolor="#835335">
              <v:stroke dashstyle="solid"/>
            </v:line>
            <v:shape style="position:absolute;left:1087;top:2414;width:745;height:358" type="#_x0000_t75" stroked="false">
              <v:imagedata r:id="rId119" o:title=""/>
            </v:shape>
            <v:shape style="position:absolute;left:1822;top:129;width:2045;height:2633" coordorigin="1823,130" coordsize="2045,2633" path="m1823,2762l1943,2235m1943,2235l2060,1250m2060,1250l2180,1222m2180,1222l2298,992m2298,992l2428,1020m2428,1020l2548,1142m2548,1142l2668,1195m2668,1195l2785,1452m2785,1452l2905,1425m2905,1425l3023,1857m3023,1857l3143,1575m3143,1575l3263,1222m3263,1222l3390,710m3390,710l3510,385m3510,385l3630,130m3630,130l3748,265m3748,265l3868,722e" filled="false" stroked="true" strokeweight="1pt" strokecolor="#835335">
              <v:path arrowok="t"/>
              <v:stroke dashstyle="solid"/>
            </v:shape>
            <v:shape style="position:absolute;left:980;top:317;width:2888;height:2243" coordorigin="980,317" coordsize="2888,2243" path="m980,1992l1097,1532m1097,1532l1217,1412m1217,1412l1335,1627m1335,1627l1465,1587m1465,1587l1585,1830m1585,1830l1702,2087m1702,2087l1822,2317m1822,2317l1942,2140m1942,2140l2060,2532m2060,2532l2180,2560m2180,2560l2297,1777m2297,1777l2427,1885m2427,1885l2547,1425m2547,1425l2667,1035m2667,1035l2785,1440m2785,1440l2905,1507m2905,1507l3022,1047m3022,1047l3142,1087m3142,1087l3262,790m3262,790l3390,317m3390,317l3510,1250m3510,1250l3630,1142m3630,1142l3747,885m3747,885l3867,1020e" filled="false" stroked="true" strokeweight="1pt" strokecolor="#006caa">
              <v:path arrowok="t"/>
              <v:stroke dashstyle="solid"/>
            </v:shape>
            <v:shape style="position:absolute;left:832;top:69;width:3199;height:2427" coordorigin="833,69" coordsize="3199,2427" path="m833,559l919,559m833,1043l919,1043m833,1527l919,1527m833,2496l919,2496m833,2011l919,2011m833,75l919,75m3945,553l4031,553m3945,1038l4031,1038m3945,1522l4031,1522m3945,2006l4031,2006m3945,69l4031,69e" filled="false" stroked="true" strokeweight=".5pt" strokecolor="#000000">
              <v:path arrowok="t"/>
              <v:stroke dashstyle="solid"/>
            </v:shape>
            <v:shape style="position:absolute;left:1433;top:843;width:890;height:254" type="#_x0000_t202" filled="false" stroked="false">
              <v:textbox inset="0,0,0,0">
                <w:txbxContent>
                  <w:p>
                    <w:pPr>
                      <w:spacing w:line="208" w:lineRule="auto" w:before="9"/>
                      <w:ind w:left="60" w:right="0" w:hanging="60"/>
                      <w:jc w:val="left"/>
                      <w:rPr>
                        <w:sz w:val="12"/>
                      </w:rPr>
                    </w:pPr>
                    <w:r>
                      <w:rPr>
                        <w:sz w:val="12"/>
                      </w:rPr>
                      <w:t>Real consumption wage (a)</w:t>
                    </w:r>
                  </w:p>
                </w:txbxContent>
              </v:textbox>
              <w10:wrap type="none"/>
            </v:shape>
            <v:shape style="position:absolute;left:2281;top:2124;width:637;height:253" type="#_x0000_t202" filled="false" stroked="false">
              <v:textbox inset="0,0,0,0">
                <w:txbxContent>
                  <w:p>
                    <w:pPr>
                      <w:spacing w:line="208" w:lineRule="auto" w:before="9"/>
                      <w:ind w:left="60" w:right="0" w:hanging="60"/>
                      <w:jc w:val="left"/>
                      <w:rPr>
                        <w:sz w:val="12"/>
                      </w:rPr>
                    </w:pPr>
                    <w:r>
                      <w:rPr>
                        <w:sz w:val="12"/>
                      </w:rPr>
                      <w:t>Real product wage (b)</w:t>
                    </w:r>
                  </w:p>
                </w:txbxContent>
              </v:textbox>
              <w10:wrap type="none"/>
            </v:shape>
            <w10:wrap type="none"/>
          </v:group>
        </w:pict>
      </w:r>
      <w:r>
        <w:rPr>
          <w:sz w:val="12"/>
        </w:rPr>
        <w:t>5</w:t>
      </w:r>
    </w:p>
    <w:p>
      <w:pPr>
        <w:pStyle w:val="BodyText"/>
        <w:rPr>
          <w:sz w:val="12"/>
        </w:rPr>
      </w:pPr>
    </w:p>
    <w:p>
      <w:pPr>
        <w:pStyle w:val="BodyText"/>
        <w:rPr>
          <w:sz w:val="12"/>
        </w:rPr>
      </w:pPr>
    </w:p>
    <w:p>
      <w:pPr>
        <w:spacing w:before="71"/>
        <w:ind w:left="0" w:right="76" w:firstLine="0"/>
        <w:jc w:val="right"/>
        <w:rPr>
          <w:sz w:val="12"/>
        </w:rPr>
      </w:pPr>
      <w:r>
        <w:rPr>
          <w:sz w:val="12"/>
        </w:rPr>
        <w:t>4</w:t>
      </w:r>
    </w:p>
    <w:p>
      <w:pPr>
        <w:pStyle w:val="BodyText"/>
        <w:rPr>
          <w:sz w:val="12"/>
        </w:rPr>
      </w:pPr>
    </w:p>
    <w:p>
      <w:pPr>
        <w:pStyle w:val="BodyText"/>
        <w:rPr>
          <w:sz w:val="12"/>
        </w:rPr>
      </w:pPr>
    </w:p>
    <w:p>
      <w:pPr>
        <w:spacing w:before="70"/>
        <w:ind w:left="0" w:right="76" w:firstLine="0"/>
        <w:jc w:val="right"/>
        <w:rPr>
          <w:sz w:val="12"/>
        </w:rPr>
      </w:pPr>
      <w:r>
        <w:rPr>
          <w:sz w:val="12"/>
        </w:rPr>
        <w:t>3</w:t>
      </w:r>
    </w:p>
    <w:p>
      <w:pPr>
        <w:pStyle w:val="BodyText"/>
        <w:rPr>
          <w:sz w:val="12"/>
        </w:rPr>
      </w:pPr>
    </w:p>
    <w:p>
      <w:pPr>
        <w:pStyle w:val="BodyText"/>
        <w:rPr>
          <w:sz w:val="12"/>
        </w:rPr>
      </w:pPr>
    </w:p>
    <w:p>
      <w:pPr>
        <w:spacing w:before="70"/>
        <w:ind w:left="0" w:right="76" w:firstLine="0"/>
        <w:jc w:val="right"/>
        <w:rPr>
          <w:sz w:val="12"/>
        </w:rPr>
      </w:pPr>
      <w:r>
        <w:rPr>
          <w:sz w:val="12"/>
        </w:rPr>
        <w:t>2</w:t>
      </w:r>
    </w:p>
    <w:p>
      <w:pPr>
        <w:pStyle w:val="BodyText"/>
        <w:rPr>
          <w:sz w:val="12"/>
        </w:rPr>
      </w:pPr>
    </w:p>
    <w:p>
      <w:pPr>
        <w:pStyle w:val="BodyText"/>
        <w:rPr>
          <w:sz w:val="12"/>
        </w:rPr>
      </w:pPr>
    </w:p>
    <w:p>
      <w:pPr>
        <w:spacing w:before="70"/>
        <w:ind w:left="0" w:right="76" w:firstLine="0"/>
        <w:jc w:val="right"/>
        <w:rPr>
          <w:sz w:val="12"/>
        </w:rPr>
      </w:pPr>
      <w:r>
        <w:rPr>
          <w:sz w:val="12"/>
        </w:rPr>
        <w:t>1</w:t>
      </w:r>
    </w:p>
    <w:p>
      <w:pPr>
        <w:pStyle w:val="BodyText"/>
        <w:spacing w:before="8"/>
        <w:rPr>
          <w:sz w:val="12"/>
        </w:rPr>
      </w:pPr>
    </w:p>
    <w:p>
      <w:pPr>
        <w:spacing w:before="0"/>
        <w:ind w:left="3373" w:right="0" w:firstLine="0"/>
        <w:jc w:val="left"/>
        <w:rPr>
          <w:sz w:val="16"/>
        </w:rPr>
      </w:pPr>
      <w:r>
        <w:rPr>
          <w:sz w:val="16"/>
        </w:rPr>
        <w:t>+</w:t>
      </w:r>
    </w:p>
    <w:p>
      <w:pPr>
        <w:spacing w:line="124" w:lineRule="exact" w:before="16"/>
        <w:ind w:left="3470" w:right="0" w:firstLine="0"/>
        <w:jc w:val="left"/>
        <w:rPr>
          <w:sz w:val="12"/>
        </w:rPr>
      </w:pPr>
      <w:r>
        <w:rPr/>
        <w:pict>
          <v:line style="position:absolute;mso-position-horizontal-relative:page;mso-position-vertical-relative:paragraph;z-index:16175616" from="197.229004pt,5.005754pt" to="201.561004pt,5.005754pt" stroked="true" strokeweight=".5pt" strokecolor="#000000">
            <v:stroke dashstyle="solid"/>
            <w10:wrap type="none"/>
          </v:line>
        </w:pict>
      </w:r>
      <w:r>
        <w:rPr>
          <w:sz w:val="12"/>
        </w:rPr>
        <w:t>0</w:t>
      </w:r>
    </w:p>
    <w:p>
      <w:pPr>
        <w:spacing w:line="170" w:lineRule="exact" w:before="0"/>
        <w:ind w:left="3388" w:right="0" w:firstLine="0"/>
        <w:jc w:val="left"/>
        <w:rPr>
          <w:sz w:val="16"/>
        </w:rPr>
      </w:pPr>
      <w:r>
        <w:rPr>
          <w:sz w:val="16"/>
        </w:rPr>
        <w:t>_</w:t>
      </w:r>
    </w:p>
    <w:p>
      <w:pPr>
        <w:pStyle w:val="BodyText"/>
        <w:spacing w:before="7"/>
        <w:rPr>
          <w:sz w:val="16"/>
        </w:rPr>
      </w:pPr>
    </w:p>
    <w:p>
      <w:pPr>
        <w:spacing w:line="130" w:lineRule="exact" w:before="0"/>
        <w:ind w:left="3470" w:right="0" w:firstLine="0"/>
        <w:jc w:val="left"/>
        <w:rPr>
          <w:sz w:val="12"/>
        </w:rPr>
      </w:pPr>
      <w:r>
        <w:rPr/>
        <w:pict>
          <v:shape style="position:absolute;margin-left:41.639999pt;margin-top:-1.585438pt;width:159.950pt;height:6.1pt;mso-position-horizontal-relative:page;mso-position-vertical-relative:paragraph;z-index:16177664" coordorigin="833,-32" coordsize="3199,122" path="m833,90l919,90m981,84l3870,84m982,-32l982,84m1103,37l1103,84m1223,37l1223,84m1343,37l1343,84m1464,-32l1464,84m1584,37l1584,84m1704,37l1704,84m1825,37l1825,84m1945,-32l1945,84m2065,37l2065,84m2185,37l2185,84m2306,37l2306,84m2426,-32l2426,84m2546,37l2546,84m2667,37l2667,84m2787,37l2787,84m2907,-32l2907,84m3028,37l3028,84m3148,37l3148,84m3268,37l3268,84m3388,-32l3388,84m3509,37l3509,84m3629,37l3629,84m3749,37l3749,84m3945,84l4031,84m3870,-32l3870,84e" filled="false" stroked="true" strokeweight=".5pt" strokecolor="#000000">
            <v:path arrowok="t"/>
            <v:stroke dashstyle="solid"/>
            <w10:wrap type="none"/>
          </v:shape>
        </w:pict>
      </w:r>
      <w:r>
        <w:rPr>
          <w:sz w:val="12"/>
        </w:rPr>
        <w:t>1</w:t>
      </w:r>
    </w:p>
    <w:p>
      <w:pPr>
        <w:tabs>
          <w:tab w:pos="1002" w:val="left" w:leader="none"/>
          <w:tab w:pos="1480" w:val="left" w:leader="none"/>
          <w:tab w:pos="1965" w:val="left" w:leader="none"/>
          <w:tab w:pos="2442" w:val="left" w:leader="none"/>
          <w:tab w:pos="2930" w:val="left" w:leader="none"/>
        </w:tabs>
        <w:spacing w:line="130" w:lineRule="exact" w:before="0"/>
        <w:ind w:left="457" w:right="0" w:firstLine="0"/>
        <w:jc w:val="left"/>
        <w:rPr>
          <w:sz w:val="12"/>
        </w:rPr>
      </w:pPr>
      <w:r>
        <w:rPr>
          <w:sz w:val="12"/>
        </w:rPr>
        <w:t>1994</w:t>
        <w:tab/>
        <w:t>95</w:t>
        <w:tab/>
        <w:t>96</w:t>
        <w:tab/>
        <w:t>97</w:t>
        <w:tab/>
        <w:t>98</w:t>
        <w:tab/>
        <w:t>99  </w:t>
      </w:r>
      <w:r>
        <w:rPr>
          <w:spacing w:val="22"/>
          <w:sz w:val="12"/>
        </w:rPr>
        <w:t> </w:t>
      </w:r>
      <w:r>
        <w:rPr>
          <w:sz w:val="12"/>
        </w:rPr>
        <w:t>2000</w:t>
      </w:r>
    </w:p>
    <w:p>
      <w:pPr>
        <w:pStyle w:val="BodyText"/>
        <w:spacing w:before="11"/>
        <w:rPr>
          <w:sz w:val="15"/>
        </w:rPr>
      </w:pPr>
    </w:p>
    <w:p>
      <w:pPr>
        <w:spacing w:before="0"/>
        <w:ind w:left="180" w:right="0" w:firstLine="0"/>
        <w:jc w:val="left"/>
        <w:rPr>
          <w:sz w:val="12"/>
        </w:rPr>
      </w:pPr>
      <w:r>
        <w:rPr>
          <w:sz w:val="12"/>
        </w:rPr>
        <w:t>Sources: ONS and Bank of England.</w:t>
      </w:r>
    </w:p>
    <w:p>
      <w:pPr>
        <w:pStyle w:val="ListParagraph"/>
        <w:numPr>
          <w:ilvl w:val="0"/>
          <w:numId w:val="28"/>
        </w:numPr>
        <w:tabs>
          <w:tab w:pos="421" w:val="left" w:leader="none"/>
        </w:tabs>
        <w:spacing w:line="129" w:lineRule="exact" w:before="102" w:after="0"/>
        <w:ind w:left="420" w:right="0" w:hanging="241"/>
        <w:jc w:val="left"/>
        <w:rPr>
          <w:sz w:val="12"/>
        </w:rPr>
      </w:pPr>
      <w:r>
        <w:rPr>
          <w:spacing w:val="-3"/>
          <w:sz w:val="12"/>
        </w:rPr>
        <w:t>Wages </w:t>
      </w:r>
      <w:r>
        <w:rPr>
          <w:sz w:val="12"/>
        </w:rPr>
        <w:t>and</w:t>
      </w:r>
      <w:r>
        <w:rPr>
          <w:spacing w:val="-3"/>
          <w:sz w:val="12"/>
        </w:rPr>
        <w:t> </w:t>
      </w:r>
      <w:r>
        <w:rPr>
          <w:sz w:val="12"/>
        </w:rPr>
        <w:t>salaries</w:t>
      </w:r>
      <w:r>
        <w:rPr>
          <w:spacing w:val="-3"/>
          <w:sz w:val="12"/>
        </w:rPr>
        <w:t> </w:t>
      </w:r>
      <w:r>
        <w:rPr>
          <w:sz w:val="12"/>
        </w:rPr>
        <w:t>per</w:t>
      </w:r>
      <w:r>
        <w:rPr>
          <w:spacing w:val="-2"/>
          <w:sz w:val="12"/>
        </w:rPr>
        <w:t> </w:t>
      </w:r>
      <w:r>
        <w:rPr>
          <w:sz w:val="12"/>
        </w:rPr>
        <w:t>head</w:t>
      </w:r>
      <w:r>
        <w:rPr>
          <w:spacing w:val="-3"/>
          <w:sz w:val="12"/>
        </w:rPr>
        <w:t> </w:t>
      </w:r>
      <w:r>
        <w:rPr>
          <w:sz w:val="12"/>
        </w:rPr>
        <w:t>divided</w:t>
      </w:r>
      <w:r>
        <w:rPr>
          <w:spacing w:val="-3"/>
          <w:sz w:val="12"/>
        </w:rPr>
        <w:t> </w:t>
      </w:r>
      <w:r>
        <w:rPr>
          <w:sz w:val="12"/>
        </w:rPr>
        <w:t>by</w:t>
      </w:r>
      <w:r>
        <w:rPr>
          <w:spacing w:val="-3"/>
          <w:sz w:val="12"/>
        </w:rPr>
        <w:t> </w:t>
      </w:r>
      <w:r>
        <w:rPr>
          <w:sz w:val="12"/>
        </w:rPr>
        <w:t>tax</w:t>
      </w:r>
      <w:r>
        <w:rPr>
          <w:spacing w:val="-2"/>
          <w:sz w:val="12"/>
        </w:rPr>
        <w:t> </w:t>
      </w:r>
      <w:r>
        <w:rPr>
          <w:sz w:val="12"/>
        </w:rPr>
        <w:t>and</w:t>
      </w:r>
      <w:r>
        <w:rPr>
          <w:spacing w:val="-3"/>
          <w:sz w:val="12"/>
        </w:rPr>
        <w:t> </w:t>
      </w:r>
      <w:r>
        <w:rPr>
          <w:sz w:val="12"/>
        </w:rPr>
        <w:t>prices</w:t>
      </w:r>
      <w:r>
        <w:rPr>
          <w:spacing w:val="-3"/>
          <w:sz w:val="12"/>
        </w:rPr>
        <w:t> </w:t>
      </w:r>
      <w:r>
        <w:rPr>
          <w:sz w:val="12"/>
        </w:rPr>
        <w:t>index.</w:t>
      </w:r>
    </w:p>
    <w:p>
      <w:pPr>
        <w:pStyle w:val="ListParagraph"/>
        <w:numPr>
          <w:ilvl w:val="0"/>
          <w:numId w:val="28"/>
        </w:numPr>
        <w:tabs>
          <w:tab w:pos="421" w:val="left" w:leader="none"/>
        </w:tabs>
        <w:spacing w:line="208" w:lineRule="auto" w:before="6" w:after="0"/>
        <w:ind w:left="420" w:right="134" w:hanging="240"/>
        <w:jc w:val="left"/>
        <w:rPr>
          <w:sz w:val="12"/>
        </w:rPr>
      </w:pPr>
      <w:r>
        <w:rPr>
          <w:spacing w:val="-3"/>
          <w:sz w:val="12"/>
        </w:rPr>
        <w:t>Wages</w:t>
      </w:r>
      <w:r>
        <w:rPr>
          <w:spacing w:val="-7"/>
          <w:sz w:val="12"/>
        </w:rPr>
        <w:t> </w:t>
      </w:r>
      <w:r>
        <w:rPr>
          <w:sz w:val="12"/>
        </w:rPr>
        <w:t>and</w:t>
      </w:r>
      <w:r>
        <w:rPr>
          <w:spacing w:val="-6"/>
          <w:sz w:val="12"/>
        </w:rPr>
        <w:t> </w:t>
      </w:r>
      <w:r>
        <w:rPr>
          <w:sz w:val="12"/>
        </w:rPr>
        <w:t>salaries</w:t>
      </w:r>
      <w:r>
        <w:rPr>
          <w:spacing w:val="-6"/>
          <w:sz w:val="12"/>
        </w:rPr>
        <w:t> </w:t>
      </w:r>
      <w:r>
        <w:rPr>
          <w:sz w:val="12"/>
        </w:rPr>
        <w:t>and</w:t>
      </w:r>
      <w:r>
        <w:rPr>
          <w:spacing w:val="-6"/>
          <w:sz w:val="12"/>
        </w:rPr>
        <w:t> </w:t>
      </w:r>
      <w:r>
        <w:rPr>
          <w:sz w:val="12"/>
        </w:rPr>
        <w:t>employers’</w:t>
      </w:r>
      <w:r>
        <w:rPr>
          <w:spacing w:val="-13"/>
          <w:sz w:val="12"/>
        </w:rPr>
        <w:t> </w:t>
      </w:r>
      <w:r>
        <w:rPr>
          <w:sz w:val="12"/>
        </w:rPr>
        <w:t>social</w:t>
      </w:r>
      <w:r>
        <w:rPr>
          <w:spacing w:val="-6"/>
          <w:sz w:val="12"/>
        </w:rPr>
        <w:t> </w:t>
      </w:r>
      <w:r>
        <w:rPr>
          <w:sz w:val="12"/>
        </w:rPr>
        <w:t>security</w:t>
      </w:r>
      <w:r>
        <w:rPr>
          <w:spacing w:val="-7"/>
          <w:sz w:val="12"/>
        </w:rPr>
        <w:t> </w:t>
      </w:r>
      <w:r>
        <w:rPr>
          <w:sz w:val="12"/>
        </w:rPr>
        <w:t>contributions per head divided by GDP deflator at basic</w:t>
      </w:r>
      <w:r>
        <w:rPr>
          <w:spacing w:val="-17"/>
          <w:sz w:val="12"/>
        </w:rPr>
        <w:t> </w:t>
      </w:r>
      <w:r>
        <w:rPr>
          <w:sz w:val="12"/>
        </w:rPr>
        <w:t>prices.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3"/>
        </w:rPr>
      </w:pPr>
    </w:p>
    <w:p>
      <w:pPr>
        <w:pStyle w:val="Heading6"/>
        <w:spacing w:before="1"/>
        <w:ind w:left="174"/>
      </w:pPr>
      <w:r>
        <w:rPr>
          <w:color w:val="0092C7"/>
        </w:rPr>
        <w:t>Chart 3.12</w:t>
      </w:r>
    </w:p>
    <w:p>
      <w:pPr>
        <w:pStyle w:val="Heading6"/>
        <w:ind w:left="174"/>
      </w:pPr>
      <w:r>
        <w:rPr>
          <w:color w:val="0092C7"/>
        </w:rPr>
        <w:t>Labour productivity growth</w:t>
      </w:r>
    </w:p>
    <w:p>
      <w:pPr>
        <w:spacing w:before="111"/>
        <w:ind w:left="1654" w:right="0" w:firstLine="0"/>
        <w:jc w:val="left"/>
        <w:rPr>
          <w:sz w:val="12"/>
        </w:rPr>
      </w:pPr>
      <w:r>
        <w:rPr/>
        <w:pict>
          <v:line style="position:absolute;mso-position-horizontal-relative:page;mso-position-vertical-relative:paragraph;z-index:16184320" from="41.014999pt,14.088006pt" to="45.347999pt,14.088006pt" stroked="true" strokeweight=".5pt" strokecolor="#000000">
            <v:stroke dashstyle="solid"/>
            <w10:wrap type="none"/>
          </v:line>
        </w:pict>
      </w:r>
      <w:r>
        <w:rPr/>
        <w:pict>
          <v:line style="position:absolute;mso-position-horizontal-relative:page;mso-position-vertical-relative:paragraph;z-index:-23112704" from="197.837997pt,13.725006pt" to="202.169997pt,13.725006pt" stroked="true" strokeweight=".5pt" strokecolor="#000000">
            <v:stroke dashstyle="solid"/>
            <w10:wrap type="none"/>
          </v:line>
        </w:pict>
      </w:r>
      <w:r>
        <w:rPr>
          <w:sz w:val="12"/>
        </w:rPr>
        <w:t>Percentage changes on a year earlier </w:t>
      </w:r>
      <w:r>
        <w:rPr>
          <w:position w:val="-7"/>
          <w:sz w:val="12"/>
        </w:rPr>
        <w:t>10</w:t>
      </w:r>
    </w:p>
    <w:p>
      <w:pPr>
        <w:pStyle w:val="BodyText"/>
        <w:rPr>
          <w:sz w:val="24"/>
        </w:rPr>
      </w:pPr>
    </w:p>
    <w:p>
      <w:pPr>
        <w:spacing w:before="1"/>
        <w:ind w:left="0" w:right="56" w:firstLine="0"/>
        <w:jc w:val="right"/>
        <w:rPr>
          <w:sz w:val="12"/>
        </w:rPr>
      </w:pPr>
      <w:r>
        <w:rPr/>
        <w:pict>
          <v:group style="position:absolute;margin-left:48.98pt;margin-top:-3.275623pt;width:157.75pt;height:120.25pt;mso-position-horizontal-relative:page;mso-position-vertical-relative:paragraph;z-index:16180224" coordorigin="980,-66" coordsize="3155,2405">
            <v:shape style="position:absolute;left:989;top:146;width:123;height:728" coordorigin="990,147" coordsize="123,728" path="m990,147l1035,239m1035,239l1067,752m1067,752l1112,874e" filled="false" stroked="true" strokeweight="1pt" strokecolor="#006caa">
              <v:path arrowok="t"/>
              <v:stroke dashstyle="solid"/>
            </v:shape>
            <v:line style="position:absolute" from="1135,324" to="1135,884" stroked="true" strokeweight="3.25pt" strokecolor="#006caa">
              <v:stroke dashstyle="solid"/>
            </v:line>
            <v:shape style="position:absolute;left:1157;top:-56;width:233;height:795" coordorigin="1157,-56" coordsize="233,795" path="m1157,334l1190,469m1190,469l1235,199m1235,199l1267,-56m1267,-56l1312,239m1312,239l1355,564m1355,564l1390,739e" filled="false" stroked="true" strokeweight="1pt" strokecolor="#006caa">
              <v:path arrowok="t"/>
              <v:stroke dashstyle="solid"/>
            </v:shape>
            <v:line style="position:absolute" from="1411,729" to="1411,1207" stroked="true" strokeweight="3.125pt" strokecolor="#006caa">
              <v:stroke dashstyle="solid"/>
            </v:line>
            <v:shape style="position:absolute;left:1432;top:751;width:80;height:445" coordorigin="1432,752" coordsize="80,445" path="m1432,1197l1477,927m1477,927l1512,752e" filled="false" stroked="true" strokeweight="1pt" strokecolor="#006caa">
              <v:path arrowok="t"/>
              <v:stroke dashstyle="solid"/>
            </v:shape>
            <v:line style="position:absolute" from="1533,742" to="1533,1207" stroked="true" strokeweight="3.125pt" strokecolor="#006caa">
              <v:stroke dashstyle="solid"/>
            </v:line>
            <v:shape style="position:absolute;left:1554;top:1196;width:123;height:350" coordorigin="1555,1197" coordsize="123,350" path="m1555,1197l1590,1387m1590,1387l1632,1522m1632,1522l1677,1547e" filled="false" stroked="true" strokeweight="1pt" strokecolor="#006caa">
              <v:path arrowok="t"/>
              <v:stroke dashstyle="solid"/>
            </v:shape>
            <v:line style="position:absolute" from="1693,1039" to="1693,1557" stroked="true" strokeweight="2.625pt" strokecolor="#006caa">
              <v:stroke dashstyle="solid"/>
            </v:line>
            <v:line style="position:absolute" from="1710,1049" to="1755,12" stroked="true" strokeweight="1pt" strokecolor="#006caa">
              <v:stroke dashstyle="solid"/>
            </v:line>
            <v:line style="position:absolute" from="1777,2" to="1777,492" stroked="true" strokeweight="3.25pt" strokecolor="#006caa">
              <v:stroke dashstyle="solid"/>
            </v:line>
            <v:shape style="position:absolute;left:1799;top:361;width:110;height:540" coordorigin="1800,362" coordsize="110,540" path="m1800,482l1832,442m1832,442l1877,362m1877,362l1910,902e" filled="false" stroked="true" strokeweight="1pt" strokecolor="#006caa">
              <v:path arrowok="t"/>
              <v:stroke dashstyle="solid"/>
            </v:shape>
            <v:shape style="position:absolute;left:1899;top:419;width:265;height:493" type="#_x0000_t75" stroked="false">
              <v:imagedata r:id="rId120" o:title=""/>
            </v:shape>
            <v:line style="position:absolute" from="2177,689" to="2177,1287" stroked="true" strokeweight="3.25pt" strokecolor="#006caa">
              <v:stroke dashstyle="solid"/>
            </v:line>
            <v:shape style="position:absolute;left:2199;top:1089;width:320;height:378" coordorigin="2200,1089" coordsize="320,378" path="m2200,1277l2232,1319m2232,1319l2277,1399m2277,1399l2320,1089m2320,1089l2355,1197m2355,1197l2397,1212m2397,1212l2442,1319m2442,1319l2475,1467m2475,1467l2520,1102e" filled="false" stroked="true" strokeweight="1pt" strokecolor="#006caa">
              <v:path arrowok="t"/>
              <v:stroke dashstyle="solid"/>
            </v:shape>
            <v:line style="position:absolute" from="2537,729" to="2537,1112" stroked="true" strokeweight="2.75pt" strokecolor="#006caa">
              <v:stroke dashstyle="solid"/>
            </v:line>
            <v:shape style="position:absolute;left:2554;top:254;width:243;height:485" coordorigin="2555,254" coordsize="243,485" path="m2555,739l2597,509m2597,509l2642,442m2642,442l2675,279m2675,279l2720,429m2720,429l2765,254m2765,254l2797,509e" filled="false" stroked="true" strokeweight="1pt" strokecolor="#006caa">
              <v:path arrowok="t"/>
              <v:stroke dashstyle="solid"/>
            </v:shape>
            <v:line style="position:absolute" from="2820,499" to="2820,952" stroked="true" strokeweight="3.25pt" strokecolor="#006caa">
              <v:stroke dashstyle="solid"/>
            </v:line>
            <v:shape style="position:absolute;left:2842;top:604;width:323;height:1280" coordorigin="2842,604" coordsize="323,1280" path="m2842,942l2875,1197m2875,1197l2920,1157m2920,1157l2965,902m2965,902l2997,672m2997,672l3042,604m3042,604l3085,1439m3085,1439l3120,1737m3120,1737l3165,1884e" filled="false" stroked="true" strokeweight="1pt" strokecolor="#006caa">
              <v:path arrowok="t"/>
              <v:stroke dashstyle="solid"/>
            </v:shape>
            <v:line style="position:absolute" from="3181,1874" to="3181,2339" stroked="true" strokeweight="2.625pt" strokecolor="#006caa">
              <v:stroke dashstyle="solid"/>
            </v:line>
            <v:shape style="position:absolute;left:3197;top:1964;width:123;height:365" coordorigin="3197,1964" coordsize="123,365" path="m3197,2329l3242,1964m3242,1964l3285,2019m3285,2019l3320,2127e" filled="false" stroked="true" strokeweight="1pt" strokecolor="#006caa">
              <v:path arrowok="t"/>
              <v:stroke dashstyle="solid"/>
            </v:shape>
            <v:line style="position:absolute" from="3341,1699" to="3341,2137" stroked="true" strokeweight="3.125pt" strokecolor="#006caa">
              <v:stroke dashstyle="solid"/>
            </v:line>
            <v:shape style="position:absolute;left:3362;top:1196;width:400;height:850" coordorigin="3362,1197" coordsize="400,850" path="m3362,1709l3407,1587m3407,1587l3440,1697m3440,1697l3485,1522m3485,1522l3517,1737m3517,1737l3562,2047m3562,2047l3607,1789m3607,1789l3640,1899m3640,1899l3685,1737m3685,1737l3730,1439m3730,1439l3762,1197e" filled="false" stroked="true" strokeweight="1pt" strokecolor="#006caa">
              <v:path arrowok="t"/>
              <v:stroke dashstyle="solid"/>
            </v:shape>
            <v:line style="position:absolute" from="3785,742" to="3785,1207" stroked="true" strokeweight="3.25pt" strokecolor="#006caa">
              <v:stroke dashstyle="solid"/>
            </v:line>
            <v:shape style="position:absolute;left:3807;top:604;width:78;height:175" coordorigin="3807,604" coordsize="78,175" path="m3807,752l3840,604m3840,604l3885,779e" filled="false" stroked="true" strokeweight="1pt" strokecolor="#006caa">
              <v:path arrowok="t"/>
              <v:stroke dashstyle="solid"/>
            </v:shape>
            <v:shape style="position:absolute;left:989;top:914;width:123;height:188" coordorigin="990,914" coordsize="123,188" path="m990,1049l1035,914m1035,914l1067,1102m1067,1102l1112,954e" filled="false" stroked="true" strokeweight="1pt" strokecolor="#44af34">
              <v:path arrowok="t"/>
              <v:stroke dashstyle="solid"/>
            </v:shape>
            <v:line style="position:absolute" from="1135,487" to="1135,964" stroked="true" strokeweight="3.25pt" strokecolor="#44af34">
              <v:stroke dashstyle="solid"/>
            </v:line>
            <v:shape style="position:absolute;left:1157;top:496;width:110;height:958" coordorigin="1157,497" coordsize="110,958" path="m1157,497l1190,1049m1190,1049l1235,1237m1235,1237l1267,1454e" filled="false" stroked="true" strokeweight="1pt" strokecolor="#44af34">
              <v:path arrowok="t"/>
              <v:stroke dashstyle="solid"/>
            </v:shape>
            <v:line style="position:absolute" from="1290,1444" to="1290,1962" stroked="true" strokeweight="3.25pt" strokecolor="#44af34">
              <v:stroke dashstyle="solid"/>
            </v:line>
            <v:shape style="position:absolute;left:1312;top:926;width:520;height:1283" coordorigin="1312,927" coordsize="520,1283" path="m1312,1952l1355,2099m1355,2099l1390,2209m1390,2209l1432,1924m1432,1924l1477,1764m1477,1764l1512,942m1512,942l1555,927m1555,927l1590,1009m1590,1009l1632,994m1632,994l1677,1157m1677,1157l1710,942m1710,942l1755,1077m1755,1077l1800,1292m1800,1292l1832,1507e" filled="false" stroked="true" strokeweight="1pt" strokecolor="#44af34">
              <v:path arrowok="t"/>
              <v:stroke dashstyle="solid"/>
            </v:shape>
            <v:line style="position:absolute" from="1822,1508" to="1887,1508" stroked="true" strokeweight="1.125pt" strokecolor="#44af34">
              <v:stroke dashstyle="solid"/>
            </v:line>
            <v:shape style="position:absolute;left:1877;top:1049;width:888;height:1133" coordorigin="1877,1049" coordsize="888,1133" path="m1877,1507l1910,1654m1910,1654l1955,1562m1955,1562l2000,1777m2000,1777l2032,1844m2032,1844l2077,1789m2077,1789l2122,2154m2122,2154l2155,2099m2155,2099l2200,2182m2200,2182l2232,2167m2232,2167l2277,1764m2277,1764l2320,1722m2320,1722l2355,1884m2355,1884l2397,1804m2397,1804l2442,1777m2442,1777l2475,1562m2475,1562l2520,1212m2520,1212l2555,1117m2555,1117l2597,1264m2597,1264l2642,1372m2642,1372l2675,1224m2675,1224l2720,1102m2720,1102l2765,1049e" filled="false" stroked="true" strokeweight="1pt" strokecolor="#44af34">
              <v:path arrowok="t"/>
              <v:stroke dashstyle="solid"/>
            </v:shape>
            <v:line style="position:absolute" from="2755,1051" to="2807,1051" stroked="true" strokeweight="1.125pt" strokecolor="#44af34">
              <v:stroke dashstyle="solid"/>
            </v:line>
            <v:shape style="position:absolute;left:2797;top:926;width:523;height:473" coordorigin="2797,927" coordsize="523,473" path="m2797,1049l2842,1169m2842,1169l2875,1264m2875,1264l2920,1157m2920,1157l2965,927m2965,927l2997,994m2997,994l3042,1009m3042,1009l3085,1049m3085,1049l3120,1332m3120,1332l3165,1399m3165,1399l3197,1387m3197,1387l3242,1332m3242,1332l3285,1304m3285,1304l3320,1332e" filled="false" stroked="true" strokeweight="1pt" strokecolor="#44af34">
              <v:path arrowok="t"/>
              <v:stroke dashstyle="solid"/>
            </v:shape>
            <v:line style="position:absolute" from="3310,1333" to="3372,1333" stroked="true" strokeweight="1.125pt" strokecolor="#44af34">
              <v:stroke dashstyle="solid"/>
            </v:line>
            <v:line style="position:absolute" from="3362,1332" to="3407,1439" stroked="true" strokeweight="1pt" strokecolor="#44af34">
              <v:stroke dashstyle="solid"/>
            </v:line>
            <v:line style="position:absolute" from="3397,1441" to="3450,1441" stroked="true" strokeweight="1.125pt" strokecolor="#44af34">
              <v:stroke dashstyle="solid"/>
            </v:line>
            <v:shape style="position:absolute;left:3439;top:1291;width:445;height:363" coordorigin="3440,1292" coordsize="445,363" path="m3440,1439l3485,1344m3485,1344l3517,1412m3517,1412l3562,1427m3562,1427l3607,1292m3607,1292l3640,1359m3640,1359l3685,1479m3685,1479l3730,1522m3730,1522l3762,1654m3762,1654l3807,1587m3807,1587l3840,1439m3840,1439l3885,1387e" filled="false" stroked="true" strokeweight="1pt" strokecolor="#44af34">
              <v:path arrowok="t"/>
              <v:stroke dashstyle="solid"/>
            </v:shape>
            <v:shape style="position:absolute;left:989;top:751;width:123;height:270" coordorigin="990,752" coordsize="123,270" path="m990,834l1035,752m1035,752l1067,1022m1067,1022l1112,942e" filled="false" stroked="true" strokeweight="1pt" strokecolor="#de0035">
              <v:path arrowok="t"/>
              <v:stroke dashstyle="solid"/>
            </v:shape>
            <v:shape style="position:absolute;left:1102;top:459;width:98;height:493" coordorigin="1102,459" coordsize="98,493" path="m1200,459l1167,459,1147,459,1102,459,1102,952,1167,952,1167,937,1200,937,1200,459xe" filled="true" fillcolor="#de0035" stroked="false">
              <v:path arrowok="t"/>
              <v:fill type="solid"/>
            </v:shape>
            <v:shape style="position:absolute;left:1189;top:926;width:78;height:203" coordorigin="1190,927" coordsize="78,203" path="m1190,927l1235,1009m1235,1009l1267,1129e" filled="false" stroked="true" strokeweight="1pt" strokecolor="#de0035">
              <v:path arrowok="t"/>
              <v:stroke dashstyle="solid"/>
            </v:shape>
            <v:line style="position:absolute" from="1290,1119" to="1290,1597" stroked="true" strokeweight="3.25pt" strokecolor="#de0035">
              <v:stroke dashstyle="solid"/>
            </v:line>
            <v:shape style="position:absolute;left:1312;top:859;width:888;height:1148" coordorigin="1312,859" coordsize="888,1148" path="m1312,1587l1355,1777m1355,1777l1390,1899m1390,1899l1432,1777m1432,1777l1477,1587m1477,1587l1512,902m1512,902l1555,982m1555,982l1590,1089m1590,1089l1632,1102m1632,1102l1677,1237m1677,1237l1710,967m1710,967l1755,859m1755,859l1800,1129m1800,1129l1832,1292m1832,1292l1877,1277m1877,1277l1910,1507m1910,1507l1955,1359m1955,1359l2000,1547m2000,1547l2032,1562m2032,1562l2077,1547m2077,1547l2122,1857m2122,1857l2155,1832m2155,1832l2200,2007e" filled="false" stroked="true" strokeweight="1pt" strokecolor="#de0035">
              <v:path arrowok="t"/>
              <v:stroke dashstyle="solid"/>
            </v:shape>
            <v:line style="position:absolute" from="2190,2008" to="2242,2008" stroked="true" strokeweight="1.125pt" strokecolor="#de0035">
              <v:stroke dashstyle="solid"/>
            </v:line>
            <v:shape style="position:absolute;left:2232;top:1601;width:165;height:405" coordorigin="2232,1602" coordsize="165,405" path="m2232,2007l2277,1697m2277,1697l2320,1602m2320,1602l2355,1749m2355,1749l2397,1697e" filled="false" stroked="true" strokeweight="1pt" strokecolor="#de0035">
              <v:path arrowok="t"/>
              <v:stroke dashstyle="solid"/>
            </v:shape>
            <v:line style="position:absolute" from="2387,1698" to="2452,1698" stroked="true" strokeweight="1.125pt" strokecolor="#de0035">
              <v:stroke dashstyle="solid"/>
            </v:line>
            <v:shape style="position:absolute;left:2442;top:926;width:555;height:770" coordorigin="2442,927" coordsize="555,770" path="m2442,1697l2475,1547m2475,1547l2520,1197m2520,1197l2555,1049m2555,1049l2597,1129m2597,1129l2642,1212m2642,1212l2675,1062m2675,1062l2720,982m2720,982l2765,927m2765,927l2797,967m2797,967l2842,1129m2842,1129l2875,1252m2875,1252l2920,1157m2920,1157l2965,927m2965,927l2997,942e" filled="false" stroked="true" strokeweight="1pt" strokecolor="#de0035">
              <v:path arrowok="t"/>
              <v:stroke dashstyle="solid"/>
            </v:shape>
            <v:line style="position:absolute" from="2987,943" to="3052,943" stroked="true" strokeweight="1.125pt" strokecolor="#de0035">
              <v:stroke dashstyle="solid"/>
            </v:line>
            <v:shape style="position:absolute;left:3042;top:941;width:843;height:645" coordorigin="3042,942" coordsize="843,645" path="m3042,942l3085,1102m3085,1102l3120,1399m3120,1399l3165,1479m3165,1479l3197,1547m3197,1547l3242,1439m3242,1439l3285,1427m3285,1427l3320,1467m3320,1467l3362,1399m3362,1399l3407,1467m3407,1467l3440,1479m3440,1479l3485,1387m3485,1387l3517,1467m3517,1467l3562,1522m3562,1522l3607,1387m3607,1387l3640,1439m3640,1439l3685,1522m3685,1522l3730,1507m3730,1507l3762,1587m3762,1587l3807,1467m3807,1467l3840,1319m3840,1319l3885,1292e" filled="false" stroked="true" strokeweight="1pt" strokecolor="#de0035">
              <v:path arrowok="t"/>
              <v:stroke dashstyle="solid"/>
            </v:shape>
            <v:shape style="position:absolute;left:3285;top:86;width:758;height:2081" coordorigin="3286,86" coordsize="758,2081" path="m3957,86l4043,86m3957,502l4043,502m3957,918l4043,918m3957,1335l4043,1335m3957,2167l4043,2167m3957,1751l4043,1751m3370,456l3286,1342e" filled="false" stroked="true" strokeweight=".5pt" strokecolor="#000000">
              <v:path arrowok="t"/>
              <v:stroke dashstyle="solid"/>
            </v:shape>
            <v:shape style="position:absolute;left:3262;top:1322;width:51;height:87" coordorigin="3262,1323" coordsize="51,87" path="m3262,1323l3277,1390,3279,1409,3281,1401,3312,1328,3262,1323xe" filled="true" fillcolor="#000000" stroked="false">
              <v:path arrowok="t"/>
              <v:fill type="solid"/>
            </v:shape>
            <v:line style="position:absolute" from="989,1751" to="3887,1751" stroked="true" strokeweight=".5pt" strokecolor="#000000">
              <v:stroke dashstyle="solid"/>
            </v:line>
            <v:shape style="position:absolute;left:1816;top:-14;width:734;height:134" type="#_x0000_t202" filled="false" stroked="false">
              <v:textbox inset="0,0,0,0">
                <w:txbxContent>
                  <w:p>
                    <w:pPr>
                      <w:spacing w:line="133" w:lineRule="exact" w:before="0"/>
                      <w:ind w:left="0" w:right="0" w:firstLine="0"/>
                      <w:jc w:val="left"/>
                      <w:rPr>
                        <w:sz w:val="12"/>
                      </w:rPr>
                    </w:pPr>
                    <w:r>
                      <w:rPr>
                        <w:sz w:val="12"/>
                      </w:rPr>
                      <w:t>Manufacturing</w:t>
                    </w:r>
                  </w:p>
                </w:txbxContent>
              </v:textbox>
              <w10:wrap type="none"/>
            </v:shape>
            <v:shape style="position:absolute;left:3081;top:320;width:820;height:134" type="#_x0000_t202" filled="false" stroked="false">
              <v:textbox inset="0,0,0,0">
                <w:txbxContent>
                  <w:p>
                    <w:pPr>
                      <w:spacing w:line="133" w:lineRule="exact" w:before="0"/>
                      <w:ind w:left="0" w:right="0" w:firstLine="0"/>
                      <w:jc w:val="left"/>
                      <w:rPr>
                        <w:sz w:val="12"/>
                      </w:rPr>
                    </w:pPr>
                    <w:r>
                      <w:rPr>
                        <w:sz w:val="12"/>
                      </w:rPr>
                      <w:t>Whole-economy</w:t>
                    </w:r>
                  </w:p>
                </w:txbxContent>
              </v:textbox>
              <w10:wrap type="none"/>
            </v:shape>
            <v:shape style="position:absolute;left:4024;top:1467;width:111;height:448" type="#_x0000_t202" filled="false" stroked="false">
              <v:textbox inset="0,0,0,0">
                <w:txbxContent>
                  <w:p>
                    <w:pPr>
                      <w:spacing w:line="177" w:lineRule="exact" w:before="0"/>
                      <w:ind w:left="0" w:right="0" w:firstLine="0"/>
                      <w:jc w:val="left"/>
                      <w:rPr>
                        <w:sz w:val="16"/>
                      </w:rPr>
                    </w:pPr>
                    <w:r>
                      <w:rPr>
                        <w:sz w:val="16"/>
                      </w:rPr>
                      <w:t>+</w:t>
                    </w:r>
                  </w:p>
                  <w:p>
                    <w:pPr>
                      <w:spacing w:before="86"/>
                      <w:ind w:left="7" w:right="0" w:firstLine="0"/>
                      <w:jc w:val="left"/>
                      <w:rPr>
                        <w:sz w:val="16"/>
                      </w:rPr>
                    </w:pPr>
                    <w:r>
                      <w:rPr>
                        <w:sz w:val="16"/>
                      </w:rPr>
                      <w:t>_</w:t>
                    </w:r>
                  </w:p>
                </w:txbxContent>
              </v:textbox>
              <w10:wrap type="none"/>
            </v:shape>
            <v:shape style="position:absolute;left:1251;top:2203;width:1130;height:134" type="#_x0000_t202" filled="false" stroked="false">
              <v:textbox inset="0,0,0,0">
                <w:txbxContent>
                  <w:p>
                    <w:pPr>
                      <w:spacing w:line="133" w:lineRule="exact" w:before="0"/>
                      <w:ind w:left="0" w:right="0" w:firstLine="0"/>
                      <w:jc w:val="left"/>
                      <w:rPr>
                        <w:sz w:val="12"/>
                      </w:rPr>
                    </w:pPr>
                    <w:r>
                      <w:rPr>
                        <w:sz w:val="12"/>
                      </w:rPr>
                      <w:t>Non-manufacturing (a)</w:t>
                    </w:r>
                  </w:p>
                </w:txbxContent>
              </v:textbox>
              <w10:wrap type="none"/>
            </v:shape>
            <w10:wrap type="none"/>
          </v:group>
        </w:pict>
      </w:r>
      <w:r>
        <w:rPr/>
        <w:pict>
          <v:line style="position:absolute;mso-position-horizontal-relative:page;mso-position-vertical-relative:paragraph;z-index:16180736" from="41.014999pt,4.666378pt" to="45.347999pt,4.666378pt" stroked="true" strokeweight=".5pt" strokecolor="#000000">
            <v:stroke dashstyle="solid"/>
            <w10:wrap type="none"/>
          </v:line>
        </w:pict>
      </w:r>
      <w:r>
        <w:rPr>
          <w:sz w:val="12"/>
        </w:rPr>
        <w:t>8</w:t>
      </w:r>
    </w:p>
    <w:p>
      <w:pPr>
        <w:pStyle w:val="BodyText"/>
        <w:rPr>
          <w:sz w:val="12"/>
        </w:rPr>
      </w:pPr>
    </w:p>
    <w:p>
      <w:pPr>
        <w:pStyle w:val="BodyText"/>
        <w:spacing w:before="1"/>
        <w:rPr>
          <w:sz w:val="12"/>
        </w:rPr>
      </w:pPr>
    </w:p>
    <w:p>
      <w:pPr>
        <w:spacing w:before="1"/>
        <w:ind w:left="0" w:right="56" w:firstLine="0"/>
        <w:jc w:val="right"/>
        <w:rPr>
          <w:sz w:val="12"/>
        </w:rPr>
      </w:pPr>
      <w:r>
        <w:rPr/>
        <w:pict>
          <v:line style="position:absolute;mso-position-horizontal-relative:page;mso-position-vertical-relative:paragraph;z-index:16181248" from="41.014999pt,4.671575pt" to="45.347999pt,4.671575pt" stroked="true" strokeweight=".5pt" strokecolor="#000000">
            <v:stroke dashstyle="solid"/>
            <w10:wrap type="none"/>
          </v:line>
        </w:pict>
      </w:r>
      <w:r>
        <w:rPr>
          <w:sz w:val="12"/>
        </w:rPr>
        <w:t>6</w:t>
      </w:r>
    </w:p>
    <w:p>
      <w:pPr>
        <w:pStyle w:val="BodyText"/>
        <w:rPr>
          <w:sz w:val="12"/>
        </w:rPr>
      </w:pPr>
    </w:p>
    <w:p>
      <w:pPr>
        <w:pStyle w:val="BodyText"/>
        <w:spacing w:before="2"/>
        <w:rPr>
          <w:sz w:val="12"/>
        </w:rPr>
      </w:pPr>
    </w:p>
    <w:p>
      <w:pPr>
        <w:spacing w:before="0"/>
        <w:ind w:left="0" w:right="56" w:firstLine="0"/>
        <w:jc w:val="right"/>
        <w:rPr>
          <w:sz w:val="12"/>
        </w:rPr>
      </w:pPr>
      <w:r>
        <w:rPr/>
        <w:pict>
          <v:line style="position:absolute;mso-position-horizontal-relative:page;mso-position-vertical-relative:paragraph;z-index:16181760" from="41.014999pt,4.626772pt" to="45.347999pt,4.626772pt" stroked="true" strokeweight=".5pt" strokecolor="#000000">
            <v:stroke dashstyle="solid"/>
            <w10:wrap type="none"/>
          </v:line>
        </w:pict>
      </w:r>
      <w:r>
        <w:rPr>
          <w:sz w:val="12"/>
        </w:rPr>
        <w:t>4</w:t>
      </w:r>
    </w:p>
    <w:p>
      <w:pPr>
        <w:pStyle w:val="BodyText"/>
        <w:rPr>
          <w:sz w:val="12"/>
        </w:rPr>
      </w:pPr>
    </w:p>
    <w:p>
      <w:pPr>
        <w:pStyle w:val="BodyText"/>
        <w:spacing w:before="2"/>
        <w:rPr>
          <w:sz w:val="12"/>
        </w:rPr>
      </w:pPr>
    </w:p>
    <w:p>
      <w:pPr>
        <w:spacing w:before="0"/>
        <w:ind w:left="0" w:right="56" w:firstLine="0"/>
        <w:jc w:val="right"/>
        <w:rPr>
          <w:sz w:val="12"/>
        </w:rPr>
      </w:pPr>
      <w:r>
        <w:rPr/>
        <w:pict>
          <v:line style="position:absolute;mso-position-horizontal-relative:page;mso-position-vertical-relative:paragraph;z-index:16182272" from="41.014999pt,4.63297pt" to="45.347999pt,4.63297pt" stroked="true" strokeweight=".5pt" strokecolor="#000000">
            <v:stroke dashstyle="solid"/>
            <w10:wrap type="none"/>
          </v:line>
        </w:pict>
      </w:r>
      <w:r>
        <w:rPr>
          <w:sz w:val="12"/>
        </w:rPr>
        <w:t>2</w:t>
      </w:r>
    </w:p>
    <w:p>
      <w:pPr>
        <w:pStyle w:val="BodyText"/>
        <w:rPr>
          <w:sz w:val="12"/>
        </w:rPr>
      </w:pPr>
    </w:p>
    <w:p>
      <w:pPr>
        <w:pStyle w:val="BodyText"/>
        <w:spacing w:before="2"/>
        <w:rPr>
          <w:sz w:val="12"/>
        </w:rPr>
      </w:pPr>
    </w:p>
    <w:p>
      <w:pPr>
        <w:spacing w:before="0"/>
        <w:ind w:left="0" w:right="56" w:firstLine="0"/>
        <w:jc w:val="right"/>
        <w:rPr>
          <w:sz w:val="12"/>
        </w:rPr>
      </w:pPr>
      <w:r>
        <w:rPr/>
        <w:pict>
          <v:line style="position:absolute;mso-position-horizontal-relative:page;mso-position-vertical-relative:paragraph;z-index:16183296" from="41.014999pt,4.274168pt" to="45.347999pt,4.274168pt" stroked="true" strokeweight=".5pt" strokecolor="#000000">
            <v:stroke dashstyle="solid"/>
            <w10:wrap type="none"/>
          </v:line>
        </w:pict>
      </w:r>
      <w:r>
        <w:rPr>
          <w:sz w:val="12"/>
        </w:rPr>
        <w:t>0</w:t>
      </w:r>
    </w:p>
    <w:p>
      <w:pPr>
        <w:pStyle w:val="BodyText"/>
        <w:rPr>
          <w:sz w:val="12"/>
        </w:rPr>
      </w:pPr>
    </w:p>
    <w:p>
      <w:pPr>
        <w:pStyle w:val="BodyText"/>
        <w:spacing w:before="2"/>
        <w:rPr>
          <w:sz w:val="12"/>
        </w:rPr>
      </w:pPr>
    </w:p>
    <w:p>
      <w:pPr>
        <w:spacing w:before="0"/>
        <w:ind w:left="0" w:right="56" w:firstLine="0"/>
        <w:jc w:val="right"/>
        <w:rPr>
          <w:sz w:val="12"/>
        </w:rPr>
      </w:pPr>
      <w:r>
        <w:rPr/>
        <w:pict>
          <v:line style="position:absolute;mso-position-horizontal-relative:page;mso-position-vertical-relative:paragraph;z-index:16182784" from="41.014999pt,4.643365pt" to="45.347999pt,4.643365pt" stroked="true" strokeweight=".5pt" strokecolor="#000000">
            <v:stroke dashstyle="solid"/>
            <w10:wrap type="none"/>
          </v:line>
        </w:pict>
      </w:r>
      <w:r>
        <w:rPr>
          <w:sz w:val="12"/>
        </w:rPr>
        <w:t>2</w:t>
      </w:r>
    </w:p>
    <w:p>
      <w:pPr>
        <w:pStyle w:val="BodyText"/>
        <w:rPr>
          <w:sz w:val="12"/>
        </w:rPr>
      </w:pPr>
    </w:p>
    <w:p>
      <w:pPr>
        <w:pStyle w:val="BodyText"/>
        <w:spacing w:before="2"/>
        <w:rPr>
          <w:sz w:val="12"/>
        </w:rPr>
      </w:pPr>
    </w:p>
    <w:p>
      <w:pPr>
        <w:spacing w:line="136" w:lineRule="exact" w:before="0"/>
        <w:ind w:left="3490" w:right="0" w:firstLine="0"/>
        <w:jc w:val="left"/>
        <w:rPr>
          <w:sz w:val="12"/>
        </w:rPr>
      </w:pPr>
      <w:r>
        <w:rPr/>
        <w:pict>
          <v:line style="position:absolute;mso-position-horizontal-relative:page;mso-position-vertical-relative:paragraph;z-index:16183808" from="41.014999pt,4.649562pt" to="45.347999pt,4.649562pt" stroked="true" strokeweight=".5pt" strokecolor="#000000">
            <v:stroke dashstyle="solid"/>
            <w10:wrap type="none"/>
          </v:line>
        </w:pict>
      </w:r>
      <w:r>
        <w:rPr/>
        <w:pict>
          <v:line style="position:absolute;mso-position-horizontal-relative:page;mso-position-vertical-relative:paragraph;z-index:16184832" from="197.837997pt,4.649562pt" to="202.169997pt,4.649562pt" stroked="true" strokeweight=".5pt" strokecolor="#000000">
            <v:stroke dashstyle="solid"/>
            <w10:wrap type="none"/>
          </v:line>
        </w:pict>
      </w:r>
      <w:r>
        <w:rPr/>
        <w:pict>
          <v:shape style="position:absolute;margin-left:49.993999pt;margin-top:1.294562pt;width:144.1pt;height:3.4pt;mso-position-horizontal-relative:page;mso-position-vertical-relative:paragraph;z-index:16185856" coordorigin="1000,26" coordsize="2882,68" path="m1002,93l3881,93m1000,26l1000,93m1320,26l1320,93m1640,26l1640,93m1960,26l1960,93m2281,26l2281,93m2601,26l2601,93m2921,26l2921,93m3561,26l3561,93m3241,26l3241,93m3881,26l3881,93m1160,26l1160,93m1480,26l1480,93m1800,26l1800,93m2120,26l2120,93m2441,26l2441,93m2761,26l2761,93m3081,26l3081,93m3721,26l3721,93m3401,26l3401,93e" filled="false" stroked="true" strokeweight=".5pt" strokecolor="#000000">
            <v:path arrowok="t"/>
            <v:stroke dashstyle="solid"/>
            <w10:wrap type="none"/>
          </v:shape>
        </w:pict>
      </w:r>
      <w:r>
        <w:rPr>
          <w:sz w:val="12"/>
        </w:rPr>
        <w:t>4</w:t>
      </w:r>
    </w:p>
    <w:p>
      <w:pPr>
        <w:tabs>
          <w:tab w:pos="1027" w:val="left" w:leader="none"/>
          <w:tab w:pos="1670" w:val="left" w:leader="none"/>
          <w:tab w:pos="1992" w:val="left" w:leader="none"/>
          <w:tab w:pos="2635" w:val="left" w:leader="none"/>
          <w:tab w:pos="2957" w:val="left" w:leader="none"/>
        </w:tabs>
        <w:spacing w:line="136" w:lineRule="exact" w:before="0"/>
        <w:ind w:left="282" w:right="0" w:firstLine="0"/>
        <w:jc w:val="left"/>
        <w:rPr>
          <w:sz w:val="12"/>
        </w:rPr>
      </w:pPr>
      <w:r>
        <w:rPr>
          <w:sz w:val="12"/>
        </w:rPr>
        <w:t>1982     </w:t>
      </w:r>
      <w:r>
        <w:rPr>
          <w:spacing w:val="3"/>
          <w:sz w:val="12"/>
        </w:rPr>
        <w:t> </w:t>
      </w:r>
      <w:r>
        <w:rPr>
          <w:sz w:val="12"/>
        </w:rPr>
        <w:t>84</w:t>
        <w:tab/>
        <w:t>86     </w:t>
      </w:r>
      <w:r>
        <w:rPr>
          <w:spacing w:val="20"/>
          <w:sz w:val="12"/>
        </w:rPr>
        <w:t> </w:t>
      </w:r>
      <w:r>
        <w:rPr>
          <w:sz w:val="12"/>
        </w:rPr>
        <w:t>88</w:t>
        <w:tab/>
        <w:t>90</w:t>
        <w:tab/>
        <w:t>92     </w:t>
      </w:r>
      <w:r>
        <w:rPr>
          <w:spacing w:val="20"/>
          <w:sz w:val="12"/>
        </w:rPr>
        <w:t> </w:t>
      </w:r>
      <w:r>
        <w:rPr>
          <w:sz w:val="12"/>
        </w:rPr>
        <w:t>94</w:t>
        <w:tab/>
        <w:t>96</w:t>
        <w:tab/>
        <w:t>98</w:t>
      </w:r>
      <w:r>
        <w:rPr>
          <w:spacing w:val="16"/>
          <w:sz w:val="12"/>
        </w:rPr>
        <w:t> </w:t>
      </w:r>
      <w:r>
        <w:rPr>
          <w:sz w:val="12"/>
        </w:rPr>
        <w:t>2000</w:t>
      </w:r>
    </w:p>
    <w:p>
      <w:pPr>
        <w:pStyle w:val="BodyText"/>
        <w:rPr>
          <w:sz w:val="12"/>
        </w:rPr>
      </w:pPr>
    </w:p>
    <w:p>
      <w:pPr>
        <w:spacing w:before="87"/>
        <w:ind w:left="174" w:right="0" w:firstLine="0"/>
        <w:jc w:val="left"/>
        <w:rPr>
          <w:sz w:val="12"/>
        </w:rPr>
      </w:pPr>
      <w:r>
        <w:rPr>
          <w:sz w:val="12"/>
        </w:rPr>
        <w:t>Sources: ONS and Bank of England.</w:t>
      </w:r>
    </w:p>
    <w:p>
      <w:pPr>
        <w:pStyle w:val="BodyText"/>
        <w:spacing w:before="1"/>
        <w:rPr>
          <w:sz w:val="10"/>
        </w:rPr>
      </w:pPr>
    </w:p>
    <w:p>
      <w:pPr>
        <w:spacing w:line="208" w:lineRule="auto" w:before="1"/>
        <w:ind w:left="414" w:right="0" w:hanging="240"/>
        <w:jc w:val="left"/>
        <w:rPr>
          <w:sz w:val="12"/>
        </w:rPr>
      </w:pPr>
      <w:r>
        <w:rPr>
          <w:sz w:val="12"/>
        </w:rPr>
        <w:t>(a) Based on official measures of whole-economy and manufacturing labour productivity growth.</w:t>
      </w:r>
    </w:p>
    <w:p>
      <w:pPr>
        <w:pStyle w:val="BodyText"/>
        <w:spacing w:before="5"/>
        <w:rPr>
          <w:sz w:val="20"/>
        </w:rPr>
      </w:pPr>
      <w:r>
        <w:rPr/>
        <w:br w:type="column"/>
      </w:r>
      <w:r>
        <w:rPr>
          <w:sz w:val="20"/>
        </w:rPr>
      </w:r>
    </w:p>
    <w:p>
      <w:pPr>
        <w:spacing w:line="242" w:lineRule="auto" w:before="0"/>
        <w:ind w:left="174" w:right="165" w:firstLine="0"/>
        <w:jc w:val="left"/>
        <w:rPr>
          <w:sz w:val="24"/>
        </w:rPr>
      </w:pPr>
      <w:r>
        <w:rPr>
          <w:sz w:val="24"/>
        </w:rPr>
        <w:t>between these measures of real wages reflect two main factors: the terms of trade, and taxes on employment income and consumers’ expenditure. Other things being equal, overall wage pressures tend to fall when the real consumption wage is growing more quickly than the real product wage. Employees’ real wages are then being boosted by relative falls in import prices or tax rates, so they require smaller increases in nominal earnings to raise their </w:t>
      </w:r>
      <w:r>
        <w:rPr>
          <w:spacing w:val="-3"/>
          <w:sz w:val="24"/>
        </w:rPr>
        <w:t>effective </w:t>
      </w:r>
      <w:r>
        <w:rPr>
          <w:sz w:val="24"/>
        </w:rPr>
        <w:t>purchasing </w:t>
      </w:r>
      <w:r>
        <w:rPr>
          <w:spacing w:val="-4"/>
          <w:sz w:val="24"/>
        </w:rPr>
        <w:t>power. </w:t>
      </w:r>
      <w:r>
        <w:rPr>
          <w:sz w:val="24"/>
        </w:rPr>
        <w:t>The real consumption</w:t>
      </w:r>
      <w:r>
        <w:rPr>
          <w:spacing w:val="-7"/>
          <w:sz w:val="24"/>
        </w:rPr>
        <w:t> </w:t>
      </w:r>
      <w:r>
        <w:rPr>
          <w:sz w:val="24"/>
        </w:rPr>
        <w:t>wage</w:t>
      </w:r>
      <w:r>
        <w:rPr>
          <w:spacing w:val="-6"/>
          <w:sz w:val="24"/>
        </w:rPr>
        <w:t> </w:t>
      </w:r>
      <w:r>
        <w:rPr>
          <w:sz w:val="24"/>
        </w:rPr>
        <w:t>has</w:t>
      </w:r>
      <w:r>
        <w:rPr>
          <w:spacing w:val="-7"/>
          <w:sz w:val="24"/>
        </w:rPr>
        <w:t> </w:t>
      </w:r>
      <w:r>
        <w:rPr>
          <w:sz w:val="24"/>
        </w:rPr>
        <w:t>grown</w:t>
      </w:r>
      <w:r>
        <w:rPr>
          <w:spacing w:val="-6"/>
          <w:sz w:val="24"/>
        </w:rPr>
        <w:t> </w:t>
      </w:r>
      <w:r>
        <w:rPr>
          <w:sz w:val="24"/>
        </w:rPr>
        <w:t>faster</w:t>
      </w:r>
      <w:r>
        <w:rPr>
          <w:spacing w:val="-7"/>
          <w:sz w:val="24"/>
        </w:rPr>
        <w:t> </w:t>
      </w:r>
      <w:r>
        <w:rPr>
          <w:sz w:val="24"/>
        </w:rPr>
        <w:t>than</w:t>
      </w:r>
      <w:r>
        <w:rPr>
          <w:spacing w:val="-6"/>
          <w:sz w:val="24"/>
        </w:rPr>
        <w:t> </w:t>
      </w:r>
      <w:r>
        <w:rPr>
          <w:sz w:val="24"/>
        </w:rPr>
        <w:t>the</w:t>
      </w:r>
      <w:r>
        <w:rPr>
          <w:spacing w:val="-6"/>
          <w:sz w:val="24"/>
        </w:rPr>
        <w:t> </w:t>
      </w:r>
      <w:r>
        <w:rPr>
          <w:sz w:val="24"/>
        </w:rPr>
        <w:t>real</w:t>
      </w:r>
      <w:r>
        <w:rPr>
          <w:spacing w:val="-7"/>
          <w:sz w:val="24"/>
        </w:rPr>
        <w:t> </w:t>
      </w:r>
      <w:r>
        <w:rPr>
          <w:sz w:val="24"/>
        </w:rPr>
        <w:t>product wage since the start of last year (see Chart 3.11). But that difference narrowed in 2000 Q1, as real consumption</w:t>
      </w:r>
      <w:r>
        <w:rPr>
          <w:spacing w:val="-8"/>
          <w:sz w:val="24"/>
        </w:rPr>
        <w:t> </w:t>
      </w:r>
      <w:r>
        <w:rPr>
          <w:sz w:val="24"/>
        </w:rPr>
        <w:t>wage</w:t>
      </w:r>
      <w:r>
        <w:rPr>
          <w:spacing w:val="-8"/>
          <w:sz w:val="24"/>
        </w:rPr>
        <w:t> </w:t>
      </w:r>
      <w:r>
        <w:rPr>
          <w:sz w:val="24"/>
        </w:rPr>
        <w:t>growth</w:t>
      </w:r>
      <w:r>
        <w:rPr>
          <w:spacing w:val="-7"/>
          <w:sz w:val="24"/>
        </w:rPr>
        <w:t> </w:t>
      </w:r>
      <w:r>
        <w:rPr>
          <w:sz w:val="24"/>
        </w:rPr>
        <w:t>slowed</w:t>
      </w:r>
      <w:r>
        <w:rPr>
          <w:spacing w:val="-8"/>
          <w:sz w:val="24"/>
        </w:rPr>
        <w:t> </w:t>
      </w:r>
      <w:r>
        <w:rPr>
          <w:sz w:val="24"/>
        </w:rPr>
        <w:t>more</w:t>
      </w:r>
      <w:r>
        <w:rPr>
          <w:spacing w:val="-7"/>
          <w:sz w:val="24"/>
        </w:rPr>
        <w:t> </w:t>
      </w:r>
      <w:r>
        <w:rPr>
          <w:sz w:val="24"/>
        </w:rPr>
        <w:t>sharply</w:t>
      </w:r>
      <w:r>
        <w:rPr>
          <w:spacing w:val="-8"/>
          <w:sz w:val="24"/>
        </w:rPr>
        <w:t> </w:t>
      </w:r>
      <w:r>
        <w:rPr>
          <w:sz w:val="24"/>
        </w:rPr>
        <w:t>than</w:t>
      </w:r>
      <w:r>
        <w:rPr>
          <w:spacing w:val="-7"/>
          <w:sz w:val="24"/>
        </w:rPr>
        <w:t> </w:t>
      </w:r>
      <w:r>
        <w:rPr>
          <w:sz w:val="24"/>
        </w:rPr>
        <w:t>real product wage growth. That suggests smaller falls in wage pressure from this</w:t>
      </w:r>
      <w:r>
        <w:rPr>
          <w:spacing w:val="-7"/>
          <w:sz w:val="24"/>
        </w:rPr>
        <w:t> </w:t>
      </w:r>
      <w:r>
        <w:rPr>
          <w:sz w:val="24"/>
        </w:rPr>
        <w:t>source.</w:t>
      </w:r>
    </w:p>
    <w:p>
      <w:pPr>
        <w:pStyle w:val="BodyText"/>
        <w:spacing w:before="2"/>
        <w:rPr>
          <w:sz w:val="26"/>
        </w:rPr>
      </w:pPr>
    </w:p>
    <w:p>
      <w:pPr>
        <w:pStyle w:val="ListParagraph"/>
        <w:numPr>
          <w:ilvl w:val="1"/>
          <w:numId w:val="21"/>
        </w:numPr>
        <w:tabs>
          <w:tab w:pos="2490" w:val="left" w:leader="none"/>
          <w:tab w:pos="2492" w:val="left" w:leader="none"/>
        </w:tabs>
        <w:spacing w:line="301" w:lineRule="exact" w:before="0" w:after="0"/>
        <w:ind w:left="2491" w:right="0" w:hanging="2318"/>
        <w:jc w:val="left"/>
        <w:rPr>
          <w:b/>
          <w:color w:val="009391"/>
          <w:sz w:val="28"/>
        </w:rPr>
      </w:pPr>
      <w:r>
        <w:rPr>
          <w:b/>
          <w:color w:val="009391"/>
          <w:sz w:val="28"/>
        </w:rPr>
        <w:t>Labour productivity</w:t>
      </w:r>
      <w:r>
        <w:rPr>
          <w:b/>
          <w:color w:val="009391"/>
          <w:spacing w:val="-9"/>
          <w:sz w:val="28"/>
        </w:rPr>
        <w:t> </w:t>
      </w:r>
      <w:r>
        <w:rPr>
          <w:b/>
          <w:color w:val="009391"/>
          <w:sz w:val="28"/>
        </w:rPr>
        <w:t>and</w:t>
      </w:r>
    </w:p>
    <w:p>
      <w:pPr>
        <w:tabs>
          <w:tab w:pos="3650" w:val="left" w:leader="none"/>
          <w:tab w:pos="5664" w:val="left" w:leader="none"/>
        </w:tabs>
        <w:spacing w:line="301" w:lineRule="exact" w:before="0"/>
        <w:ind w:left="174" w:right="0" w:firstLine="0"/>
        <w:jc w:val="left"/>
        <w:rPr>
          <w:b/>
          <w:sz w:val="28"/>
        </w:rPr>
      </w:pPr>
      <w:r>
        <w:rPr>
          <w:b/>
          <w:color w:val="009391"/>
          <w:sz w:val="28"/>
          <w:u w:val="thick" w:color="0092C7"/>
        </w:rPr>
        <w:t> </w:t>
        <w:tab/>
        <w:t>unit wage</w:t>
      </w:r>
      <w:r>
        <w:rPr>
          <w:b/>
          <w:color w:val="009391"/>
          <w:spacing w:val="-12"/>
          <w:sz w:val="28"/>
          <w:u w:val="thick" w:color="0092C7"/>
        </w:rPr>
        <w:t> </w:t>
      </w:r>
      <w:r>
        <w:rPr>
          <w:b/>
          <w:color w:val="009391"/>
          <w:sz w:val="28"/>
          <w:u w:val="thick" w:color="0092C7"/>
        </w:rPr>
        <w:t>costs</w:t>
        <w:tab/>
      </w:r>
    </w:p>
    <w:p>
      <w:pPr>
        <w:spacing w:line="242" w:lineRule="auto" w:before="264"/>
        <w:ind w:left="174" w:right="225" w:firstLine="0"/>
        <w:jc w:val="left"/>
        <w:rPr>
          <w:sz w:val="24"/>
        </w:rPr>
      </w:pPr>
      <w:r>
        <w:rPr>
          <w:sz w:val="24"/>
        </w:rPr>
        <w:t>Labour productivity growth has risen in recent quarters as output growth has strengthened more than employment growth. Annual growth in the official measure of whole-economy productivity per worker, which is based on the Workforce Jobs employment measure, rose to 2.2% in 2000 Q1 (see Chart 3.12), slightly above the average growth in productivity since 1960. The ONS revised up estimated productivity growth over the past two years when it released the</w:t>
      </w:r>
    </w:p>
    <w:p>
      <w:pPr>
        <w:spacing w:line="242" w:lineRule="auto" w:before="12"/>
        <w:ind w:left="174" w:right="225" w:firstLine="0"/>
        <w:jc w:val="left"/>
        <w:rPr>
          <w:sz w:val="24"/>
        </w:rPr>
      </w:pPr>
      <w:r>
        <w:rPr>
          <w:sz w:val="24"/>
        </w:rPr>
        <w:t>Q1 National Accounts, reflecting upward revisions to GDP growth. Those upward revisions lessen the extent to which productivity growth was lower than expected over that period.</w:t>
      </w:r>
    </w:p>
    <w:p>
      <w:pPr>
        <w:pStyle w:val="BodyText"/>
        <w:spacing w:before="3"/>
        <w:rPr>
          <w:sz w:val="28"/>
        </w:rPr>
      </w:pPr>
    </w:p>
    <w:p>
      <w:pPr>
        <w:spacing w:line="242" w:lineRule="auto" w:before="0"/>
        <w:ind w:left="174" w:right="170" w:firstLine="0"/>
        <w:jc w:val="left"/>
        <w:rPr>
          <w:sz w:val="24"/>
        </w:rPr>
      </w:pPr>
      <w:r>
        <w:rPr>
          <w:sz w:val="24"/>
        </w:rPr>
        <w:t>Productivity growth in manufacturing rose sharply in 1999 as manufacturing output turned up, while employment fell substantially. The productivity rise was probably partly cyclical, and productivity growth has recently slowed somewhat—from 5.5% in 1999 Q4 to 4.7% in Q1 (see Chart 3.12).  Manufacturing productivity</w:t>
      </w:r>
      <w:r>
        <w:rPr>
          <w:spacing w:val="-10"/>
          <w:sz w:val="24"/>
        </w:rPr>
        <w:t> </w:t>
      </w:r>
      <w:r>
        <w:rPr>
          <w:sz w:val="24"/>
        </w:rPr>
        <w:t>growth,</w:t>
      </w:r>
      <w:r>
        <w:rPr>
          <w:spacing w:val="-8"/>
          <w:sz w:val="24"/>
        </w:rPr>
        <w:t> </w:t>
      </w:r>
      <w:r>
        <w:rPr>
          <w:spacing w:val="-4"/>
          <w:sz w:val="24"/>
        </w:rPr>
        <w:t>however,</w:t>
      </w:r>
      <w:r>
        <w:rPr>
          <w:spacing w:val="-9"/>
          <w:sz w:val="24"/>
        </w:rPr>
        <w:t> </w:t>
      </w:r>
      <w:r>
        <w:rPr>
          <w:sz w:val="24"/>
        </w:rPr>
        <w:t>remains</w:t>
      </w:r>
      <w:r>
        <w:rPr>
          <w:spacing w:val="-9"/>
          <w:sz w:val="24"/>
        </w:rPr>
        <w:t> </w:t>
      </w:r>
      <w:r>
        <w:rPr>
          <w:sz w:val="24"/>
        </w:rPr>
        <w:t>above</w:t>
      </w:r>
      <w:r>
        <w:rPr>
          <w:spacing w:val="-9"/>
          <w:sz w:val="24"/>
        </w:rPr>
        <w:t> </w:t>
      </w:r>
      <w:r>
        <w:rPr>
          <w:sz w:val="24"/>
        </w:rPr>
        <w:t>the</w:t>
      </w:r>
      <w:r>
        <w:rPr>
          <w:spacing w:val="-10"/>
          <w:sz w:val="24"/>
        </w:rPr>
        <w:t> </w:t>
      </w:r>
      <w:r>
        <w:rPr>
          <w:sz w:val="24"/>
        </w:rPr>
        <w:t>average annual increase since 1969 (when the sectoral data start). Productivity growth outside the manufacturing sector rose to 1.7% in the year to Q1, the strongest growth since the end of 1997 and around the average rate since 1969.</w:t>
      </w:r>
    </w:p>
    <w:p>
      <w:pPr>
        <w:pStyle w:val="BodyText"/>
        <w:spacing w:before="7"/>
        <w:rPr>
          <w:sz w:val="32"/>
        </w:rPr>
      </w:pPr>
    </w:p>
    <w:p>
      <w:pPr>
        <w:spacing w:line="242" w:lineRule="auto" w:before="0"/>
        <w:ind w:left="174" w:right="86" w:firstLine="0"/>
        <w:jc w:val="left"/>
        <w:rPr>
          <w:sz w:val="24"/>
        </w:rPr>
      </w:pPr>
      <w:r>
        <w:rPr>
          <w:sz w:val="24"/>
        </w:rPr>
        <w:t>An alternative measure of whole-economy productivity can be calculated using LFS employment data. Because LFS employment grew by more than Workforce Jobs in the year to Q1</w:t>
      </w:r>
      <w:hyperlink w:history="true" w:anchor="_bookmark17">
        <w:r>
          <w:rPr>
            <w:sz w:val="24"/>
          </w:rPr>
          <w:t> (see </w:t>
        </w:r>
        <w:r>
          <w:rPr>
            <w:color w:val="FF0000"/>
            <w:sz w:val="24"/>
          </w:rPr>
          <w:t>Section 3.1</w:t>
        </w:r>
        <w:r>
          <w:rPr>
            <w:sz w:val="24"/>
          </w:rPr>
          <w:t>),</w:t>
        </w:r>
      </w:hyperlink>
      <w:r>
        <w:rPr>
          <w:sz w:val="24"/>
        </w:rPr>
        <w:t> productivity growth on the LFS basis has risen by less than the official measure.</w:t>
      </w:r>
    </w:p>
    <w:p>
      <w:pPr>
        <w:spacing w:after="0" w:line="242" w:lineRule="auto"/>
        <w:jc w:val="left"/>
        <w:rPr>
          <w:sz w:val="24"/>
        </w:rPr>
        <w:sectPr>
          <w:type w:val="continuous"/>
          <w:pgSz w:w="11900" w:h="16840"/>
          <w:pgMar w:top="1260" w:bottom="280" w:left="640" w:right="640"/>
          <w:cols w:num="2" w:equalWidth="0">
            <w:col w:w="3610" w:space="1185"/>
            <w:col w:w="5825"/>
          </w:cols>
        </w:sectPr>
      </w:pPr>
    </w:p>
    <w:p>
      <w:pPr>
        <w:pStyle w:val="BodyText"/>
        <w:rPr>
          <w:sz w:val="20"/>
        </w:rPr>
      </w:pPr>
    </w:p>
    <w:p>
      <w:pPr>
        <w:spacing w:after="0"/>
        <w:rPr>
          <w:sz w:val="20"/>
        </w:rPr>
        <w:sectPr>
          <w:pgSz w:w="11900" w:h="16840"/>
          <w:pgMar w:header="586" w:footer="612" w:top="800" w:bottom="800" w:left="640" w:right="640"/>
        </w:sectPr>
      </w:pPr>
    </w:p>
    <w:p>
      <w:pPr>
        <w:pStyle w:val="BodyText"/>
        <w:spacing w:before="1"/>
        <w:rPr>
          <w:sz w:val="20"/>
        </w:rPr>
      </w:pPr>
    </w:p>
    <w:p>
      <w:pPr>
        <w:pStyle w:val="Heading6"/>
        <w:spacing w:before="0"/>
        <w:ind w:left="175"/>
      </w:pPr>
      <w:bookmarkStart w:name="Summary" w:id="52"/>
      <w:bookmarkEnd w:id="52"/>
      <w:r>
        <w:rPr>
          <w:b w:val="0"/>
        </w:rPr>
      </w:r>
      <w:bookmarkStart w:name="_bookmark20" w:id="53"/>
      <w:bookmarkEnd w:id="53"/>
      <w:r>
        <w:rPr>
          <w:b w:val="0"/>
        </w:rPr>
      </w:r>
      <w:r>
        <w:rPr>
          <w:color w:val="0092C7"/>
        </w:rPr>
        <w:t>Chart 3.13</w:t>
      </w:r>
    </w:p>
    <w:p>
      <w:pPr>
        <w:pStyle w:val="Heading6"/>
        <w:spacing w:line="249" w:lineRule="auto"/>
        <w:ind w:left="175"/>
      </w:pPr>
      <w:r>
        <w:rPr>
          <w:color w:val="0092C7"/>
        </w:rPr>
        <w:t>Growth in labour productivity and</w:t>
      </w:r>
      <w:r>
        <w:rPr>
          <w:color w:val="0092C7"/>
          <w:spacing w:val="-37"/>
        </w:rPr>
        <w:t> </w:t>
      </w:r>
      <w:r>
        <w:rPr>
          <w:color w:val="0092C7"/>
        </w:rPr>
        <w:t>unit wage</w:t>
      </w:r>
      <w:r>
        <w:rPr>
          <w:color w:val="0092C7"/>
          <w:spacing w:val="-2"/>
        </w:rPr>
        <w:t> </w:t>
      </w:r>
      <w:r>
        <w:rPr>
          <w:color w:val="0092C7"/>
        </w:rPr>
        <w:t>costs</w:t>
      </w:r>
    </w:p>
    <w:p>
      <w:pPr>
        <w:spacing w:line="30" w:lineRule="exact" w:before="91"/>
        <w:ind w:left="1696" w:right="0" w:firstLine="0"/>
        <w:jc w:val="left"/>
        <w:rPr>
          <w:sz w:val="12"/>
        </w:rPr>
      </w:pPr>
      <w:r>
        <w:rPr>
          <w:sz w:val="12"/>
        </w:rPr>
        <w:t>Percentage changes on a year earlier</w:t>
      </w:r>
    </w:p>
    <w:p>
      <w:pPr>
        <w:spacing w:line="242" w:lineRule="auto" w:before="220"/>
        <w:ind w:left="175" w:right="83" w:firstLine="0"/>
        <w:jc w:val="left"/>
        <w:rPr>
          <w:sz w:val="24"/>
        </w:rPr>
      </w:pPr>
      <w:r>
        <w:rPr/>
        <w:br w:type="column"/>
      </w:r>
      <w:r>
        <w:rPr>
          <w:sz w:val="24"/>
        </w:rPr>
        <w:t>Specifically, LFS-based whole-economy productivity per person rose by 1.7% in the year to Q1. Firms are also concerned about the productivity per hour of their</w:t>
      </w:r>
    </w:p>
    <w:p>
      <w:pPr>
        <w:spacing w:after="0" w:line="242" w:lineRule="auto"/>
        <w:jc w:val="left"/>
        <w:rPr>
          <w:sz w:val="24"/>
        </w:rPr>
        <w:sectPr>
          <w:type w:val="continuous"/>
          <w:pgSz w:w="11900" w:h="16840"/>
          <w:pgMar w:top="1260" w:bottom="280" w:left="640" w:right="640"/>
          <w:cols w:num="2" w:equalWidth="0">
            <w:col w:w="3577" w:space="1220"/>
            <w:col w:w="5823"/>
          </w:cols>
        </w:sectPr>
      </w:pPr>
    </w:p>
    <w:p>
      <w:pPr>
        <w:tabs>
          <w:tab w:pos="1488" w:val="left" w:leader="none"/>
        </w:tabs>
        <w:spacing w:line="266" w:lineRule="exact" w:before="0"/>
        <w:ind w:left="0" w:right="309" w:firstLine="0"/>
        <w:jc w:val="right"/>
        <w:rPr>
          <w:sz w:val="24"/>
        </w:rPr>
      </w:pPr>
      <w:r>
        <w:rPr/>
        <w:pict>
          <v:line style="position:absolute;mso-position-horizontal-relative:page;mso-position-vertical-relative:paragraph;z-index:16192000" from="42.703999pt,7.293948pt" to="47.036999pt,7.293948pt" stroked="true" strokeweight=".5pt" strokecolor="#000000">
            <v:stroke dashstyle="solid"/>
            <w10:wrap type="none"/>
          </v:line>
        </w:pict>
      </w:r>
      <w:r>
        <w:rPr/>
        <w:pict>
          <v:line style="position:absolute;mso-position-horizontal-relative:page;mso-position-vertical-relative:paragraph;z-index:16193024" from="199.949005pt,7.354948pt" to="204.283005pt,7.354948pt" stroked="true" strokeweight=".5pt" strokecolor="#000000">
            <v:stroke dashstyle="solid"/>
            <w10:wrap type="none"/>
          </v:line>
        </w:pict>
      </w:r>
      <w:r>
        <w:rPr>
          <w:position w:val="4"/>
          <w:sz w:val="12"/>
        </w:rPr>
        <w:t>12</w:t>
        <w:tab/>
      </w:r>
      <w:r>
        <w:rPr>
          <w:sz w:val="24"/>
        </w:rPr>
        <w:t>employees, which can be estimated using LFS data.</w:t>
      </w:r>
      <w:r>
        <w:rPr>
          <w:spacing w:val="2"/>
          <w:sz w:val="24"/>
        </w:rPr>
        <w:t> </w:t>
      </w:r>
      <w:r>
        <w:rPr>
          <w:sz w:val="24"/>
        </w:rPr>
        <w:t>As</w:t>
      </w:r>
    </w:p>
    <w:p>
      <w:pPr>
        <w:spacing w:line="242" w:lineRule="exact" w:before="4"/>
        <w:ind w:left="0" w:right="275" w:firstLine="0"/>
        <w:jc w:val="right"/>
        <w:rPr>
          <w:sz w:val="24"/>
        </w:rPr>
      </w:pPr>
      <w:r>
        <w:rPr/>
        <w:pict>
          <v:group style="position:absolute;margin-left:51.154999pt;margin-top:1.6245pt;width:153.15pt;height:129.5500pt;mso-position-horizontal-relative:page;mso-position-vertical-relative:paragraph;z-index:16190464" coordorigin="1023,32" coordsize="3063,2591">
            <v:shape style="position:absolute;left:1033;top:742;width:648;height:1093" coordorigin="1033,742" coordsize="648,1093" path="m1033,1152l1078,1320m1078,1320l1111,1335m1111,1335l1156,1547m1156,1547l1188,1835m1188,1835l1233,1532m1233,1532l1278,1485m1278,1485l1311,1395m1311,1395l1356,1302m1356,1302l1388,1105m1388,1105l1433,1030m1433,1030l1478,817m1478,817l1511,742m1511,742l1556,1532m1556,1532l1591,1365m1591,1365l1636,1395m1636,1395l1681,1440e" filled="false" stroked="true" strokeweight="1pt" strokecolor="#efa900">
              <v:path arrowok="t"/>
              <v:stroke dashstyle="solid"/>
            </v:shape>
            <v:line style="position:absolute" from="1697,1035" to="1697,1450" stroked="true" strokeweight="2.625pt" strokecolor="#efa900">
              <v:stroke dashstyle="solid"/>
            </v:line>
            <v:shape style="position:absolute;left:1713;top:1014;width:248;height:578" coordorigin="1713,1015" coordsize="248,578" path="m1713,1045l1758,1302m1758,1302l1793,1592m1793,1592l1838,1500m1838,1500l1881,1365m1881,1365l1916,1320m1916,1320l1961,1015e" filled="false" stroked="true" strokeweight="1pt" strokecolor="#efa900">
              <v:path arrowok="t"/>
              <v:stroke dashstyle="solid"/>
            </v:shape>
            <v:line style="position:absolute" from="1951,1016" to="2003,1016" stroked="true" strokeweight="1.125pt" strokecolor="#efa900">
              <v:stroke dashstyle="solid"/>
            </v:line>
            <v:shape style="position:absolute;left:1993;top:42;width:770;height:2005" coordorigin="1993,42" coordsize="770,2005" path="m1993,1015l2038,892m2038,892l2083,757m2083,757l2116,635m2116,635l2161,330m2161,330l2193,270m2193,270l2238,57m2238,57l2283,42m2283,42l2316,285m2316,285l2361,315m2361,315l2396,330m2396,330l2438,695m2438,695l2483,635m2483,635l2518,907m2518,907l2561,1182m2561,1182l2596,1380m2596,1380l2641,1470m2641,1470l2673,1607m2673,1607l2718,1957m2718,1957l2763,2047e" filled="false" stroked="true" strokeweight="1pt" strokecolor="#efa900">
              <v:path arrowok="t"/>
              <v:stroke dashstyle="solid"/>
            </v:shape>
            <v:line style="position:absolute" from="2779,2037" to="2779,2407" stroked="true" strokeweight="2.625pt" strokecolor="#efa900">
              <v:stroke dashstyle="solid"/>
            </v:line>
            <v:line style="position:absolute" from="2796,2397" to="2841,2352" stroked="true" strokeweight="1pt" strokecolor="#efa900">
              <v:stroke dashstyle="solid"/>
            </v:line>
            <v:line style="position:absolute" from="2831,2354" to="2883,2354" stroked="true" strokeweight="1.125pt" strokecolor="#efa900">
              <v:stroke dashstyle="solid"/>
            </v:line>
            <v:shape style="position:absolute;left:2873;top:1729;width:695;height:820" coordorigin="2873,1730" coordsize="695,820" path="m2873,2352l2918,2260m2918,2260l2963,2307m2963,2307l2996,2550m2996,2550l3041,2490m3041,2490l3076,2412m3076,2412l3118,2200m3118,2200l3163,2002m3163,2002l3198,1957m3198,1957l3243,2017m3243,2017l3276,2077m3276,2077l3321,2017m3321,2017l3366,1972m3366,1972l3398,1880m3398,1880l3443,1730m3443,1730l3478,1760m3478,1760l3523,1730m3523,1730l3568,1760e" filled="false" stroked="true" strokeweight="1pt" strokecolor="#efa900">
              <v:path arrowok="t"/>
              <v:stroke dashstyle="solid"/>
            </v:shape>
            <v:line style="position:absolute" from="3558,1761" to="3611,1761" stroked="true" strokeweight="1.125pt" strokecolor="#efa900">
              <v:stroke dashstyle="solid"/>
            </v:line>
            <v:shape style="position:absolute;left:3600;top:1484;width:323;height:395" coordorigin="3601,1485" coordsize="323,395" path="m3601,1760l3646,1880m3646,1880l3678,1760m3678,1760l3723,1622m3723,1622l3768,1592m3768,1592l3801,1485m3801,1485l3846,1652m3846,1652l3881,1730m3881,1730l3923,1760e" filled="false" stroked="true" strokeweight="1pt" strokecolor="#efa900">
              <v:path arrowok="t"/>
              <v:stroke dashstyle="solid"/>
            </v:shape>
            <v:shape style="position:absolute;left:1033;top:1364;width:123;height:258" coordorigin="1033,1365" coordsize="123,258" path="m1033,1440l1078,1365m1078,1365l1111,1622m1111,1622l1156,1547e" filled="false" stroked="true" strokeweight="1pt" strokecolor="#0099d9">
              <v:path arrowok="t"/>
              <v:stroke dashstyle="solid"/>
            </v:shape>
            <v:shape style="position:absolute;left:1145;top:1064;width:98;height:493" coordorigin="1146,1065" coordsize="98,493" path="m1243,1065l1198,1065,1178,1065,1146,1065,1146,1557,1198,1557,1198,1542,1243,1542,1243,1065xe" filled="true" fillcolor="#0099d9" stroked="false">
              <v:path arrowok="t"/>
              <v:fill type="solid"/>
            </v:shape>
            <v:shape style="position:absolute;left:1233;top:1532;width:78;height:198" coordorigin="1233,1532" coordsize="78,198" path="m1233,1532l1278,1607m1278,1607l1311,1730e" filled="false" stroked="true" strokeweight="1pt" strokecolor="#0099d9">
              <v:path arrowok="t"/>
              <v:stroke dashstyle="solid"/>
            </v:shape>
            <v:line style="position:absolute" from="1333,1720" to="1333,2195" stroked="true" strokeweight="3.25pt" strokecolor="#0099d9">
              <v:stroke dashstyle="solid"/>
            </v:line>
            <v:shape style="position:absolute;left:1355;top:1469;width:883;height:1125" coordorigin="1356,1470" coordsize="883,1125" path="m1356,2185l1388,2367m1388,2367l1433,2490m1433,2490l1478,2367m1478,2367l1511,2185m1511,2185l1556,1500m1556,1500l1591,1592m1591,1592l1636,1682m1636,1682l1681,1715m1681,1715l1713,1835m1713,1835l1758,1562m1758,1562l1793,1470m1793,1470l1838,1730m1838,1730l1881,1897m1881,1897l1916,1880m1916,1880l1961,2110m1961,2110l1993,1957m1993,1957l2038,2140m2038,2140l2083,2170m2083,2170l2116,2140m2116,2140l2161,2457m2161,2457l2193,2427m2193,2427l2238,2595e" filled="false" stroked="true" strokeweight="1pt" strokecolor="#0099d9">
              <v:path arrowok="t"/>
              <v:stroke dashstyle="solid"/>
            </v:shape>
            <v:line style="position:absolute" from="2228,2596" to="2293,2596" stroked="true" strokeweight="1.125pt" strokecolor="#0099d9">
              <v:stroke dashstyle="solid"/>
            </v:line>
            <v:shape style="position:absolute;left:2283;top:2199;width:155;height:395" coordorigin="2283,2200" coordsize="155,395" path="m2283,2595l2316,2292m2316,2292l2361,2200m2361,2200l2396,2352m2396,2352l2438,2292e" filled="false" stroked="true" strokeweight="1pt" strokecolor="#0099d9">
              <v:path arrowok="t"/>
              <v:stroke dashstyle="solid"/>
            </v:shape>
            <v:line style="position:absolute" from="2428,2294" to="2493,2294" stroked="true" strokeweight="1.125pt" strokecolor="#0099d9">
              <v:stroke dashstyle="solid"/>
            </v:line>
            <v:shape style="position:absolute;left:2483;top:1532;width:558;height:760" coordorigin="2483,1532" coordsize="558,760" path="m2483,2292l2518,2140m2518,2140l2561,1790m2561,1790l2596,1652m2596,1652l2641,1730m2641,1730l2673,1820m2673,1820l2718,1667m2718,1667l2763,1592m2763,1592l2796,1532m2796,1532l2841,1562m2841,1562l2873,1730m2873,1730l2918,1850m2918,1850l2963,1760m2963,1760l2996,1532m2996,1532l3041,1547e" filled="false" stroked="true" strokeweight="1pt" strokecolor="#0099d9">
              <v:path arrowok="t"/>
              <v:stroke dashstyle="solid"/>
            </v:shape>
            <v:line style="position:absolute" from="3031,1549" to="3086,1549" stroked="true" strokeweight="1.125pt" strokecolor="#0099d9">
              <v:stroke dashstyle="solid"/>
            </v:line>
            <v:shape style="position:absolute;left:3075;top:1547;width:848;height:638" coordorigin="3076,1547" coordsize="848,638" path="m3076,1547l3118,1715m3118,1715l3163,2002m3163,2002l3198,2077m3198,2077l3243,2140m3243,2140l3276,2047m3276,2047l3321,2017m3321,2017l3366,2062m3366,2062l3398,2002m3398,2002l3443,2062m3443,2062l3478,2077m3478,2077l3523,1972m3523,1972l3568,2062m3568,2062l3601,2125m3601,2125l3646,1972m3646,1972l3678,2047m3678,2047l3723,2125m3723,2125l3768,2110m3768,2110l3801,2185m3801,2185l3846,2062m3846,2062l3881,1912m3881,1912l3923,1897e" filled="false" stroked="true" strokeweight="1pt" strokecolor="#0099d9">
              <v:path arrowok="t"/>
              <v:stroke dashstyle="solid"/>
            </v:shape>
            <v:shape style="position:absolute;left:2254;top:292;width:1832;height:2057" coordorigin="2254,292" coordsize="1832,2057" path="m3999,292l4086,292m3999,703l4086,703m3999,1115l4086,1115m3999,1526l4086,1526m3999,2349l4086,2349m3999,1937l4086,1937m3016,1163l2254,1824e" filled="false" stroked="true" strokeweight=".5pt" strokecolor="#000000">
              <v:path arrowok="t"/>
              <v:stroke dashstyle="solid"/>
            </v:shape>
            <v:shape style="position:absolute;left:2202;top:1793;width:81;height:75" coordorigin="2203,1793" coordsize="81,75" path="m2250,1793l2215,1853,2203,1868,2210,1863,2283,1832,2250,1793xe" filled="true" fillcolor="#000000" stroked="false">
              <v:path arrowok="t"/>
              <v:fill type="solid"/>
            </v:shape>
            <v:line style="position:absolute" from="1054,1927" to="3953,1927" stroked="true" strokeweight="1pt" strokecolor="#0099d9">
              <v:stroke dashstyle="dash"/>
            </v:line>
            <v:line style="position:absolute" from="1033,2349" to="3926,2349" stroked="true" strokeweight=".5pt" strokecolor="#000000">
              <v:stroke dashstyle="solid"/>
            </v:line>
            <v:shape style="position:absolute;left:2361;top:147;width:787;height:134" type="#_x0000_t202" filled="false" stroked="false">
              <v:textbox inset="0,0,0,0">
                <w:txbxContent>
                  <w:p>
                    <w:pPr>
                      <w:spacing w:line="133" w:lineRule="exact" w:before="0"/>
                      <w:ind w:left="0" w:right="0" w:firstLine="0"/>
                      <w:jc w:val="left"/>
                      <w:rPr>
                        <w:sz w:val="12"/>
                      </w:rPr>
                    </w:pPr>
                    <w:r>
                      <w:rPr>
                        <w:sz w:val="12"/>
                      </w:rPr>
                      <w:t>Unit wage costs</w:t>
                    </w:r>
                  </w:p>
                </w:txbxContent>
              </v:textbox>
              <w10:wrap type="none"/>
            </v:shape>
            <v:shape style="position:absolute;left:2766;top:899;width:1043;height:254" type="#_x0000_t202" filled="false" stroked="false">
              <v:textbox inset="0,0,0,0">
                <w:txbxContent>
                  <w:p>
                    <w:pPr>
                      <w:spacing w:line="208" w:lineRule="auto" w:before="9"/>
                      <w:ind w:left="60" w:right="0" w:hanging="60"/>
                      <w:jc w:val="left"/>
                      <w:rPr>
                        <w:sz w:val="12"/>
                      </w:rPr>
                    </w:pPr>
                    <w:r>
                      <w:rPr>
                        <w:sz w:val="12"/>
                      </w:rPr>
                      <w:t>Average productivity 1960 Q1–2000 Q1</w:t>
                    </w:r>
                  </w:p>
                </w:txbxContent>
              </v:textbox>
              <w10:wrap type="none"/>
            </v:shape>
            <v:shape style="position:absolute;left:1067;top:2490;width:1147;height:134" type="#_x0000_t202" filled="false" stroked="false">
              <v:textbox inset="0,0,0,0">
                <w:txbxContent>
                  <w:p>
                    <w:pPr>
                      <w:spacing w:line="133" w:lineRule="exact" w:before="0"/>
                      <w:ind w:left="0" w:right="0" w:firstLine="0"/>
                      <w:jc w:val="left"/>
                      <w:rPr>
                        <w:sz w:val="12"/>
                      </w:rPr>
                    </w:pPr>
                    <w:r>
                      <w:rPr>
                        <w:sz w:val="12"/>
                      </w:rPr>
                      <w:t>Labour productivity (a)</w:t>
                    </w:r>
                  </w:p>
                </w:txbxContent>
              </v:textbox>
              <w10:wrap type="none"/>
            </v:shape>
            <w10:wrap type="none"/>
          </v:group>
        </w:pict>
      </w:r>
      <w:r>
        <w:rPr>
          <w:sz w:val="24"/>
        </w:rPr>
        <w:t>average</w:t>
      </w:r>
      <w:r>
        <w:rPr>
          <w:spacing w:val="-6"/>
          <w:sz w:val="24"/>
        </w:rPr>
        <w:t> </w:t>
      </w:r>
      <w:r>
        <w:rPr>
          <w:sz w:val="24"/>
        </w:rPr>
        <w:t>hours</w:t>
      </w:r>
      <w:r>
        <w:rPr>
          <w:spacing w:val="-6"/>
          <w:sz w:val="24"/>
        </w:rPr>
        <w:t> </w:t>
      </w:r>
      <w:r>
        <w:rPr>
          <w:sz w:val="24"/>
        </w:rPr>
        <w:t>worked</w:t>
      </w:r>
      <w:r>
        <w:rPr>
          <w:spacing w:val="-6"/>
          <w:sz w:val="24"/>
        </w:rPr>
        <w:t> </w:t>
      </w:r>
      <w:r>
        <w:rPr>
          <w:sz w:val="24"/>
        </w:rPr>
        <w:t>fell</w:t>
      </w:r>
      <w:r>
        <w:rPr>
          <w:spacing w:val="-5"/>
          <w:sz w:val="24"/>
        </w:rPr>
        <w:t> </w:t>
      </w:r>
      <w:r>
        <w:rPr>
          <w:sz w:val="24"/>
        </w:rPr>
        <w:t>sharply</w:t>
      </w:r>
      <w:r>
        <w:rPr>
          <w:spacing w:val="-6"/>
          <w:sz w:val="24"/>
        </w:rPr>
        <w:t> </w:t>
      </w:r>
      <w:r>
        <w:rPr>
          <w:sz w:val="24"/>
        </w:rPr>
        <w:t>in</w:t>
      </w:r>
      <w:r>
        <w:rPr>
          <w:spacing w:val="-6"/>
          <w:sz w:val="24"/>
        </w:rPr>
        <w:t> </w:t>
      </w:r>
      <w:r>
        <w:rPr>
          <w:sz w:val="24"/>
        </w:rPr>
        <w:t>the</w:t>
      </w:r>
      <w:r>
        <w:rPr>
          <w:spacing w:val="-5"/>
          <w:sz w:val="24"/>
        </w:rPr>
        <w:t> </w:t>
      </w:r>
      <w:r>
        <w:rPr>
          <w:sz w:val="24"/>
        </w:rPr>
        <w:t>year</w:t>
      </w:r>
      <w:r>
        <w:rPr>
          <w:spacing w:val="-6"/>
          <w:sz w:val="24"/>
        </w:rPr>
        <w:t> </w:t>
      </w:r>
      <w:r>
        <w:rPr>
          <w:sz w:val="24"/>
        </w:rPr>
        <w:t>to</w:t>
      </w:r>
      <w:r>
        <w:rPr>
          <w:spacing w:val="-6"/>
          <w:sz w:val="24"/>
        </w:rPr>
        <w:t> </w:t>
      </w:r>
      <w:r>
        <w:rPr>
          <w:sz w:val="24"/>
        </w:rPr>
        <w:t>Q1</w:t>
      </w:r>
      <w:r>
        <w:rPr>
          <w:spacing w:val="-5"/>
          <w:sz w:val="24"/>
        </w:rPr>
        <w:t> </w:t>
      </w:r>
      <w:r>
        <w:rPr>
          <w:sz w:val="24"/>
        </w:rPr>
        <w:t>(see</w:t>
      </w:r>
    </w:p>
    <w:p>
      <w:pPr>
        <w:spacing w:line="71" w:lineRule="exact" w:before="0"/>
        <w:ind w:left="3484" w:right="0" w:firstLine="0"/>
        <w:jc w:val="left"/>
        <w:rPr>
          <w:sz w:val="12"/>
        </w:rPr>
      </w:pPr>
      <w:r>
        <w:rPr/>
        <w:pict>
          <v:line style="position:absolute;mso-position-horizontal-relative:page;mso-position-vertical-relative:paragraph;z-index:16190976" from="42.703999pt,2.246914pt" to="47.036999pt,2.246914pt" stroked="true" strokeweight=".5pt" strokecolor="#000000">
            <v:stroke dashstyle="solid"/>
            <w10:wrap type="none"/>
          </v:line>
        </w:pict>
      </w:r>
      <w:r>
        <w:rPr>
          <w:sz w:val="12"/>
        </w:rPr>
        <w:t>10</w:t>
      </w:r>
    </w:p>
    <w:p>
      <w:pPr>
        <w:spacing w:line="243" w:lineRule="exact" w:before="0"/>
        <w:ind w:left="4972" w:right="0" w:firstLine="0"/>
        <w:jc w:val="left"/>
        <w:rPr>
          <w:sz w:val="24"/>
        </w:rPr>
      </w:pPr>
      <w:hyperlink w:history="true" w:anchor="_bookmark17">
        <w:r>
          <w:rPr>
            <w:color w:val="FF0000"/>
            <w:sz w:val="24"/>
          </w:rPr>
          <w:t>Section 3.1</w:t>
        </w:r>
        <w:r>
          <w:rPr>
            <w:sz w:val="24"/>
          </w:rPr>
          <w:t>),</w:t>
        </w:r>
      </w:hyperlink>
      <w:r>
        <w:rPr>
          <w:sz w:val="24"/>
        </w:rPr>
        <w:t> estimated annual productivity per hour</w:t>
      </w:r>
    </w:p>
    <w:p>
      <w:pPr>
        <w:tabs>
          <w:tab w:pos="4972" w:val="left" w:leader="none"/>
        </w:tabs>
        <w:spacing w:before="4"/>
        <w:ind w:left="3544" w:right="0" w:firstLine="0"/>
        <w:jc w:val="left"/>
        <w:rPr>
          <w:sz w:val="24"/>
        </w:rPr>
      </w:pPr>
      <w:r>
        <w:rPr/>
        <w:pict>
          <v:line style="position:absolute;mso-position-horizontal-relative:page;mso-position-vertical-relative:paragraph;z-index:16191488" from="42.703999pt,7.111706pt" to="47.036999pt,7.111706pt" stroked="true" strokeweight=".5pt" strokecolor="#000000">
            <v:stroke dashstyle="solid"/>
            <w10:wrap type="none"/>
          </v:line>
        </w:pict>
      </w:r>
      <w:r>
        <w:rPr>
          <w:position w:val="5"/>
          <w:sz w:val="12"/>
        </w:rPr>
        <w:t>8</w:t>
        <w:tab/>
      </w:r>
      <w:r>
        <w:rPr>
          <w:sz w:val="24"/>
        </w:rPr>
        <w:t>growth rose to 3.0% in 2000</w:t>
      </w:r>
      <w:r>
        <w:rPr>
          <w:spacing w:val="-1"/>
          <w:sz w:val="24"/>
        </w:rPr>
        <w:t> </w:t>
      </w:r>
      <w:r>
        <w:rPr>
          <w:sz w:val="24"/>
        </w:rPr>
        <w:t>Q1.</w:t>
      </w:r>
    </w:p>
    <w:p>
      <w:pPr>
        <w:pStyle w:val="BodyText"/>
        <w:spacing w:before="8"/>
        <w:rPr>
          <w:sz w:val="8"/>
        </w:rPr>
      </w:pPr>
    </w:p>
    <w:p>
      <w:pPr>
        <w:spacing w:after="0"/>
        <w:rPr>
          <w:sz w:val="8"/>
        </w:rPr>
        <w:sectPr>
          <w:type w:val="continuous"/>
          <w:pgSz w:w="11900" w:h="16840"/>
          <w:pgMar w:top="1260" w:bottom="280" w:left="640" w:right="640"/>
        </w:sectPr>
      </w:pPr>
    </w:p>
    <w:p>
      <w:pPr>
        <w:pStyle w:val="BodyText"/>
        <w:spacing w:before="7"/>
        <w:rPr>
          <w:sz w:val="14"/>
        </w:rPr>
      </w:pPr>
    </w:p>
    <w:p>
      <w:pPr>
        <w:pStyle w:val="BodyText"/>
        <w:spacing w:line="20" w:lineRule="exact"/>
        <w:ind w:left="209"/>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spacing w:before="7"/>
        <w:rPr>
          <w:sz w:val="10"/>
        </w:rPr>
      </w:pPr>
      <w:r>
        <w:rPr/>
        <w:pict>
          <v:shape style="position:absolute;margin-left:42.703999pt;margin-top:8.314977pt;width:4.350pt;height:.1pt;mso-position-horizontal-relative:page;mso-position-vertical-relative:paragraph;z-index:-15270400;mso-wrap-distance-left:0;mso-wrap-distance-right:0" coordorigin="854,166" coordsize="87,0" path="m854,166l941,166e" filled="false" stroked="true" strokeweight=".5pt" strokecolor="#000000">
            <v:path arrowok="t"/>
            <v:stroke dashstyle="solid"/>
            <w10:wrap type="topAndBottom"/>
          </v:shape>
        </w:pict>
      </w:r>
      <w:r>
        <w:rPr/>
        <w:pict>
          <v:shape style="position:absolute;margin-left:42.703999pt;margin-top:28.879976pt;width:4.350pt;height:.1pt;mso-position-horizontal-relative:page;mso-position-vertical-relative:paragraph;z-index:-15269888;mso-wrap-distance-left:0;mso-wrap-distance-right:0" coordorigin="854,578" coordsize="87,0" path="m854,578l941,578e" filled="false" stroked="true" strokeweight=".5pt" strokecolor="#000000">
            <v:path arrowok="t"/>
            <v:stroke dashstyle="solid"/>
            <w10:wrap type="topAndBottom"/>
          </v:shape>
        </w:pict>
      </w:r>
      <w:r>
        <w:rPr/>
        <w:pict>
          <v:shape style="position:absolute;margin-left:42.703999pt;margin-top:49.507977pt;width:4.350pt;height:.1pt;mso-position-horizontal-relative:page;mso-position-vertical-relative:paragraph;z-index:-15269376;mso-wrap-distance-left:0;mso-wrap-distance-right:0" coordorigin="854,990" coordsize="87,0" path="m854,990l941,990e" filled="false" stroked="true" strokeweight=".5pt" strokecolor="#000000">
            <v:path arrowok="t"/>
            <v:stroke dashstyle="solid"/>
            <w10:wrap type="topAndBottom"/>
          </v:shape>
        </w:pict>
      </w:r>
      <w:r>
        <w:rPr/>
        <w:pict>
          <v:shape style="position:absolute;margin-left:42.703999pt;margin-top:70.010979pt;width:4.350pt;height:.1pt;mso-position-horizontal-relative:page;mso-position-vertical-relative:paragraph;z-index:-15268864;mso-wrap-distance-left:0;mso-wrap-distance-right:0" coordorigin="854,1400" coordsize="87,0" path="m854,1400l941,1400e" filled="false" stroked="true" strokeweight=".5pt" strokecolor="#000000">
            <v:path arrowok="t"/>
            <v:stroke dashstyle="solid"/>
            <w10:wrap type="topAndBottom"/>
          </v:shape>
        </w:pict>
      </w:r>
    </w:p>
    <w:p>
      <w:pPr>
        <w:pStyle w:val="BodyText"/>
        <w:spacing w:before="11"/>
        <w:rPr>
          <w:sz w:val="28"/>
        </w:rPr>
      </w:pPr>
    </w:p>
    <w:p>
      <w:pPr>
        <w:pStyle w:val="BodyText"/>
        <w:spacing w:before="1"/>
        <w:rPr>
          <w:sz w:val="29"/>
        </w:rPr>
      </w:pPr>
    </w:p>
    <w:p>
      <w:pPr>
        <w:pStyle w:val="BodyText"/>
        <w:spacing w:before="10"/>
        <w:rPr>
          <w:sz w:val="28"/>
        </w:rPr>
      </w:pPr>
    </w:p>
    <w:p>
      <w:pPr>
        <w:spacing w:before="9"/>
        <w:ind w:left="318" w:right="0" w:firstLine="0"/>
        <w:jc w:val="left"/>
        <w:rPr>
          <w:sz w:val="12"/>
        </w:rPr>
      </w:pPr>
      <w:r>
        <w:rPr>
          <w:sz w:val="12"/>
        </w:rPr>
        <w:t>1982 84</w:t>
      </w:r>
    </w:p>
    <w:p>
      <w:pPr>
        <w:spacing w:before="95"/>
        <w:ind w:left="0" w:right="38" w:firstLine="0"/>
        <w:jc w:val="right"/>
        <w:rPr>
          <w:sz w:val="12"/>
        </w:rPr>
      </w:pPr>
      <w:r>
        <w:rPr/>
        <w:br w:type="column"/>
      </w:r>
      <w:r>
        <w:rPr>
          <w:sz w:val="12"/>
        </w:rPr>
        <w:t>6</w:t>
      </w:r>
    </w:p>
    <w:p>
      <w:pPr>
        <w:pStyle w:val="BodyText"/>
        <w:rPr>
          <w:sz w:val="12"/>
        </w:rPr>
      </w:pPr>
    </w:p>
    <w:p>
      <w:pPr>
        <w:pStyle w:val="BodyText"/>
        <w:spacing w:before="8"/>
        <w:rPr>
          <w:sz w:val="11"/>
        </w:rPr>
      </w:pPr>
    </w:p>
    <w:p>
      <w:pPr>
        <w:spacing w:before="1"/>
        <w:ind w:left="0" w:right="38" w:firstLine="0"/>
        <w:jc w:val="right"/>
        <w:rPr>
          <w:sz w:val="12"/>
        </w:rPr>
      </w:pPr>
      <w:r>
        <w:rPr>
          <w:sz w:val="12"/>
        </w:rPr>
        <w:t>4</w:t>
      </w:r>
    </w:p>
    <w:p>
      <w:pPr>
        <w:pStyle w:val="BodyText"/>
        <w:rPr>
          <w:sz w:val="12"/>
        </w:rPr>
      </w:pPr>
    </w:p>
    <w:p>
      <w:pPr>
        <w:pStyle w:val="BodyText"/>
        <w:spacing w:before="8"/>
        <w:rPr>
          <w:sz w:val="11"/>
        </w:rPr>
      </w:pPr>
    </w:p>
    <w:p>
      <w:pPr>
        <w:spacing w:before="1"/>
        <w:ind w:left="0" w:right="38" w:firstLine="0"/>
        <w:jc w:val="right"/>
        <w:rPr>
          <w:sz w:val="12"/>
        </w:rPr>
      </w:pPr>
      <w:r>
        <w:rPr>
          <w:sz w:val="12"/>
        </w:rPr>
        <w:t>2</w:t>
      </w:r>
    </w:p>
    <w:p>
      <w:pPr>
        <w:spacing w:before="76"/>
        <w:ind w:left="2542" w:right="0" w:firstLine="0"/>
        <w:jc w:val="left"/>
        <w:rPr>
          <w:sz w:val="16"/>
        </w:rPr>
      </w:pPr>
      <w:r>
        <w:rPr>
          <w:sz w:val="16"/>
        </w:rPr>
        <w:t>+</w:t>
      </w:r>
    </w:p>
    <w:p>
      <w:pPr>
        <w:spacing w:line="111" w:lineRule="exact" w:before="13"/>
        <w:ind w:left="2632" w:right="0" w:firstLine="0"/>
        <w:jc w:val="left"/>
        <w:rPr>
          <w:sz w:val="12"/>
        </w:rPr>
      </w:pPr>
      <w:r>
        <w:rPr>
          <w:sz w:val="12"/>
        </w:rPr>
        <w:t>0</w:t>
      </w:r>
    </w:p>
    <w:p>
      <w:pPr>
        <w:spacing w:line="157" w:lineRule="exact" w:before="0"/>
        <w:ind w:left="2542" w:right="0" w:firstLine="0"/>
        <w:jc w:val="left"/>
        <w:rPr>
          <w:sz w:val="16"/>
        </w:rPr>
      </w:pPr>
      <w:r>
        <w:rPr>
          <w:sz w:val="16"/>
        </w:rPr>
        <w:t>_</w:t>
      </w:r>
    </w:p>
    <w:p>
      <w:pPr>
        <w:spacing w:line="130" w:lineRule="exact" w:before="143"/>
        <w:ind w:left="2632" w:right="0" w:firstLine="0"/>
        <w:jc w:val="left"/>
        <w:rPr>
          <w:sz w:val="12"/>
        </w:rPr>
      </w:pPr>
      <w:r>
        <w:rPr/>
        <w:pict>
          <v:shape style="position:absolute;margin-left:51.654999pt;margin-top:8.179590pt;width:152.65pt;height:3.4pt;mso-position-horizontal-relative:page;mso-position-vertical-relative:paragraph;z-index:16192512" coordorigin="1033,164" coordsize="3053,68" path="m1036,231l3927,231m1033,164l1033,231m1355,164l1355,231m1676,164l1676,231m1998,164l1998,231m2319,164l2319,231m2641,164l2641,231m2962,164l2962,231m3605,164l3605,231m3284,164l3284,231m3927,164l3927,231m1194,164l1194,231m1515,164l1515,231m1837,164l1837,231m2158,164l2158,231m2480,164l2480,231m2801,164l2801,231m3123,164l3123,231m3766,164l3766,231m3444,164l3444,231m3999,222l4086,222e" filled="false" stroked="true" strokeweight=".5pt" strokecolor="#000000">
            <v:path arrowok="t"/>
            <v:stroke dashstyle="solid"/>
            <w10:wrap type="none"/>
          </v:shape>
        </w:pict>
      </w:r>
      <w:r>
        <w:rPr>
          <w:sz w:val="12"/>
        </w:rPr>
        <w:t>2</w:t>
      </w:r>
    </w:p>
    <w:p>
      <w:pPr>
        <w:tabs>
          <w:tab w:pos="793" w:val="left" w:leader="none"/>
          <w:tab w:pos="1118" w:val="left" w:leader="none"/>
          <w:tab w:pos="1755" w:val="left" w:leader="none"/>
          <w:tab w:pos="2078" w:val="left" w:leader="none"/>
        </w:tabs>
        <w:spacing w:line="130" w:lineRule="exact" w:before="0"/>
        <w:ind w:left="142" w:right="0" w:firstLine="0"/>
        <w:jc w:val="left"/>
        <w:rPr>
          <w:sz w:val="12"/>
        </w:rPr>
      </w:pPr>
      <w:r>
        <w:rPr>
          <w:sz w:val="12"/>
        </w:rPr>
        <w:t>86     </w:t>
      </w:r>
      <w:r>
        <w:rPr>
          <w:spacing w:val="19"/>
          <w:sz w:val="12"/>
        </w:rPr>
        <w:t> </w:t>
      </w:r>
      <w:r>
        <w:rPr>
          <w:sz w:val="12"/>
        </w:rPr>
        <w:t>88</w:t>
        <w:tab/>
        <w:t>90</w:t>
        <w:tab/>
        <w:t>92     </w:t>
      </w:r>
      <w:r>
        <w:rPr>
          <w:spacing w:val="15"/>
          <w:sz w:val="12"/>
        </w:rPr>
        <w:t> </w:t>
      </w:r>
      <w:r>
        <w:rPr>
          <w:sz w:val="12"/>
        </w:rPr>
        <w:t>94</w:t>
        <w:tab/>
        <w:t>96</w:t>
        <w:tab/>
        <w:t>98</w:t>
      </w:r>
      <w:r>
        <w:rPr>
          <w:spacing w:val="4"/>
          <w:sz w:val="12"/>
        </w:rPr>
        <w:t> </w:t>
      </w:r>
      <w:r>
        <w:rPr>
          <w:sz w:val="12"/>
        </w:rPr>
        <w:t>2000</w:t>
      </w:r>
    </w:p>
    <w:p>
      <w:pPr>
        <w:spacing w:line="242" w:lineRule="auto" w:before="184"/>
        <w:ind w:left="318" w:right="204" w:firstLine="0"/>
        <w:jc w:val="left"/>
        <w:rPr>
          <w:sz w:val="24"/>
        </w:rPr>
      </w:pPr>
      <w:r>
        <w:rPr/>
        <w:br w:type="column"/>
      </w:r>
      <w:r>
        <w:rPr>
          <w:sz w:val="24"/>
        </w:rPr>
        <w:t>Labour productivity growth is an important determinant of the growth of the </w:t>
      </w:r>
      <w:r>
        <w:rPr>
          <w:spacing w:val="-3"/>
          <w:sz w:val="24"/>
        </w:rPr>
        <w:t>economy’s </w:t>
      </w:r>
      <w:r>
        <w:rPr>
          <w:sz w:val="24"/>
        </w:rPr>
        <w:t>supply </w:t>
      </w:r>
      <w:r>
        <w:rPr>
          <w:spacing w:val="-3"/>
          <w:sz w:val="24"/>
        </w:rPr>
        <w:t>capacity. </w:t>
      </w:r>
      <w:r>
        <w:rPr>
          <w:sz w:val="24"/>
        </w:rPr>
        <w:t>It affects the degree of inflationary pressure from the labour market: productivity growth tempers the effect of nominal earnings growth on firms’ unit wage costs. The rise in productivity growth in recent quarters was associated with annual whole-economy unit wage</w:t>
      </w:r>
      <w:r>
        <w:rPr>
          <w:spacing w:val="-29"/>
          <w:sz w:val="24"/>
        </w:rPr>
        <w:t> </w:t>
      </w:r>
      <w:r>
        <w:rPr>
          <w:sz w:val="24"/>
        </w:rPr>
        <w:t>cost</w:t>
      </w:r>
    </w:p>
    <w:p>
      <w:pPr>
        <w:spacing w:after="0" w:line="242" w:lineRule="auto"/>
        <w:jc w:val="left"/>
        <w:rPr>
          <w:sz w:val="24"/>
        </w:rPr>
        <w:sectPr>
          <w:type w:val="continuous"/>
          <w:pgSz w:w="11900" w:h="16840"/>
          <w:pgMar w:top="1260" w:bottom="280" w:left="640" w:right="640"/>
          <w:cols w:num="3" w:equalWidth="0">
            <w:col w:w="872" w:space="40"/>
            <w:col w:w="2733" w:space="1008"/>
            <w:col w:w="5967"/>
          </w:cols>
        </w:sectPr>
      </w:pPr>
    </w:p>
    <w:p>
      <w:pPr>
        <w:spacing w:line="208" w:lineRule="auto" w:before="44"/>
        <w:ind w:left="415" w:right="0" w:hanging="240"/>
        <w:jc w:val="left"/>
        <w:rPr>
          <w:sz w:val="12"/>
        </w:rPr>
      </w:pPr>
      <w:r>
        <w:rPr>
          <w:sz w:val="12"/>
        </w:rPr>
        <w:t>(a) Official measure, defined as GDP at constant basic prices divided by the number of Workforce Jobs.</w:t>
      </w:r>
    </w:p>
    <w:p>
      <w:pPr>
        <w:spacing w:line="242" w:lineRule="auto" w:before="9"/>
        <w:ind w:left="175" w:right="83" w:firstLine="0"/>
        <w:jc w:val="left"/>
        <w:rPr>
          <w:sz w:val="24"/>
        </w:rPr>
      </w:pPr>
      <w:r>
        <w:rPr/>
        <w:br w:type="column"/>
      </w:r>
      <w:r>
        <w:rPr>
          <w:sz w:val="24"/>
        </w:rPr>
        <w:t>growth falling to 2.9% in 2000 Q1 (see Chart 3.13). The recent slowdown in manufacturing productivity growth has been associated with a rise in manufacturing unit wage costs, which were falling previously. Annual manufacturing unit wage cost growth rose from -0.6% in 1999 Q4 to 0.2% in 2000 Q1.</w:t>
      </w:r>
    </w:p>
    <w:p>
      <w:pPr>
        <w:pStyle w:val="BodyText"/>
        <w:spacing w:before="8"/>
        <w:rPr>
          <w:sz w:val="21"/>
        </w:rPr>
      </w:pPr>
    </w:p>
    <w:p>
      <w:pPr>
        <w:pStyle w:val="ListParagraph"/>
        <w:numPr>
          <w:ilvl w:val="1"/>
          <w:numId w:val="21"/>
        </w:numPr>
        <w:tabs>
          <w:tab w:pos="4273" w:val="left" w:leader="none"/>
          <w:tab w:pos="4274" w:val="left" w:leader="none"/>
          <w:tab w:pos="5677" w:val="left" w:leader="none"/>
        </w:tabs>
        <w:spacing w:line="240" w:lineRule="auto" w:before="0" w:after="0"/>
        <w:ind w:left="4273" w:right="0" w:hanging="4099"/>
        <w:jc w:val="left"/>
        <w:rPr>
          <w:b/>
          <w:color w:val="009391"/>
          <w:sz w:val="28"/>
        </w:rPr>
      </w:pPr>
      <w:r>
        <w:rPr>
          <w:b/>
          <w:color w:val="009391"/>
          <w:sz w:val="28"/>
          <w:u w:val="thick" w:color="0092C7"/>
        </w:rPr>
        <w:t>Summary</w:t>
        <w:tab/>
      </w:r>
    </w:p>
    <w:p>
      <w:pPr>
        <w:spacing w:line="242" w:lineRule="auto" w:before="264"/>
        <w:ind w:left="175" w:right="116" w:firstLine="0"/>
        <w:jc w:val="left"/>
        <w:rPr>
          <w:sz w:val="24"/>
        </w:rPr>
      </w:pPr>
      <w:r>
        <w:rPr>
          <w:sz w:val="24"/>
        </w:rPr>
        <w:t>Employment has continued to grow strongly and unemployment has fallen further—to its lowest rate on the claimant count measure for nearly 25 years. Skill shortages remain high. But earnings growth as measured by the AEI has slowed substantially—and by more than expected—following the millennium-related boost to pay around the turn of the year. The outlook for unit labour cost growth is uncertain, and depends on whether the recent falls in earnings growth and pick-up in productivity growth are sustained.</w:t>
      </w:r>
    </w:p>
    <w:p>
      <w:pPr>
        <w:spacing w:after="0" w:line="242" w:lineRule="auto"/>
        <w:jc w:val="left"/>
        <w:rPr>
          <w:sz w:val="24"/>
        </w:rPr>
        <w:sectPr>
          <w:type w:val="continuous"/>
          <w:pgSz w:w="11900" w:h="16840"/>
          <w:pgMar w:top="1260" w:bottom="280" w:left="640" w:right="640"/>
          <w:cols w:num="2" w:equalWidth="0">
            <w:col w:w="3210" w:space="1587"/>
            <w:col w:w="5823"/>
          </w:cols>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000000">
              <v:stroke dashstyle="solid"/>
            </v:line>
          </v:group>
        </w:pict>
      </w:r>
      <w:r>
        <w:rPr>
          <w:sz w:val="2"/>
        </w:rPr>
      </w:r>
    </w:p>
    <w:p>
      <w:pPr>
        <w:pStyle w:val="BodyText"/>
        <w:rPr>
          <w:sz w:val="20"/>
        </w:rPr>
      </w:pPr>
    </w:p>
    <w:p>
      <w:pPr>
        <w:pStyle w:val="BodyText"/>
        <w:spacing w:before="9"/>
      </w:pPr>
      <w:r>
        <w:rPr/>
        <w:pict>
          <v:shape style="position:absolute;margin-left:40pt;margin-top:12.000977pt;width:516pt;height:48pt;mso-position-horizontal-relative:page;mso-position-vertical-relative:paragraph;z-index:-15263232;mso-wrap-distance-left:0;mso-wrap-distance-right:0" type="#_x0000_t202" filled="true" fillcolor="#cee2e0" stroked="false">
            <v:textbox inset="0,0,0,0">
              <w:txbxContent>
                <w:p>
                  <w:pPr>
                    <w:tabs>
                      <w:tab w:pos="6740" w:val="left" w:leader="none"/>
                    </w:tabs>
                    <w:spacing w:before="51"/>
                    <w:ind w:left="260" w:right="0" w:firstLine="0"/>
                    <w:jc w:val="left"/>
                    <w:rPr>
                      <w:b/>
                      <w:sz w:val="48"/>
                    </w:rPr>
                  </w:pPr>
                  <w:bookmarkStart w:name="Costs and prices" w:id="54"/>
                  <w:bookmarkEnd w:id="54"/>
                  <w:r>
                    <w:rPr/>
                  </w:r>
                  <w:bookmarkStart w:name="Raw materials and commodity prices" w:id="55"/>
                  <w:bookmarkEnd w:id="55"/>
                  <w:r>
                    <w:rPr/>
                  </w:r>
                  <w:bookmarkStart w:name="_bookmark21" w:id="56"/>
                  <w:bookmarkEnd w:id="56"/>
                  <w:r>
                    <w:rPr/>
                  </w:r>
                  <w:r>
                    <w:rPr>
                      <w:b/>
                      <w:color w:val="009391"/>
                      <w:sz w:val="72"/>
                    </w:rPr>
                    <w:t>4</w:t>
                    <w:tab/>
                  </w:r>
                  <w:r>
                    <w:rPr>
                      <w:b/>
                      <w:color w:val="009391"/>
                      <w:sz w:val="48"/>
                    </w:rPr>
                    <w:t>Costs and</w:t>
                  </w:r>
                  <w:r>
                    <w:rPr>
                      <w:b/>
                      <w:color w:val="009391"/>
                      <w:spacing w:val="-9"/>
                      <w:sz w:val="48"/>
                    </w:rPr>
                    <w:t> </w:t>
                  </w:r>
                  <w:r>
                    <w:rPr>
                      <w:b/>
                      <w:color w:val="009391"/>
                      <w:sz w:val="48"/>
                    </w:rPr>
                    <w:t>prices</w:t>
                  </w:r>
                </w:p>
              </w:txbxContent>
            </v:textbox>
            <v:fill type="solid"/>
            <w10:wrap type="topAndBottom"/>
          </v:shape>
        </w:pict>
      </w:r>
    </w:p>
    <w:p>
      <w:pPr>
        <w:pStyle w:val="BodyText"/>
        <w:rPr>
          <w:sz w:val="20"/>
        </w:rPr>
      </w:pPr>
    </w:p>
    <w:p>
      <w:pPr>
        <w:pStyle w:val="BodyText"/>
        <w:rPr>
          <w:sz w:val="20"/>
        </w:rPr>
      </w:pPr>
    </w:p>
    <w:p>
      <w:pPr>
        <w:spacing w:after="0"/>
        <w:rPr>
          <w:sz w:val="20"/>
        </w:rPr>
        <w:sectPr>
          <w:headerReference w:type="even" r:id="rId121"/>
          <w:footerReference w:type="even" r:id="rId122"/>
          <w:footerReference w:type="default" r:id="rId123"/>
          <w:pgSz w:w="11900" w:h="16840"/>
          <w:pgMar w:header="0" w:footer="592" w:top="800" w:bottom="780" w:left="640" w:right="640"/>
          <w:pgNumType w:start="32"/>
        </w:sectPr>
      </w:pPr>
    </w:p>
    <w:p>
      <w:pPr>
        <w:pStyle w:val="BodyText"/>
        <w:spacing w:before="9"/>
        <w:rPr>
          <w:sz w:val="19"/>
        </w:rPr>
      </w:pPr>
    </w:p>
    <w:p>
      <w:pPr>
        <w:pStyle w:val="Heading6"/>
        <w:spacing w:before="0"/>
      </w:pPr>
      <w:r>
        <w:rPr>
          <w:color w:val="0092C7"/>
        </w:rPr>
        <w:t>Chart 4.1</w:t>
      </w:r>
    </w:p>
    <w:p>
      <w:pPr>
        <w:pStyle w:val="Heading6"/>
        <w:rPr>
          <w:b w:val="0"/>
          <w:sz w:val="12"/>
        </w:rPr>
      </w:pPr>
      <w:r>
        <w:rPr>
          <w:color w:val="0092C7"/>
        </w:rPr>
        <w:t>Implied distribution for oil prices</w:t>
      </w:r>
      <w:r>
        <w:rPr>
          <w:b w:val="0"/>
          <w:position w:val="4"/>
          <w:sz w:val="12"/>
        </w:rPr>
        <w:t>(a)(b)</w:t>
      </w:r>
    </w:p>
    <w:p>
      <w:pPr>
        <w:pStyle w:val="BodyText"/>
        <w:spacing w:before="8"/>
        <w:rPr>
          <w:sz w:val="23"/>
        </w:rPr>
      </w:pPr>
    </w:p>
    <w:p>
      <w:pPr>
        <w:tabs>
          <w:tab w:pos="2794" w:val="left" w:leader="none"/>
        </w:tabs>
        <w:spacing w:line="116" w:lineRule="exact" w:before="0"/>
        <w:ind w:left="233" w:right="0" w:firstLine="0"/>
        <w:jc w:val="left"/>
        <w:rPr>
          <w:sz w:val="12"/>
        </w:rPr>
      </w:pPr>
      <w:r>
        <w:rPr>
          <w:w w:val="105"/>
          <w:sz w:val="12"/>
        </w:rPr>
        <w:t>Expectations as at cob 2</w:t>
      </w:r>
      <w:r>
        <w:rPr>
          <w:spacing w:val="3"/>
          <w:w w:val="105"/>
          <w:sz w:val="12"/>
        </w:rPr>
        <w:t> </w:t>
      </w:r>
      <w:r>
        <w:rPr>
          <w:w w:val="105"/>
          <w:sz w:val="12"/>
        </w:rPr>
        <w:t>August</w:t>
      </w:r>
      <w:r>
        <w:rPr>
          <w:spacing w:val="3"/>
          <w:w w:val="105"/>
          <w:sz w:val="12"/>
        </w:rPr>
        <w:t> </w:t>
      </w:r>
      <w:r>
        <w:rPr>
          <w:w w:val="105"/>
          <w:sz w:val="12"/>
        </w:rPr>
        <w:t>2000</w:t>
        <w:tab/>
        <w:t>$ per barrel</w:t>
      </w:r>
    </w:p>
    <w:p>
      <w:pPr>
        <w:spacing w:line="116" w:lineRule="exact" w:before="0"/>
        <w:ind w:left="3427" w:right="0" w:firstLine="0"/>
        <w:jc w:val="left"/>
        <w:rPr>
          <w:sz w:val="12"/>
        </w:rPr>
      </w:pPr>
      <w:r>
        <w:rPr/>
        <w:drawing>
          <wp:anchor distT="0" distB="0" distL="0" distR="0" allowOverlap="1" layoutInCell="1" locked="0" behindDoc="0" simplePos="0" relativeHeight="16195584">
            <wp:simplePos x="0" y="0"/>
            <wp:positionH relativeFrom="page">
              <wp:posOffset>554736</wp:posOffset>
            </wp:positionH>
            <wp:positionV relativeFrom="paragraph">
              <wp:posOffset>32444</wp:posOffset>
            </wp:positionV>
            <wp:extent cx="46990" cy="6350"/>
            <wp:effectExtent l="0" t="0" r="0" b="0"/>
            <wp:wrapNone/>
            <wp:docPr id="139" name="image65.png"/>
            <wp:cNvGraphicFramePr>
              <a:graphicFrameLocks noChangeAspect="1"/>
            </wp:cNvGraphicFramePr>
            <a:graphic>
              <a:graphicData uri="http://schemas.openxmlformats.org/drawingml/2006/picture">
                <pic:pic>
                  <pic:nvPicPr>
                    <pic:cNvPr id="140" name="image65.png"/>
                    <pic:cNvPicPr/>
                  </pic:nvPicPr>
                  <pic:blipFill>
                    <a:blip r:embed="rId124" cstate="print"/>
                    <a:stretch>
                      <a:fillRect/>
                    </a:stretch>
                  </pic:blipFill>
                  <pic:spPr>
                    <a:xfrm>
                      <a:off x="0" y="0"/>
                      <a:ext cx="46990" cy="6350"/>
                    </a:xfrm>
                    <a:prstGeom prst="rect">
                      <a:avLst/>
                    </a:prstGeom>
                  </pic:spPr>
                </pic:pic>
              </a:graphicData>
            </a:graphic>
          </wp:anchor>
        </w:drawing>
      </w:r>
      <w:r>
        <w:rPr/>
        <w:drawing>
          <wp:anchor distT="0" distB="0" distL="0" distR="0" allowOverlap="1" layoutInCell="1" locked="0" behindDoc="0" simplePos="0" relativeHeight="16196096">
            <wp:simplePos x="0" y="0"/>
            <wp:positionH relativeFrom="page">
              <wp:posOffset>2506687</wp:posOffset>
            </wp:positionH>
            <wp:positionV relativeFrom="paragraph">
              <wp:posOffset>32444</wp:posOffset>
            </wp:positionV>
            <wp:extent cx="46989" cy="6350"/>
            <wp:effectExtent l="0" t="0" r="0" b="0"/>
            <wp:wrapNone/>
            <wp:docPr id="141" name="image65.png"/>
            <wp:cNvGraphicFramePr>
              <a:graphicFrameLocks noChangeAspect="1"/>
            </wp:cNvGraphicFramePr>
            <a:graphic>
              <a:graphicData uri="http://schemas.openxmlformats.org/drawingml/2006/picture">
                <pic:pic>
                  <pic:nvPicPr>
                    <pic:cNvPr id="142" name="image65.png"/>
                    <pic:cNvPicPr/>
                  </pic:nvPicPr>
                  <pic:blipFill>
                    <a:blip r:embed="rId124" cstate="print"/>
                    <a:stretch>
                      <a:fillRect/>
                    </a:stretch>
                  </pic:blipFill>
                  <pic:spPr>
                    <a:xfrm>
                      <a:off x="0" y="0"/>
                      <a:ext cx="46989" cy="6350"/>
                    </a:xfrm>
                    <a:prstGeom prst="rect">
                      <a:avLst/>
                    </a:prstGeom>
                  </pic:spPr>
                </pic:pic>
              </a:graphicData>
            </a:graphic>
          </wp:anchor>
        </w:drawing>
      </w:r>
      <w:r>
        <w:rPr>
          <w:w w:val="105"/>
          <w:sz w:val="12"/>
        </w:rPr>
        <w:t>40</w:t>
      </w:r>
    </w:p>
    <w:p>
      <w:pPr>
        <w:pStyle w:val="BodyText"/>
        <w:rPr>
          <w:sz w:val="12"/>
        </w:rPr>
      </w:pPr>
    </w:p>
    <w:p>
      <w:pPr>
        <w:pStyle w:val="BodyText"/>
        <w:spacing w:before="4"/>
        <w:rPr>
          <w:sz w:val="16"/>
        </w:rPr>
      </w:pPr>
    </w:p>
    <w:p>
      <w:pPr>
        <w:spacing w:before="0"/>
        <w:ind w:left="0" w:right="38" w:firstLine="0"/>
        <w:jc w:val="right"/>
        <w:rPr>
          <w:sz w:val="12"/>
        </w:rPr>
      </w:pPr>
      <w:r>
        <w:rPr/>
        <w:pict>
          <v:group style="position:absolute;margin-left:43.68pt;margin-top:-2.781828pt;width:157.4pt;height:117.3pt;mso-position-horizontal-relative:page;mso-position-vertical-relative:paragraph;z-index:16195072" coordorigin="874,-56" coordsize="3148,2346">
            <v:shape style="position:absolute;left:873;top:-56;width:3148;height:2346" type="#_x0000_t75" stroked="false">
              <v:imagedata r:id="rId125" o:title=""/>
            </v:shape>
            <v:shape style="position:absolute;left:873;top:1927;width:74;height:10" type="#_x0000_t75" stroked="false">
              <v:imagedata r:id="rId124" o:title=""/>
            </v:shape>
            <v:shape style="position:absolute;left:873;top:536;width:74;height:10" type="#_x0000_t75" stroked="false">
              <v:imagedata r:id="rId126" o:title=""/>
            </v:shape>
            <v:shape style="position:absolute;left:873;top:72;width:74;height:10" type="#_x0000_t75" stroked="false">
              <v:imagedata r:id="rId126" o:title=""/>
            </v:shape>
            <w10:wrap type="none"/>
          </v:group>
        </w:pict>
      </w:r>
      <w:r>
        <w:rPr>
          <w:spacing w:val="-1"/>
          <w:w w:val="105"/>
          <w:sz w:val="12"/>
        </w:rPr>
        <w:t>35</w:t>
      </w:r>
    </w:p>
    <w:p>
      <w:pPr>
        <w:pStyle w:val="BodyText"/>
        <w:rPr>
          <w:sz w:val="12"/>
        </w:rPr>
      </w:pPr>
    </w:p>
    <w:p>
      <w:pPr>
        <w:pStyle w:val="BodyText"/>
        <w:spacing w:before="3"/>
        <w:rPr>
          <w:sz w:val="16"/>
        </w:rPr>
      </w:pPr>
    </w:p>
    <w:p>
      <w:pPr>
        <w:spacing w:before="1"/>
        <w:ind w:left="0" w:right="38" w:firstLine="0"/>
        <w:jc w:val="right"/>
        <w:rPr>
          <w:sz w:val="12"/>
        </w:rPr>
      </w:pPr>
      <w:r>
        <w:rPr>
          <w:spacing w:val="-1"/>
          <w:w w:val="105"/>
          <w:sz w:val="12"/>
        </w:rPr>
        <w:t>30</w:t>
      </w:r>
    </w:p>
    <w:p>
      <w:pPr>
        <w:pStyle w:val="BodyText"/>
        <w:rPr>
          <w:sz w:val="12"/>
        </w:rPr>
      </w:pPr>
    </w:p>
    <w:p>
      <w:pPr>
        <w:pStyle w:val="BodyText"/>
        <w:spacing w:before="3"/>
        <w:rPr>
          <w:sz w:val="16"/>
        </w:rPr>
      </w:pPr>
    </w:p>
    <w:p>
      <w:pPr>
        <w:spacing w:before="0"/>
        <w:ind w:left="0" w:right="38" w:firstLine="0"/>
        <w:jc w:val="right"/>
        <w:rPr>
          <w:sz w:val="12"/>
        </w:rPr>
      </w:pPr>
      <w:r>
        <w:rPr>
          <w:spacing w:val="-1"/>
          <w:w w:val="105"/>
          <w:sz w:val="12"/>
        </w:rPr>
        <w:t>25</w:t>
      </w:r>
    </w:p>
    <w:p>
      <w:pPr>
        <w:pStyle w:val="BodyText"/>
        <w:rPr>
          <w:sz w:val="12"/>
        </w:rPr>
      </w:pPr>
    </w:p>
    <w:p>
      <w:pPr>
        <w:pStyle w:val="BodyText"/>
        <w:spacing w:before="4"/>
        <w:rPr>
          <w:sz w:val="16"/>
        </w:rPr>
      </w:pPr>
    </w:p>
    <w:p>
      <w:pPr>
        <w:spacing w:before="0"/>
        <w:ind w:left="0" w:right="38" w:firstLine="0"/>
        <w:jc w:val="right"/>
        <w:rPr>
          <w:sz w:val="12"/>
        </w:rPr>
      </w:pPr>
      <w:r>
        <w:rPr>
          <w:spacing w:val="-1"/>
          <w:w w:val="105"/>
          <w:sz w:val="12"/>
        </w:rPr>
        <w:t>20</w:t>
      </w:r>
    </w:p>
    <w:p>
      <w:pPr>
        <w:pStyle w:val="BodyText"/>
        <w:rPr>
          <w:sz w:val="12"/>
        </w:rPr>
      </w:pPr>
    </w:p>
    <w:p>
      <w:pPr>
        <w:pStyle w:val="BodyText"/>
        <w:spacing w:before="4"/>
        <w:rPr>
          <w:sz w:val="16"/>
        </w:rPr>
      </w:pPr>
    </w:p>
    <w:p>
      <w:pPr>
        <w:spacing w:before="0"/>
        <w:ind w:left="0" w:right="38" w:firstLine="0"/>
        <w:jc w:val="right"/>
        <w:rPr>
          <w:sz w:val="12"/>
        </w:rPr>
      </w:pPr>
      <w:r>
        <w:rPr>
          <w:spacing w:val="-1"/>
          <w:w w:val="105"/>
          <w:sz w:val="12"/>
        </w:rPr>
        <w:t>15</w:t>
      </w:r>
    </w:p>
    <w:p>
      <w:pPr>
        <w:pStyle w:val="BodyText"/>
        <w:spacing w:before="8"/>
        <w:rPr>
          <w:sz w:val="20"/>
        </w:rPr>
      </w:pPr>
      <w:r>
        <w:rPr/>
        <w:br w:type="column"/>
      </w:r>
      <w:r>
        <w:rPr>
          <w:sz w:val="20"/>
        </w:rPr>
      </w:r>
    </w:p>
    <w:p>
      <w:pPr>
        <w:spacing w:line="242" w:lineRule="auto" w:before="0"/>
        <w:ind w:left="180" w:right="186" w:firstLine="0"/>
        <w:jc w:val="left"/>
        <w:rPr>
          <w:sz w:val="24"/>
        </w:rPr>
      </w:pPr>
      <w:r>
        <w:rPr>
          <w:spacing w:val="-5"/>
          <w:sz w:val="24"/>
        </w:rPr>
        <w:t>World </w:t>
      </w:r>
      <w:r>
        <w:rPr>
          <w:sz w:val="24"/>
        </w:rPr>
        <w:t>commodity prices, notably for oil, </w:t>
      </w:r>
      <w:r>
        <w:rPr>
          <w:spacing w:val="-3"/>
          <w:sz w:val="24"/>
        </w:rPr>
        <w:t>have </w:t>
      </w:r>
      <w:r>
        <w:rPr>
          <w:sz w:val="24"/>
        </w:rPr>
        <w:t>risen. This has put further upward pressure on UK manufacturers’ input prices, which </w:t>
      </w:r>
      <w:r>
        <w:rPr>
          <w:spacing w:val="-3"/>
          <w:sz w:val="24"/>
        </w:rPr>
        <w:t>have </w:t>
      </w:r>
      <w:r>
        <w:rPr>
          <w:sz w:val="24"/>
        </w:rPr>
        <w:t>continued to increase </w:t>
      </w:r>
      <w:r>
        <w:rPr>
          <w:spacing w:val="-3"/>
          <w:sz w:val="24"/>
        </w:rPr>
        <w:t>rapidly. </w:t>
      </w:r>
      <w:r>
        <w:rPr>
          <w:sz w:val="24"/>
        </w:rPr>
        <w:t>And manufacturers’ output price inflation has picked up, although the CBI monthly industrial trends survey shows that the balance of firms expecting to cut prices remains relatively high. Surveys suggest that service sector input and output prices </w:t>
      </w:r>
      <w:r>
        <w:rPr>
          <w:spacing w:val="-3"/>
          <w:sz w:val="24"/>
        </w:rPr>
        <w:t>have </w:t>
      </w:r>
      <w:r>
        <w:rPr>
          <w:sz w:val="24"/>
        </w:rPr>
        <w:t>increased. The gap between retail goods and services price inflation has narrowed. RPIX inflation has risen slightly</w:t>
      </w:r>
      <w:r>
        <w:rPr>
          <w:spacing w:val="-6"/>
          <w:sz w:val="24"/>
        </w:rPr>
        <w:t> </w:t>
      </w:r>
      <w:r>
        <w:rPr>
          <w:sz w:val="24"/>
        </w:rPr>
        <w:t>since</w:t>
      </w:r>
      <w:r>
        <w:rPr>
          <w:spacing w:val="-6"/>
          <w:sz w:val="24"/>
        </w:rPr>
        <w:t> </w:t>
      </w:r>
      <w:r>
        <w:rPr>
          <w:sz w:val="24"/>
        </w:rPr>
        <w:t>the</w:t>
      </w:r>
      <w:r>
        <w:rPr>
          <w:spacing w:val="-6"/>
          <w:sz w:val="24"/>
        </w:rPr>
        <w:t> </w:t>
      </w:r>
      <w:r>
        <w:rPr>
          <w:sz w:val="24"/>
        </w:rPr>
        <w:t>May</w:t>
      </w:r>
      <w:r>
        <w:rPr>
          <w:spacing w:val="-5"/>
          <w:sz w:val="24"/>
        </w:rPr>
        <w:t> </w:t>
      </w:r>
      <w:r>
        <w:rPr>
          <w:i/>
          <w:sz w:val="24"/>
        </w:rPr>
        <w:t>Report</w:t>
      </w:r>
      <w:r>
        <w:rPr>
          <w:sz w:val="24"/>
        </w:rPr>
        <w:t>,</w:t>
      </w:r>
      <w:r>
        <w:rPr>
          <w:spacing w:val="-5"/>
          <w:sz w:val="24"/>
        </w:rPr>
        <w:t> </w:t>
      </w:r>
      <w:r>
        <w:rPr>
          <w:sz w:val="24"/>
        </w:rPr>
        <w:t>although</w:t>
      </w:r>
      <w:r>
        <w:rPr>
          <w:spacing w:val="-6"/>
          <w:sz w:val="24"/>
        </w:rPr>
        <w:t> </w:t>
      </w:r>
      <w:r>
        <w:rPr>
          <w:sz w:val="24"/>
        </w:rPr>
        <w:t>it</w:t>
      </w:r>
      <w:r>
        <w:rPr>
          <w:spacing w:val="-6"/>
          <w:sz w:val="24"/>
        </w:rPr>
        <w:t> </w:t>
      </w:r>
      <w:r>
        <w:rPr>
          <w:sz w:val="24"/>
        </w:rPr>
        <w:t>remains</w:t>
      </w:r>
      <w:r>
        <w:rPr>
          <w:spacing w:val="-6"/>
          <w:sz w:val="24"/>
        </w:rPr>
        <w:t> </w:t>
      </w:r>
      <w:r>
        <w:rPr>
          <w:sz w:val="24"/>
        </w:rPr>
        <w:t>below the </w:t>
      </w:r>
      <w:r>
        <w:rPr>
          <w:spacing w:val="-3"/>
          <w:sz w:val="24"/>
        </w:rPr>
        <w:t>Government’s </w:t>
      </w:r>
      <w:r>
        <w:rPr>
          <w:sz w:val="24"/>
        </w:rPr>
        <w:t>2</w:t>
      </w:r>
      <w:r>
        <w:rPr>
          <w:position w:val="8"/>
          <w:sz w:val="12"/>
        </w:rPr>
        <w:t>1</w:t>
      </w:r>
      <w:r>
        <w:rPr>
          <w:sz w:val="24"/>
        </w:rPr>
        <w:t>/</w:t>
      </w:r>
      <w:r>
        <w:rPr>
          <w:sz w:val="12"/>
        </w:rPr>
        <w:t>2</w:t>
      </w:r>
      <w:r>
        <w:rPr>
          <w:sz w:val="24"/>
        </w:rPr>
        <w:t>%</w:t>
      </w:r>
      <w:r>
        <w:rPr>
          <w:spacing w:val="-1"/>
          <w:sz w:val="24"/>
        </w:rPr>
        <w:t> </w:t>
      </w:r>
      <w:r>
        <w:rPr>
          <w:sz w:val="24"/>
        </w:rPr>
        <w:t>target.</w:t>
      </w:r>
    </w:p>
    <w:p>
      <w:pPr>
        <w:spacing w:after="0" w:line="242" w:lineRule="auto"/>
        <w:jc w:val="left"/>
        <w:rPr>
          <w:sz w:val="24"/>
        </w:rPr>
        <w:sectPr>
          <w:type w:val="continuous"/>
          <w:pgSz w:w="11900" w:h="16840"/>
          <w:pgMar w:top="1260" w:bottom="280" w:left="640" w:right="640"/>
          <w:cols w:num="2" w:equalWidth="0">
            <w:col w:w="3596" w:space="1204"/>
            <w:col w:w="5820"/>
          </w:cols>
        </w:sectPr>
      </w:pPr>
    </w:p>
    <w:p>
      <w:pPr>
        <w:pStyle w:val="BodyText"/>
        <w:spacing w:before="3"/>
        <w:rPr>
          <w:sz w:val="14"/>
        </w:rPr>
      </w:pPr>
    </w:p>
    <w:p>
      <w:pPr>
        <w:spacing w:after="0"/>
        <w:rPr>
          <w:sz w:val="14"/>
        </w:rPr>
        <w:sectPr>
          <w:type w:val="continuous"/>
          <w:pgSz w:w="11900" w:h="16840"/>
          <w:pgMar w:top="1260" w:bottom="280" w:left="640" w:right="640"/>
        </w:sectPr>
      </w:pPr>
    </w:p>
    <w:p>
      <w:pPr>
        <w:spacing w:before="95"/>
        <w:ind w:left="0" w:right="178" w:firstLine="0"/>
        <w:jc w:val="right"/>
        <w:rPr>
          <w:sz w:val="12"/>
        </w:rPr>
      </w:pPr>
      <w:r>
        <w:rPr/>
        <w:drawing>
          <wp:anchor distT="0" distB="0" distL="0" distR="0" allowOverlap="1" layoutInCell="1" locked="0" behindDoc="1" simplePos="0" relativeHeight="480215040">
            <wp:simplePos x="0" y="0"/>
            <wp:positionH relativeFrom="page">
              <wp:posOffset>554736</wp:posOffset>
            </wp:positionH>
            <wp:positionV relativeFrom="paragraph">
              <wp:posOffset>109443</wp:posOffset>
            </wp:positionV>
            <wp:extent cx="2016442" cy="86283"/>
            <wp:effectExtent l="0" t="0" r="0" b="0"/>
            <wp:wrapNone/>
            <wp:docPr id="143" name="image68.png"/>
            <wp:cNvGraphicFramePr>
              <a:graphicFrameLocks noChangeAspect="1"/>
            </wp:cNvGraphicFramePr>
            <a:graphic>
              <a:graphicData uri="http://schemas.openxmlformats.org/drawingml/2006/picture">
                <pic:pic>
                  <pic:nvPicPr>
                    <pic:cNvPr id="144" name="image68.png"/>
                    <pic:cNvPicPr/>
                  </pic:nvPicPr>
                  <pic:blipFill>
                    <a:blip r:embed="rId127" cstate="print"/>
                    <a:stretch>
                      <a:fillRect/>
                    </a:stretch>
                  </pic:blipFill>
                  <pic:spPr>
                    <a:xfrm>
                      <a:off x="0" y="0"/>
                      <a:ext cx="2016442" cy="86283"/>
                    </a:xfrm>
                    <a:prstGeom prst="rect">
                      <a:avLst/>
                    </a:prstGeom>
                  </pic:spPr>
                </pic:pic>
              </a:graphicData>
            </a:graphic>
          </wp:anchor>
        </w:drawing>
      </w:r>
      <w:r>
        <w:rPr>
          <w:spacing w:val="-1"/>
          <w:w w:val="105"/>
          <w:sz w:val="12"/>
        </w:rPr>
        <w:t>10</w:t>
      </w:r>
    </w:p>
    <w:p>
      <w:pPr>
        <w:tabs>
          <w:tab w:pos="1285" w:val="left" w:leader="none"/>
          <w:tab w:pos="1923" w:val="left" w:leader="none"/>
          <w:tab w:pos="2572" w:val="left" w:leader="none"/>
          <w:tab w:pos="3126" w:val="left" w:leader="none"/>
          <w:tab w:pos="3477" w:val="left" w:leader="none"/>
        </w:tabs>
        <w:spacing w:before="18"/>
        <w:ind w:left="523" w:right="0" w:firstLine="0"/>
        <w:jc w:val="left"/>
        <w:rPr>
          <w:sz w:val="12"/>
        </w:rPr>
      </w:pPr>
      <w:r>
        <w:rPr>
          <w:w w:val="105"/>
          <w:sz w:val="12"/>
        </w:rPr>
        <w:t>1997</w:t>
        <w:tab/>
        <w:t>98</w:t>
        <w:tab/>
        <w:t>99</w:t>
        <w:tab/>
        <w:t>2000</w:t>
        <w:tab/>
        <w:t>01</w:t>
        <w:tab/>
      </w:r>
      <w:r>
        <w:rPr>
          <w:w w:val="105"/>
          <w:position w:val="7"/>
          <w:sz w:val="12"/>
        </w:rPr>
        <w:t>0</w:t>
      </w:r>
    </w:p>
    <w:p>
      <w:pPr>
        <w:pStyle w:val="BodyText"/>
        <w:spacing w:before="4"/>
      </w:pPr>
    </w:p>
    <w:p>
      <w:pPr>
        <w:spacing w:before="0"/>
        <w:ind w:left="180" w:right="0" w:firstLine="0"/>
        <w:jc w:val="left"/>
        <w:rPr>
          <w:sz w:val="12"/>
        </w:rPr>
      </w:pPr>
      <w:r>
        <w:rPr>
          <w:sz w:val="12"/>
        </w:rPr>
        <w:t>Sources: NYMEX and Bank of England.</w:t>
      </w:r>
    </w:p>
    <w:p>
      <w:pPr>
        <w:pStyle w:val="BodyText"/>
        <w:spacing w:before="1"/>
        <w:rPr>
          <w:sz w:val="10"/>
        </w:rPr>
      </w:pPr>
    </w:p>
    <w:p>
      <w:pPr>
        <w:pStyle w:val="ListParagraph"/>
        <w:numPr>
          <w:ilvl w:val="0"/>
          <w:numId w:val="29"/>
        </w:numPr>
        <w:tabs>
          <w:tab w:pos="421" w:val="left" w:leader="none"/>
        </w:tabs>
        <w:spacing w:line="208" w:lineRule="auto" w:before="0" w:after="0"/>
        <w:ind w:left="420" w:right="134" w:hanging="240"/>
        <w:jc w:val="left"/>
        <w:rPr>
          <w:sz w:val="12"/>
        </w:rPr>
      </w:pPr>
      <w:r>
        <w:rPr>
          <w:sz w:val="12"/>
        </w:rPr>
        <w:t>Derived from option prices for </w:t>
      </w:r>
      <w:r>
        <w:rPr>
          <w:spacing w:val="-3"/>
          <w:sz w:val="12"/>
        </w:rPr>
        <w:t>West Texas </w:t>
      </w:r>
      <w:r>
        <w:rPr>
          <w:sz w:val="12"/>
        </w:rPr>
        <w:t>Intermediate oil (WTI). Prices for WTI tend on average to be around $1 per barrel higher than those for Brent crude</w:t>
      </w:r>
      <w:r>
        <w:rPr>
          <w:spacing w:val="-9"/>
          <w:sz w:val="12"/>
        </w:rPr>
        <w:t> </w:t>
      </w:r>
      <w:r>
        <w:rPr>
          <w:sz w:val="12"/>
        </w:rPr>
        <w:t>oil.</w:t>
      </w:r>
    </w:p>
    <w:p>
      <w:pPr>
        <w:pStyle w:val="ListParagraph"/>
        <w:numPr>
          <w:ilvl w:val="0"/>
          <w:numId w:val="29"/>
        </w:numPr>
        <w:tabs>
          <w:tab w:pos="421" w:val="left" w:leader="none"/>
        </w:tabs>
        <w:spacing w:line="208" w:lineRule="auto" w:before="0" w:after="0"/>
        <w:ind w:left="420" w:right="170" w:hanging="240"/>
        <w:jc w:val="left"/>
        <w:rPr>
          <w:sz w:val="12"/>
        </w:rPr>
      </w:pPr>
      <w:r>
        <w:rPr>
          <w:sz w:val="12"/>
        </w:rPr>
        <w:t>The chart depicts the probability distributions for oil prices, and is rather like a contour map. At any given point, the depth of shading represents the height of the probability density function implied by the markets over a range of outcomes for oil prices. The markets judge that there is a 10% chance of oil prices being within the darkest, central band at any date. Each successive pair of</w:t>
      </w:r>
      <w:r>
        <w:rPr>
          <w:spacing w:val="-5"/>
          <w:sz w:val="12"/>
        </w:rPr>
        <w:t> </w:t>
      </w:r>
      <w:r>
        <w:rPr>
          <w:sz w:val="12"/>
        </w:rPr>
        <w:t>bands</w:t>
      </w:r>
      <w:r>
        <w:rPr>
          <w:spacing w:val="-4"/>
          <w:sz w:val="12"/>
        </w:rPr>
        <w:t> </w:t>
      </w:r>
      <w:r>
        <w:rPr>
          <w:sz w:val="12"/>
        </w:rPr>
        <w:t>covers</w:t>
      </w:r>
      <w:r>
        <w:rPr>
          <w:spacing w:val="-4"/>
          <w:sz w:val="12"/>
        </w:rPr>
        <w:t> </w:t>
      </w:r>
      <w:r>
        <w:rPr>
          <w:sz w:val="12"/>
        </w:rPr>
        <w:t>a</w:t>
      </w:r>
      <w:r>
        <w:rPr>
          <w:spacing w:val="-5"/>
          <w:sz w:val="12"/>
        </w:rPr>
        <w:t> </w:t>
      </w:r>
      <w:r>
        <w:rPr>
          <w:sz w:val="12"/>
        </w:rPr>
        <w:t>further</w:t>
      </w:r>
      <w:r>
        <w:rPr>
          <w:spacing w:val="-4"/>
          <w:sz w:val="12"/>
        </w:rPr>
        <w:t> </w:t>
      </w:r>
      <w:r>
        <w:rPr>
          <w:sz w:val="12"/>
        </w:rPr>
        <w:t>10%</w:t>
      </w:r>
      <w:r>
        <w:rPr>
          <w:spacing w:val="-4"/>
          <w:sz w:val="12"/>
        </w:rPr>
        <w:t> </w:t>
      </w:r>
      <w:r>
        <w:rPr>
          <w:sz w:val="12"/>
        </w:rPr>
        <w:t>of</w:t>
      </w:r>
      <w:r>
        <w:rPr>
          <w:spacing w:val="-5"/>
          <w:sz w:val="12"/>
        </w:rPr>
        <w:t> </w:t>
      </w:r>
      <w:r>
        <w:rPr>
          <w:sz w:val="12"/>
        </w:rPr>
        <w:t>the</w:t>
      </w:r>
      <w:r>
        <w:rPr>
          <w:spacing w:val="-4"/>
          <w:sz w:val="12"/>
        </w:rPr>
        <w:t> </w:t>
      </w:r>
      <w:r>
        <w:rPr>
          <w:sz w:val="12"/>
        </w:rPr>
        <w:t>distribution</w:t>
      </w:r>
      <w:r>
        <w:rPr>
          <w:spacing w:val="-4"/>
          <w:sz w:val="12"/>
        </w:rPr>
        <w:t> </w:t>
      </w:r>
      <w:r>
        <w:rPr>
          <w:sz w:val="12"/>
        </w:rPr>
        <w:t>until</w:t>
      </w:r>
      <w:r>
        <w:rPr>
          <w:spacing w:val="-5"/>
          <w:sz w:val="12"/>
        </w:rPr>
        <w:t> </w:t>
      </w:r>
      <w:r>
        <w:rPr>
          <w:sz w:val="12"/>
        </w:rPr>
        <w:t>90%</w:t>
      </w:r>
      <w:r>
        <w:rPr>
          <w:spacing w:val="-4"/>
          <w:sz w:val="12"/>
        </w:rPr>
        <w:t> </w:t>
      </w:r>
      <w:r>
        <w:rPr>
          <w:sz w:val="12"/>
        </w:rPr>
        <w:t>of</w:t>
      </w:r>
      <w:r>
        <w:rPr>
          <w:spacing w:val="-4"/>
          <w:sz w:val="12"/>
        </w:rPr>
        <w:t> </w:t>
      </w:r>
      <w:r>
        <w:rPr>
          <w:sz w:val="12"/>
        </w:rPr>
        <w:t>the distribution is covered. The bands widen as the time horizon</w:t>
      </w:r>
      <w:r>
        <w:rPr>
          <w:spacing w:val="-14"/>
          <w:sz w:val="12"/>
        </w:rPr>
        <w:t> </w:t>
      </w:r>
      <w:r>
        <w:rPr>
          <w:sz w:val="12"/>
        </w:rPr>
        <w:t>is</w:t>
      </w:r>
    </w:p>
    <w:p>
      <w:pPr>
        <w:spacing w:line="123" w:lineRule="exact" w:before="0"/>
        <w:ind w:left="420" w:right="0" w:firstLine="0"/>
        <w:jc w:val="left"/>
        <w:rPr>
          <w:sz w:val="12"/>
        </w:rPr>
      </w:pPr>
      <w:r>
        <w:rPr>
          <w:sz w:val="12"/>
        </w:rPr>
        <w:t>extended, indicating increased uncertainty about oil price outcomes.</w:t>
      </w:r>
    </w:p>
    <w:p>
      <w:pPr>
        <w:pStyle w:val="BodyText"/>
        <w:spacing w:before="8"/>
        <w:rPr>
          <w:sz w:val="17"/>
        </w:rPr>
      </w:pPr>
    </w:p>
    <w:p>
      <w:pPr>
        <w:pStyle w:val="Heading6"/>
        <w:spacing w:before="0"/>
      </w:pPr>
      <w:r>
        <w:rPr>
          <w:color w:val="0092C7"/>
        </w:rPr>
        <w:t>Chart 4.2</w:t>
      </w:r>
    </w:p>
    <w:p>
      <w:pPr>
        <w:pStyle w:val="Heading6"/>
        <w:spacing w:line="249" w:lineRule="auto"/>
        <w:ind w:right="22"/>
        <w:rPr>
          <w:b w:val="0"/>
          <w:sz w:val="12"/>
        </w:rPr>
      </w:pPr>
      <w:r>
        <w:rPr>
          <w:color w:val="0092C7"/>
        </w:rPr>
        <w:t>Information from futures prices about the oil price six months ahead</w:t>
      </w:r>
      <w:r>
        <w:rPr>
          <w:b w:val="0"/>
          <w:position w:val="4"/>
          <w:sz w:val="12"/>
        </w:rPr>
        <w:t>(a)</w:t>
      </w:r>
    </w:p>
    <w:p>
      <w:pPr>
        <w:tabs>
          <w:tab w:pos="1012" w:val="left" w:leader="none"/>
          <w:tab w:pos="5659" w:val="left" w:leader="none"/>
        </w:tabs>
        <w:spacing w:before="154"/>
        <w:ind w:left="180" w:right="0" w:firstLine="0"/>
        <w:jc w:val="left"/>
        <w:rPr>
          <w:b/>
          <w:sz w:val="28"/>
        </w:rPr>
      </w:pPr>
      <w:r>
        <w:rPr/>
        <w:br w:type="column"/>
      </w:r>
      <w:r>
        <w:rPr>
          <w:b/>
          <w:color w:val="009391"/>
          <w:sz w:val="28"/>
          <w:u w:val="thick" w:color="0092C7"/>
        </w:rPr>
        <w:t>4.1</w:t>
        <w:tab/>
        <w:t>Raw materials and commodity</w:t>
      </w:r>
      <w:r>
        <w:rPr>
          <w:b/>
          <w:color w:val="009391"/>
          <w:spacing w:val="-29"/>
          <w:sz w:val="28"/>
          <w:u w:val="thick" w:color="0092C7"/>
        </w:rPr>
        <w:t> </w:t>
      </w:r>
      <w:r>
        <w:rPr>
          <w:b/>
          <w:color w:val="009391"/>
          <w:sz w:val="28"/>
          <w:u w:val="thick" w:color="0092C7"/>
        </w:rPr>
        <w:t>prices</w:t>
        <w:tab/>
      </w:r>
    </w:p>
    <w:p>
      <w:pPr>
        <w:spacing w:before="264"/>
        <w:ind w:left="180" w:right="0" w:firstLine="0"/>
        <w:jc w:val="left"/>
        <w:rPr>
          <w:sz w:val="24"/>
        </w:rPr>
      </w:pPr>
      <w:r>
        <w:rPr>
          <w:sz w:val="24"/>
        </w:rPr>
        <w:t>Oil prices have risen since the May </w:t>
      </w:r>
      <w:r>
        <w:rPr>
          <w:i/>
          <w:sz w:val="24"/>
        </w:rPr>
        <w:t>Report </w:t>
      </w:r>
      <w:r>
        <w:rPr>
          <w:sz w:val="24"/>
        </w:rPr>
        <w:t>(see</w:t>
      </w:r>
    </w:p>
    <w:p>
      <w:pPr>
        <w:spacing w:line="242" w:lineRule="auto" w:before="4"/>
        <w:ind w:left="180" w:right="201" w:firstLine="0"/>
        <w:jc w:val="left"/>
        <w:rPr>
          <w:sz w:val="24"/>
        </w:rPr>
      </w:pPr>
      <w:r>
        <w:rPr>
          <w:sz w:val="24"/>
        </w:rPr>
        <w:t>Chart 4.1). The one-month forward price of Brent crude rose above $30 per barrel in mid-June. On 21 June, OPEC members agreed to raise production by a further</w:t>
      </w:r>
    </w:p>
    <w:p>
      <w:pPr>
        <w:spacing w:line="242" w:lineRule="auto" w:before="4"/>
        <w:ind w:left="180" w:right="191" w:firstLine="0"/>
        <w:jc w:val="left"/>
        <w:rPr>
          <w:sz w:val="24"/>
        </w:rPr>
      </w:pPr>
      <w:r>
        <w:rPr>
          <w:sz w:val="24"/>
        </w:rPr>
        <w:t>0.7 million barrels per </w:t>
      </w:r>
      <w:r>
        <w:rPr>
          <w:spacing w:val="-5"/>
          <w:sz w:val="24"/>
        </w:rPr>
        <w:t>day, </w:t>
      </w:r>
      <w:r>
        <w:rPr>
          <w:sz w:val="24"/>
        </w:rPr>
        <w:t>equivalent to around 1% of daily world production in 1999. And in </w:t>
      </w:r>
      <w:r>
        <w:rPr>
          <w:spacing w:val="-4"/>
          <w:sz w:val="24"/>
        </w:rPr>
        <w:t>July, </w:t>
      </w:r>
      <w:r>
        <w:rPr>
          <w:sz w:val="24"/>
        </w:rPr>
        <w:t>Saudi Arabia announced a prospective production increase. Oil prices </w:t>
      </w:r>
      <w:r>
        <w:rPr>
          <w:spacing w:val="-3"/>
          <w:sz w:val="24"/>
        </w:rPr>
        <w:t>have </w:t>
      </w:r>
      <w:r>
        <w:rPr>
          <w:sz w:val="24"/>
        </w:rPr>
        <w:t>fallen back somewhat in recent weeks,</w:t>
      </w:r>
      <w:r>
        <w:rPr>
          <w:spacing w:val="-42"/>
          <w:sz w:val="24"/>
        </w:rPr>
        <w:t> </w:t>
      </w:r>
      <w:r>
        <w:rPr>
          <w:sz w:val="24"/>
        </w:rPr>
        <w:t>in response to this prospective increase in oil</w:t>
      </w:r>
      <w:r>
        <w:rPr>
          <w:spacing w:val="-37"/>
          <w:sz w:val="24"/>
        </w:rPr>
        <w:t> </w:t>
      </w:r>
      <w:r>
        <w:rPr>
          <w:sz w:val="24"/>
        </w:rPr>
        <w:t>production.</w:t>
      </w:r>
    </w:p>
    <w:p>
      <w:pPr>
        <w:spacing w:after="0" w:line="242" w:lineRule="auto"/>
        <w:jc w:val="left"/>
        <w:rPr>
          <w:sz w:val="24"/>
        </w:rPr>
        <w:sectPr>
          <w:type w:val="continuous"/>
          <w:pgSz w:w="11900" w:h="16840"/>
          <w:pgMar w:top="1260" w:bottom="280" w:left="640" w:right="640"/>
          <w:cols w:num="2" w:equalWidth="0">
            <w:col w:w="3727" w:space="1073"/>
            <w:col w:w="5820"/>
          </w:cols>
        </w:sectPr>
      </w:pPr>
    </w:p>
    <w:p>
      <w:pPr>
        <w:pStyle w:val="BodyText"/>
        <w:spacing w:before="3"/>
        <w:rPr>
          <w:sz w:val="12"/>
        </w:rPr>
      </w:pPr>
    </w:p>
    <w:p>
      <w:pPr>
        <w:spacing w:before="0"/>
        <w:ind w:left="233" w:right="0" w:firstLine="0"/>
        <w:jc w:val="left"/>
        <w:rPr>
          <w:sz w:val="12"/>
        </w:rPr>
      </w:pPr>
      <w:r>
        <w:rPr>
          <w:sz w:val="12"/>
        </w:rPr>
        <w:t>As at cob 2 August 2000</w:t>
      </w:r>
    </w:p>
    <w:p>
      <w:pPr>
        <w:spacing w:before="31"/>
        <w:ind w:left="234" w:right="0" w:firstLine="0"/>
        <w:jc w:val="left"/>
        <w:rPr>
          <w:sz w:val="12"/>
        </w:rPr>
      </w:pPr>
      <w:r>
        <w:rPr/>
        <w:drawing>
          <wp:anchor distT="0" distB="0" distL="0" distR="0" allowOverlap="1" layoutInCell="1" locked="0" behindDoc="1" simplePos="0" relativeHeight="480215552">
            <wp:simplePos x="0" y="0"/>
            <wp:positionH relativeFrom="page">
              <wp:posOffset>559244</wp:posOffset>
            </wp:positionH>
            <wp:positionV relativeFrom="paragraph">
              <wp:posOffset>99346</wp:posOffset>
            </wp:positionV>
            <wp:extent cx="1934718" cy="554037"/>
            <wp:effectExtent l="0" t="0" r="0" b="0"/>
            <wp:wrapNone/>
            <wp:docPr id="145" name="image69.png"/>
            <wp:cNvGraphicFramePr>
              <a:graphicFrameLocks noChangeAspect="1"/>
            </wp:cNvGraphicFramePr>
            <a:graphic>
              <a:graphicData uri="http://schemas.openxmlformats.org/drawingml/2006/picture">
                <pic:pic>
                  <pic:nvPicPr>
                    <pic:cNvPr id="146" name="image69.png"/>
                    <pic:cNvPicPr/>
                  </pic:nvPicPr>
                  <pic:blipFill>
                    <a:blip r:embed="rId128" cstate="print"/>
                    <a:stretch>
                      <a:fillRect/>
                    </a:stretch>
                  </pic:blipFill>
                  <pic:spPr>
                    <a:xfrm>
                      <a:off x="0" y="0"/>
                      <a:ext cx="1934718" cy="554037"/>
                    </a:xfrm>
                    <a:prstGeom prst="rect">
                      <a:avLst/>
                    </a:prstGeom>
                  </pic:spPr>
                </pic:pic>
              </a:graphicData>
            </a:graphic>
          </wp:anchor>
        </w:drawing>
      </w:r>
      <w:r>
        <w:rPr>
          <w:b/>
          <w:sz w:val="12"/>
          <w:u w:val="single"/>
        </w:rPr>
        <w:t>M</w:t>
      </w:r>
      <w:r>
        <w:rPr>
          <w:b/>
          <w:sz w:val="12"/>
        </w:rPr>
        <w:t>ean </w:t>
      </w:r>
      <w:r>
        <w:rPr>
          <w:sz w:val="12"/>
        </w:rPr>
        <w:t>(b)</w:t>
      </w:r>
    </w:p>
    <w:p>
      <w:pPr>
        <w:pStyle w:val="BodyText"/>
        <w:rPr>
          <w:sz w:val="20"/>
        </w:rPr>
      </w:pPr>
    </w:p>
    <w:p>
      <w:pPr>
        <w:pStyle w:val="BodyText"/>
        <w:rPr>
          <w:sz w:val="20"/>
        </w:rPr>
      </w:pPr>
    </w:p>
    <w:p>
      <w:pPr>
        <w:pStyle w:val="BodyText"/>
        <w:rPr>
          <w:sz w:val="20"/>
        </w:rPr>
      </w:pPr>
    </w:p>
    <w:p>
      <w:pPr>
        <w:pStyle w:val="BodyText"/>
        <w:spacing w:before="1"/>
        <w:rPr>
          <w:sz w:val="21"/>
        </w:rPr>
      </w:pPr>
      <w:r>
        <w:rPr/>
        <w:drawing>
          <wp:anchor distT="0" distB="0" distL="0" distR="0" allowOverlap="1" layoutInCell="1" locked="0" behindDoc="0" simplePos="0" relativeHeight="910">
            <wp:simplePos x="0" y="0"/>
            <wp:positionH relativeFrom="page">
              <wp:posOffset>559244</wp:posOffset>
            </wp:positionH>
            <wp:positionV relativeFrom="paragraph">
              <wp:posOffset>178775</wp:posOffset>
            </wp:positionV>
            <wp:extent cx="54466" cy="6286"/>
            <wp:effectExtent l="0" t="0" r="0" b="0"/>
            <wp:wrapTopAndBottom/>
            <wp:docPr id="147" name="image13.png"/>
            <wp:cNvGraphicFramePr>
              <a:graphicFrameLocks noChangeAspect="1"/>
            </wp:cNvGraphicFramePr>
            <a:graphic>
              <a:graphicData uri="http://schemas.openxmlformats.org/drawingml/2006/picture">
                <pic:pic>
                  <pic:nvPicPr>
                    <pic:cNvPr id="148" name="image13.png"/>
                    <pic:cNvPicPr/>
                  </pic:nvPicPr>
                  <pic:blipFill>
                    <a:blip r:embed="rId36" cstate="print"/>
                    <a:stretch>
                      <a:fillRect/>
                    </a:stretch>
                  </pic:blipFill>
                  <pic:spPr>
                    <a:xfrm>
                      <a:off x="0" y="0"/>
                      <a:ext cx="54466" cy="6286"/>
                    </a:xfrm>
                    <a:prstGeom prst="rect">
                      <a:avLst/>
                    </a:prstGeom>
                  </pic:spPr>
                </pic:pic>
              </a:graphicData>
            </a:graphic>
          </wp:anchor>
        </w:drawing>
      </w:r>
    </w:p>
    <w:p>
      <w:pPr>
        <w:pStyle w:val="BodyText"/>
        <w:spacing w:before="4"/>
        <w:rPr>
          <w:sz w:val="27"/>
        </w:rPr>
      </w:pPr>
      <w:r>
        <w:rPr/>
        <w:br w:type="column"/>
      </w:r>
      <w:r>
        <w:rPr>
          <w:sz w:val="27"/>
        </w:rPr>
      </w:r>
    </w:p>
    <w:p>
      <w:pPr>
        <w:spacing w:line="206" w:lineRule="auto" w:before="0"/>
        <w:ind w:left="233" w:right="0" w:firstLine="0"/>
        <w:jc w:val="left"/>
        <w:rPr>
          <w:sz w:val="12"/>
        </w:rPr>
      </w:pPr>
      <w:r>
        <w:rPr>
          <w:sz w:val="12"/>
        </w:rPr>
        <w:t>$ per barr</w:t>
      </w:r>
      <w:r>
        <w:rPr>
          <w:sz w:val="12"/>
          <w:u w:val="single"/>
        </w:rPr>
        <w:t>e</w:t>
      </w:r>
      <w:r>
        <w:rPr>
          <w:sz w:val="12"/>
        </w:rPr>
        <w:t>l </w:t>
      </w:r>
      <w:r>
        <w:rPr>
          <w:spacing w:val="18"/>
          <w:sz w:val="12"/>
        </w:rPr>
        <w:t> </w:t>
      </w:r>
      <w:r>
        <w:rPr>
          <w:position w:val="-7"/>
          <w:sz w:val="12"/>
        </w:rPr>
        <w:t>28</w:t>
      </w:r>
    </w:p>
    <w:p>
      <w:pPr>
        <w:spacing w:line="111" w:lineRule="exact" w:before="0"/>
        <w:ind w:left="0" w:right="38" w:firstLine="0"/>
        <w:jc w:val="right"/>
        <w:rPr>
          <w:sz w:val="12"/>
        </w:rPr>
      </w:pPr>
      <w:r>
        <w:rPr/>
        <w:drawing>
          <wp:anchor distT="0" distB="0" distL="0" distR="0" allowOverlap="1" layoutInCell="1" locked="0" behindDoc="0" simplePos="0" relativeHeight="16208896">
            <wp:simplePos x="0" y="0"/>
            <wp:positionH relativeFrom="page">
              <wp:posOffset>2539847</wp:posOffset>
            </wp:positionH>
            <wp:positionV relativeFrom="paragraph">
              <wp:posOffset>31388</wp:posOffset>
            </wp:positionV>
            <wp:extent cx="55003" cy="6350"/>
            <wp:effectExtent l="0" t="0" r="0" b="0"/>
            <wp:wrapNone/>
            <wp:docPr id="149" name="image13.png"/>
            <wp:cNvGraphicFramePr>
              <a:graphicFrameLocks noChangeAspect="1"/>
            </wp:cNvGraphicFramePr>
            <a:graphic>
              <a:graphicData uri="http://schemas.openxmlformats.org/drawingml/2006/picture">
                <pic:pic>
                  <pic:nvPicPr>
                    <pic:cNvPr id="150" name="image13.png"/>
                    <pic:cNvPicPr/>
                  </pic:nvPicPr>
                  <pic:blipFill>
                    <a:blip r:embed="rId36" cstate="print"/>
                    <a:stretch>
                      <a:fillRect/>
                    </a:stretch>
                  </pic:blipFill>
                  <pic:spPr>
                    <a:xfrm>
                      <a:off x="0" y="0"/>
                      <a:ext cx="55003" cy="6350"/>
                    </a:xfrm>
                    <a:prstGeom prst="rect">
                      <a:avLst/>
                    </a:prstGeom>
                  </pic:spPr>
                </pic:pic>
              </a:graphicData>
            </a:graphic>
          </wp:anchor>
        </w:drawing>
      </w:r>
      <w:r>
        <w:rPr>
          <w:sz w:val="12"/>
        </w:rPr>
        <w:t>26</w:t>
      </w:r>
    </w:p>
    <w:p>
      <w:pPr>
        <w:spacing w:line="108" w:lineRule="exact" w:before="0"/>
        <w:ind w:left="0" w:right="38" w:firstLine="0"/>
        <w:jc w:val="right"/>
        <w:rPr>
          <w:sz w:val="12"/>
        </w:rPr>
      </w:pPr>
      <w:r>
        <w:rPr/>
        <w:drawing>
          <wp:anchor distT="0" distB="0" distL="0" distR="0" allowOverlap="1" layoutInCell="1" locked="0" behindDoc="0" simplePos="0" relativeHeight="16208384">
            <wp:simplePos x="0" y="0"/>
            <wp:positionH relativeFrom="page">
              <wp:posOffset>2539834</wp:posOffset>
            </wp:positionH>
            <wp:positionV relativeFrom="paragraph">
              <wp:posOffset>23357</wp:posOffset>
            </wp:positionV>
            <wp:extent cx="55016" cy="6350"/>
            <wp:effectExtent l="0" t="0" r="0" b="0"/>
            <wp:wrapNone/>
            <wp:docPr id="151" name="image13.png"/>
            <wp:cNvGraphicFramePr>
              <a:graphicFrameLocks noChangeAspect="1"/>
            </wp:cNvGraphicFramePr>
            <a:graphic>
              <a:graphicData uri="http://schemas.openxmlformats.org/drawingml/2006/picture">
                <pic:pic>
                  <pic:nvPicPr>
                    <pic:cNvPr id="152" name="image13.png"/>
                    <pic:cNvPicPr/>
                  </pic:nvPicPr>
                  <pic:blipFill>
                    <a:blip r:embed="rId36" cstate="print"/>
                    <a:stretch>
                      <a:fillRect/>
                    </a:stretch>
                  </pic:blipFill>
                  <pic:spPr>
                    <a:xfrm>
                      <a:off x="0" y="0"/>
                      <a:ext cx="55016" cy="6350"/>
                    </a:xfrm>
                    <a:prstGeom prst="rect">
                      <a:avLst/>
                    </a:prstGeom>
                  </pic:spPr>
                </pic:pic>
              </a:graphicData>
            </a:graphic>
          </wp:anchor>
        </w:drawing>
      </w:r>
      <w:r>
        <w:rPr>
          <w:sz w:val="12"/>
        </w:rPr>
        <w:t>24</w:t>
      </w:r>
    </w:p>
    <w:p>
      <w:pPr>
        <w:spacing w:line="103" w:lineRule="exact" w:before="0"/>
        <w:ind w:left="0" w:right="38" w:firstLine="0"/>
        <w:jc w:val="right"/>
        <w:rPr>
          <w:sz w:val="12"/>
        </w:rPr>
      </w:pPr>
      <w:r>
        <w:rPr/>
        <w:drawing>
          <wp:anchor distT="0" distB="0" distL="0" distR="0" allowOverlap="1" layoutInCell="1" locked="0" behindDoc="0" simplePos="0" relativeHeight="16207872">
            <wp:simplePos x="0" y="0"/>
            <wp:positionH relativeFrom="page">
              <wp:posOffset>2539847</wp:posOffset>
            </wp:positionH>
            <wp:positionV relativeFrom="paragraph">
              <wp:posOffset>26010</wp:posOffset>
            </wp:positionV>
            <wp:extent cx="55003" cy="6350"/>
            <wp:effectExtent l="0" t="0" r="0" b="0"/>
            <wp:wrapNone/>
            <wp:docPr id="153" name="image13.png"/>
            <wp:cNvGraphicFramePr>
              <a:graphicFrameLocks noChangeAspect="1"/>
            </wp:cNvGraphicFramePr>
            <a:graphic>
              <a:graphicData uri="http://schemas.openxmlformats.org/drawingml/2006/picture">
                <pic:pic>
                  <pic:nvPicPr>
                    <pic:cNvPr id="154" name="image13.png"/>
                    <pic:cNvPicPr/>
                  </pic:nvPicPr>
                  <pic:blipFill>
                    <a:blip r:embed="rId36" cstate="print"/>
                    <a:stretch>
                      <a:fillRect/>
                    </a:stretch>
                  </pic:blipFill>
                  <pic:spPr>
                    <a:xfrm>
                      <a:off x="0" y="0"/>
                      <a:ext cx="55003" cy="6350"/>
                    </a:xfrm>
                    <a:prstGeom prst="rect">
                      <a:avLst/>
                    </a:prstGeom>
                  </pic:spPr>
                </pic:pic>
              </a:graphicData>
            </a:graphic>
          </wp:anchor>
        </w:drawing>
      </w:r>
      <w:r>
        <w:rPr>
          <w:sz w:val="12"/>
        </w:rPr>
        <w:t>22</w:t>
      </w:r>
    </w:p>
    <w:p>
      <w:pPr>
        <w:spacing w:line="108" w:lineRule="exact" w:before="0"/>
        <w:ind w:left="0" w:right="38" w:firstLine="0"/>
        <w:jc w:val="right"/>
        <w:rPr>
          <w:sz w:val="12"/>
        </w:rPr>
      </w:pPr>
      <w:r>
        <w:rPr/>
        <w:drawing>
          <wp:anchor distT="0" distB="0" distL="0" distR="0" allowOverlap="1" layoutInCell="1" locked="0" behindDoc="0" simplePos="0" relativeHeight="16204800">
            <wp:simplePos x="0" y="0"/>
            <wp:positionH relativeFrom="page">
              <wp:posOffset>2539834</wp:posOffset>
            </wp:positionH>
            <wp:positionV relativeFrom="paragraph">
              <wp:posOffset>31887</wp:posOffset>
            </wp:positionV>
            <wp:extent cx="55016" cy="6350"/>
            <wp:effectExtent l="0" t="0" r="0" b="0"/>
            <wp:wrapNone/>
            <wp:docPr id="155" name="image12.png"/>
            <wp:cNvGraphicFramePr>
              <a:graphicFrameLocks noChangeAspect="1"/>
            </wp:cNvGraphicFramePr>
            <a:graphic>
              <a:graphicData uri="http://schemas.openxmlformats.org/drawingml/2006/picture">
                <pic:pic>
                  <pic:nvPicPr>
                    <pic:cNvPr id="156" name="image12.png"/>
                    <pic:cNvPicPr/>
                  </pic:nvPicPr>
                  <pic:blipFill>
                    <a:blip r:embed="rId35" cstate="print"/>
                    <a:stretch>
                      <a:fillRect/>
                    </a:stretch>
                  </pic:blipFill>
                  <pic:spPr>
                    <a:xfrm>
                      <a:off x="0" y="0"/>
                      <a:ext cx="55016" cy="6350"/>
                    </a:xfrm>
                    <a:prstGeom prst="rect">
                      <a:avLst/>
                    </a:prstGeom>
                  </pic:spPr>
                </pic:pic>
              </a:graphicData>
            </a:graphic>
          </wp:anchor>
        </w:drawing>
      </w:r>
      <w:r>
        <w:rPr>
          <w:sz w:val="12"/>
        </w:rPr>
        <w:t>20</w:t>
      </w:r>
    </w:p>
    <w:p>
      <w:pPr>
        <w:spacing w:line="109" w:lineRule="exact" w:before="0"/>
        <w:ind w:left="0" w:right="38" w:firstLine="0"/>
        <w:jc w:val="right"/>
        <w:rPr>
          <w:sz w:val="12"/>
        </w:rPr>
      </w:pPr>
      <w:r>
        <w:rPr/>
        <w:drawing>
          <wp:anchor distT="0" distB="0" distL="0" distR="0" allowOverlap="1" layoutInCell="1" locked="0" behindDoc="0" simplePos="0" relativeHeight="16205312">
            <wp:simplePos x="0" y="0"/>
            <wp:positionH relativeFrom="page">
              <wp:posOffset>2539834</wp:posOffset>
            </wp:positionH>
            <wp:positionV relativeFrom="paragraph">
              <wp:posOffset>28076</wp:posOffset>
            </wp:positionV>
            <wp:extent cx="55016" cy="6350"/>
            <wp:effectExtent l="0" t="0" r="0" b="0"/>
            <wp:wrapNone/>
            <wp:docPr id="157" name="image12.png"/>
            <wp:cNvGraphicFramePr>
              <a:graphicFrameLocks noChangeAspect="1"/>
            </wp:cNvGraphicFramePr>
            <a:graphic>
              <a:graphicData uri="http://schemas.openxmlformats.org/drawingml/2006/picture">
                <pic:pic>
                  <pic:nvPicPr>
                    <pic:cNvPr id="158" name="image12.png"/>
                    <pic:cNvPicPr/>
                  </pic:nvPicPr>
                  <pic:blipFill>
                    <a:blip r:embed="rId35" cstate="print"/>
                    <a:stretch>
                      <a:fillRect/>
                    </a:stretch>
                  </pic:blipFill>
                  <pic:spPr>
                    <a:xfrm>
                      <a:off x="0" y="0"/>
                      <a:ext cx="55016" cy="6350"/>
                    </a:xfrm>
                    <a:prstGeom prst="rect">
                      <a:avLst/>
                    </a:prstGeom>
                  </pic:spPr>
                </pic:pic>
              </a:graphicData>
            </a:graphic>
          </wp:anchor>
        </w:drawing>
      </w:r>
      <w:r>
        <w:rPr>
          <w:sz w:val="12"/>
        </w:rPr>
        <w:t>18</w:t>
      </w:r>
    </w:p>
    <w:p>
      <w:pPr>
        <w:spacing w:line="104" w:lineRule="exact" w:before="0"/>
        <w:ind w:left="0" w:right="38" w:firstLine="0"/>
        <w:jc w:val="right"/>
        <w:rPr>
          <w:sz w:val="12"/>
        </w:rPr>
      </w:pPr>
      <w:r>
        <w:rPr/>
        <w:drawing>
          <wp:anchor distT="0" distB="0" distL="0" distR="0" allowOverlap="1" layoutInCell="1" locked="0" behindDoc="0" simplePos="0" relativeHeight="16205824">
            <wp:simplePos x="0" y="0"/>
            <wp:positionH relativeFrom="page">
              <wp:posOffset>2539834</wp:posOffset>
            </wp:positionH>
            <wp:positionV relativeFrom="paragraph">
              <wp:posOffset>22749</wp:posOffset>
            </wp:positionV>
            <wp:extent cx="55016" cy="6350"/>
            <wp:effectExtent l="0" t="0" r="0" b="0"/>
            <wp:wrapNone/>
            <wp:docPr id="159" name="image12.png"/>
            <wp:cNvGraphicFramePr>
              <a:graphicFrameLocks noChangeAspect="1"/>
            </wp:cNvGraphicFramePr>
            <a:graphic>
              <a:graphicData uri="http://schemas.openxmlformats.org/drawingml/2006/picture">
                <pic:pic>
                  <pic:nvPicPr>
                    <pic:cNvPr id="160" name="image12.png"/>
                    <pic:cNvPicPr/>
                  </pic:nvPicPr>
                  <pic:blipFill>
                    <a:blip r:embed="rId35" cstate="print"/>
                    <a:stretch>
                      <a:fillRect/>
                    </a:stretch>
                  </pic:blipFill>
                  <pic:spPr>
                    <a:xfrm>
                      <a:off x="0" y="0"/>
                      <a:ext cx="55016" cy="6350"/>
                    </a:xfrm>
                    <a:prstGeom prst="rect">
                      <a:avLst/>
                    </a:prstGeom>
                  </pic:spPr>
                </pic:pic>
              </a:graphicData>
            </a:graphic>
          </wp:anchor>
        </w:drawing>
      </w:r>
      <w:r>
        <w:rPr>
          <w:sz w:val="12"/>
        </w:rPr>
        <w:t>16</w:t>
      </w:r>
    </w:p>
    <w:p>
      <w:pPr>
        <w:spacing w:line="108" w:lineRule="exact" w:before="0"/>
        <w:ind w:left="0" w:right="38" w:firstLine="0"/>
        <w:jc w:val="right"/>
        <w:rPr>
          <w:sz w:val="12"/>
        </w:rPr>
      </w:pPr>
      <w:r>
        <w:rPr/>
        <w:drawing>
          <wp:anchor distT="0" distB="0" distL="0" distR="0" allowOverlap="1" layoutInCell="1" locked="0" behindDoc="0" simplePos="0" relativeHeight="16206336">
            <wp:simplePos x="0" y="0"/>
            <wp:positionH relativeFrom="page">
              <wp:posOffset>2539834</wp:posOffset>
            </wp:positionH>
            <wp:positionV relativeFrom="paragraph">
              <wp:posOffset>30145</wp:posOffset>
            </wp:positionV>
            <wp:extent cx="55016" cy="6350"/>
            <wp:effectExtent l="0" t="0" r="0" b="0"/>
            <wp:wrapNone/>
            <wp:docPr id="161" name="image13.png"/>
            <wp:cNvGraphicFramePr>
              <a:graphicFrameLocks noChangeAspect="1"/>
            </wp:cNvGraphicFramePr>
            <a:graphic>
              <a:graphicData uri="http://schemas.openxmlformats.org/drawingml/2006/picture">
                <pic:pic>
                  <pic:nvPicPr>
                    <pic:cNvPr id="162" name="image13.png"/>
                    <pic:cNvPicPr/>
                  </pic:nvPicPr>
                  <pic:blipFill>
                    <a:blip r:embed="rId36" cstate="print"/>
                    <a:stretch>
                      <a:fillRect/>
                    </a:stretch>
                  </pic:blipFill>
                  <pic:spPr>
                    <a:xfrm>
                      <a:off x="0" y="0"/>
                      <a:ext cx="55016" cy="6350"/>
                    </a:xfrm>
                    <a:prstGeom prst="rect">
                      <a:avLst/>
                    </a:prstGeom>
                  </pic:spPr>
                </pic:pic>
              </a:graphicData>
            </a:graphic>
          </wp:anchor>
        </w:drawing>
      </w:r>
      <w:r>
        <w:rPr>
          <w:sz w:val="12"/>
        </w:rPr>
        <w:t>14</w:t>
      </w:r>
    </w:p>
    <w:p>
      <w:pPr>
        <w:spacing w:line="108" w:lineRule="exact" w:before="0"/>
        <w:ind w:left="0" w:right="38" w:firstLine="0"/>
        <w:jc w:val="right"/>
        <w:rPr>
          <w:sz w:val="12"/>
        </w:rPr>
      </w:pPr>
      <w:r>
        <w:rPr/>
        <w:drawing>
          <wp:anchor distT="0" distB="0" distL="0" distR="0" allowOverlap="1" layoutInCell="1" locked="0" behindDoc="0" simplePos="0" relativeHeight="16206848">
            <wp:simplePos x="0" y="0"/>
            <wp:positionH relativeFrom="page">
              <wp:posOffset>2539834</wp:posOffset>
            </wp:positionH>
            <wp:positionV relativeFrom="paragraph">
              <wp:posOffset>24670</wp:posOffset>
            </wp:positionV>
            <wp:extent cx="55016" cy="6350"/>
            <wp:effectExtent l="0" t="0" r="0" b="0"/>
            <wp:wrapNone/>
            <wp:docPr id="163" name="image12.png"/>
            <wp:cNvGraphicFramePr>
              <a:graphicFrameLocks noChangeAspect="1"/>
            </wp:cNvGraphicFramePr>
            <a:graphic>
              <a:graphicData uri="http://schemas.openxmlformats.org/drawingml/2006/picture">
                <pic:pic>
                  <pic:nvPicPr>
                    <pic:cNvPr id="164" name="image12.png"/>
                    <pic:cNvPicPr/>
                  </pic:nvPicPr>
                  <pic:blipFill>
                    <a:blip r:embed="rId35" cstate="print"/>
                    <a:stretch>
                      <a:fillRect/>
                    </a:stretch>
                  </pic:blipFill>
                  <pic:spPr>
                    <a:xfrm>
                      <a:off x="0" y="0"/>
                      <a:ext cx="55016" cy="6350"/>
                    </a:xfrm>
                    <a:prstGeom prst="rect">
                      <a:avLst/>
                    </a:prstGeom>
                  </pic:spPr>
                </pic:pic>
              </a:graphicData>
            </a:graphic>
          </wp:anchor>
        </w:drawing>
      </w:r>
      <w:r>
        <w:rPr>
          <w:sz w:val="12"/>
        </w:rPr>
        <w:t>12</w:t>
      </w:r>
    </w:p>
    <w:p>
      <w:pPr>
        <w:spacing w:line="120" w:lineRule="exact" w:before="0"/>
        <w:ind w:left="0" w:right="38" w:firstLine="0"/>
        <w:jc w:val="right"/>
        <w:rPr>
          <w:sz w:val="12"/>
        </w:rPr>
      </w:pPr>
      <w:r>
        <w:rPr/>
        <w:drawing>
          <wp:anchor distT="0" distB="0" distL="0" distR="0" allowOverlap="1" layoutInCell="1" locked="0" behindDoc="0" simplePos="0" relativeHeight="16207360">
            <wp:simplePos x="0" y="0"/>
            <wp:positionH relativeFrom="page">
              <wp:posOffset>2539834</wp:posOffset>
            </wp:positionH>
            <wp:positionV relativeFrom="paragraph">
              <wp:posOffset>34067</wp:posOffset>
            </wp:positionV>
            <wp:extent cx="55016" cy="6350"/>
            <wp:effectExtent l="0" t="0" r="0" b="0"/>
            <wp:wrapNone/>
            <wp:docPr id="165" name="image12.png"/>
            <wp:cNvGraphicFramePr>
              <a:graphicFrameLocks noChangeAspect="1"/>
            </wp:cNvGraphicFramePr>
            <a:graphic>
              <a:graphicData uri="http://schemas.openxmlformats.org/drawingml/2006/picture">
                <pic:pic>
                  <pic:nvPicPr>
                    <pic:cNvPr id="166" name="image12.png"/>
                    <pic:cNvPicPr/>
                  </pic:nvPicPr>
                  <pic:blipFill>
                    <a:blip r:embed="rId35" cstate="print"/>
                    <a:stretch>
                      <a:fillRect/>
                    </a:stretch>
                  </pic:blipFill>
                  <pic:spPr>
                    <a:xfrm>
                      <a:off x="0" y="0"/>
                      <a:ext cx="55016" cy="6350"/>
                    </a:xfrm>
                    <a:prstGeom prst="rect">
                      <a:avLst/>
                    </a:prstGeom>
                  </pic:spPr>
                </pic:pic>
              </a:graphicData>
            </a:graphic>
          </wp:anchor>
        </w:drawing>
      </w:r>
      <w:r>
        <w:rPr>
          <w:sz w:val="12"/>
        </w:rPr>
        <w:t>10</w:t>
      </w:r>
    </w:p>
    <w:p>
      <w:pPr>
        <w:pStyle w:val="BodyText"/>
        <w:spacing w:before="9"/>
        <w:rPr>
          <w:sz w:val="21"/>
        </w:rPr>
      </w:pPr>
      <w:r>
        <w:rPr/>
        <w:br w:type="column"/>
      </w:r>
      <w:r>
        <w:rPr>
          <w:sz w:val="21"/>
        </w:rPr>
      </w:r>
    </w:p>
    <w:p>
      <w:pPr>
        <w:spacing w:before="0"/>
        <w:ind w:left="233" w:right="0" w:firstLine="0"/>
        <w:jc w:val="left"/>
        <w:rPr>
          <w:sz w:val="24"/>
        </w:rPr>
      </w:pPr>
      <w:r>
        <w:rPr>
          <w:sz w:val="24"/>
        </w:rPr>
        <w:t>The average price of oil in Q2 was just above</w:t>
      </w:r>
    </w:p>
    <w:p>
      <w:pPr>
        <w:spacing w:line="242" w:lineRule="auto" w:before="4"/>
        <w:ind w:left="233" w:right="169" w:firstLine="0"/>
        <w:jc w:val="left"/>
        <w:rPr>
          <w:sz w:val="24"/>
        </w:rPr>
      </w:pPr>
      <w:r>
        <w:rPr>
          <w:sz w:val="24"/>
        </w:rPr>
        <w:t>$27 per barrel, around $4 per barrel higher than assumed at the time of the May </w:t>
      </w:r>
      <w:r>
        <w:rPr>
          <w:i/>
          <w:sz w:val="24"/>
        </w:rPr>
        <w:t>Report</w:t>
      </w:r>
      <w:r>
        <w:rPr>
          <w:sz w:val="24"/>
        </w:rPr>
        <w:t>. Oil prices are expected to fall back further and, consistent with futures prices, the MPC has assumed in its central projection that the price</w:t>
      </w:r>
    </w:p>
    <w:p>
      <w:pPr>
        <w:spacing w:after="0" w:line="242" w:lineRule="auto"/>
        <w:jc w:val="left"/>
        <w:rPr>
          <w:sz w:val="24"/>
        </w:rPr>
        <w:sectPr>
          <w:type w:val="continuous"/>
          <w:pgSz w:w="11900" w:h="16840"/>
          <w:pgMar w:top="1260" w:bottom="280" w:left="640" w:right="640"/>
          <w:cols w:num="3" w:equalWidth="0">
            <w:col w:w="1446" w:space="1209"/>
            <w:col w:w="1025" w:space="1066"/>
            <w:col w:w="5874"/>
          </w:cols>
        </w:sectPr>
      </w:pPr>
    </w:p>
    <w:p>
      <w:pPr>
        <w:tabs>
          <w:tab w:pos="2887" w:val="left" w:leader="none"/>
        </w:tabs>
        <w:spacing w:line="192" w:lineRule="auto" w:before="0"/>
        <w:ind w:left="234" w:right="0" w:firstLine="0"/>
        <w:jc w:val="left"/>
        <w:rPr>
          <w:sz w:val="12"/>
        </w:rPr>
      </w:pPr>
      <w:r>
        <w:rPr>
          <w:b/>
          <w:sz w:val="12"/>
          <w:u w:val="single"/>
        </w:rPr>
        <w:t>S</w:t>
      </w:r>
      <w:r>
        <w:rPr>
          <w:b/>
          <w:sz w:val="12"/>
        </w:rPr>
        <w:t>tandard deviation </w:t>
      </w:r>
      <w:r>
        <w:rPr>
          <w:sz w:val="12"/>
        </w:rPr>
        <w:t>(c)</w:t>
        <w:tab/>
        <w:t>$ per barr</w:t>
      </w:r>
      <w:r>
        <w:rPr>
          <w:sz w:val="12"/>
          <w:u w:val="single"/>
        </w:rPr>
        <w:t>e</w:t>
      </w:r>
      <w:r>
        <w:rPr>
          <w:sz w:val="12"/>
        </w:rPr>
        <w:t>l   </w:t>
      </w:r>
      <w:r>
        <w:rPr>
          <w:spacing w:val="18"/>
          <w:sz w:val="12"/>
        </w:rPr>
        <w:t> </w:t>
      </w:r>
      <w:r>
        <w:rPr>
          <w:position w:val="-7"/>
          <w:sz w:val="12"/>
        </w:rPr>
        <w:t>8</w:t>
      </w:r>
    </w:p>
    <w:p>
      <w:pPr>
        <w:spacing w:line="131" w:lineRule="exact" w:before="0"/>
        <w:ind w:left="0" w:right="316" w:firstLine="0"/>
        <w:jc w:val="right"/>
        <w:rPr>
          <w:sz w:val="12"/>
        </w:rPr>
      </w:pPr>
      <w:r>
        <w:rPr/>
        <w:drawing>
          <wp:anchor distT="0" distB="0" distL="0" distR="0" allowOverlap="1" layoutInCell="1" locked="0" behindDoc="0" simplePos="0" relativeHeight="16200192">
            <wp:simplePos x="0" y="0"/>
            <wp:positionH relativeFrom="page">
              <wp:posOffset>559244</wp:posOffset>
            </wp:positionH>
            <wp:positionV relativeFrom="paragraph">
              <wp:posOffset>42414</wp:posOffset>
            </wp:positionV>
            <wp:extent cx="55016" cy="6350"/>
            <wp:effectExtent l="0" t="0" r="0" b="0"/>
            <wp:wrapNone/>
            <wp:docPr id="167" name="image12.png"/>
            <wp:cNvGraphicFramePr>
              <a:graphicFrameLocks noChangeAspect="1"/>
            </wp:cNvGraphicFramePr>
            <a:graphic>
              <a:graphicData uri="http://schemas.openxmlformats.org/drawingml/2006/picture">
                <pic:pic>
                  <pic:nvPicPr>
                    <pic:cNvPr id="168" name="image12.png"/>
                    <pic:cNvPicPr/>
                  </pic:nvPicPr>
                  <pic:blipFill>
                    <a:blip r:embed="rId35" cstate="print"/>
                    <a:stretch>
                      <a:fillRect/>
                    </a:stretch>
                  </pic:blipFill>
                  <pic:spPr>
                    <a:xfrm>
                      <a:off x="0" y="0"/>
                      <a:ext cx="55016" cy="6350"/>
                    </a:xfrm>
                    <a:prstGeom prst="rect">
                      <a:avLst/>
                    </a:prstGeom>
                  </pic:spPr>
                </pic:pic>
              </a:graphicData>
            </a:graphic>
          </wp:anchor>
        </w:drawing>
      </w:r>
      <w:r>
        <w:rPr/>
        <w:drawing>
          <wp:anchor distT="0" distB="0" distL="0" distR="0" allowOverlap="1" layoutInCell="1" locked="0" behindDoc="0" simplePos="0" relativeHeight="16204288">
            <wp:simplePos x="0" y="0"/>
            <wp:positionH relativeFrom="page">
              <wp:posOffset>2539822</wp:posOffset>
            </wp:positionH>
            <wp:positionV relativeFrom="paragraph">
              <wp:posOffset>45068</wp:posOffset>
            </wp:positionV>
            <wp:extent cx="55029" cy="6350"/>
            <wp:effectExtent l="0" t="0" r="0" b="0"/>
            <wp:wrapNone/>
            <wp:docPr id="169" name="image12.png"/>
            <wp:cNvGraphicFramePr>
              <a:graphicFrameLocks noChangeAspect="1"/>
            </wp:cNvGraphicFramePr>
            <a:graphic>
              <a:graphicData uri="http://schemas.openxmlformats.org/drawingml/2006/picture">
                <pic:pic>
                  <pic:nvPicPr>
                    <pic:cNvPr id="170" name="image12.png"/>
                    <pic:cNvPicPr/>
                  </pic:nvPicPr>
                  <pic:blipFill>
                    <a:blip r:embed="rId35" cstate="print"/>
                    <a:stretch>
                      <a:fillRect/>
                    </a:stretch>
                  </pic:blipFill>
                  <pic:spPr>
                    <a:xfrm>
                      <a:off x="0" y="0"/>
                      <a:ext cx="55029" cy="6350"/>
                    </a:xfrm>
                    <a:prstGeom prst="rect">
                      <a:avLst/>
                    </a:prstGeom>
                  </pic:spPr>
                </pic:pic>
              </a:graphicData>
            </a:graphic>
          </wp:anchor>
        </w:drawing>
      </w:r>
      <w:r>
        <w:rPr>
          <w:sz w:val="12"/>
        </w:rPr>
        <w:t>7</w:t>
      </w:r>
    </w:p>
    <w:p>
      <w:pPr>
        <w:spacing w:line="123" w:lineRule="exact" w:before="0"/>
        <w:ind w:left="0" w:right="316" w:firstLine="0"/>
        <w:jc w:val="right"/>
        <w:rPr>
          <w:sz w:val="12"/>
        </w:rPr>
      </w:pPr>
      <w:r>
        <w:rPr/>
        <w:drawing>
          <wp:anchor distT="0" distB="0" distL="0" distR="0" allowOverlap="1" layoutInCell="1" locked="0" behindDoc="0" simplePos="0" relativeHeight="16197632">
            <wp:simplePos x="0" y="0"/>
            <wp:positionH relativeFrom="page">
              <wp:posOffset>559231</wp:posOffset>
            </wp:positionH>
            <wp:positionV relativeFrom="paragraph">
              <wp:posOffset>11533</wp:posOffset>
            </wp:positionV>
            <wp:extent cx="1934730" cy="263563"/>
            <wp:effectExtent l="0" t="0" r="0" b="0"/>
            <wp:wrapNone/>
            <wp:docPr id="171" name="image70.png"/>
            <wp:cNvGraphicFramePr>
              <a:graphicFrameLocks noChangeAspect="1"/>
            </wp:cNvGraphicFramePr>
            <a:graphic>
              <a:graphicData uri="http://schemas.openxmlformats.org/drawingml/2006/picture">
                <pic:pic>
                  <pic:nvPicPr>
                    <pic:cNvPr id="172" name="image70.png"/>
                    <pic:cNvPicPr/>
                  </pic:nvPicPr>
                  <pic:blipFill>
                    <a:blip r:embed="rId129" cstate="print"/>
                    <a:stretch>
                      <a:fillRect/>
                    </a:stretch>
                  </pic:blipFill>
                  <pic:spPr>
                    <a:xfrm>
                      <a:off x="0" y="0"/>
                      <a:ext cx="1934730" cy="263563"/>
                    </a:xfrm>
                    <a:prstGeom prst="rect">
                      <a:avLst/>
                    </a:prstGeom>
                  </pic:spPr>
                </pic:pic>
              </a:graphicData>
            </a:graphic>
          </wp:anchor>
        </w:drawing>
      </w:r>
      <w:r>
        <w:rPr/>
        <w:drawing>
          <wp:anchor distT="0" distB="0" distL="0" distR="0" allowOverlap="1" layoutInCell="1" locked="0" behindDoc="0" simplePos="0" relativeHeight="16203776">
            <wp:simplePos x="0" y="0"/>
            <wp:positionH relativeFrom="page">
              <wp:posOffset>2539834</wp:posOffset>
            </wp:positionH>
            <wp:positionV relativeFrom="paragraph">
              <wp:posOffset>41403</wp:posOffset>
            </wp:positionV>
            <wp:extent cx="55016" cy="6350"/>
            <wp:effectExtent l="0" t="0" r="0" b="0"/>
            <wp:wrapNone/>
            <wp:docPr id="173" name="image13.png"/>
            <wp:cNvGraphicFramePr>
              <a:graphicFrameLocks noChangeAspect="1"/>
            </wp:cNvGraphicFramePr>
            <a:graphic>
              <a:graphicData uri="http://schemas.openxmlformats.org/drawingml/2006/picture">
                <pic:pic>
                  <pic:nvPicPr>
                    <pic:cNvPr id="174" name="image13.png"/>
                    <pic:cNvPicPr/>
                  </pic:nvPicPr>
                  <pic:blipFill>
                    <a:blip r:embed="rId36" cstate="print"/>
                    <a:stretch>
                      <a:fillRect/>
                    </a:stretch>
                  </pic:blipFill>
                  <pic:spPr>
                    <a:xfrm>
                      <a:off x="0" y="0"/>
                      <a:ext cx="55016" cy="6350"/>
                    </a:xfrm>
                    <a:prstGeom prst="rect">
                      <a:avLst/>
                    </a:prstGeom>
                  </pic:spPr>
                </pic:pic>
              </a:graphicData>
            </a:graphic>
          </wp:anchor>
        </w:drawing>
      </w:r>
      <w:r>
        <w:rPr>
          <w:sz w:val="12"/>
        </w:rPr>
        <w:t>6</w:t>
      </w:r>
    </w:p>
    <w:p>
      <w:pPr>
        <w:spacing w:line="123" w:lineRule="exact" w:before="0"/>
        <w:ind w:left="0" w:right="316" w:firstLine="0"/>
        <w:jc w:val="right"/>
        <w:rPr>
          <w:sz w:val="12"/>
        </w:rPr>
      </w:pPr>
      <w:r>
        <w:rPr/>
        <w:drawing>
          <wp:anchor distT="0" distB="0" distL="0" distR="0" allowOverlap="1" layoutInCell="1" locked="0" behindDoc="0" simplePos="0" relativeHeight="16200704">
            <wp:simplePos x="0" y="0"/>
            <wp:positionH relativeFrom="page">
              <wp:posOffset>2539822</wp:posOffset>
            </wp:positionH>
            <wp:positionV relativeFrom="paragraph">
              <wp:posOffset>38989</wp:posOffset>
            </wp:positionV>
            <wp:extent cx="55029" cy="6350"/>
            <wp:effectExtent l="0" t="0" r="0" b="0"/>
            <wp:wrapNone/>
            <wp:docPr id="175" name="image12.png"/>
            <wp:cNvGraphicFramePr>
              <a:graphicFrameLocks noChangeAspect="1"/>
            </wp:cNvGraphicFramePr>
            <a:graphic>
              <a:graphicData uri="http://schemas.openxmlformats.org/drawingml/2006/picture">
                <pic:pic>
                  <pic:nvPicPr>
                    <pic:cNvPr id="176" name="image12.png"/>
                    <pic:cNvPicPr/>
                  </pic:nvPicPr>
                  <pic:blipFill>
                    <a:blip r:embed="rId35" cstate="print"/>
                    <a:stretch>
                      <a:fillRect/>
                    </a:stretch>
                  </pic:blipFill>
                  <pic:spPr>
                    <a:xfrm>
                      <a:off x="0" y="0"/>
                      <a:ext cx="55029" cy="6350"/>
                    </a:xfrm>
                    <a:prstGeom prst="rect">
                      <a:avLst/>
                    </a:prstGeom>
                  </pic:spPr>
                </pic:pic>
              </a:graphicData>
            </a:graphic>
          </wp:anchor>
        </w:drawing>
      </w:r>
      <w:r>
        <w:rPr>
          <w:sz w:val="12"/>
        </w:rPr>
        <w:t>5</w:t>
      </w:r>
    </w:p>
    <w:p>
      <w:pPr>
        <w:spacing w:line="123" w:lineRule="exact" w:before="0"/>
        <w:ind w:left="0" w:right="316" w:firstLine="0"/>
        <w:jc w:val="right"/>
        <w:rPr>
          <w:sz w:val="12"/>
        </w:rPr>
      </w:pPr>
      <w:r>
        <w:rPr/>
        <w:drawing>
          <wp:anchor distT="0" distB="0" distL="0" distR="0" allowOverlap="1" layoutInCell="1" locked="0" behindDoc="0" simplePos="0" relativeHeight="16201216">
            <wp:simplePos x="0" y="0"/>
            <wp:positionH relativeFrom="page">
              <wp:posOffset>2539822</wp:posOffset>
            </wp:positionH>
            <wp:positionV relativeFrom="paragraph">
              <wp:posOffset>43281</wp:posOffset>
            </wp:positionV>
            <wp:extent cx="55029" cy="6350"/>
            <wp:effectExtent l="0" t="0" r="0" b="0"/>
            <wp:wrapNone/>
            <wp:docPr id="177" name="image13.png"/>
            <wp:cNvGraphicFramePr>
              <a:graphicFrameLocks noChangeAspect="1"/>
            </wp:cNvGraphicFramePr>
            <a:graphic>
              <a:graphicData uri="http://schemas.openxmlformats.org/drawingml/2006/picture">
                <pic:pic>
                  <pic:nvPicPr>
                    <pic:cNvPr id="178" name="image13.png"/>
                    <pic:cNvPicPr/>
                  </pic:nvPicPr>
                  <pic:blipFill>
                    <a:blip r:embed="rId36" cstate="print"/>
                    <a:stretch>
                      <a:fillRect/>
                    </a:stretch>
                  </pic:blipFill>
                  <pic:spPr>
                    <a:xfrm>
                      <a:off x="0" y="0"/>
                      <a:ext cx="55029" cy="6350"/>
                    </a:xfrm>
                    <a:prstGeom prst="rect">
                      <a:avLst/>
                    </a:prstGeom>
                  </pic:spPr>
                </pic:pic>
              </a:graphicData>
            </a:graphic>
          </wp:anchor>
        </w:drawing>
      </w:r>
      <w:r>
        <w:rPr>
          <w:sz w:val="12"/>
        </w:rPr>
        <w:t>4</w:t>
      </w:r>
    </w:p>
    <w:p>
      <w:pPr>
        <w:spacing w:line="118" w:lineRule="exact" w:before="0"/>
        <w:ind w:left="0" w:right="316" w:firstLine="0"/>
        <w:jc w:val="right"/>
        <w:rPr>
          <w:sz w:val="12"/>
        </w:rPr>
      </w:pPr>
      <w:r>
        <w:rPr/>
        <w:drawing>
          <wp:anchor distT="0" distB="0" distL="0" distR="0" allowOverlap="1" layoutInCell="1" locked="0" behindDoc="0" simplePos="0" relativeHeight="16201728">
            <wp:simplePos x="0" y="0"/>
            <wp:positionH relativeFrom="page">
              <wp:posOffset>2539822</wp:posOffset>
            </wp:positionH>
            <wp:positionV relativeFrom="paragraph">
              <wp:posOffset>38021</wp:posOffset>
            </wp:positionV>
            <wp:extent cx="55029" cy="6350"/>
            <wp:effectExtent l="0" t="0" r="0" b="0"/>
            <wp:wrapNone/>
            <wp:docPr id="179" name="image12.png"/>
            <wp:cNvGraphicFramePr>
              <a:graphicFrameLocks noChangeAspect="1"/>
            </wp:cNvGraphicFramePr>
            <a:graphic>
              <a:graphicData uri="http://schemas.openxmlformats.org/drawingml/2006/picture">
                <pic:pic>
                  <pic:nvPicPr>
                    <pic:cNvPr id="180" name="image12.png"/>
                    <pic:cNvPicPr/>
                  </pic:nvPicPr>
                  <pic:blipFill>
                    <a:blip r:embed="rId35" cstate="print"/>
                    <a:stretch>
                      <a:fillRect/>
                    </a:stretch>
                  </pic:blipFill>
                  <pic:spPr>
                    <a:xfrm>
                      <a:off x="0" y="0"/>
                      <a:ext cx="55029" cy="6350"/>
                    </a:xfrm>
                    <a:prstGeom prst="rect">
                      <a:avLst/>
                    </a:prstGeom>
                  </pic:spPr>
                </pic:pic>
              </a:graphicData>
            </a:graphic>
          </wp:anchor>
        </w:drawing>
      </w:r>
      <w:r>
        <w:rPr>
          <w:sz w:val="12"/>
        </w:rPr>
        <w:t>3</w:t>
      </w:r>
    </w:p>
    <w:p>
      <w:pPr>
        <w:spacing w:line="123" w:lineRule="exact" w:before="0"/>
        <w:ind w:left="0" w:right="316" w:firstLine="0"/>
        <w:jc w:val="right"/>
        <w:rPr>
          <w:sz w:val="12"/>
        </w:rPr>
      </w:pPr>
      <w:r>
        <w:rPr/>
        <w:drawing>
          <wp:anchor distT="0" distB="0" distL="0" distR="0" allowOverlap="1" layoutInCell="1" locked="0" behindDoc="0" simplePos="0" relativeHeight="16198656">
            <wp:simplePos x="0" y="0"/>
            <wp:positionH relativeFrom="page">
              <wp:posOffset>559231</wp:posOffset>
            </wp:positionH>
            <wp:positionV relativeFrom="paragraph">
              <wp:posOffset>38451</wp:posOffset>
            </wp:positionV>
            <wp:extent cx="55029" cy="6350"/>
            <wp:effectExtent l="0" t="0" r="0" b="0"/>
            <wp:wrapNone/>
            <wp:docPr id="181" name="image13.png"/>
            <wp:cNvGraphicFramePr>
              <a:graphicFrameLocks noChangeAspect="1"/>
            </wp:cNvGraphicFramePr>
            <a:graphic>
              <a:graphicData uri="http://schemas.openxmlformats.org/drawingml/2006/picture">
                <pic:pic>
                  <pic:nvPicPr>
                    <pic:cNvPr id="182" name="image13.png"/>
                    <pic:cNvPicPr/>
                  </pic:nvPicPr>
                  <pic:blipFill>
                    <a:blip r:embed="rId36"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202240">
            <wp:simplePos x="0" y="0"/>
            <wp:positionH relativeFrom="page">
              <wp:posOffset>2539822</wp:posOffset>
            </wp:positionH>
            <wp:positionV relativeFrom="paragraph">
              <wp:posOffset>41092</wp:posOffset>
            </wp:positionV>
            <wp:extent cx="55029" cy="6350"/>
            <wp:effectExtent l="0" t="0" r="0" b="0"/>
            <wp:wrapNone/>
            <wp:docPr id="183" name="image12.png"/>
            <wp:cNvGraphicFramePr>
              <a:graphicFrameLocks noChangeAspect="1"/>
            </wp:cNvGraphicFramePr>
            <a:graphic>
              <a:graphicData uri="http://schemas.openxmlformats.org/drawingml/2006/picture">
                <pic:pic>
                  <pic:nvPicPr>
                    <pic:cNvPr id="184" name="image12.png"/>
                    <pic:cNvPicPr/>
                  </pic:nvPicPr>
                  <pic:blipFill>
                    <a:blip r:embed="rId35" cstate="print"/>
                    <a:stretch>
                      <a:fillRect/>
                    </a:stretch>
                  </pic:blipFill>
                  <pic:spPr>
                    <a:xfrm>
                      <a:off x="0" y="0"/>
                      <a:ext cx="55029" cy="6350"/>
                    </a:xfrm>
                    <a:prstGeom prst="rect">
                      <a:avLst/>
                    </a:prstGeom>
                  </pic:spPr>
                </pic:pic>
              </a:graphicData>
            </a:graphic>
          </wp:anchor>
        </w:drawing>
      </w:r>
      <w:r>
        <w:rPr>
          <w:sz w:val="12"/>
        </w:rPr>
        <w:t>2</w:t>
      </w:r>
    </w:p>
    <w:p>
      <w:pPr>
        <w:spacing w:line="123" w:lineRule="exact" w:before="0"/>
        <w:ind w:left="0" w:right="316" w:firstLine="0"/>
        <w:jc w:val="right"/>
        <w:rPr>
          <w:sz w:val="12"/>
        </w:rPr>
      </w:pPr>
      <w:r>
        <w:rPr/>
        <w:drawing>
          <wp:anchor distT="0" distB="0" distL="0" distR="0" allowOverlap="1" layoutInCell="1" locked="0" behindDoc="0" simplePos="0" relativeHeight="16199168">
            <wp:simplePos x="0" y="0"/>
            <wp:positionH relativeFrom="page">
              <wp:posOffset>559231</wp:posOffset>
            </wp:positionH>
            <wp:positionV relativeFrom="paragraph">
              <wp:posOffset>36659</wp:posOffset>
            </wp:positionV>
            <wp:extent cx="55029" cy="6350"/>
            <wp:effectExtent l="0" t="0" r="0" b="0"/>
            <wp:wrapNone/>
            <wp:docPr id="185" name="image13.png"/>
            <wp:cNvGraphicFramePr>
              <a:graphicFrameLocks noChangeAspect="1"/>
            </wp:cNvGraphicFramePr>
            <a:graphic>
              <a:graphicData uri="http://schemas.openxmlformats.org/drawingml/2006/picture">
                <pic:pic>
                  <pic:nvPicPr>
                    <pic:cNvPr id="186" name="image13.png"/>
                    <pic:cNvPicPr/>
                  </pic:nvPicPr>
                  <pic:blipFill>
                    <a:blip r:embed="rId36"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202752">
            <wp:simplePos x="0" y="0"/>
            <wp:positionH relativeFrom="page">
              <wp:posOffset>2539822</wp:posOffset>
            </wp:positionH>
            <wp:positionV relativeFrom="paragraph">
              <wp:posOffset>39313</wp:posOffset>
            </wp:positionV>
            <wp:extent cx="55029" cy="6350"/>
            <wp:effectExtent l="0" t="0" r="0" b="0"/>
            <wp:wrapNone/>
            <wp:docPr id="187" name="image12.png"/>
            <wp:cNvGraphicFramePr>
              <a:graphicFrameLocks noChangeAspect="1"/>
            </wp:cNvGraphicFramePr>
            <a:graphic>
              <a:graphicData uri="http://schemas.openxmlformats.org/drawingml/2006/picture">
                <pic:pic>
                  <pic:nvPicPr>
                    <pic:cNvPr id="188" name="image12.png"/>
                    <pic:cNvPicPr/>
                  </pic:nvPicPr>
                  <pic:blipFill>
                    <a:blip r:embed="rId35" cstate="print"/>
                    <a:stretch>
                      <a:fillRect/>
                    </a:stretch>
                  </pic:blipFill>
                  <pic:spPr>
                    <a:xfrm>
                      <a:off x="0" y="0"/>
                      <a:ext cx="55029" cy="6350"/>
                    </a:xfrm>
                    <a:prstGeom prst="rect">
                      <a:avLst/>
                    </a:prstGeom>
                  </pic:spPr>
                </pic:pic>
              </a:graphicData>
            </a:graphic>
          </wp:anchor>
        </w:drawing>
      </w:r>
      <w:r>
        <w:rPr>
          <w:sz w:val="12"/>
        </w:rPr>
        <w:t>1</w:t>
      </w:r>
    </w:p>
    <w:p>
      <w:pPr>
        <w:spacing w:line="128" w:lineRule="exact" w:before="0"/>
        <w:ind w:left="0" w:right="316" w:firstLine="0"/>
        <w:jc w:val="right"/>
        <w:rPr>
          <w:sz w:val="12"/>
        </w:rPr>
      </w:pPr>
      <w:r>
        <w:rPr/>
        <w:drawing>
          <wp:anchor distT="0" distB="0" distL="0" distR="0" allowOverlap="1" layoutInCell="1" locked="0" behindDoc="0" simplePos="0" relativeHeight="16199680">
            <wp:simplePos x="0" y="0"/>
            <wp:positionH relativeFrom="page">
              <wp:posOffset>559231</wp:posOffset>
            </wp:positionH>
            <wp:positionV relativeFrom="paragraph">
              <wp:posOffset>36543</wp:posOffset>
            </wp:positionV>
            <wp:extent cx="55029" cy="6350"/>
            <wp:effectExtent l="0" t="0" r="0" b="0"/>
            <wp:wrapNone/>
            <wp:docPr id="189" name="image12.png"/>
            <wp:cNvGraphicFramePr>
              <a:graphicFrameLocks noChangeAspect="1"/>
            </wp:cNvGraphicFramePr>
            <a:graphic>
              <a:graphicData uri="http://schemas.openxmlformats.org/drawingml/2006/picture">
                <pic:pic>
                  <pic:nvPicPr>
                    <pic:cNvPr id="190" name="image12.png"/>
                    <pic:cNvPicPr/>
                  </pic:nvPicPr>
                  <pic:blipFill>
                    <a:blip r:embed="rId35"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203264">
            <wp:simplePos x="0" y="0"/>
            <wp:positionH relativeFrom="page">
              <wp:posOffset>2539822</wp:posOffset>
            </wp:positionH>
            <wp:positionV relativeFrom="paragraph">
              <wp:posOffset>39185</wp:posOffset>
            </wp:positionV>
            <wp:extent cx="55029" cy="6350"/>
            <wp:effectExtent l="0" t="0" r="0" b="0"/>
            <wp:wrapNone/>
            <wp:docPr id="191" name="image12.png"/>
            <wp:cNvGraphicFramePr>
              <a:graphicFrameLocks noChangeAspect="1"/>
            </wp:cNvGraphicFramePr>
            <a:graphic>
              <a:graphicData uri="http://schemas.openxmlformats.org/drawingml/2006/picture">
                <pic:pic>
                  <pic:nvPicPr>
                    <pic:cNvPr id="192" name="image12.png"/>
                    <pic:cNvPicPr/>
                  </pic:nvPicPr>
                  <pic:blipFill>
                    <a:blip r:embed="rId35" cstate="print"/>
                    <a:stretch>
                      <a:fillRect/>
                    </a:stretch>
                  </pic:blipFill>
                  <pic:spPr>
                    <a:xfrm>
                      <a:off x="0" y="0"/>
                      <a:ext cx="55029" cy="6350"/>
                    </a:xfrm>
                    <a:prstGeom prst="rect">
                      <a:avLst/>
                    </a:prstGeom>
                  </pic:spPr>
                </pic:pic>
              </a:graphicData>
            </a:graphic>
          </wp:anchor>
        </w:drawing>
      </w:r>
      <w:r>
        <w:rPr>
          <w:sz w:val="12"/>
        </w:rPr>
        <w:t>0</w:t>
      </w:r>
    </w:p>
    <w:p>
      <w:pPr>
        <w:pStyle w:val="BodyText"/>
        <w:spacing w:before="7"/>
        <w:rPr>
          <w:sz w:val="11"/>
        </w:rPr>
      </w:pPr>
    </w:p>
    <w:p>
      <w:pPr>
        <w:tabs>
          <w:tab w:pos="3167" w:val="left" w:leader="none"/>
        </w:tabs>
        <w:spacing w:before="1"/>
        <w:ind w:left="234" w:right="0" w:firstLine="0"/>
        <w:jc w:val="left"/>
        <w:rPr>
          <w:sz w:val="12"/>
        </w:rPr>
      </w:pPr>
      <w:r>
        <w:rPr>
          <w:b/>
          <w:sz w:val="12"/>
          <w:u w:val="single"/>
        </w:rPr>
        <w:t>S</w:t>
      </w:r>
      <w:r>
        <w:rPr>
          <w:b/>
          <w:sz w:val="12"/>
        </w:rPr>
        <w:t>kew</w:t>
      </w:r>
      <w:r>
        <w:rPr>
          <w:b/>
          <w:spacing w:val="-1"/>
          <w:sz w:val="12"/>
        </w:rPr>
        <w:t> </w:t>
      </w:r>
      <w:r>
        <w:rPr>
          <w:sz w:val="12"/>
        </w:rPr>
        <w:t>(d)</w:t>
        <w:tab/>
        <w:t>Ind</w:t>
      </w:r>
      <w:r>
        <w:rPr>
          <w:sz w:val="12"/>
          <w:u w:val="single"/>
        </w:rPr>
        <w:t>ex</w:t>
      </w:r>
      <w:r>
        <w:rPr>
          <w:spacing w:val="18"/>
          <w:sz w:val="12"/>
        </w:rPr>
        <w:t> </w:t>
      </w:r>
      <w:r>
        <w:rPr>
          <w:position w:val="-6"/>
          <w:sz w:val="12"/>
        </w:rPr>
        <w:t>1.2</w:t>
      </w:r>
    </w:p>
    <w:p>
      <w:pPr>
        <w:spacing w:before="24"/>
        <w:ind w:left="0" w:right="316" w:firstLine="0"/>
        <w:jc w:val="right"/>
        <w:rPr>
          <w:sz w:val="12"/>
        </w:rPr>
      </w:pPr>
      <w:r>
        <w:rPr/>
        <w:pict>
          <v:group style="position:absolute;margin-left:44.034pt;margin-top:2.869962pt;width:160.3pt;height:42.2pt;mso-position-horizontal-relative:page;mso-position-vertical-relative:paragraph;z-index:16198144" coordorigin="881,57" coordsize="3206,844">
            <v:shape style="position:absolute;left:880;top:57;width:3206;height:844" type="#_x0000_t75" stroked="false">
              <v:imagedata r:id="rId130" o:title=""/>
            </v:shape>
            <v:shape style="position:absolute;left:3999;top:95;width:87;height:10" type="#_x0000_t75" stroked="false">
              <v:imagedata r:id="rId36" o:title=""/>
            </v:shape>
            <v:shape style="position:absolute;left:3999;top:245;width:87;height:10" type="#_x0000_t75" stroked="false">
              <v:imagedata r:id="rId36" o:title=""/>
            </v:shape>
            <v:shape style="position:absolute;left:3999;top:414;width:87;height:10" type="#_x0000_t75" stroked="false">
              <v:imagedata r:id="rId35" o:title=""/>
            </v:shape>
            <v:shape style="position:absolute;left:3999;top:571;width:87;height:10" type="#_x0000_t75" stroked="false">
              <v:imagedata r:id="rId35" o:title=""/>
            </v:shape>
            <v:shape style="position:absolute;left:3999;top:719;width:87;height:10" type="#_x0000_t75" stroked="false">
              <v:imagedata r:id="rId35" o:title=""/>
            </v:shape>
            <w10:wrap type="none"/>
          </v:group>
        </w:pict>
      </w:r>
      <w:r>
        <w:rPr>
          <w:sz w:val="12"/>
        </w:rPr>
        <w:t>1.0</w:t>
      </w:r>
    </w:p>
    <w:p>
      <w:pPr>
        <w:spacing w:before="19"/>
        <w:ind w:left="0" w:right="316" w:firstLine="0"/>
        <w:jc w:val="right"/>
        <w:rPr>
          <w:sz w:val="12"/>
        </w:rPr>
      </w:pPr>
      <w:r>
        <w:rPr>
          <w:sz w:val="12"/>
        </w:rPr>
        <w:t>0.8</w:t>
      </w:r>
    </w:p>
    <w:p>
      <w:pPr>
        <w:spacing w:before="27"/>
        <w:ind w:left="0" w:right="316" w:firstLine="0"/>
        <w:jc w:val="right"/>
        <w:rPr>
          <w:sz w:val="12"/>
        </w:rPr>
      </w:pPr>
      <w:r>
        <w:rPr>
          <w:sz w:val="12"/>
        </w:rPr>
        <w:t>0.6</w:t>
      </w:r>
    </w:p>
    <w:p>
      <w:pPr>
        <w:spacing w:before="17"/>
        <w:ind w:left="0" w:right="316" w:firstLine="0"/>
        <w:jc w:val="right"/>
        <w:rPr>
          <w:sz w:val="12"/>
        </w:rPr>
      </w:pPr>
      <w:r>
        <w:rPr>
          <w:sz w:val="12"/>
        </w:rPr>
        <w:t>0.4</w:t>
      </w:r>
    </w:p>
    <w:p>
      <w:pPr>
        <w:spacing w:before="20"/>
        <w:ind w:left="0" w:right="316" w:firstLine="0"/>
        <w:jc w:val="right"/>
        <w:rPr>
          <w:sz w:val="12"/>
        </w:rPr>
      </w:pPr>
      <w:r>
        <w:rPr>
          <w:sz w:val="12"/>
        </w:rPr>
        <w:t>0.2</w:t>
      </w:r>
    </w:p>
    <w:p>
      <w:pPr>
        <w:spacing w:before="17"/>
        <w:ind w:left="0" w:right="316" w:firstLine="0"/>
        <w:jc w:val="right"/>
        <w:rPr>
          <w:sz w:val="12"/>
        </w:rPr>
      </w:pPr>
      <w:r>
        <w:rPr>
          <w:sz w:val="12"/>
        </w:rPr>
        <w:t>0.0</w:t>
      </w:r>
    </w:p>
    <w:p>
      <w:pPr>
        <w:tabs>
          <w:tab w:pos="2951" w:val="right" w:leader="none"/>
        </w:tabs>
        <w:spacing w:line="283" w:lineRule="auto" w:before="16"/>
        <w:ind w:left="1067" w:right="702" w:hanging="750"/>
        <w:jc w:val="left"/>
        <w:rPr>
          <w:sz w:val="12"/>
        </w:rPr>
      </w:pPr>
      <w:r>
        <w:rPr>
          <w:sz w:val="12"/>
        </w:rPr>
        <w:t>Jan. Mar.  May  July  Sept.  Nov.  Jan.  Mar.  May  </w:t>
      </w:r>
      <w:r>
        <w:rPr>
          <w:spacing w:val="-3"/>
          <w:sz w:val="12"/>
        </w:rPr>
        <w:t>July  </w:t>
      </w:r>
      <w:r>
        <w:rPr>
          <w:sz w:val="12"/>
        </w:rPr>
        <w:t>1999</w:t>
        <w:tab/>
        <w:t>2000</w:t>
      </w:r>
    </w:p>
    <w:p>
      <w:pPr>
        <w:spacing w:before="58"/>
        <w:ind w:left="160" w:right="0" w:firstLine="0"/>
        <w:jc w:val="left"/>
        <w:rPr>
          <w:sz w:val="12"/>
        </w:rPr>
      </w:pPr>
      <w:r>
        <w:rPr>
          <w:sz w:val="12"/>
        </w:rPr>
        <w:t>Sources: NYMEX and Bank of England.</w:t>
      </w:r>
    </w:p>
    <w:p>
      <w:pPr>
        <w:pStyle w:val="BodyText"/>
        <w:spacing w:before="2"/>
        <w:rPr>
          <w:sz w:val="10"/>
        </w:rPr>
      </w:pPr>
    </w:p>
    <w:p>
      <w:pPr>
        <w:pStyle w:val="ListParagraph"/>
        <w:numPr>
          <w:ilvl w:val="0"/>
          <w:numId w:val="30"/>
        </w:numPr>
        <w:tabs>
          <w:tab w:pos="401" w:val="left" w:leader="none"/>
        </w:tabs>
        <w:spacing w:line="208" w:lineRule="auto" w:before="0" w:after="0"/>
        <w:ind w:left="400" w:right="384" w:hanging="240"/>
        <w:jc w:val="left"/>
        <w:rPr>
          <w:sz w:val="12"/>
        </w:rPr>
      </w:pPr>
      <w:r>
        <w:rPr>
          <w:sz w:val="12"/>
        </w:rPr>
        <w:t>Derived from option prices for </w:t>
      </w:r>
      <w:r>
        <w:rPr>
          <w:spacing w:val="-3"/>
          <w:sz w:val="12"/>
        </w:rPr>
        <w:t>West Texas </w:t>
      </w:r>
      <w:r>
        <w:rPr>
          <w:sz w:val="12"/>
        </w:rPr>
        <w:t>Intermediate oil (WTI). Prices for WTI tend on average to be around $1 per barrel higher than those for Brent crude</w:t>
      </w:r>
      <w:r>
        <w:rPr>
          <w:spacing w:val="-9"/>
          <w:sz w:val="12"/>
        </w:rPr>
        <w:t> </w:t>
      </w:r>
      <w:r>
        <w:rPr>
          <w:sz w:val="12"/>
        </w:rPr>
        <w:t>oil.</w:t>
      </w:r>
    </w:p>
    <w:p>
      <w:pPr>
        <w:pStyle w:val="ListParagraph"/>
        <w:numPr>
          <w:ilvl w:val="0"/>
          <w:numId w:val="30"/>
        </w:numPr>
        <w:tabs>
          <w:tab w:pos="401" w:val="left" w:leader="none"/>
        </w:tabs>
        <w:spacing w:line="114" w:lineRule="exact" w:before="0" w:after="0"/>
        <w:ind w:left="400" w:right="0" w:hanging="241"/>
        <w:jc w:val="left"/>
        <w:rPr>
          <w:sz w:val="12"/>
        </w:rPr>
      </w:pPr>
      <w:r>
        <w:rPr>
          <w:sz w:val="12"/>
        </w:rPr>
        <w:t>The expected price in six months’</w:t>
      </w:r>
      <w:r>
        <w:rPr>
          <w:spacing w:val="-17"/>
          <w:sz w:val="12"/>
        </w:rPr>
        <w:t> </w:t>
      </w:r>
      <w:r>
        <w:rPr>
          <w:sz w:val="12"/>
        </w:rPr>
        <w:t>time.</w:t>
      </w:r>
    </w:p>
    <w:p>
      <w:pPr>
        <w:pStyle w:val="ListParagraph"/>
        <w:numPr>
          <w:ilvl w:val="0"/>
          <w:numId w:val="30"/>
        </w:numPr>
        <w:tabs>
          <w:tab w:pos="401" w:val="left" w:leader="none"/>
        </w:tabs>
        <w:spacing w:line="208" w:lineRule="auto" w:before="5" w:after="0"/>
        <w:ind w:left="400" w:right="38" w:hanging="240"/>
        <w:jc w:val="left"/>
        <w:rPr>
          <w:sz w:val="12"/>
        </w:rPr>
      </w:pPr>
      <w:r>
        <w:rPr>
          <w:sz w:val="12"/>
        </w:rPr>
        <w:t>A</w:t>
      </w:r>
      <w:r>
        <w:rPr>
          <w:spacing w:val="-5"/>
          <w:sz w:val="12"/>
        </w:rPr>
        <w:t> </w:t>
      </w:r>
      <w:r>
        <w:rPr>
          <w:sz w:val="12"/>
        </w:rPr>
        <w:t>measure</w:t>
      </w:r>
      <w:r>
        <w:rPr>
          <w:spacing w:val="-4"/>
          <w:sz w:val="12"/>
        </w:rPr>
        <w:t> </w:t>
      </w:r>
      <w:r>
        <w:rPr>
          <w:sz w:val="12"/>
        </w:rPr>
        <w:t>of</w:t>
      </w:r>
      <w:r>
        <w:rPr>
          <w:spacing w:val="-4"/>
          <w:sz w:val="12"/>
        </w:rPr>
        <w:t> </w:t>
      </w:r>
      <w:r>
        <w:rPr>
          <w:sz w:val="12"/>
        </w:rPr>
        <w:t>the</w:t>
      </w:r>
      <w:r>
        <w:rPr>
          <w:spacing w:val="-4"/>
          <w:sz w:val="12"/>
        </w:rPr>
        <w:t> </w:t>
      </w:r>
      <w:r>
        <w:rPr>
          <w:sz w:val="12"/>
        </w:rPr>
        <w:t>spread</w:t>
      </w:r>
      <w:r>
        <w:rPr>
          <w:spacing w:val="-4"/>
          <w:sz w:val="12"/>
        </w:rPr>
        <w:t> </w:t>
      </w:r>
      <w:r>
        <w:rPr>
          <w:sz w:val="12"/>
        </w:rPr>
        <w:t>of</w:t>
      </w:r>
      <w:r>
        <w:rPr>
          <w:spacing w:val="-4"/>
          <w:sz w:val="12"/>
        </w:rPr>
        <w:t> </w:t>
      </w:r>
      <w:r>
        <w:rPr>
          <w:sz w:val="12"/>
        </w:rPr>
        <w:t>views</w:t>
      </w:r>
      <w:r>
        <w:rPr>
          <w:spacing w:val="-4"/>
          <w:sz w:val="12"/>
        </w:rPr>
        <w:t> </w:t>
      </w:r>
      <w:r>
        <w:rPr>
          <w:sz w:val="12"/>
        </w:rPr>
        <w:t>about</w:t>
      </w:r>
      <w:r>
        <w:rPr>
          <w:spacing w:val="-5"/>
          <w:sz w:val="12"/>
        </w:rPr>
        <w:t> </w:t>
      </w:r>
      <w:r>
        <w:rPr>
          <w:sz w:val="12"/>
        </w:rPr>
        <w:t>the</w:t>
      </w:r>
      <w:r>
        <w:rPr>
          <w:spacing w:val="-4"/>
          <w:sz w:val="12"/>
        </w:rPr>
        <w:t> </w:t>
      </w:r>
      <w:r>
        <w:rPr>
          <w:sz w:val="12"/>
        </w:rPr>
        <w:t>expected</w:t>
      </w:r>
      <w:r>
        <w:rPr>
          <w:spacing w:val="-4"/>
          <w:sz w:val="12"/>
        </w:rPr>
        <w:t> </w:t>
      </w:r>
      <w:r>
        <w:rPr>
          <w:sz w:val="12"/>
        </w:rPr>
        <w:t>price</w:t>
      </w:r>
      <w:r>
        <w:rPr>
          <w:spacing w:val="-4"/>
          <w:sz w:val="12"/>
        </w:rPr>
        <w:t> </w:t>
      </w:r>
      <w:r>
        <w:rPr>
          <w:sz w:val="12"/>
        </w:rPr>
        <w:t>in</w:t>
      </w:r>
      <w:r>
        <w:rPr>
          <w:spacing w:val="-4"/>
          <w:sz w:val="12"/>
        </w:rPr>
        <w:t> </w:t>
      </w:r>
      <w:r>
        <w:rPr>
          <w:sz w:val="12"/>
        </w:rPr>
        <w:t>six</w:t>
      </w:r>
      <w:r>
        <w:rPr>
          <w:spacing w:val="-4"/>
          <w:sz w:val="12"/>
        </w:rPr>
        <w:t> </w:t>
      </w:r>
      <w:r>
        <w:rPr>
          <w:sz w:val="12"/>
        </w:rPr>
        <w:t>months’ time.</w:t>
      </w:r>
    </w:p>
    <w:p>
      <w:pPr>
        <w:pStyle w:val="ListParagraph"/>
        <w:numPr>
          <w:ilvl w:val="0"/>
          <w:numId w:val="30"/>
        </w:numPr>
        <w:tabs>
          <w:tab w:pos="401" w:val="left" w:leader="none"/>
        </w:tabs>
        <w:spacing w:line="208" w:lineRule="auto" w:before="0" w:after="0"/>
        <w:ind w:left="400" w:right="229" w:hanging="240"/>
        <w:jc w:val="both"/>
        <w:rPr>
          <w:sz w:val="12"/>
        </w:rPr>
      </w:pPr>
      <w:r>
        <w:rPr>
          <w:sz w:val="12"/>
        </w:rPr>
        <w:t>Skewness</w:t>
      </w:r>
      <w:r>
        <w:rPr>
          <w:spacing w:val="-7"/>
          <w:sz w:val="12"/>
        </w:rPr>
        <w:t> </w:t>
      </w:r>
      <w:r>
        <w:rPr>
          <w:sz w:val="12"/>
        </w:rPr>
        <w:t>reflects</w:t>
      </w:r>
      <w:r>
        <w:rPr>
          <w:spacing w:val="-6"/>
          <w:sz w:val="12"/>
        </w:rPr>
        <w:t> </w:t>
      </w:r>
      <w:r>
        <w:rPr>
          <w:sz w:val="12"/>
        </w:rPr>
        <w:t>the</w:t>
      </w:r>
      <w:r>
        <w:rPr>
          <w:spacing w:val="-6"/>
          <w:sz w:val="12"/>
        </w:rPr>
        <w:t> </w:t>
      </w:r>
      <w:r>
        <w:rPr>
          <w:sz w:val="12"/>
        </w:rPr>
        <w:t>balance</w:t>
      </w:r>
      <w:r>
        <w:rPr>
          <w:spacing w:val="-6"/>
          <w:sz w:val="12"/>
        </w:rPr>
        <w:t> </w:t>
      </w:r>
      <w:r>
        <w:rPr>
          <w:sz w:val="12"/>
        </w:rPr>
        <w:t>of</w:t>
      </w:r>
      <w:r>
        <w:rPr>
          <w:spacing w:val="-6"/>
          <w:sz w:val="12"/>
        </w:rPr>
        <w:t> </w:t>
      </w:r>
      <w:r>
        <w:rPr>
          <w:sz w:val="12"/>
        </w:rPr>
        <w:t>risks</w:t>
      </w:r>
      <w:r>
        <w:rPr>
          <w:spacing w:val="-6"/>
          <w:sz w:val="12"/>
        </w:rPr>
        <w:t> </w:t>
      </w:r>
      <w:r>
        <w:rPr>
          <w:sz w:val="12"/>
        </w:rPr>
        <w:t>around</w:t>
      </w:r>
      <w:r>
        <w:rPr>
          <w:spacing w:val="-6"/>
          <w:sz w:val="12"/>
        </w:rPr>
        <w:t> </w:t>
      </w:r>
      <w:r>
        <w:rPr>
          <w:sz w:val="12"/>
        </w:rPr>
        <w:t>the</w:t>
      </w:r>
      <w:r>
        <w:rPr>
          <w:spacing w:val="-6"/>
          <w:sz w:val="12"/>
        </w:rPr>
        <w:t> </w:t>
      </w:r>
      <w:r>
        <w:rPr>
          <w:sz w:val="12"/>
        </w:rPr>
        <w:t>central,</w:t>
      </w:r>
      <w:r>
        <w:rPr>
          <w:spacing w:val="-6"/>
          <w:sz w:val="12"/>
        </w:rPr>
        <w:t> </w:t>
      </w:r>
      <w:r>
        <w:rPr>
          <w:sz w:val="12"/>
        </w:rPr>
        <w:t>most</w:t>
      </w:r>
      <w:r>
        <w:rPr>
          <w:spacing w:val="-6"/>
          <w:sz w:val="12"/>
        </w:rPr>
        <w:t> </w:t>
      </w:r>
      <w:r>
        <w:rPr>
          <w:sz w:val="12"/>
        </w:rPr>
        <w:t>likely, path for oil prices. A positive skew indicates that the balance of risks is on the</w:t>
      </w:r>
      <w:r>
        <w:rPr>
          <w:spacing w:val="-4"/>
          <w:sz w:val="12"/>
        </w:rPr>
        <w:t> </w:t>
      </w:r>
      <w:r>
        <w:rPr>
          <w:sz w:val="12"/>
        </w:rPr>
        <w:t>upside.</w:t>
      </w:r>
    </w:p>
    <w:p>
      <w:pPr>
        <w:spacing w:line="242" w:lineRule="auto" w:before="5"/>
        <w:ind w:left="160" w:right="215" w:firstLine="0"/>
        <w:jc w:val="left"/>
        <w:rPr>
          <w:sz w:val="24"/>
        </w:rPr>
      </w:pPr>
      <w:r>
        <w:rPr/>
        <w:br w:type="column"/>
      </w:r>
      <w:r>
        <w:rPr>
          <w:sz w:val="24"/>
        </w:rPr>
        <w:t>of oil declines to around $21 per barrel in two years’ time—somewhat higher than the profile assumed at the time of the May </w:t>
      </w:r>
      <w:r>
        <w:rPr>
          <w:i/>
          <w:sz w:val="24"/>
        </w:rPr>
        <w:t>Report</w:t>
      </w:r>
      <w:r>
        <w:rPr>
          <w:sz w:val="24"/>
        </w:rPr>
        <w:t>. Market </w:t>
      </w:r>
      <w:r>
        <w:rPr>
          <w:spacing w:val="-3"/>
          <w:sz w:val="24"/>
        </w:rPr>
        <w:t>uncertainty, </w:t>
      </w:r>
      <w:r>
        <w:rPr>
          <w:sz w:val="24"/>
        </w:rPr>
        <w:t>as measured</w:t>
      </w:r>
      <w:r>
        <w:rPr>
          <w:spacing w:val="-7"/>
          <w:sz w:val="24"/>
        </w:rPr>
        <w:t> </w:t>
      </w:r>
      <w:r>
        <w:rPr>
          <w:sz w:val="24"/>
        </w:rPr>
        <w:t>by</w:t>
      </w:r>
      <w:r>
        <w:rPr>
          <w:spacing w:val="-7"/>
          <w:sz w:val="24"/>
        </w:rPr>
        <w:t> </w:t>
      </w:r>
      <w:r>
        <w:rPr>
          <w:sz w:val="24"/>
        </w:rPr>
        <w:t>the</w:t>
      </w:r>
      <w:r>
        <w:rPr>
          <w:spacing w:val="-6"/>
          <w:sz w:val="24"/>
        </w:rPr>
        <w:t> </w:t>
      </w:r>
      <w:r>
        <w:rPr>
          <w:sz w:val="24"/>
        </w:rPr>
        <w:t>standard</w:t>
      </w:r>
      <w:r>
        <w:rPr>
          <w:spacing w:val="-7"/>
          <w:sz w:val="24"/>
        </w:rPr>
        <w:t> </w:t>
      </w:r>
      <w:r>
        <w:rPr>
          <w:sz w:val="24"/>
        </w:rPr>
        <w:t>deviation</w:t>
      </w:r>
      <w:r>
        <w:rPr>
          <w:spacing w:val="-7"/>
          <w:sz w:val="24"/>
        </w:rPr>
        <w:t> </w:t>
      </w:r>
      <w:r>
        <w:rPr>
          <w:sz w:val="24"/>
        </w:rPr>
        <w:t>of</w:t>
      </w:r>
      <w:r>
        <w:rPr>
          <w:spacing w:val="-7"/>
          <w:sz w:val="24"/>
        </w:rPr>
        <w:t> </w:t>
      </w:r>
      <w:r>
        <w:rPr>
          <w:sz w:val="24"/>
        </w:rPr>
        <w:t>the</w:t>
      </w:r>
      <w:r>
        <w:rPr>
          <w:spacing w:val="-6"/>
          <w:sz w:val="24"/>
        </w:rPr>
        <w:t> </w:t>
      </w:r>
      <w:r>
        <w:rPr>
          <w:sz w:val="24"/>
        </w:rPr>
        <w:t>distribution</w:t>
      </w:r>
      <w:r>
        <w:rPr>
          <w:spacing w:val="-7"/>
          <w:sz w:val="24"/>
        </w:rPr>
        <w:t> </w:t>
      </w:r>
      <w:r>
        <w:rPr>
          <w:sz w:val="24"/>
        </w:rPr>
        <w:t>of oil prices implied by futures contracts, has risen in recent months (see Chart 4.2). Although the market expects prices to be lower in six months’ time, the positive </w:t>
      </w:r>
      <w:r>
        <w:rPr>
          <w:spacing w:val="-3"/>
          <w:sz w:val="24"/>
        </w:rPr>
        <w:t>skew </w:t>
      </w:r>
      <w:r>
        <w:rPr>
          <w:sz w:val="24"/>
        </w:rPr>
        <w:t>suggests that the balance of risks lies on the</w:t>
      </w:r>
      <w:r>
        <w:rPr>
          <w:spacing w:val="-2"/>
          <w:sz w:val="24"/>
        </w:rPr>
        <w:t> </w:t>
      </w:r>
      <w:r>
        <w:rPr>
          <w:sz w:val="24"/>
        </w:rPr>
        <w:t>upside.</w:t>
      </w:r>
    </w:p>
    <w:p>
      <w:pPr>
        <w:pStyle w:val="BodyText"/>
        <w:spacing w:before="4"/>
        <w:rPr>
          <w:sz w:val="25"/>
        </w:rPr>
      </w:pPr>
    </w:p>
    <w:p>
      <w:pPr>
        <w:spacing w:line="242" w:lineRule="auto" w:before="0"/>
        <w:ind w:left="160" w:right="174" w:firstLine="0"/>
        <w:jc w:val="left"/>
        <w:rPr>
          <w:sz w:val="24"/>
        </w:rPr>
      </w:pPr>
      <w:r>
        <w:rPr>
          <w:sz w:val="24"/>
        </w:rPr>
        <w:t>Sterling non-oil commodity prices in Q2 were higher than expected at the time of the May </w:t>
      </w:r>
      <w:r>
        <w:rPr>
          <w:i/>
          <w:sz w:val="24"/>
        </w:rPr>
        <w:t>Report</w:t>
      </w:r>
      <w:r>
        <w:rPr>
          <w:sz w:val="24"/>
        </w:rPr>
        <w:t>. In the year to June the </w:t>
      </w:r>
      <w:r>
        <w:rPr>
          <w:spacing w:val="-3"/>
          <w:sz w:val="24"/>
        </w:rPr>
        <w:t>Bank’s </w:t>
      </w:r>
      <w:r>
        <w:rPr>
          <w:sz w:val="24"/>
        </w:rPr>
        <w:t>sterling non-oil commodity price index rose by 5.2%. The prices of hard commodities such as metals and non-oil fuels </w:t>
      </w:r>
      <w:r>
        <w:rPr>
          <w:spacing w:val="-3"/>
          <w:sz w:val="24"/>
        </w:rPr>
        <w:t>have </w:t>
      </w:r>
      <w:r>
        <w:rPr>
          <w:sz w:val="24"/>
        </w:rPr>
        <w:t>been quite variable</w:t>
      </w:r>
    </w:p>
    <w:p>
      <w:pPr>
        <w:spacing w:after="0" w:line="242" w:lineRule="auto"/>
        <w:jc w:val="left"/>
        <w:rPr>
          <w:sz w:val="24"/>
        </w:rPr>
        <w:sectPr>
          <w:type w:val="continuous"/>
          <w:pgSz w:w="11900" w:h="16840"/>
          <w:pgMar w:top="1260" w:bottom="280" w:left="640" w:right="640"/>
          <w:cols w:num="2" w:equalWidth="0">
            <w:col w:w="3958" w:space="862"/>
            <w:col w:w="5800"/>
          </w:cols>
        </w:sectPr>
      </w:pPr>
    </w:p>
    <w:p>
      <w:pPr>
        <w:pStyle w:val="BodyText"/>
        <w:rPr>
          <w:sz w:val="20"/>
        </w:rPr>
      </w:pPr>
    </w:p>
    <w:p>
      <w:pPr>
        <w:spacing w:after="0"/>
        <w:rPr>
          <w:sz w:val="20"/>
        </w:rPr>
        <w:sectPr>
          <w:headerReference w:type="even" r:id="rId131"/>
          <w:headerReference w:type="default" r:id="rId132"/>
          <w:pgSz w:w="11900" w:h="16840"/>
          <w:pgMar w:header="601" w:footer="592" w:top="800" w:bottom="800" w:left="640" w:right="640"/>
        </w:sectPr>
      </w:pPr>
    </w:p>
    <w:p>
      <w:pPr>
        <w:pStyle w:val="BodyText"/>
        <w:spacing w:before="3"/>
        <w:rPr>
          <w:sz w:val="19"/>
        </w:rPr>
      </w:pPr>
    </w:p>
    <w:p>
      <w:pPr>
        <w:pStyle w:val="Heading6"/>
        <w:spacing w:before="0"/>
        <w:ind w:left="170"/>
      </w:pPr>
      <w:bookmarkStart w:name="Import prices and the exchange rate" w:id="57"/>
      <w:bookmarkEnd w:id="57"/>
      <w:r>
        <w:rPr>
          <w:b w:val="0"/>
        </w:rPr>
      </w:r>
      <w:bookmarkStart w:name="Costs and prices in manufacturing" w:id="58"/>
      <w:bookmarkEnd w:id="58"/>
      <w:r>
        <w:rPr>
          <w:b w:val="0"/>
        </w:rPr>
      </w:r>
      <w:bookmarkStart w:name="_bookmark22" w:id="59"/>
      <w:bookmarkEnd w:id="59"/>
      <w:r>
        <w:rPr>
          <w:b w:val="0"/>
        </w:rPr>
      </w:r>
      <w:r>
        <w:rPr>
          <w:color w:val="0092C7"/>
        </w:rPr>
        <w:t>Chart 4.3</w:t>
      </w:r>
    </w:p>
    <w:p>
      <w:pPr>
        <w:pStyle w:val="Heading6"/>
        <w:spacing w:line="249" w:lineRule="auto"/>
        <w:ind w:left="170"/>
        <w:rPr>
          <w:b w:val="0"/>
          <w:sz w:val="12"/>
        </w:rPr>
      </w:pPr>
      <w:r>
        <w:rPr>
          <w:color w:val="0092C7"/>
        </w:rPr>
        <w:t>Bank’s sterling non-oil commodity price index</w:t>
      </w:r>
      <w:r>
        <w:rPr>
          <w:b w:val="0"/>
          <w:position w:val="4"/>
          <w:sz w:val="12"/>
        </w:rPr>
        <w:t>(a)</w:t>
      </w:r>
    </w:p>
    <w:p>
      <w:pPr>
        <w:spacing w:line="116" w:lineRule="exact" w:before="72"/>
        <w:ind w:left="1651" w:right="0" w:firstLine="0"/>
        <w:jc w:val="left"/>
        <w:rPr>
          <w:sz w:val="12"/>
        </w:rPr>
      </w:pPr>
      <w:r>
        <w:rPr>
          <w:sz w:val="12"/>
        </w:rPr>
        <w:t>Percentage changes on a year earlier</w:t>
      </w:r>
    </w:p>
    <w:p>
      <w:pPr>
        <w:spacing w:line="116" w:lineRule="exact" w:before="0"/>
        <w:ind w:left="3452" w:right="0" w:firstLine="0"/>
        <w:jc w:val="left"/>
        <w:rPr>
          <w:sz w:val="12"/>
        </w:rPr>
      </w:pPr>
      <w:r>
        <w:rPr/>
        <w:pict>
          <v:line style="position:absolute;mso-position-horizontal-relative:page;mso-position-vertical-relative:paragraph;z-index:16215040" from="41.387001pt,2.773376pt" to="45.719001pt,2.773376pt" stroked="true" strokeweight=".5pt" strokecolor="#000000">
            <v:stroke dashstyle="solid"/>
            <w10:wrap type="none"/>
          </v:line>
        </w:pict>
      </w:r>
      <w:r>
        <w:rPr/>
        <w:pict>
          <v:line style="position:absolute;mso-position-horizontal-relative:page;mso-position-vertical-relative:paragraph;z-index:16220160" from="197.929993pt,2.773376pt" to="202.261993pt,2.773376pt" stroked="true" strokeweight=".5pt" strokecolor="#000000">
            <v:stroke dashstyle="solid"/>
            <w10:wrap type="none"/>
          </v:line>
        </w:pict>
      </w:r>
      <w:r>
        <w:rPr>
          <w:sz w:val="12"/>
        </w:rPr>
        <w:t>25</w:t>
      </w:r>
    </w:p>
    <w:p>
      <w:pPr>
        <w:pStyle w:val="BodyText"/>
        <w:spacing w:before="3"/>
        <w:rPr>
          <w:sz w:val="16"/>
        </w:rPr>
      </w:pPr>
    </w:p>
    <w:p>
      <w:pPr>
        <w:spacing w:before="0"/>
        <w:ind w:left="0" w:right="129" w:firstLine="0"/>
        <w:jc w:val="right"/>
        <w:rPr>
          <w:sz w:val="12"/>
        </w:rPr>
      </w:pPr>
      <w:r>
        <w:rPr/>
        <w:pict>
          <v:group style="position:absolute;margin-left:49.5pt;margin-top:-1.90094pt;width:145.25pt;height:115.75pt;mso-position-horizontal-relative:page;mso-position-vertical-relative:paragraph;z-index:-23087104" coordorigin="990,-38" coordsize="2905,2315">
            <v:shape style="position:absolute;left:1000;top:349;width:1323;height:1918" coordorigin="1000,349" coordsize="1323,1918" path="m1000,434l1040,349m1040,349l1093,399m1093,399l1133,537m1133,537l1173,777m1173,777l1225,1049m1225,1049l1265,1034m1265,1034l1305,947m1305,947l1355,914m1355,914l1398,742m1398,742l1438,914m1438,914l1488,999m1488,999l1530,1102m1530,1102l1570,1239m1570,1239l1620,1272m1620,1272l1663,1289m1663,1289l1703,1374m1703,1374l1753,1137m1753,1137l1795,1239m1795,1239l1835,1547m1835,1547l1885,1769m1885,1769l1925,1854m1925,1854l1968,1837m1968,1837l2018,1872m2018,1872l2058,1889m2058,1889l2100,2044m2100,2044l2150,2059m2150,2059l2190,2267m2190,2267l2233,2197m2233,2197l2283,2044m2283,2044l2323,2009e" filled="false" stroked="true" strokeweight="1pt" strokecolor="#f5b37a">
              <v:path arrowok="t"/>
              <v:stroke dashstyle="solid"/>
            </v:shape>
            <v:line style="position:absolute" from="2313,2011" to="2375,2011" stroked="true" strokeweight="1.125pt" strokecolor="#f5b37a">
              <v:stroke dashstyle="solid"/>
            </v:line>
            <v:shape style="position:absolute;left:2365;top:1374;width:803;height:805" coordorigin="2365,1374" coordsize="803,805" path="m2365,2009l2415,1939m2415,1939l2455,1974m2455,1974l2508,2044m2508,2044l2588,2179m2588,2179l2638,2129m2638,2129l2680,2147m2680,2147l2720,1924m2720,1924l2770,1822m2770,1822l2813,1872m2813,1872l2853,1787m2853,1787l2903,1822m2903,1822l2945,2027m2945,2027l2985,1854m2985,1854l3035,1649m3035,1649l3078,1582m3078,1582l3118,1512m3118,1512l3168,1374e" filled="false" stroked="true" strokeweight="1pt" strokecolor="#f5b37a">
              <v:path arrowok="t"/>
              <v:stroke dashstyle="solid"/>
            </v:shape>
            <v:line style="position:absolute" from="3158,1376" to="3218,1376" stroked="true" strokeweight="1.125pt" strokecolor="#f5b37a">
              <v:stroke dashstyle="solid"/>
            </v:line>
            <v:shape style="position:absolute;left:3207;top:1374;width:663;height:583" coordorigin="3208,1374" coordsize="663,583" path="m3208,1374l3250,1479m3250,1479l3300,1667m3300,1667l3340,1889m3340,1889l3383,1854m3383,1854l3433,1684m3433,1684l3473,1597m3473,1597l3515,1717m3515,1717l3565,1734m3565,1734l3605,1837m3605,1837l3648,1854m3648,1854l3698,1957m3698,1957l3738,1822m3738,1822l3778,1804m3778,1804l3830,1684m3830,1684l3870,1462e" filled="false" stroked="true" strokeweight="1pt" strokecolor="#f5b37a">
              <v:path arrowok="t"/>
              <v:stroke dashstyle="solid"/>
            </v:shape>
            <v:line style="position:absolute" from="1000,897" to="1040,964" stroked="true" strokeweight="1pt" strokecolor="#610e7a">
              <v:stroke dashstyle="solid"/>
            </v:line>
            <v:line style="position:absolute" from="1030,966" to="1103,966" stroked="true" strokeweight="1.125pt" strokecolor="#610e7a">
              <v:stroke dashstyle="solid"/>
            </v:line>
            <v:shape style="position:absolute;left:1092;top:861;width:1190;height:873" coordorigin="1093,862" coordsize="1190,873" path="m1093,964l1133,1017m1133,1017l1173,879m1173,879l1225,947m1225,947l1265,1084m1265,1084l1305,1017m1305,1017l1355,982m1355,982l1398,1049m1398,1049l1438,1152m1438,1152l1488,1034m1488,1034l1530,1102m1530,1102l1570,1137m1570,1137l1620,929m1620,929l1663,862m1663,862l1703,1187m1703,1187l1753,1342m1753,1342l1795,1289m1795,1289l1835,1239m1835,1239l1885,1169m1885,1169l1925,1049m1925,1049l1968,1222m1968,1222l2018,1257m2018,1257l2058,1222m2058,1222l2100,1272m2100,1272l2150,1479m2150,1479l2190,1734m2190,1734l2233,1582m2233,1582l2283,1462e" filled="false" stroked="true" strokeweight="1pt" strokecolor="#610e7a">
              <v:path arrowok="t"/>
              <v:stroke dashstyle="solid"/>
            </v:shape>
            <v:line style="position:absolute" from="2273,1463" to="2333,1463" stroked="true" strokeweight="1.125pt" strokecolor="#610e7a">
              <v:stroke dashstyle="solid"/>
            </v:line>
            <v:shape style="position:absolute;left:2322;top:1444;width:133;height:258" coordorigin="2323,1444" coordsize="133,258" path="m2323,1462l2365,1444m2365,1444l2415,1649m2415,1649l2455,1702e" filled="false" stroked="true" strokeweight="1pt" strokecolor="#610e7a">
              <v:path arrowok="t"/>
              <v:stroke dashstyle="solid"/>
            </v:shape>
            <v:line style="position:absolute" from="2445,1703" to="2518,1703" stroked="true" strokeweight="1.125pt" strokecolor="#610e7a">
              <v:stroke dashstyle="solid"/>
            </v:line>
            <v:shape style="position:absolute;left:2507;top:-29;width:1363;height:2158" coordorigin="2508,-28" coordsize="1363,2158" path="m2508,1702l2548,1872m2548,1872l2588,2059m2588,2059l2638,2077m2638,2077l2680,2059m2680,2059l2720,1907m2720,1907l2770,1939m2770,1939l2813,2044m2813,2044l2853,2059m2853,2059l2903,2129m2903,2129l2945,1957m2945,1957l2985,2027m2985,2027l3035,1992m3035,1992l3078,1974m3078,1974l3118,1717m3118,1717l3168,1684m3168,1684l3208,1462m3208,1462l3250,1289m3250,1289l3300,1324m3300,1324l3340,1137m3340,1137l3383,812m3383,812l3433,759m3433,759l3473,692m3473,692l3515,639m3515,639l3565,349m3565,349l3605,109m3605,109l3648,229m3648,229l3698,-28m3698,-28l3738,177m3738,177l3778,812m3778,812l3830,434m3830,434l3870,382e" filled="false" stroked="true" strokeweight="1pt" strokecolor="#610e7a">
              <v:path arrowok="t"/>
              <v:stroke dashstyle="solid"/>
            </v:shape>
            <v:shape style="position:absolute;left:2366;top:204;width:1160;height:134" type="#_x0000_t202" filled="false" stroked="false">
              <v:textbox inset="0,0,0,0">
                <w:txbxContent>
                  <w:p>
                    <w:pPr>
                      <w:spacing w:line="133" w:lineRule="exact" w:before="0"/>
                      <w:ind w:left="0" w:right="0" w:firstLine="0"/>
                      <w:jc w:val="left"/>
                      <w:rPr>
                        <w:sz w:val="12"/>
                      </w:rPr>
                    </w:pPr>
                    <w:r>
                      <w:rPr>
                        <w:sz w:val="12"/>
                      </w:rPr>
                      <w:t>‘Hard’ commodities (b)</w:t>
                    </w:r>
                  </w:p>
                </w:txbxContent>
              </v:textbox>
              <w10:wrap type="none"/>
            </v:shape>
            <v:shape style="position:absolute;left:994;top:1089;width:2901;height:178" type="#_x0000_t202" filled="false" stroked="false">
              <v:textbox inset="0,0,0,0">
                <w:txbxContent>
                  <w:p>
                    <w:pPr>
                      <w:tabs>
                        <w:tab w:pos="2879" w:val="left" w:leader="none"/>
                      </w:tabs>
                      <w:spacing w:line="178" w:lineRule="exact" w:before="0"/>
                      <w:ind w:left="0" w:right="0" w:firstLine="0"/>
                      <w:jc w:val="left"/>
                      <w:rPr>
                        <w:sz w:val="16"/>
                      </w:rPr>
                    </w:pPr>
                    <w:r>
                      <w:rPr>
                        <w:sz w:val="16"/>
                        <w:u w:val="single"/>
                      </w:rPr>
                      <w:t> </w:t>
                      <w:tab/>
                    </w:r>
                  </w:p>
                </w:txbxContent>
              </v:textbox>
              <w10:wrap type="none"/>
            </v:shape>
            <w10:wrap type="none"/>
          </v:group>
        </w:pict>
      </w:r>
      <w:r>
        <w:rPr/>
        <w:pict>
          <v:line style="position:absolute;mso-position-horizontal-relative:page;mso-position-vertical-relative:paragraph;z-index:16215552" from="41.387001pt,3.84906pt" to="45.719001pt,3.84906pt" stroked="true" strokeweight=".5pt" strokecolor="#000000">
            <v:stroke dashstyle="solid"/>
            <w10:wrap type="none"/>
          </v:line>
        </w:pict>
      </w:r>
      <w:r>
        <w:rPr/>
        <w:pict>
          <v:line style="position:absolute;mso-position-horizontal-relative:page;mso-position-vertical-relative:paragraph;z-index:16220672" from="197.929993pt,3.84906pt" to="202.261993pt,3.84906pt" stroked="true" strokeweight=".5pt" strokecolor="#000000">
            <v:stroke dashstyle="solid"/>
            <w10:wrap type="none"/>
          </v:line>
        </w:pict>
      </w:r>
      <w:r>
        <w:rPr>
          <w:sz w:val="12"/>
        </w:rPr>
        <w:t>20</w:t>
      </w:r>
    </w:p>
    <w:p>
      <w:pPr>
        <w:pStyle w:val="BodyText"/>
        <w:spacing w:before="8"/>
        <w:rPr>
          <w:sz w:val="14"/>
        </w:rPr>
      </w:pPr>
    </w:p>
    <w:p>
      <w:pPr>
        <w:spacing w:before="0"/>
        <w:ind w:left="0" w:right="129" w:firstLine="0"/>
        <w:jc w:val="right"/>
        <w:rPr>
          <w:sz w:val="12"/>
        </w:rPr>
      </w:pPr>
      <w:r>
        <w:rPr/>
        <w:pict>
          <v:line style="position:absolute;mso-position-horizontal-relative:page;mso-position-vertical-relative:paragraph;z-index:16211456" from="41.387001pt,3.84906pt" to="45.719001pt,3.84906pt" stroked="true" strokeweight=".5pt" strokecolor="#000000">
            <v:stroke dashstyle="solid"/>
            <w10:wrap type="none"/>
          </v:line>
        </w:pict>
      </w:r>
      <w:r>
        <w:rPr/>
        <w:pict>
          <v:line style="position:absolute;mso-position-horizontal-relative:page;mso-position-vertical-relative:paragraph;z-index:16216576" from="197.929993pt,3.84906pt" to="202.261993pt,3.84906pt" stroked="true" strokeweight=".5pt" strokecolor="#000000">
            <v:stroke dashstyle="solid"/>
            <w10:wrap type="none"/>
          </v:line>
        </w:pict>
      </w:r>
      <w:r>
        <w:rPr>
          <w:sz w:val="12"/>
        </w:rPr>
        <w:t>15</w:t>
      </w:r>
    </w:p>
    <w:p>
      <w:pPr>
        <w:pStyle w:val="BodyText"/>
        <w:spacing w:before="6"/>
        <w:rPr>
          <w:sz w:val="16"/>
        </w:rPr>
      </w:pPr>
    </w:p>
    <w:p>
      <w:pPr>
        <w:spacing w:before="0"/>
        <w:ind w:left="0" w:right="129" w:firstLine="0"/>
        <w:jc w:val="right"/>
        <w:rPr>
          <w:sz w:val="12"/>
        </w:rPr>
      </w:pPr>
      <w:r>
        <w:rPr/>
        <w:pict>
          <v:line style="position:absolute;mso-position-horizontal-relative:page;mso-position-vertical-relative:paragraph;z-index:16211968" from="41.387001pt,3.723877pt" to="45.719001pt,3.723877pt" stroked="true" strokeweight=".5pt" strokecolor="#000000">
            <v:stroke dashstyle="solid"/>
            <w10:wrap type="none"/>
          </v:line>
        </w:pict>
      </w:r>
      <w:r>
        <w:rPr/>
        <w:pict>
          <v:line style="position:absolute;mso-position-horizontal-relative:page;mso-position-vertical-relative:paragraph;z-index:16217088" from="197.929993pt,3.694877pt" to="202.261993pt,3.694877pt" stroked="true" strokeweight=".5pt" strokecolor="#000000">
            <v:stroke dashstyle="solid"/>
            <w10:wrap type="none"/>
          </v:line>
        </w:pict>
      </w:r>
      <w:r>
        <w:rPr>
          <w:sz w:val="12"/>
        </w:rPr>
        <w:t>10</w:t>
      </w:r>
    </w:p>
    <w:p>
      <w:pPr>
        <w:pStyle w:val="BodyText"/>
        <w:spacing w:before="3"/>
        <w:rPr>
          <w:sz w:val="16"/>
        </w:rPr>
      </w:pPr>
    </w:p>
    <w:p>
      <w:pPr>
        <w:spacing w:line="131" w:lineRule="exact" w:before="0"/>
        <w:ind w:left="3512" w:right="0" w:firstLine="0"/>
        <w:jc w:val="left"/>
        <w:rPr>
          <w:sz w:val="12"/>
        </w:rPr>
      </w:pPr>
      <w:r>
        <w:rPr/>
        <w:pict>
          <v:line style="position:absolute;mso-position-horizontal-relative:page;mso-position-vertical-relative:paragraph;z-index:16212480" from="41.387001pt,3.84906pt" to="45.719001pt,3.84906pt" stroked="true" strokeweight=".5pt" strokecolor="#000000">
            <v:stroke dashstyle="solid"/>
            <w10:wrap type="none"/>
          </v:line>
        </w:pict>
      </w:r>
      <w:r>
        <w:rPr/>
        <w:pict>
          <v:line style="position:absolute;mso-position-horizontal-relative:page;mso-position-vertical-relative:paragraph;z-index:16217600" from="197.929993pt,3.82006pt" to="202.261993pt,3.82006pt" stroked="true" strokeweight=".5pt" strokecolor="#000000">
            <v:stroke dashstyle="solid"/>
            <w10:wrap type="none"/>
          </v:line>
        </w:pict>
      </w:r>
      <w:r>
        <w:rPr>
          <w:sz w:val="12"/>
        </w:rPr>
        <w:t>5</w:t>
      </w:r>
    </w:p>
    <w:p>
      <w:pPr>
        <w:spacing w:line="177" w:lineRule="exact" w:before="0"/>
        <w:ind w:left="3318" w:right="0" w:firstLine="0"/>
        <w:jc w:val="left"/>
        <w:rPr>
          <w:sz w:val="16"/>
        </w:rPr>
      </w:pPr>
      <w:r>
        <w:rPr>
          <w:sz w:val="16"/>
          <w:u w:val="single"/>
        </w:rPr>
        <w:t>  </w:t>
      </w:r>
      <w:r>
        <w:rPr>
          <w:sz w:val="16"/>
        </w:rPr>
        <w:t>+</w:t>
      </w:r>
    </w:p>
    <w:p>
      <w:pPr>
        <w:spacing w:line="107" w:lineRule="exact" w:before="0"/>
        <w:ind w:left="3512" w:right="0" w:firstLine="0"/>
        <w:jc w:val="left"/>
        <w:rPr>
          <w:sz w:val="12"/>
        </w:rPr>
      </w:pPr>
      <w:r>
        <w:rPr/>
        <w:pict>
          <v:line style="position:absolute;mso-position-horizontal-relative:page;mso-position-vertical-relative:paragraph;z-index:16216064" from="41.387001pt,3.84906pt" to="45.719001pt,3.84906pt" stroked="true" strokeweight=".5pt" strokecolor="#000000">
            <v:stroke dashstyle="solid"/>
            <w10:wrap type="none"/>
          </v:line>
        </w:pict>
      </w:r>
      <w:r>
        <w:rPr>
          <w:sz w:val="12"/>
        </w:rPr>
        <w:t>0</w:t>
      </w:r>
    </w:p>
    <w:p>
      <w:pPr>
        <w:spacing w:line="153" w:lineRule="exact" w:before="0"/>
        <w:ind w:left="3412" w:right="0" w:firstLine="0"/>
        <w:jc w:val="left"/>
        <w:rPr>
          <w:sz w:val="16"/>
        </w:rPr>
      </w:pPr>
      <w:r>
        <w:rPr>
          <w:sz w:val="16"/>
        </w:rPr>
        <w:t>_</w:t>
      </w:r>
    </w:p>
    <w:p>
      <w:pPr>
        <w:spacing w:before="65"/>
        <w:ind w:left="0" w:right="129" w:firstLine="0"/>
        <w:jc w:val="right"/>
        <w:rPr>
          <w:sz w:val="12"/>
        </w:rPr>
      </w:pPr>
      <w:r>
        <w:rPr/>
        <w:pict>
          <v:line style="position:absolute;mso-position-horizontal-relative:page;mso-position-vertical-relative:paragraph;z-index:16212992" from="41.387001pt,7.099915pt" to="45.719001pt,7.099915pt" stroked="true" strokeweight=".5pt" strokecolor="#000000">
            <v:stroke dashstyle="solid"/>
            <w10:wrap type="none"/>
          </v:line>
        </w:pict>
      </w:r>
      <w:r>
        <w:rPr/>
        <w:pict>
          <v:line style="position:absolute;mso-position-horizontal-relative:page;mso-position-vertical-relative:paragraph;z-index:16218112" from="197.929993pt,7.070915pt" to="202.261993pt,7.070915pt" stroked="true" strokeweight=".5pt" strokecolor="#000000">
            <v:stroke dashstyle="solid"/>
            <w10:wrap type="none"/>
          </v:line>
        </w:pict>
      </w:r>
      <w:r>
        <w:rPr>
          <w:sz w:val="12"/>
        </w:rPr>
        <w:t>5</w:t>
      </w:r>
    </w:p>
    <w:p>
      <w:pPr>
        <w:pStyle w:val="BodyText"/>
        <w:spacing w:before="3"/>
        <w:rPr>
          <w:sz w:val="16"/>
        </w:rPr>
      </w:pPr>
    </w:p>
    <w:p>
      <w:pPr>
        <w:spacing w:before="0"/>
        <w:ind w:left="0" w:right="129" w:firstLine="0"/>
        <w:jc w:val="right"/>
        <w:rPr>
          <w:sz w:val="12"/>
        </w:rPr>
      </w:pPr>
      <w:r>
        <w:rPr/>
        <w:pict>
          <v:line style="position:absolute;mso-position-horizontal-relative:page;mso-position-vertical-relative:paragraph;z-index:16214016" from="41.387001pt,3.850098pt" to="45.719001pt,3.850098pt" stroked="true" strokeweight=".5pt" strokecolor="#000000">
            <v:stroke dashstyle="solid"/>
            <w10:wrap type="none"/>
          </v:line>
        </w:pict>
      </w:r>
      <w:r>
        <w:rPr/>
        <w:pict>
          <v:line style="position:absolute;mso-position-horizontal-relative:page;mso-position-vertical-relative:paragraph;z-index:16219136" from="197.929993pt,3.821098pt" to="202.261993pt,3.821098pt" stroked="true" strokeweight=".5pt" strokecolor="#000000">
            <v:stroke dashstyle="solid"/>
            <w10:wrap type="none"/>
          </v:line>
        </w:pict>
      </w:r>
      <w:r>
        <w:rPr>
          <w:sz w:val="12"/>
        </w:rPr>
        <w:t>10</w:t>
      </w:r>
    </w:p>
    <w:p>
      <w:pPr>
        <w:tabs>
          <w:tab w:pos="3572" w:val="right" w:leader="none"/>
        </w:tabs>
        <w:spacing w:before="166"/>
        <w:ind w:left="1030" w:right="0" w:firstLine="0"/>
        <w:jc w:val="left"/>
        <w:rPr>
          <w:sz w:val="12"/>
        </w:rPr>
      </w:pPr>
      <w:r>
        <w:rPr/>
        <w:pict>
          <v:line style="position:absolute;mso-position-horizontal-relative:page;mso-position-vertical-relative:paragraph;z-index:16213504" from="41.387001pt,12.339063pt" to="45.719001pt,12.339063pt" stroked="true" strokeweight=".5pt" strokecolor="#000000">
            <v:stroke dashstyle="solid"/>
            <w10:wrap type="none"/>
          </v:line>
        </w:pict>
      </w:r>
      <w:r>
        <w:rPr/>
        <w:pict>
          <v:line style="position:absolute;mso-position-horizontal-relative:page;mso-position-vertical-relative:paragraph;z-index:-23079424" from="197.929993pt,12.310062pt" to="202.261993pt,12.310062pt" stroked="true" strokeweight=".5pt" strokecolor="#000000">
            <v:stroke dashstyle="solid"/>
            <w10:wrap type="none"/>
          </v:line>
        </w:pict>
      </w:r>
      <w:r>
        <w:rPr>
          <w:sz w:val="12"/>
        </w:rPr>
        <w:t>‘Soft’ commodities (c)</w:t>
        <w:tab/>
      </w:r>
      <w:r>
        <w:rPr>
          <w:position w:val="4"/>
          <w:sz w:val="12"/>
        </w:rPr>
        <w:t>15</w:t>
      </w:r>
    </w:p>
    <w:p>
      <w:pPr>
        <w:pStyle w:val="BodyText"/>
        <w:spacing w:before="1"/>
        <w:rPr>
          <w:sz w:val="13"/>
        </w:rPr>
      </w:pPr>
    </w:p>
    <w:p>
      <w:pPr>
        <w:spacing w:line="126" w:lineRule="exact" w:before="1"/>
        <w:ind w:left="3452" w:right="0" w:firstLine="0"/>
        <w:jc w:val="left"/>
        <w:rPr>
          <w:sz w:val="12"/>
        </w:rPr>
      </w:pPr>
      <w:r>
        <w:rPr/>
        <w:pict>
          <v:shape style="position:absolute;margin-left:49.875pt;margin-top:-1.007719pt;width:143.65pt;height:5.2pt;mso-position-horizontal-relative:page;mso-position-vertical-relative:paragraph;z-index:16209408" coordorigin="998,-20" coordsize="2873,104" path="m1000,76l3870,78m998,-20l998,83m1133,36l1133,83m1265,36l1265,83m1398,36l1398,83m1530,-20l1530,83m1663,36l1663,83m1795,36l1795,83m1925,36l1925,83m2058,-20l2058,83m2190,36l2190,83m2323,36l2323,83m2455,36l2455,83m2588,-20l2588,83m2720,36l2720,83m2853,36l2853,83m2985,36l2985,83m3118,-20l3118,83m3250,36l3250,83m3383,36l3383,83m3515,36l3515,83m3648,-20l3648,83m3780,36l3780,83e" filled="false" stroked="true" strokeweight=".5pt" strokecolor="#000000">
            <v:path arrowok="t"/>
            <v:stroke dashstyle="solid"/>
            <w10:wrap type="none"/>
          </v:shape>
        </w:pict>
      </w:r>
      <w:r>
        <w:rPr/>
        <w:pict>
          <v:line style="position:absolute;mso-position-horizontal-relative:page;mso-position-vertical-relative:paragraph;z-index:16214528" from="41.387001pt,3.900281pt" to="45.719001pt,3.900281pt" stroked="true" strokeweight=".5pt" strokecolor="#000000">
            <v:stroke dashstyle="solid"/>
            <w10:wrap type="none"/>
          </v:line>
        </w:pict>
      </w:r>
      <w:r>
        <w:rPr/>
        <w:pict>
          <v:line style="position:absolute;mso-position-horizontal-relative:page;mso-position-vertical-relative:paragraph;z-index:16219648" from="197.929993pt,3.871281pt" to="202.261993pt,3.871281pt" stroked="true" strokeweight=".5pt" strokecolor="#000000">
            <v:stroke dashstyle="solid"/>
            <w10:wrap type="none"/>
          </v:line>
        </w:pict>
      </w:r>
      <w:r>
        <w:rPr>
          <w:sz w:val="12"/>
        </w:rPr>
        <w:t>20</w:t>
      </w:r>
    </w:p>
    <w:p>
      <w:pPr>
        <w:tabs>
          <w:tab w:pos="1087" w:val="left" w:leader="none"/>
          <w:tab w:pos="1637" w:val="left" w:leader="none"/>
          <w:tab w:pos="2167" w:val="left" w:leader="none"/>
          <w:tab w:pos="2694" w:val="left" w:leader="none"/>
          <w:tab w:pos="3030" w:val="left" w:leader="none"/>
        </w:tabs>
        <w:spacing w:line="126" w:lineRule="exact" w:before="0"/>
        <w:ind w:left="500" w:right="0" w:firstLine="0"/>
        <w:jc w:val="left"/>
        <w:rPr>
          <w:sz w:val="12"/>
        </w:rPr>
      </w:pPr>
      <w:r>
        <w:rPr>
          <w:sz w:val="12"/>
        </w:rPr>
        <w:t>1995</w:t>
        <w:tab/>
        <w:t>96</w:t>
        <w:tab/>
        <w:t>97</w:t>
        <w:tab/>
        <w:t>98</w:t>
        <w:tab/>
        <w:t>99</w:t>
        <w:tab/>
        <w:t>2000</w:t>
      </w:r>
    </w:p>
    <w:p>
      <w:pPr>
        <w:pStyle w:val="BodyText"/>
        <w:spacing w:before="6"/>
        <w:rPr>
          <w:sz w:val="16"/>
        </w:rPr>
      </w:pPr>
    </w:p>
    <w:p>
      <w:pPr>
        <w:pStyle w:val="ListParagraph"/>
        <w:numPr>
          <w:ilvl w:val="0"/>
          <w:numId w:val="31"/>
        </w:numPr>
        <w:tabs>
          <w:tab w:pos="411" w:val="left" w:leader="none"/>
        </w:tabs>
        <w:spacing w:line="208" w:lineRule="auto" w:before="0" w:after="0"/>
        <w:ind w:left="410" w:right="194" w:hanging="240"/>
        <w:jc w:val="left"/>
        <w:rPr>
          <w:sz w:val="12"/>
        </w:rPr>
      </w:pPr>
      <w:r>
        <w:rPr>
          <w:sz w:val="12"/>
        </w:rPr>
        <w:t>Monthly</w:t>
      </w:r>
      <w:r>
        <w:rPr>
          <w:spacing w:val="-6"/>
          <w:sz w:val="12"/>
        </w:rPr>
        <w:t> </w:t>
      </w:r>
      <w:r>
        <w:rPr>
          <w:sz w:val="12"/>
        </w:rPr>
        <w:t>average</w:t>
      </w:r>
      <w:r>
        <w:rPr>
          <w:spacing w:val="-6"/>
          <w:sz w:val="12"/>
        </w:rPr>
        <w:t> </w:t>
      </w:r>
      <w:r>
        <w:rPr>
          <w:sz w:val="12"/>
        </w:rPr>
        <w:t>of</w:t>
      </w:r>
      <w:r>
        <w:rPr>
          <w:spacing w:val="-6"/>
          <w:sz w:val="12"/>
        </w:rPr>
        <w:t> </w:t>
      </w:r>
      <w:r>
        <w:rPr>
          <w:sz w:val="12"/>
        </w:rPr>
        <w:t>prices</w:t>
      </w:r>
      <w:r>
        <w:rPr>
          <w:spacing w:val="-6"/>
          <w:sz w:val="12"/>
        </w:rPr>
        <w:t> </w:t>
      </w:r>
      <w:r>
        <w:rPr>
          <w:sz w:val="12"/>
        </w:rPr>
        <w:t>of</w:t>
      </w:r>
      <w:r>
        <w:rPr>
          <w:spacing w:val="-6"/>
          <w:sz w:val="12"/>
        </w:rPr>
        <w:t> </w:t>
      </w:r>
      <w:r>
        <w:rPr>
          <w:sz w:val="12"/>
        </w:rPr>
        <w:t>primary</w:t>
      </w:r>
      <w:r>
        <w:rPr>
          <w:spacing w:val="-6"/>
          <w:sz w:val="12"/>
        </w:rPr>
        <w:t> </w:t>
      </w:r>
      <w:r>
        <w:rPr>
          <w:sz w:val="12"/>
        </w:rPr>
        <w:t>commodities,</w:t>
      </w:r>
      <w:r>
        <w:rPr>
          <w:spacing w:val="-5"/>
          <w:sz w:val="12"/>
        </w:rPr>
        <w:t> </w:t>
      </w:r>
      <w:r>
        <w:rPr>
          <w:sz w:val="12"/>
        </w:rPr>
        <w:t>weighted</w:t>
      </w:r>
      <w:r>
        <w:rPr>
          <w:spacing w:val="-6"/>
          <w:sz w:val="12"/>
        </w:rPr>
        <w:t> </w:t>
      </w:r>
      <w:r>
        <w:rPr>
          <w:sz w:val="12"/>
        </w:rPr>
        <w:t>by their shares in UK</w:t>
      </w:r>
      <w:r>
        <w:rPr>
          <w:spacing w:val="-6"/>
          <w:sz w:val="12"/>
        </w:rPr>
        <w:t> </w:t>
      </w:r>
      <w:r>
        <w:rPr>
          <w:sz w:val="12"/>
        </w:rPr>
        <w:t>demand.</w:t>
      </w:r>
    </w:p>
    <w:p>
      <w:pPr>
        <w:pStyle w:val="ListParagraph"/>
        <w:numPr>
          <w:ilvl w:val="0"/>
          <w:numId w:val="31"/>
        </w:numPr>
        <w:tabs>
          <w:tab w:pos="411" w:val="left" w:leader="none"/>
        </w:tabs>
        <w:spacing w:line="114" w:lineRule="exact" w:before="0" w:after="0"/>
        <w:ind w:left="410" w:right="0" w:hanging="241"/>
        <w:jc w:val="left"/>
        <w:rPr>
          <w:sz w:val="12"/>
        </w:rPr>
      </w:pPr>
      <w:r>
        <w:rPr>
          <w:sz w:val="12"/>
        </w:rPr>
        <w:t>Includes prices of non-oil fuels and</w:t>
      </w:r>
      <w:r>
        <w:rPr>
          <w:spacing w:val="-10"/>
          <w:sz w:val="12"/>
        </w:rPr>
        <w:t> </w:t>
      </w:r>
      <w:r>
        <w:rPr>
          <w:sz w:val="12"/>
        </w:rPr>
        <w:t>metals.</w:t>
      </w:r>
    </w:p>
    <w:p>
      <w:pPr>
        <w:pStyle w:val="ListParagraph"/>
        <w:numPr>
          <w:ilvl w:val="0"/>
          <w:numId w:val="31"/>
        </w:numPr>
        <w:tabs>
          <w:tab w:pos="411" w:val="left" w:leader="none"/>
        </w:tabs>
        <w:spacing w:line="208" w:lineRule="auto" w:before="6" w:after="0"/>
        <w:ind w:left="410" w:right="139" w:hanging="240"/>
        <w:jc w:val="left"/>
        <w:rPr>
          <w:sz w:val="12"/>
        </w:rPr>
      </w:pPr>
      <w:r>
        <w:rPr>
          <w:sz w:val="12"/>
        </w:rPr>
        <w:t>Includes</w:t>
      </w:r>
      <w:r>
        <w:rPr>
          <w:spacing w:val="-7"/>
          <w:sz w:val="12"/>
        </w:rPr>
        <w:t> </w:t>
      </w:r>
      <w:r>
        <w:rPr>
          <w:sz w:val="12"/>
        </w:rPr>
        <w:t>prices</w:t>
      </w:r>
      <w:r>
        <w:rPr>
          <w:spacing w:val="-7"/>
          <w:sz w:val="12"/>
        </w:rPr>
        <w:t> </w:t>
      </w:r>
      <w:r>
        <w:rPr>
          <w:sz w:val="12"/>
        </w:rPr>
        <w:t>of</w:t>
      </w:r>
      <w:r>
        <w:rPr>
          <w:spacing w:val="-7"/>
          <w:sz w:val="12"/>
        </w:rPr>
        <w:t> </w:t>
      </w:r>
      <w:r>
        <w:rPr>
          <w:sz w:val="12"/>
        </w:rPr>
        <w:t>domestically</w:t>
      </w:r>
      <w:r>
        <w:rPr>
          <w:spacing w:val="-7"/>
          <w:sz w:val="12"/>
        </w:rPr>
        <w:t> </w:t>
      </w:r>
      <w:r>
        <w:rPr>
          <w:sz w:val="12"/>
        </w:rPr>
        <w:t>produced</w:t>
      </w:r>
      <w:r>
        <w:rPr>
          <w:spacing w:val="-6"/>
          <w:sz w:val="12"/>
        </w:rPr>
        <w:t> </w:t>
      </w:r>
      <w:r>
        <w:rPr>
          <w:sz w:val="12"/>
        </w:rPr>
        <w:t>and</w:t>
      </w:r>
      <w:r>
        <w:rPr>
          <w:spacing w:val="-7"/>
          <w:sz w:val="12"/>
        </w:rPr>
        <w:t> </w:t>
      </w:r>
      <w:r>
        <w:rPr>
          <w:sz w:val="12"/>
        </w:rPr>
        <w:t>imported</w:t>
      </w:r>
      <w:r>
        <w:rPr>
          <w:spacing w:val="-7"/>
          <w:sz w:val="12"/>
        </w:rPr>
        <w:t> </w:t>
      </w:r>
      <w:r>
        <w:rPr>
          <w:sz w:val="12"/>
        </w:rPr>
        <w:t>foodstuffs and non-food agricultural</w:t>
      </w:r>
      <w:r>
        <w:rPr>
          <w:spacing w:val="-5"/>
          <w:sz w:val="12"/>
        </w:rPr>
        <w:t> </w:t>
      </w:r>
      <w:r>
        <w:rPr>
          <w:sz w:val="12"/>
        </w:rPr>
        <w:t>products.</w:t>
      </w:r>
    </w:p>
    <w:p>
      <w:pPr>
        <w:pStyle w:val="BodyText"/>
        <w:spacing w:before="6"/>
        <w:rPr>
          <w:sz w:val="13"/>
        </w:rPr>
      </w:pPr>
    </w:p>
    <w:p>
      <w:pPr>
        <w:pStyle w:val="Heading6"/>
        <w:spacing w:before="1"/>
        <w:ind w:left="190"/>
      </w:pPr>
      <w:r>
        <w:rPr>
          <w:color w:val="0092C7"/>
        </w:rPr>
        <w:t>Chart 4.4</w:t>
      </w:r>
    </w:p>
    <w:p>
      <w:pPr>
        <w:pStyle w:val="Heading6"/>
        <w:spacing w:line="249" w:lineRule="auto"/>
        <w:ind w:left="190" w:right="610"/>
      </w:pPr>
      <w:r>
        <w:rPr>
          <w:color w:val="0092C7"/>
        </w:rPr>
        <w:t>UK sterling import prices and the exchange rate</w:t>
      </w:r>
    </w:p>
    <w:p>
      <w:pPr>
        <w:spacing w:line="124" w:lineRule="exact" w:before="122"/>
        <w:ind w:left="2727" w:right="0" w:firstLine="0"/>
        <w:jc w:val="left"/>
        <w:rPr>
          <w:sz w:val="12"/>
        </w:rPr>
      </w:pPr>
      <w:r>
        <w:rPr>
          <w:sz w:val="12"/>
        </w:rPr>
        <w:t>1995 Q1 = 100</w:t>
      </w:r>
    </w:p>
    <w:p>
      <w:pPr>
        <w:spacing w:line="124" w:lineRule="exact" w:before="0"/>
        <w:ind w:left="3483" w:right="0" w:firstLine="0"/>
        <w:jc w:val="left"/>
        <w:rPr>
          <w:sz w:val="12"/>
        </w:rPr>
      </w:pPr>
      <w:r>
        <w:rPr/>
        <w:pict>
          <v:line style="position:absolute;mso-position-horizontal-relative:page;mso-position-vertical-relative:paragraph;z-index:16226304" from="42.249001pt,2.834474pt" to="46.583001pt,2.834474pt" stroked="true" strokeweight=".5pt" strokecolor="#000000">
            <v:stroke dashstyle="solid"/>
            <w10:wrap type="none"/>
          </v:line>
        </w:pict>
      </w:r>
      <w:r>
        <w:rPr/>
        <w:pict>
          <v:line style="position:absolute;mso-position-horizontal-relative:page;mso-position-vertical-relative:paragraph;z-index:16230400" from="200.320999pt,2.834474pt" to="204.654999pt,2.834474pt" stroked="true" strokeweight=".5pt" strokecolor="#000000">
            <v:stroke dashstyle="solid"/>
            <w10:wrap type="none"/>
          </v:line>
        </w:pict>
      </w:r>
      <w:r>
        <w:rPr>
          <w:sz w:val="12"/>
        </w:rPr>
        <w:t>110</w:t>
      </w:r>
    </w:p>
    <w:p>
      <w:pPr>
        <w:pStyle w:val="BodyText"/>
        <w:rPr>
          <w:sz w:val="12"/>
        </w:rPr>
      </w:pPr>
    </w:p>
    <w:p>
      <w:pPr>
        <w:pStyle w:val="BodyText"/>
        <w:spacing w:before="6"/>
        <w:rPr>
          <w:sz w:val="12"/>
        </w:rPr>
      </w:pPr>
    </w:p>
    <w:p>
      <w:pPr>
        <w:spacing w:before="0"/>
        <w:ind w:left="0" w:right="38" w:firstLine="0"/>
        <w:jc w:val="right"/>
        <w:rPr>
          <w:sz w:val="12"/>
        </w:rPr>
      </w:pPr>
      <w:r>
        <w:rPr/>
        <w:pict>
          <v:group style="position:absolute;margin-left:51.320999pt;margin-top:1.727768pt;width:144.65pt;height:102.25pt;mso-position-horizontal-relative:page;mso-position-vertical-relative:paragraph;z-index:16222208" coordorigin="1026,35" coordsize="2893,2045">
            <v:shape style="position:absolute;left:1036;top:162;width:2873;height:1493" coordorigin="1036,162" coordsize="2873,1493" path="m1036,465l1176,347,1329,180,1469,195,1606,180,1759,162,1899,380,2039,430,2189,665,2329,865,2479,882,2619,982,2759,1235,2909,1385,3189,1620,3341,1635,3479,1652,3560,1653,3601,1654,3617,1654,3619,1653,3643,1653,3695,1653,3748,1654,3771,1653,3793,1648,3840,1636,3887,1625,3909,1620e" filled="false" stroked="true" strokeweight="1pt" strokecolor="#610e7a">
              <v:path arrowok="t"/>
              <v:stroke dashstyle="solid"/>
            </v:shape>
            <v:shape style="position:absolute;left:1036;top:44;width:2873;height:1173" coordorigin="1036,45" coordsize="2873,1173" path="m1036,465l1176,330,1329,245,1469,262,1606,45,1695,46,1740,47,1757,46,1759,46,1781,66,1829,112,1877,158,1899,180,2039,615,2126,616,2170,617,2187,616,2189,616,2211,623,2259,640,2307,657,2329,665,2479,865,2619,1000,2759,1032,2909,915,3049,932,3189,865,3341,882,3479,982,3619,1050,3771,1117,3909,1217e" filled="false" stroked="true" strokeweight="1pt" strokecolor="#f6bd61">
              <v:path arrowok="t"/>
              <v:stroke dashstyle="solid"/>
            </v:shape>
            <v:shape style="position:absolute;left:1036;top:94;width:2873;height:1975" coordorigin="1036,95" coordsize="2873,1975" path="m1036,465l1176,180,1265,181,1310,182,1327,181,1329,181,1351,167,1399,137,1447,108,1469,95,1606,112,1759,230,1899,312,2039,850,2189,1285,2329,1502,2479,1702,2619,1737,2759,1887,2846,1888,2890,1889,2907,1889,2909,1888,2931,1877,2979,1853,3027,1830,3049,1820,3189,1552,3341,1602,3479,1802,3619,1787,3771,1920,3909,2070e" filled="false" stroked="true" strokeweight="1pt" strokecolor="#9ed01a">
              <v:path arrowok="t"/>
              <v:stroke dashstyle="solid"/>
            </v:shape>
            <v:shape style="position:absolute;left:2863;top:687;width:643;height:606" type="#_x0000_t202" filled="false" stroked="false">
              <v:textbox inset="0,0,0,0">
                <w:txbxContent>
                  <w:p>
                    <w:pPr>
                      <w:spacing w:line="133" w:lineRule="exact" w:before="0"/>
                      <w:ind w:left="215" w:right="0" w:firstLine="0"/>
                      <w:jc w:val="left"/>
                      <w:rPr>
                        <w:sz w:val="12"/>
                      </w:rPr>
                    </w:pPr>
                    <w:r>
                      <w:rPr>
                        <w:sz w:val="12"/>
                      </w:rPr>
                      <w:t>Services</w:t>
                    </w:r>
                  </w:p>
                  <w:p>
                    <w:pPr>
                      <w:spacing w:line="240" w:lineRule="auto" w:before="0"/>
                      <w:rPr>
                        <w:sz w:val="12"/>
                      </w:rPr>
                    </w:pPr>
                  </w:p>
                  <w:p>
                    <w:pPr>
                      <w:spacing w:line="240" w:lineRule="auto" w:before="0"/>
                      <w:rPr>
                        <w:sz w:val="17"/>
                      </w:rPr>
                    </w:pPr>
                  </w:p>
                  <w:p>
                    <w:pPr>
                      <w:spacing w:before="1"/>
                      <w:ind w:left="0" w:right="0" w:firstLine="0"/>
                      <w:jc w:val="left"/>
                      <w:rPr>
                        <w:sz w:val="12"/>
                      </w:rPr>
                    </w:pPr>
                    <w:r>
                      <w:rPr>
                        <w:sz w:val="12"/>
                      </w:rPr>
                      <w:t>Goods</w:t>
                    </w:r>
                  </w:p>
                </w:txbxContent>
              </v:textbox>
              <w10:wrap type="none"/>
            </v:shape>
            <v:shape style="position:absolute;left:1358;top:1357;width:850;height:378" type="#_x0000_t202" filled="false" stroked="false">
              <v:textbox inset="0,0,0,0">
                <w:txbxContent>
                  <w:p>
                    <w:pPr>
                      <w:spacing w:line="213" w:lineRule="auto" w:before="7"/>
                      <w:ind w:left="56" w:right="1" w:hanging="57"/>
                      <w:jc w:val="left"/>
                      <w:rPr>
                        <w:sz w:val="12"/>
                      </w:rPr>
                    </w:pPr>
                    <w:r>
                      <w:rPr>
                        <w:sz w:val="12"/>
                      </w:rPr>
                      <w:t>Sterling effective exchange rate index, inverted</w:t>
                    </w:r>
                  </w:p>
                </w:txbxContent>
              </v:textbox>
              <w10:wrap type="none"/>
            </v:shape>
            <w10:wrap type="none"/>
          </v:group>
        </w:pict>
      </w:r>
      <w:r>
        <w:rPr/>
        <w:pict>
          <v:line style="position:absolute;mso-position-horizontal-relative:page;mso-position-vertical-relative:paragraph;z-index:16222720" from="42.249001pt,3.535768pt" to="46.583001pt,3.535768pt" stroked="true" strokeweight=".5pt" strokecolor="#000000">
            <v:stroke dashstyle="solid"/>
            <w10:wrap type="none"/>
          </v:line>
        </w:pict>
      </w:r>
      <w:r>
        <w:rPr/>
        <w:pict>
          <v:line style="position:absolute;mso-position-horizontal-relative:page;mso-position-vertical-relative:paragraph;z-index:16226816" from="200.320999pt,3.535768pt" to="204.654999pt,3.535768pt" stroked="true" strokeweight=".5pt" strokecolor="#000000">
            <v:stroke dashstyle="solid"/>
            <w10:wrap type="none"/>
          </v:line>
        </w:pict>
      </w:r>
      <w:r>
        <w:rPr>
          <w:sz w:val="12"/>
        </w:rPr>
        <w:t>105</w:t>
      </w:r>
    </w:p>
    <w:p>
      <w:pPr>
        <w:pStyle w:val="BodyText"/>
        <w:rPr>
          <w:sz w:val="12"/>
        </w:rPr>
      </w:pPr>
    </w:p>
    <w:p>
      <w:pPr>
        <w:pStyle w:val="BodyText"/>
        <w:rPr>
          <w:sz w:val="11"/>
        </w:rPr>
      </w:pPr>
    </w:p>
    <w:p>
      <w:pPr>
        <w:spacing w:before="0"/>
        <w:ind w:left="0" w:right="38" w:firstLine="0"/>
        <w:jc w:val="right"/>
        <w:rPr>
          <w:sz w:val="12"/>
        </w:rPr>
      </w:pPr>
      <w:r>
        <w:rPr/>
        <w:pict>
          <v:line style="position:absolute;mso-position-horizontal-relative:page;mso-position-vertical-relative:paragraph;z-index:16223232" from="42.249001pt,3.227555pt" to="46.583001pt,3.227555pt" stroked="true" strokeweight=".5pt" strokecolor="#000000">
            <v:stroke dashstyle="solid"/>
            <w10:wrap type="none"/>
          </v:line>
        </w:pict>
      </w:r>
      <w:r>
        <w:rPr/>
        <w:pict>
          <v:line style="position:absolute;mso-position-horizontal-relative:page;mso-position-vertical-relative:paragraph;z-index:16227328" from="200.320999pt,3.227555pt" to="204.654999pt,3.227555pt" stroked="true" strokeweight=".5pt" strokecolor="#000000">
            <v:stroke dashstyle="solid"/>
            <w10:wrap type="none"/>
          </v:line>
        </w:pict>
      </w:r>
      <w:r>
        <w:rPr>
          <w:sz w:val="12"/>
        </w:rPr>
        <w:t>100</w:t>
      </w:r>
    </w:p>
    <w:p>
      <w:pPr>
        <w:pStyle w:val="BodyText"/>
        <w:rPr>
          <w:sz w:val="12"/>
        </w:rPr>
      </w:pPr>
    </w:p>
    <w:p>
      <w:pPr>
        <w:pStyle w:val="BodyText"/>
        <w:spacing w:before="3"/>
        <w:rPr>
          <w:sz w:val="12"/>
        </w:rPr>
      </w:pPr>
    </w:p>
    <w:p>
      <w:pPr>
        <w:spacing w:before="0"/>
        <w:ind w:left="0" w:right="38" w:firstLine="0"/>
        <w:jc w:val="right"/>
        <w:rPr>
          <w:sz w:val="12"/>
        </w:rPr>
      </w:pPr>
      <w:r>
        <w:rPr/>
        <w:pict>
          <v:line style="position:absolute;mso-position-horizontal-relative:page;mso-position-vertical-relative:paragraph;z-index:16223744" from="42.249001pt,3.227371pt" to="46.583001pt,3.227371pt" stroked="true" strokeweight=".5pt" strokecolor="#000000">
            <v:stroke dashstyle="solid"/>
            <w10:wrap type="none"/>
          </v:line>
        </w:pict>
      </w:r>
      <w:r>
        <w:rPr/>
        <w:pict>
          <v:line style="position:absolute;mso-position-horizontal-relative:page;mso-position-vertical-relative:paragraph;z-index:16227840" from="200.320999pt,3.227371pt" to="204.654999pt,3.227371pt" stroked="true" strokeweight=".5pt" strokecolor="#000000">
            <v:stroke dashstyle="solid"/>
            <w10:wrap type="none"/>
          </v:line>
        </w:pict>
      </w:r>
      <w:r>
        <w:rPr>
          <w:sz w:val="12"/>
        </w:rPr>
        <w:t>95</w:t>
      </w:r>
    </w:p>
    <w:p>
      <w:pPr>
        <w:pStyle w:val="BodyText"/>
        <w:rPr>
          <w:sz w:val="12"/>
        </w:rPr>
      </w:pPr>
    </w:p>
    <w:p>
      <w:pPr>
        <w:pStyle w:val="BodyText"/>
        <w:rPr>
          <w:sz w:val="11"/>
        </w:rPr>
      </w:pPr>
    </w:p>
    <w:p>
      <w:pPr>
        <w:spacing w:before="0"/>
        <w:ind w:left="0" w:right="38" w:firstLine="0"/>
        <w:jc w:val="right"/>
        <w:rPr>
          <w:sz w:val="12"/>
        </w:rPr>
      </w:pPr>
      <w:r>
        <w:rPr/>
        <w:pict>
          <v:line style="position:absolute;mso-position-horizontal-relative:page;mso-position-vertical-relative:paragraph;z-index:16224256" from="42.249001pt,3.227158pt" to="46.583001pt,3.227158pt" stroked="true" strokeweight=".5pt" strokecolor="#000000">
            <v:stroke dashstyle="solid"/>
            <w10:wrap type="none"/>
          </v:line>
        </w:pict>
      </w:r>
      <w:r>
        <w:rPr/>
        <w:pict>
          <v:line style="position:absolute;mso-position-horizontal-relative:page;mso-position-vertical-relative:paragraph;z-index:16228352" from="200.320999pt,3.227158pt" to="204.654999pt,3.227158pt" stroked="true" strokeweight=".5pt" strokecolor="#000000">
            <v:stroke dashstyle="solid"/>
            <w10:wrap type="none"/>
          </v:line>
        </w:pict>
      </w:r>
      <w:r>
        <w:rPr>
          <w:sz w:val="12"/>
        </w:rPr>
        <w:t>90</w:t>
      </w:r>
    </w:p>
    <w:p>
      <w:pPr>
        <w:pStyle w:val="BodyText"/>
        <w:rPr>
          <w:sz w:val="12"/>
        </w:rPr>
      </w:pPr>
    </w:p>
    <w:p>
      <w:pPr>
        <w:pStyle w:val="BodyText"/>
        <w:spacing w:before="4"/>
        <w:rPr>
          <w:sz w:val="12"/>
        </w:rPr>
      </w:pPr>
    </w:p>
    <w:p>
      <w:pPr>
        <w:spacing w:before="0"/>
        <w:ind w:left="0" w:right="38" w:firstLine="0"/>
        <w:jc w:val="right"/>
        <w:rPr>
          <w:sz w:val="12"/>
        </w:rPr>
      </w:pPr>
      <w:r>
        <w:rPr/>
        <w:pict>
          <v:line style="position:absolute;mso-position-horizontal-relative:page;mso-position-vertical-relative:paragraph;z-index:16225280" from="42.249001pt,3.226975pt" to="46.583001pt,3.226975pt" stroked="true" strokeweight=".5pt" strokecolor="#000000">
            <v:stroke dashstyle="solid"/>
            <w10:wrap type="none"/>
          </v:line>
        </w:pict>
      </w:r>
      <w:r>
        <w:rPr/>
        <w:pict>
          <v:line style="position:absolute;mso-position-horizontal-relative:page;mso-position-vertical-relative:paragraph;z-index:16229376" from="200.320999pt,3.226975pt" to="204.654999pt,3.226975pt" stroked="true" strokeweight=".5pt" strokecolor="#000000">
            <v:stroke dashstyle="solid"/>
            <w10:wrap type="none"/>
          </v:line>
        </w:pict>
      </w:r>
      <w:r>
        <w:rPr>
          <w:sz w:val="12"/>
        </w:rPr>
        <w:t>85</w:t>
      </w:r>
    </w:p>
    <w:p>
      <w:pPr>
        <w:pStyle w:val="BodyText"/>
        <w:rPr>
          <w:sz w:val="12"/>
        </w:rPr>
      </w:pPr>
    </w:p>
    <w:p>
      <w:pPr>
        <w:pStyle w:val="BodyText"/>
        <w:rPr>
          <w:sz w:val="11"/>
        </w:rPr>
      </w:pPr>
    </w:p>
    <w:p>
      <w:pPr>
        <w:spacing w:before="0"/>
        <w:ind w:left="0" w:right="38" w:firstLine="0"/>
        <w:jc w:val="right"/>
        <w:rPr>
          <w:sz w:val="12"/>
        </w:rPr>
      </w:pPr>
      <w:r>
        <w:rPr/>
        <w:pict>
          <v:line style="position:absolute;mso-position-horizontal-relative:page;mso-position-vertical-relative:paragraph;z-index:16224768" from="42.249001pt,3.226761pt" to="46.583001pt,3.226761pt" stroked="true" strokeweight=".5pt" strokecolor="#000000">
            <v:stroke dashstyle="solid"/>
            <w10:wrap type="none"/>
          </v:line>
        </w:pict>
      </w:r>
      <w:r>
        <w:rPr/>
        <w:pict>
          <v:line style="position:absolute;mso-position-horizontal-relative:page;mso-position-vertical-relative:paragraph;z-index:16228864" from="200.320999pt,3.226761pt" to="204.654999pt,3.226761pt" stroked="true" strokeweight=".5pt" strokecolor="#000000">
            <v:stroke dashstyle="solid"/>
            <w10:wrap type="none"/>
          </v:line>
        </w:pict>
      </w:r>
      <w:r>
        <w:rPr>
          <w:sz w:val="12"/>
        </w:rPr>
        <w:t>80</w:t>
      </w:r>
    </w:p>
    <w:p>
      <w:pPr>
        <w:pStyle w:val="BodyText"/>
        <w:rPr>
          <w:sz w:val="12"/>
        </w:rPr>
      </w:pPr>
    </w:p>
    <w:p>
      <w:pPr>
        <w:pStyle w:val="BodyText"/>
        <w:spacing w:before="3"/>
        <w:rPr>
          <w:sz w:val="12"/>
        </w:rPr>
      </w:pPr>
    </w:p>
    <w:p>
      <w:pPr>
        <w:spacing w:line="119" w:lineRule="exact" w:before="1"/>
        <w:ind w:left="3543" w:right="0" w:firstLine="0"/>
        <w:jc w:val="left"/>
        <w:rPr>
          <w:sz w:val="12"/>
        </w:rPr>
      </w:pPr>
      <w:r>
        <w:rPr/>
        <w:pict>
          <v:line style="position:absolute;mso-position-horizontal-relative:page;mso-position-vertical-relative:paragraph;z-index:16225792" from="42.249001pt,3.276547pt" to="46.583001pt,3.276547pt" stroked="true" strokeweight=".5pt" strokecolor="#000000">
            <v:stroke dashstyle="solid"/>
            <w10:wrap type="none"/>
          </v:line>
        </w:pict>
      </w:r>
      <w:r>
        <w:rPr/>
        <w:pict>
          <v:line style="position:absolute;mso-position-horizontal-relative:page;mso-position-vertical-relative:paragraph;z-index:16229888" from="200.320999pt,3.276547pt" to="204.654999pt,3.276547pt" stroked="true" strokeweight=".5pt" strokecolor="#000000">
            <v:stroke dashstyle="solid"/>
            <w10:wrap type="none"/>
          </v:line>
        </w:pict>
      </w:r>
      <w:r>
        <w:rPr/>
        <w:pict>
          <v:shape style="position:absolute;margin-left:51.821999pt;margin-top:1.193547pt;width:144.15pt;height:2.35pt;mso-position-horizontal-relative:page;mso-position-vertical-relative:paragraph;z-index:16230912" coordorigin="1036,24" coordsize="2883,47" path="m1037,66l3919,66m1605,24l1605,71m2761,24l2761,71m2189,24l2189,71m3344,24l3344,71m3911,24l3911,71m1036,24l1036,71e" filled="false" stroked="true" strokeweight=".5pt" strokecolor="#000000">
            <v:path arrowok="t"/>
            <v:stroke dashstyle="solid"/>
            <w10:wrap type="none"/>
          </v:shape>
        </w:pict>
      </w:r>
      <w:r>
        <w:rPr>
          <w:sz w:val="12"/>
        </w:rPr>
        <w:t>75</w:t>
      </w:r>
    </w:p>
    <w:p>
      <w:pPr>
        <w:tabs>
          <w:tab w:pos="1188" w:val="left" w:leader="none"/>
          <w:tab w:pos="1768" w:val="left" w:leader="none"/>
          <w:tab w:pos="2338" w:val="left" w:leader="none"/>
          <w:tab w:pos="2941" w:val="left" w:leader="none"/>
        </w:tabs>
        <w:spacing w:line="119" w:lineRule="exact" w:before="0"/>
        <w:ind w:left="538" w:right="0" w:firstLine="0"/>
        <w:jc w:val="left"/>
        <w:rPr>
          <w:sz w:val="12"/>
        </w:rPr>
      </w:pPr>
      <w:r>
        <w:rPr>
          <w:sz w:val="12"/>
        </w:rPr>
        <w:t>1995</w:t>
        <w:tab/>
        <w:t>96</w:t>
        <w:tab/>
        <w:t>97</w:t>
        <w:tab/>
        <w:t>98</w:t>
        <w:tab/>
        <w:t>99</w:t>
      </w:r>
      <w:r>
        <w:rPr>
          <w:spacing w:val="10"/>
          <w:sz w:val="12"/>
        </w:rPr>
        <w:t> </w:t>
      </w:r>
      <w:r>
        <w:rPr>
          <w:sz w:val="12"/>
        </w:rPr>
        <w:t>2000</w:t>
      </w:r>
    </w:p>
    <w:p>
      <w:pPr>
        <w:pStyle w:val="BodyText"/>
        <w:rPr>
          <w:sz w:val="12"/>
        </w:rPr>
      </w:pPr>
    </w:p>
    <w:p>
      <w:pPr>
        <w:spacing w:before="72"/>
        <w:ind w:left="190" w:right="0" w:firstLine="0"/>
        <w:jc w:val="left"/>
        <w:rPr>
          <w:sz w:val="12"/>
        </w:rPr>
      </w:pPr>
      <w:r>
        <w:rPr>
          <w:sz w:val="12"/>
        </w:rPr>
        <w:t>Sources: ONS and Bank of England.</w:t>
      </w:r>
    </w:p>
    <w:p>
      <w:pPr>
        <w:pStyle w:val="BodyText"/>
        <w:spacing w:before="7"/>
        <w:rPr>
          <w:sz w:val="17"/>
        </w:rPr>
      </w:pPr>
    </w:p>
    <w:p>
      <w:pPr>
        <w:pStyle w:val="Heading6"/>
        <w:spacing w:before="1"/>
        <w:ind w:left="190"/>
      </w:pPr>
      <w:r>
        <w:rPr>
          <w:color w:val="0092C7"/>
        </w:rPr>
        <w:t>Chart 4.5</w:t>
      </w:r>
    </w:p>
    <w:p>
      <w:pPr>
        <w:pStyle w:val="Heading6"/>
        <w:spacing w:line="249" w:lineRule="auto"/>
        <w:ind w:left="190"/>
      </w:pPr>
      <w:r>
        <w:rPr>
          <w:color w:val="0092C7"/>
        </w:rPr>
        <w:t>Foreign exporters’ relative prices to the United Kingdom and the exchange rate</w:t>
      </w:r>
    </w:p>
    <w:p>
      <w:pPr>
        <w:spacing w:line="242" w:lineRule="auto" w:before="232"/>
        <w:ind w:left="170" w:right="214" w:firstLine="0"/>
        <w:jc w:val="left"/>
        <w:rPr>
          <w:sz w:val="24"/>
        </w:rPr>
      </w:pPr>
      <w:r>
        <w:rPr/>
        <w:br w:type="column"/>
      </w:r>
      <w:r>
        <w:rPr>
          <w:sz w:val="24"/>
        </w:rPr>
        <w:t>in recent months, although they remain well above their </w:t>
      </w:r>
      <w:r>
        <w:rPr>
          <w:spacing w:val="-3"/>
          <w:sz w:val="24"/>
        </w:rPr>
        <w:t>levels </w:t>
      </w:r>
      <w:r>
        <w:rPr>
          <w:sz w:val="24"/>
        </w:rPr>
        <w:t>of a year earlier (see Chart 4.3). The annual rate of</w:t>
      </w:r>
      <w:r>
        <w:rPr>
          <w:spacing w:val="-5"/>
          <w:sz w:val="24"/>
        </w:rPr>
        <w:t> </w:t>
      </w:r>
      <w:r>
        <w:rPr>
          <w:sz w:val="24"/>
        </w:rPr>
        <w:t>decline</w:t>
      </w:r>
      <w:r>
        <w:rPr>
          <w:spacing w:val="-4"/>
          <w:sz w:val="24"/>
        </w:rPr>
        <w:t> </w:t>
      </w:r>
      <w:r>
        <w:rPr>
          <w:sz w:val="24"/>
        </w:rPr>
        <w:t>in</w:t>
      </w:r>
      <w:r>
        <w:rPr>
          <w:spacing w:val="-5"/>
          <w:sz w:val="24"/>
        </w:rPr>
        <w:t> </w:t>
      </w:r>
      <w:r>
        <w:rPr>
          <w:sz w:val="24"/>
        </w:rPr>
        <w:t>the</w:t>
      </w:r>
      <w:r>
        <w:rPr>
          <w:spacing w:val="-4"/>
          <w:sz w:val="24"/>
        </w:rPr>
        <w:t> </w:t>
      </w:r>
      <w:r>
        <w:rPr>
          <w:sz w:val="24"/>
        </w:rPr>
        <w:t>prices</w:t>
      </w:r>
      <w:r>
        <w:rPr>
          <w:spacing w:val="-5"/>
          <w:sz w:val="24"/>
        </w:rPr>
        <w:t> </w:t>
      </w:r>
      <w:r>
        <w:rPr>
          <w:sz w:val="24"/>
        </w:rPr>
        <w:t>of</w:t>
      </w:r>
      <w:r>
        <w:rPr>
          <w:spacing w:val="-4"/>
          <w:sz w:val="24"/>
        </w:rPr>
        <w:t> </w:t>
      </w:r>
      <w:r>
        <w:rPr>
          <w:sz w:val="24"/>
        </w:rPr>
        <w:t>soft</w:t>
      </w:r>
      <w:r>
        <w:rPr>
          <w:spacing w:val="-4"/>
          <w:sz w:val="24"/>
        </w:rPr>
        <w:t> </w:t>
      </w:r>
      <w:r>
        <w:rPr>
          <w:sz w:val="24"/>
        </w:rPr>
        <w:t>commodities</w:t>
      </w:r>
      <w:r>
        <w:rPr>
          <w:spacing w:val="-5"/>
          <w:sz w:val="24"/>
        </w:rPr>
        <w:t> </w:t>
      </w:r>
      <w:r>
        <w:rPr>
          <w:sz w:val="24"/>
        </w:rPr>
        <w:t>such</w:t>
      </w:r>
      <w:r>
        <w:rPr>
          <w:spacing w:val="-4"/>
          <w:sz w:val="24"/>
        </w:rPr>
        <w:t> </w:t>
      </w:r>
      <w:r>
        <w:rPr>
          <w:sz w:val="24"/>
        </w:rPr>
        <w:t>as</w:t>
      </w:r>
      <w:r>
        <w:rPr>
          <w:spacing w:val="-5"/>
          <w:sz w:val="24"/>
        </w:rPr>
        <w:t> </w:t>
      </w:r>
      <w:r>
        <w:rPr>
          <w:sz w:val="24"/>
        </w:rPr>
        <w:t>food products has slowed since</w:t>
      </w:r>
      <w:r>
        <w:rPr>
          <w:spacing w:val="-7"/>
          <w:sz w:val="24"/>
        </w:rPr>
        <w:t> </w:t>
      </w:r>
      <w:r>
        <w:rPr>
          <w:spacing w:val="-3"/>
          <w:sz w:val="24"/>
        </w:rPr>
        <w:t>February.</w:t>
      </w:r>
    </w:p>
    <w:p>
      <w:pPr>
        <w:pStyle w:val="BodyText"/>
        <w:spacing w:before="9"/>
        <w:rPr>
          <w:sz w:val="26"/>
        </w:rPr>
      </w:pPr>
    </w:p>
    <w:p>
      <w:pPr>
        <w:pStyle w:val="ListParagraph"/>
        <w:numPr>
          <w:ilvl w:val="1"/>
          <w:numId w:val="32"/>
        </w:numPr>
        <w:tabs>
          <w:tab w:pos="1119" w:val="left" w:leader="none"/>
          <w:tab w:pos="1120" w:val="left" w:leader="none"/>
          <w:tab w:pos="5664" w:val="left" w:leader="none"/>
        </w:tabs>
        <w:spacing w:line="240" w:lineRule="auto" w:before="0" w:after="0"/>
        <w:ind w:left="1119" w:right="0" w:hanging="950"/>
        <w:jc w:val="left"/>
        <w:rPr>
          <w:b/>
          <w:sz w:val="28"/>
        </w:rPr>
      </w:pPr>
      <w:r>
        <w:rPr>
          <w:b/>
          <w:color w:val="009391"/>
          <w:sz w:val="28"/>
          <w:u w:val="thick" w:color="0092C7"/>
        </w:rPr>
        <w:t>Import prices and the exchange</w:t>
      </w:r>
      <w:r>
        <w:rPr>
          <w:b/>
          <w:color w:val="009391"/>
          <w:spacing w:val="-29"/>
          <w:sz w:val="28"/>
          <w:u w:val="thick" w:color="0092C7"/>
        </w:rPr>
        <w:t> </w:t>
      </w:r>
      <w:r>
        <w:rPr>
          <w:b/>
          <w:color w:val="009391"/>
          <w:sz w:val="28"/>
          <w:u w:val="thick" w:color="0092C7"/>
        </w:rPr>
        <w:t>rate</w:t>
        <w:tab/>
      </w:r>
    </w:p>
    <w:p>
      <w:pPr>
        <w:spacing w:line="242" w:lineRule="auto" w:before="264"/>
        <w:ind w:left="170" w:right="162" w:firstLine="0"/>
        <w:jc w:val="left"/>
        <w:rPr>
          <w:sz w:val="24"/>
        </w:rPr>
      </w:pPr>
      <w:r>
        <w:rPr>
          <w:sz w:val="24"/>
        </w:rPr>
        <w:t>Sterling import prices of goods and services rose by 0.2% in Q1, but were 0.8% lower than a year earlier. Within the total, goods import prices rose by 0.2% in the year to Q1, partly reflecting the rise in oil prices, while services import prices fell by 4.2% over the same period (see Chart 4.4).</w:t>
      </w:r>
    </w:p>
    <w:p>
      <w:pPr>
        <w:pStyle w:val="BodyText"/>
        <w:rPr>
          <w:sz w:val="25"/>
        </w:rPr>
      </w:pPr>
    </w:p>
    <w:p>
      <w:pPr>
        <w:spacing w:line="242" w:lineRule="auto" w:before="0"/>
        <w:ind w:left="170" w:right="243" w:firstLine="0"/>
        <w:jc w:val="left"/>
        <w:rPr>
          <w:sz w:val="24"/>
        </w:rPr>
      </w:pPr>
      <w:r>
        <w:rPr>
          <w:sz w:val="24"/>
        </w:rPr>
        <w:t>Sterling import prices reflect a number of influences: average world export prices in local currencies; the profit margin on overseas sales to the United Kingdom relative to sales to other markets; and the sterling exchange rate. In the year to Q1 the exchange rate appreciated by 7.2%. World export prices (UK</w:t>
      </w:r>
    </w:p>
    <w:p>
      <w:pPr>
        <w:spacing w:line="242" w:lineRule="auto" w:before="7"/>
        <w:ind w:left="170" w:right="163" w:firstLine="0"/>
        <w:jc w:val="left"/>
        <w:rPr>
          <w:sz w:val="24"/>
        </w:rPr>
      </w:pPr>
      <w:r>
        <w:rPr>
          <w:sz w:val="24"/>
        </w:rPr>
        <w:t>trade-weighted) rose by 0.7% in Q1, which was more than expected, and were 1.4% higher than a year earlier. The MPC has assumed that world export prices will rise more quickly than in the May projection in the near term because of the impact of the rise in oil prices and stronger world demand.</w:t>
      </w:r>
    </w:p>
    <w:p>
      <w:pPr>
        <w:pStyle w:val="BodyText"/>
        <w:rPr>
          <w:sz w:val="25"/>
        </w:rPr>
      </w:pPr>
    </w:p>
    <w:p>
      <w:pPr>
        <w:spacing w:line="242" w:lineRule="auto" w:before="1"/>
        <w:ind w:left="170" w:right="243" w:firstLine="0"/>
        <w:jc w:val="left"/>
        <w:rPr>
          <w:sz w:val="24"/>
        </w:rPr>
      </w:pPr>
      <w:r>
        <w:rPr>
          <w:sz w:val="24"/>
        </w:rPr>
        <w:t>As discussed in the May </w:t>
      </w:r>
      <w:r>
        <w:rPr>
          <w:i/>
          <w:sz w:val="24"/>
        </w:rPr>
        <w:t>Report</w:t>
      </w:r>
      <w:r>
        <w:rPr>
          <w:sz w:val="24"/>
        </w:rPr>
        <w:t>, sterling import prices have been higher in recent quarters than previous relationships would imply, given the levels of average world export prices and the sterling effective exchange rate. Chart 4.5 shows that foreign exporters’ prices in the United Kingdom have increased relative to their prices in other markets. That is consistent with a rise in the profitability of exporting to the United Kingdom.</w:t>
      </w:r>
    </w:p>
    <w:p>
      <w:pPr>
        <w:spacing w:line="242" w:lineRule="auto" w:before="10"/>
        <w:ind w:left="170" w:right="162" w:firstLine="0"/>
        <w:jc w:val="left"/>
        <w:rPr>
          <w:sz w:val="24"/>
        </w:rPr>
      </w:pPr>
      <w:r>
        <w:rPr>
          <w:sz w:val="24"/>
        </w:rPr>
        <w:t>Such a rise may have been associated with perceptions that the strength of sterling was in part temporary, and</w:t>
      </w:r>
    </w:p>
    <w:p>
      <w:pPr>
        <w:spacing w:after="0" w:line="242" w:lineRule="auto"/>
        <w:jc w:val="left"/>
        <w:rPr>
          <w:sz w:val="24"/>
        </w:rPr>
        <w:sectPr>
          <w:type w:val="continuous"/>
          <w:pgSz w:w="11900" w:h="16840"/>
          <w:pgMar w:top="1260" w:bottom="280" w:left="640" w:right="640"/>
          <w:cols w:num="2" w:equalWidth="0">
            <w:col w:w="3704" w:space="1111"/>
            <w:col w:w="5805"/>
          </w:cols>
        </w:sectPr>
      </w:pPr>
    </w:p>
    <w:p>
      <w:pPr>
        <w:spacing w:before="7"/>
        <w:ind w:left="215" w:right="0" w:firstLine="0"/>
        <w:jc w:val="left"/>
        <w:rPr>
          <w:sz w:val="12"/>
        </w:rPr>
      </w:pPr>
      <w:r>
        <w:rPr/>
        <w:pict>
          <v:line style="position:absolute;mso-position-horizontal-relative:page;mso-position-vertical-relative:paragraph;z-index:16233472" from="58.894001pt,8.589182pt" to="54.561001pt,8.589182pt" stroked="true" strokeweight=".5pt" strokecolor="#000000">
            <v:stroke dashstyle="solid"/>
            <w10:wrap type="none"/>
          </v:line>
        </w:pict>
      </w:r>
      <w:r>
        <w:rPr>
          <w:position w:val="-5"/>
          <w:sz w:val="12"/>
        </w:rPr>
        <w:t>120 </w:t>
      </w:r>
      <w:r>
        <w:rPr>
          <w:sz w:val="12"/>
        </w:rPr>
        <w:t>1990 = 100</w:t>
      </w:r>
    </w:p>
    <w:p>
      <w:pPr>
        <w:pStyle w:val="BodyText"/>
        <w:spacing w:before="2"/>
        <w:rPr>
          <w:sz w:val="20"/>
        </w:rPr>
      </w:pPr>
    </w:p>
    <w:p>
      <w:pPr>
        <w:spacing w:before="0"/>
        <w:ind w:left="215" w:right="0" w:firstLine="0"/>
        <w:jc w:val="left"/>
        <w:rPr>
          <w:sz w:val="12"/>
        </w:rPr>
      </w:pPr>
      <w:r>
        <w:rPr/>
        <w:pict>
          <v:group style="position:absolute;margin-left:54.561001pt;margin-top:-5.586749pt;width:151.950pt;height:127.35pt;mso-position-horizontal-relative:page;mso-position-vertical-relative:paragraph;z-index:16232448" coordorigin="1091,-112" coordsize="3039,2547">
            <v:shape style="position:absolute;left:1232;top:1015;width:368;height:403" type="#_x0000_t75" stroked="false">
              <v:imagedata r:id="rId133" o:title=""/>
            </v:shape>
            <v:line style="position:absolute" from="1590,1113" to="1653,1583" stroked="true" strokeweight="1pt" strokecolor="#008360">
              <v:stroke dashstyle="solid"/>
            </v:line>
            <v:shape style="position:absolute;left:1642;top:870;width:663;height:723" type="#_x0000_t75" stroked="false">
              <v:imagedata r:id="rId134" o:title=""/>
            </v:shape>
            <v:shape style="position:absolute;left:2295;top:820;width:1005;height:1363" coordorigin="2295,821" coordsize="1005,1363" path="m2295,1393l2358,2183m2358,2183l2420,1933m2420,1933l2470,1583m2470,1583l2533,1451m2533,1451l2593,1378m2593,1378l2655,1291m2655,1291l2705,1378m2705,1378l2768,1231m2768,1231l2830,1143m2830,1143l2890,1216m2890,1216l2940,1538m2940,1538l3003,1421m3003,1421l3065,1583m3065,1583l3125,1523m3125,1523l3175,1306m3175,1306l3238,1421m3238,1421l3300,821e" filled="false" stroked="true" strokeweight="1pt" strokecolor="#008360">
              <v:path arrowok="t"/>
              <v:stroke dashstyle="solid"/>
            </v:shape>
            <v:shape style="position:absolute;left:3290;top:153;width:428;height:678" type="#_x0000_t75" stroked="false">
              <v:imagedata r:id="rId135" o:title=""/>
            </v:shape>
            <v:shape style="position:absolute;left:3707;top:440;width:348;height:673" coordorigin="3707,441" coordsize="348,673" path="m3707,691l3770,1113m3770,1113l3820,1026m3820,1026l3882,793m3882,793l3945,851m3945,851l4005,676m4005,676l4055,441e" filled="false" stroked="true" strokeweight="1pt" strokecolor="#008360">
              <v:path arrowok="t"/>
              <v:stroke dashstyle="solid"/>
            </v:shape>
            <v:shape style="position:absolute;left:1232;top:620;width:553;height:768" type="#_x0000_t75" stroked="false">
              <v:imagedata r:id="rId136" o:title=""/>
            </v:shape>
            <v:line style="position:absolute" from="1775,1363" to="1825,923" stroked="true" strokeweight="1pt" strokecolor="#a64991">
              <v:stroke dashstyle="solid"/>
            </v:line>
            <v:shape style="position:absolute;left:1815;top:913;width:490;height:285" type="#_x0000_t75" stroked="false">
              <v:imagedata r:id="rId137" o:title=""/>
            </v:shape>
            <v:shape style="position:absolute;left:2295;top:1188;width:238;height:923" coordorigin="2295,1188" coordsize="238,923" path="m2295,1188l2358,2036m2358,2036l2420,2111m2420,2111l2470,1963m2470,1963l2533,1861e" filled="false" stroked="true" strokeweight="1pt" strokecolor="#a64991">
              <v:path arrowok="t"/>
              <v:stroke dashstyle="solid"/>
            </v:shape>
            <v:line style="position:absolute" from="2523,1862" to="2603,1862" stroked="true" strokeweight="1.125pt" strokecolor="#a64991">
              <v:stroke dashstyle="solid"/>
            </v:line>
            <v:shape style="position:absolute;left:2592;top:1815;width:348;height:470" coordorigin="2593,1816" coordsize="348,470" path="m2593,1861l2655,1816m2655,1816l2705,1933m2705,1933l2768,2021m2768,2021l2830,1933m2830,1933l2890,2081m2890,2081l2940,2286e" filled="false" stroked="true" strokeweight="1pt" strokecolor="#a64991">
              <v:path arrowok="t"/>
              <v:stroke dashstyle="solid"/>
            </v:shape>
            <v:line style="position:absolute" from="2930,2287" to="3013,2287" stroked="true" strokeweight="1.125pt" strokecolor="#a64991">
              <v:stroke dashstyle="solid"/>
            </v:line>
            <v:line style="position:absolute" from="3003,2286" to="3065,2343" stroked="true" strokeweight="1pt" strokecolor="#a64991">
              <v:stroke dashstyle="solid"/>
            </v:line>
            <v:line style="position:absolute" from="3055,2344" to="3135,2344" stroked="true" strokeweight="1.125pt" strokecolor="#a64991">
              <v:stroke dashstyle="solid"/>
            </v:line>
            <v:shape style="position:absolute;left:3125;top:763;width:460;height:1580" coordorigin="3125,763" coordsize="460,1580" path="m3125,2343l3175,2241m3175,2241l3238,2198m3238,2198l3300,1773m3300,1773l3350,1378m3350,1378l3410,1173m3410,1173l3473,968m3473,968l3535,923m3535,923l3585,763e" filled="false" stroked="true" strokeweight="1pt" strokecolor="#a64991">
              <v:path arrowok="t"/>
              <v:stroke dashstyle="solid"/>
            </v:shape>
            <v:line style="position:absolute" from="3575,764" to="3658,764" stroked="true" strokeweight="1.125pt" strokecolor="#a64991">
              <v:stroke dashstyle="solid"/>
            </v:line>
            <v:shape style="position:absolute;left:3647;top:543;width:470;height:570" coordorigin="3648,543" coordsize="470,570" path="m3648,763l3708,836m3708,836l3770,1113m3770,1113l3820,1071m3820,1071l3883,851m3883,851l3945,881m3945,881l4005,718m4005,718l4055,543m4055,543l4118,601e" filled="false" stroked="true" strokeweight="1pt" strokecolor="#a64991">
              <v:path arrowok="t"/>
              <v:stroke dashstyle="solid"/>
            </v:shape>
            <v:shape style="position:absolute;left:1091;top:80;width:87;height:2134" coordorigin="1091,80" coordsize="87,2134" path="m1178,808l1091,808m1178,1152l1091,1152m1178,1512l1091,1512m1178,1878l1091,1878m1178,2214l1091,2214m1178,80l1091,80m1178,439l1091,439e" filled="false" stroked="true" strokeweight=".5pt" strokecolor="#000000">
              <v:path arrowok="t"/>
              <v:stroke dashstyle="solid"/>
            </v:shape>
            <v:shape style="position:absolute;left:2109;top:-112;width:1670;height:413" type="#_x0000_t202" filled="false" stroked="false">
              <v:textbox inset="0,0,0,0">
                <w:txbxContent>
                  <w:p>
                    <w:pPr>
                      <w:spacing w:line="133" w:lineRule="exact" w:before="0"/>
                      <w:ind w:left="0" w:right="0" w:firstLine="0"/>
                      <w:jc w:val="left"/>
                      <w:rPr>
                        <w:sz w:val="12"/>
                      </w:rPr>
                    </w:pPr>
                    <w:r>
                      <w:rPr>
                        <w:sz w:val="12"/>
                      </w:rPr>
                      <w:t>Foreign exporters’ relative</w:t>
                    </w:r>
                  </w:p>
                  <w:p>
                    <w:pPr>
                      <w:spacing w:line="242" w:lineRule="auto" w:before="2"/>
                      <w:ind w:left="60" w:right="18" w:firstLine="0"/>
                      <w:jc w:val="left"/>
                      <w:rPr>
                        <w:sz w:val="12"/>
                      </w:rPr>
                    </w:pPr>
                    <w:r>
                      <w:rPr>
                        <w:sz w:val="12"/>
                      </w:rPr>
                      <w:t>prices to the United Kingdom (a) (right-hand scale)</w:t>
                    </w:r>
                  </w:p>
                </w:txbxContent>
              </v:textbox>
              <w10:wrap type="none"/>
            </v:shape>
            <v:shape style="position:absolute;left:3266;top:2021;width:863;height:413" type="#_x0000_t202" filled="false" stroked="false">
              <v:textbox inset="0,0,0,0">
                <w:txbxContent>
                  <w:p>
                    <w:pPr>
                      <w:spacing w:line="242" w:lineRule="auto" w:before="0"/>
                      <w:ind w:left="60" w:right="18" w:hanging="60"/>
                      <w:jc w:val="left"/>
                      <w:rPr>
                        <w:sz w:val="12"/>
                      </w:rPr>
                    </w:pPr>
                    <w:r>
                      <w:rPr>
                        <w:sz w:val="12"/>
                      </w:rPr>
                      <w:t>Sterling effective exchange rate (left-hand scale)</w:t>
                    </w:r>
                  </w:p>
                </w:txbxContent>
              </v:textbox>
              <w10:wrap type="none"/>
            </v:shape>
            <w10:wrap type="none"/>
          </v:group>
        </w:pict>
      </w:r>
      <w:r>
        <w:rPr>
          <w:sz w:val="12"/>
        </w:rPr>
        <w:t>115</w:t>
      </w:r>
    </w:p>
    <w:p>
      <w:pPr>
        <w:pStyle w:val="BodyText"/>
        <w:rPr>
          <w:sz w:val="12"/>
        </w:rPr>
      </w:pPr>
    </w:p>
    <w:p>
      <w:pPr>
        <w:spacing w:before="74"/>
        <w:ind w:left="215" w:right="0" w:firstLine="0"/>
        <w:jc w:val="left"/>
        <w:rPr>
          <w:sz w:val="12"/>
        </w:rPr>
      </w:pPr>
      <w:r>
        <w:rPr>
          <w:sz w:val="12"/>
        </w:rPr>
        <w:t>110</w:t>
      </w:r>
    </w:p>
    <w:p>
      <w:pPr>
        <w:pStyle w:val="BodyText"/>
        <w:rPr>
          <w:sz w:val="12"/>
        </w:rPr>
      </w:pPr>
    </w:p>
    <w:p>
      <w:pPr>
        <w:spacing w:before="92"/>
        <w:ind w:left="215" w:right="0" w:firstLine="0"/>
        <w:jc w:val="left"/>
        <w:rPr>
          <w:sz w:val="12"/>
        </w:rPr>
      </w:pPr>
      <w:r>
        <w:rPr>
          <w:sz w:val="12"/>
        </w:rPr>
        <w:t>105</w:t>
      </w:r>
    </w:p>
    <w:p>
      <w:pPr>
        <w:pStyle w:val="BodyText"/>
        <w:rPr>
          <w:sz w:val="12"/>
        </w:rPr>
      </w:pPr>
    </w:p>
    <w:p>
      <w:pPr>
        <w:spacing w:before="89"/>
        <w:ind w:left="215" w:right="0" w:firstLine="0"/>
        <w:jc w:val="left"/>
        <w:rPr>
          <w:sz w:val="12"/>
        </w:rPr>
      </w:pPr>
      <w:r>
        <w:rPr>
          <w:sz w:val="12"/>
        </w:rPr>
        <w:t>100</w:t>
      </w:r>
    </w:p>
    <w:p>
      <w:pPr>
        <w:pStyle w:val="BodyText"/>
        <w:rPr>
          <w:sz w:val="12"/>
        </w:rPr>
      </w:pPr>
    </w:p>
    <w:p>
      <w:pPr>
        <w:spacing w:before="76"/>
        <w:ind w:left="290" w:right="0" w:firstLine="0"/>
        <w:jc w:val="left"/>
        <w:rPr>
          <w:sz w:val="12"/>
        </w:rPr>
      </w:pPr>
      <w:r>
        <w:rPr>
          <w:sz w:val="12"/>
        </w:rPr>
        <w:t>95</w:t>
      </w:r>
    </w:p>
    <w:p>
      <w:pPr>
        <w:pStyle w:val="BodyText"/>
        <w:rPr>
          <w:sz w:val="12"/>
        </w:rPr>
      </w:pPr>
    </w:p>
    <w:p>
      <w:pPr>
        <w:spacing w:before="89"/>
        <w:ind w:left="290" w:right="0" w:firstLine="0"/>
        <w:jc w:val="left"/>
        <w:rPr>
          <w:sz w:val="12"/>
        </w:rPr>
      </w:pPr>
      <w:r>
        <w:rPr>
          <w:sz w:val="12"/>
        </w:rPr>
        <w:t>90</w:t>
      </w:r>
    </w:p>
    <w:p>
      <w:pPr>
        <w:pStyle w:val="BodyText"/>
        <w:rPr>
          <w:sz w:val="12"/>
        </w:rPr>
      </w:pPr>
    </w:p>
    <w:p>
      <w:pPr>
        <w:spacing w:before="74"/>
        <w:ind w:left="290" w:right="0" w:firstLine="0"/>
        <w:jc w:val="left"/>
        <w:rPr>
          <w:sz w:val="12"/>
        </w:rPr>
      </w:pPr>
      <w:r>
        <w:rPr>
          <w:sz w:val="12"/>
        </w:rPr>
        <w:t>85</w:t>
      </w:r>
    </w:p>
    <w:p>
      <w:pPr>
        <w:pStyle w:val="BodyText"/>
        <w:rPr>
          <w:sz w:val="12"/>
        </w:rPr>
      </w:pPr>
    </w:p>
    <w:p>
      <w:pPr>
        <w:spacing w:before="92"/>
        <w:ind w:left="290" w:right="0" w:firstLine="0"/>
        <w:jc w:val="left"/>
        <w:rPr>
          <w:sz w:val="12"/>
        </w:rPr>
      </w:pPr>
      <w:r>
        <w:rPr/>
        <w:pict>
          <v:group style="position:absolute;margin-left:54.561001pt;margin-top:6.095877pt;width:151.8pt;height:2.7pt;mso-position-horizontal-relative:page;mso-position-vertical-relative:paragraph;z-index:16232960" coordorigin="1091,122" coordsize="3036,54">
            <v:shape style="position:absolute;left:1091;top:121;width:1564;height:54" coordorigin="1091,122" coordsize="1564,54" path="m1178,170l1091,170m1243,122l1243,175m1719,122l1719,175m2193,122l2193,175m2655,122l2655,175e" filled="false" stroked="true" strokeweight=".5pt" strokecolor="#000000">
              <v:path arrowok="t"/>
              <v:stroke dashstyle="solid"/>
            </v:shape>
            <v:line style="position:absolute" from="1243,170" to="4126,170" stroked="true" strokeweight=".5pt" strokecolor="#000000">
              <v:stroke dashstyle="solid"/>
            </v:line>
            <v:shape style="position:absolute;left:3138;top:121;width:937;height:54" coordorigin="3139,122" coordsize="937,54" path="m3139,122l3139,175m3613,122l3613,175m4075,122l4075,175e" filled="false" stroked="true" strokeweight=".5pt" strokecolor="#000000">
              <v:path arrowok="t"/>
              <v:stroke dashstyle="solid"/>
            </v:shape>
            <w10:wrap type="none"/>
          </v:group>
        </w:pict>
      </w:r>
      <w:r>
        <w:rPr>
          <w:sz w:val="12"/>
        </w:rPr>
        <w:t>80</w:t>
      </w:r>
    </w:p>
    <w:p>
      <w:pPr>
        <w:spacing w:before="7"/>
        <w:ind w:left="215" w:right="0" w:firstLine="0"/>
        <w:jc w:val="left"/>
        <w:rPr>
          <w:sz w:val="12"/>
        </w:rPr>
      </w:pPr>
      <w:r>
        <w:rPr/>
        <w:br w:type="column"/>
      </w:r>
      <w:r>
        <w:rPr>
          <w:sz w:val="12"/>
        </w:rPr>
        <w:t>Ratio</w:t>
      </w:r>
      <w:r>
        <w:rPr>
          <w:spacing w:val="25"/>
          <w:sz w:val="12"/>
        </w:rPr>
        <w:t> </w:t>
      </w:r>
      <w:r>
        <w:rPr>
          <w:position w:val="-6"/>
          <w:sz w:val="12"/>
        </w:rPr>
        <w:t>1.15</w:t>
      </w:r>
    </w:p>
    <w:p>
      <w:pPr>
        <w:pStyle w:val="BodyText"/>
        <w:rPr>
          <w:sz w:val="20"/>
        </w:rPr>
      </w:pPr>
    </w:p>
    <w:p>
      <w:pPr>
        <w:pStyle w:val="BodyText"/>
        <w:spacing w:before="10"/>
        <w:rPr>
          <w:sz w:val="17"/>
        </w:rPr>
      </w:pPr>
    </w:p>
    <w:p>
      <w:pPr>
        <w:spacing w:before="0"/>
        <w:ind w:left="0" w:right="38" w:firstLine="0"/>
        <w:jc w:val="right"/>
        <w:rPr>
          <w:sz w:val="12"/>
        </w:rPr>
      </w:pPr>
      <w:r>
        <w:rPr/>
        <w:pict>
          <v:line style="position:absolute;mso-position-horizontal-relative:page;mso-position-vertical-relative:paragraph;z-index:-23062016" from="214.384994pt,-25.030636pt" to="210.052994pt,-25.030636pt" stroked="true" strokeweight=".5pt" strokecolor="#000000">
            <v:stroke dashstyle="solid"/>
            <w10:wrap type="none"/>
          </v:line>
        </w:pict>
      </w:r>
      <w:r>
        <w:rPr/>
        <w:pict>
          <v:line style="position:absolute;mso-position-horizontal-relative:page;mso-position-vertical-relative:paragraph;z-index:16236544" from="214.384994pt,3.626364pt" to="210.052994pt,3.626364pt" stroked="true" strokeweight=".5pt" strokecolor="#000000">
            <v:stroke dashstyle="solid"/>
            <w10:wrap type="none"/>
          </v:line>
        </w:pict>
      </w:r>
      <w:r>
        <w:rPr>
          <w:sz w:val="12"/>
        </w:rPr>
        <w:t>1.10</w:t>
      </w:r>
    </w:p>
    <w:p>
      <w:pPr>
        <w:pStyle w:val="BodyText"/>
        <w:rPr>
          <w:sz w:val="12"/>
        </w:rPr>
      </w:pPr>
    </w:p>
    <w:p>
      <w:pPr>
        <w:pStyle w:val="BodyText"/>
        <w:rPr>
          <w:sz w:val="12"/>
        </w:rPr>
      </w:pPr>
    </w:p>
    <w:p>
      <w:pPr>
        <w:pStyle w:val="BodyText"/>
        <w:spacing w:before="10"/>
        <w:rPr>
          <w:sz w:val="14"/>
        </w:rPr>
      </w:pPr>
    </w:p>
    <w:p>
      <w:pPr>
        <w:spacing w:before="0"/>
        <w:ind w:left="0" w:right="38" w:firstLine="0"/>
        <w:jc w:val="right"/>
        <w:rPr>
          <w:sz w:val="12"/>
        </w:rPr>
      </w:pPr>
      <w:r>
        <w:rPr/>
        <w:pict>
          <v:line style="position:absolute;mso-position-horizontal-relative:page;mso-position-vertical-relative:paragraph;z-index:16234496" from="214.385002pt,3.610364pt" to="210.052002pt,3.610364pt" stroked="true" strokeweight=".5pt" strokecolor="#000000">
            <v:stroke dashstyle="solid"/>
            <w10:wrap type="none"/>
          </v:line>
        </w:pict>
      </w:r>
      <w:r>
        <w:rPr>
          <w:sz w:val="12"/>
        </w:rPr>
        <w:t>1.05</w:t>
      </w:r>
    </w:p>
    <w:p>
      <w:pPr>
        <w:pStyle w:val="BodyText"/>
        <w:rPr>
          <w:sz w:val="12"/>
        </w:rPr>
      </w:pPr>
    </w:p>
    <w:p>
      <w:pPr>
        <w:pStyle w:val="BodyText"/>
        <w:rPr>
          <w:sz w:val="12"/>
        </w:rPr>
      </w:pPr>
    </w:p>
    <w:p>
      <w:pPr>
        <w:pStyle w:val="BodyText"/>
        <w:spacing w:before="6"/>
        <w:rPr>
          <w:sz w:val="13"/>
        </w:rPr>
      </w:pPr>
    </w:p>
    <w:p>
      <w:pPr>
        <w:spacing w:before="1"/>
        <w:ind w:left="0" w:right="38" w:firstLine="0"/>
        <w:jc w:val="right"/>
        <w:rPr>
          <w:sz w:val="12"/>
        </w:rPr>
      </w:pPr>
      <w:r>
        <w:rPr/>
        <w:pict>
          <v:line style="position:absolute;mso-position-horizontal-relative:page;mso-position-vertical-relative:paragraph;z-index:16233984" from="214.385002pt,3.689364pt" to="210.052002pt,3.689364pt" stroked="true" strokeweight=".5pt" strokecolor="#000000">
            <v:stroke dashstyle="solid"/>
            <w10:wrap type="none"/>
          </v:line>
        </w:pict>
      </w:r>
      <w:r>
        <w:rPr>
          <w:sz w:val="12"/>
        </w:rPr>
        <w:t>1.00</w:t>
      </w:r>
    </w:p>
    <w:p>
      <w:pPr>
        <w:pStyle w:val="BodyText"/>
        <w:rPr>
          <w:sz w:val="12"/>
        </w:rPr>
      </w:pPr>
    </w:p>
    <w:p>
      <w:pPr>
        <w:pStyle w:val="BodyText"/>
        <w:rPr>
          <w:sz w:val="12"/>
        </w:rPr>
      </w:pPr>
    </w:p>
    <w:p>
      <w:pPr>
        <w:pStyle w:val="BodyText"/>
        <w:spacing w:before="9"/>
        <w:rPr>
          <w:sz w:val="14"/>
        </w:rPr>
      </w:pPr>
    </w:p>
    <w:p>
      <w:pPr>
        <w:spacing w:before="1"/>
        <w:ind w:left="0" w:right="38" w:firstLine="0"/>
        <w:jc w:val="right"/>
        <w:rPr>
          <w:sz w:val="12"/>
        </w:rPr>
      </w:pPr>
      <w:r>
        <w:rPr/>
        <w:pict>
          <v:line style="position:absolute;mso-position-horizontal-relative:page;mso-position-vertical-relative:paragraph;z-index:16235008" from="214.385002pt,3.653364pt" to="210.052002pt,3.653364pt" stroked="true" strokeweight=".5pt" strokecolor="#000000">
            <v:stroke dashstyle="solid"/>
            <w10:wrap type="none"/>
          </v:line>
        </w:pict>
      </w:r>
      <w:r>
        <w:rPr>
          <w:sz w:val="12"/>
        </w:rPr>
        <w:t>0.95</w:t>
      </w:r>
    </w:p>
    <w:p>
      <w:pPr>
        <w:pStyle w:val="BodyText"/>
        <w:rPr>
          <w:sz w:val="12"/>
        </w:rPr>
      </w:pPr>
    </w:p>
    <w:p>
      <w:pPr>
        <w:pStyle w:val="BodyText"/>
        <w:rPr>
          <w:sz w:val="12"/>
        </w:rPr>
      </w:pPr>
    </w:p>
    <w:p>
      <w:pPr>
        <w:pStyle w:val="BodyText"/>
        <w:spacing w:before="9"/>
        <w:rPr>
          <w:sz w:val="13"/>
        </w:rPr>
      </w:pPr>
    </w:p>
    <w:p>
      <w:pPr>
        <w:spacing w:line="133" w:lineRule="exact" w:before="0"/>
        <w:ind w:left="0" w:right="38" w:firstLine="0"/>
        <w:jc w:val="right"/>
        <w:rPr>
          <w:sz w:val="12"/>
        </w:rPr>
      </w:pPr>
      <w:r>
        <w:rPr/>
        <w:pict>
          <v:line style="position:absolute;mso-position-horizontal-relative:page;mso-position-vertical-relative:paragraph;z-index:16235520" from="214.385002pt,3.483562pt" to="210.052002pt,3.483562pt" stroked="true" strokeweight=".5pt" strokecolor="#000000">
            <v:stroke dashstyle="solid"/>
            <w10:wrap type="none"/>
          </v:line>
        </w:pict>
      </w:r>
      <w:r>
        <w:rPr>
          <w:sz w:val="12"/>
        </w:rPr>
        <w:t>0.90</w:t>
      </w:r>
    </w:p>
    <w:p>
      <w:pPr>
        <w:spacing w:line="242" w:lineRule="auto" w:before="2"/>
        <w:ind w:left="215" w:right="163" w:firstLine="0"/>
        <w:jc w:val="left"/>
        <w:rPr>
          <w:sz w:val="24"/>
        </w:rPr>
      </w:pPr>
      <w:r>
        <w:rPr/>
        <w:br w:type="column"/>
      </w:r>
      <w:r>
        <w:rPr>
          <w:sz w:val="24"/>
        </w:rPr>
        <w:t>hence that gains from switching supplies to UK markets would be short-lived. But competition is likely to erode this increase in the profitability of exporting to the United Kingdom over time. The MPC has continued to assume that the ratio of sterling import prices to average world export prices in sterling terms declines over the forecast period. The speed of decline is quicker than in the May projection.</w:t>
      </w:r>
    </w:p>
    <w:p>
      <w:pPr>
        <w:pStyle w:val="BodyText"/>
        <w:spacing w:before="2"/>
        <w:rPr>
          <w:sz w:val="27"/>
        </w:rPr>
      </w:pPr>
    </w:p>
    <w:p>
      <w:pPr>
        <w:pStyle w:val="ListParagraph"/>
        <w:numPr>
          <w:ilvl w:val="1"/>
          <w:numId w:val="32"/>
        </w:numPr>
        <w:tabs>
          <w:tab w:pos="1373" w:val="left" w:leader="none"/>
          <w:tab w:pos="1374" w:val="left" w:leader="none"/>
          <w:tab w:pos="5709" w:val="left" w:leader="none"/>
        </w:tabs>
        <w:spacing w:line="240" w:lineRule="auto" w:before="0" w:after="0"/>
        <w:ind w:left="1373" w:right="0" w:hanging="1159"/>
        <w:jc w:val="left"/>
        <w:rPr>
          <w:b/>
          <w:sz w:val="28"/>
        </w:rPr>
      </w:pPr>
      <w:r>
        <w:rPr>
          <w:b/>
          <w:color w:val="009391"/>
          <w:sz w:val="28"/>
          <w:u w:val="thick" w:color="0092C7"/>
        </w:rPr>
        <w:t>Costs and prices in</w:t>
      </w:r>
      <w:r>
        <w:rPr>
          <w:b/>
          <w:color w:val="009391"/>
          <w:spacing w:val="-28"/>
          <w:sz w:val="28"/>
          <w:u w:val="thick" w:color="0092C7"/>
        </w:rPr>
        <w:t> </w:t>
      </w:r>
      <w:r>
        <w:rPr>
          <w:b/>
          <w:color w:val="009391"/>
          <w:sz w:val="28"/>
          <w:u w:val="thick" w:color="0092C7"/>
        </w:rPr>
        <w:t>manufacturing</w:t>
        <w:tab/>
      </w:r>
    </w:p>
    <w:p>
      <w:pPr>
        <w:spacing w:after="0" w:line="240" w:lineRule="auto"/>
        <w:jc w:val="left"/>
        <w:rPr>
          <w:sz w:val="28"/>
        </w:rPr>
        <w:sectPr>
          <w:type w:val="continuous"/>
          <w:pgSz w:w="11900" w:h="16840"/>
          <w:pgMar w:top="1260" w:bottom="280" w:left="640" w:right="640"/>
          <w:cols w:num="3" w:equalWidth="0">
            <w:col w:w="1028" w:space="2140"/>
            <w:col w:w="781" w:space="821"/>
            <w:col w:w="5850"/>
          </w:cols>
        </w:sectPr>
      </w:pPr>
    </w:p>
    <w:p>
      <w:pPr>
        <w:tabs>
          <w:tab w:pos="1224" w:val="left" w:leader="none"/>
          <w:tab w:pos="1694" w:val="left" w:leader="none"/>
          <w:tab w:pos="2167" w:val="left" w:leader="none"/>
          <w:tab w:pos="2637" w:val="left" w:leader="none"/>
          <w:tab w:pos="3094" w:val="left" w:leader="none"/>
        </w:tabs>
        <w:spacing w:line="133" w:lineRule="exact" w:before="0"/>
        <w:ind w:left="744" w:right="0" w:firstLine="0"/>
        <w:jc w:val="left"/>
        <w:rPr>
          <w:sz w:val="12"/>
        </w:rPr>
      </w:pPr>
      <w:r>
        <w:rPr>
          <w:sz w:val="12"/>
        </w:rPr>
        <w:t>1988</w:t>
        <w:tab/>
        <w:t>90</w:t>
        <w:tab/>
        <w:t>92</w:t>
        <w:tab/>
        <w:t>94</w:t>
        <w:tab/>
        <w:t>96</w:t>
        <w:tab/>
        <w:t>98</w:t>
      </w:r>
      <w:r>
        <w:rPr>
          <w:spacing w:val="20"/>
          <w:sz w:val="12"/>
        </w:rPr>
        <w:t> </w:t>
      </w:r>
      <w:r>
        <w:rPr>
          <w:sz w:val="12"/>
        </w:rPr>
        <w:t>2000</w:t>
      </w:r>
    </w:p>
    <w:p>
      <w:pPr>
        <w:pStyle w:val="BodyText"/>
        <w:spacing w:before="9"/>
        <w:rPr>
          <w:sz w:val="9"/>
        </w:rPr>
      </w:pPr>
    </w:p>
    <w:p>
      <w:pPr>
        <w:spacing w:before="0"/>
        <w:ind w:left="190" w:right="0" w:firstLine="0"/>
        <w:jc w:val="left"/>
        <w:rPr>
          <w:sz w:val="12"/>
        </w:rPr>
      </w:pPr>
      <w:r>
        <w:rPr>
          <w:sz w:val="12"/>
        </w:rPr>
        <w:t>Sources: ONS and Bank of England.</w:t>
      </w:r>
    </w:p>
    <w:p>
      <w:pPr>
        <w:spacing w:line="129" w:lineRule="exact" w:before="102"/>
        <w:ind w:left="190" w:right="0" w:firstLine="0"/>
        <w:jc w:val="left"/>
        <w:rPr>
          <w:sz w:val="12"/>
        </w:rPr>
      </w:pPr>
      <w:r>
        <w:rPr>
          <w:sz w:val="12"/>
        </w:rPr>
        <w:t>(a) Estimated as sterling import prices (ie the sterling price of exports to</w:t>
      </w:r>
    </w:p>
    <w:p>
      <w:pPr>
        <w:spacing w:line="208" w:lineRule="auto" w:before="6"/>
        <w:ind w:left="430" w:right="11" w:firstLine="0"/>
        <w:jc w:val="left"/>
        <w:rPr>
          <w:sz w:val="12"/>
        </w:rPr>
      </w:pPr>
      <w:r>
        <w:rPr>
          <w:sz w:val="12"/>
        </w:rPr>
        <w:t>the United Kingdom) divided by average sterling export prices of the major six overseas countries.</w:t>
      </w:r>
    </w:p>
    <w:p>
      <w:pPr>
        <w:spacing w:line="242" w:lineRule="auto" w:before="34"/>
        <w:ind w:left="190" w:right="120" w:firstLine="0"/>
        <w:jc w:val="left"/>
        <w:rPr>
          <w:sz w:val="24"/>
        </w:rPr>
      </w:pPr>
      <w:r>
        <w:rPr/>
        <w:br w:type="column"/>
      </w:r>
      <w:r>
        <w:rPr>
          <w:sz w:val="24"/>
        </w:rPr>
        <w:t>Manufacturers’ input price inflation has risen further since the May </w:t>
      </w:r>
      <w:r>
        <w:rPr>
          <w:i/>
          <w:sz w:val="24"/>
        </w:rPr>
        <w:t>Report</w:t>
      </w:r>
      <w:r>
        <w:rPr>
          <w:sz w:val="24"/>
        </w:rPr>
        <w:t>: the annual rate of inflation was 14.1% in June. However, the inflation rate has been</w:t>
      </w:r>
    </w:p>
    <w:p>
      <w:pPr>
        <w:spacing w:after="0" w:line="242" w:lineRule="auto"/>
        <w:jc w:val="left"/>
        <w:rPr>
          <w:sz w:val="24"/>
        </w:rPr>
        <w:sectPr>
          <w:type w:val="continuous"/>
          <w:pgSz w:w="11900" w:h="16840"/>
          <w:pgMar w:top="1260" w:bottom="280" w:left="640" w:right="640"/>
          <w:cols w:num="2" w:equalWidth="0">
            <w:col w:w="4090" w:space="706"/>
            <w:col w:w="5824"/>
          </w:cols>
        </w:sectPr>
      </w:pPr>
    </w:p>
    <w:p>
      <w:pPr>
        <w:pStyle w:val="BodyText"/>
        <w:rPr>
          <w:sz w:val="20"/>
        </w:rPr>
      </w:pPr>
    </w:p>
    <w:p>
      <w:pPr>
        <w:spacing w:after="0"/>
        <w:rPr>
          <w:sz w:val="20"/>
        </w:rPr>
        <w:sectPr>
          <w:footerReference w:type="even" r:id="rId138"/>
          <w:footerReference w:type="default" r:id="rId139"/>
          <w:pgSz w:w="11900" w:h="16840"/>
          <w:pgMar w:footer="592" w:header="601" w:top="780" w:bottom="780" w:left="640" w:right="640"/>
          <w:pgNumType w:start="34"/>
        </w:sectPr>
      </w:pPr>
    </w:p>
    <w:p>
      <w:pPr>
        <w:pStyle w:val="BodyText"/>
        <w:spacing w:before="5"/>
        <w:rPr>
          <w:sz w:val="21"/>
        </w:rPr>
      </w:pPr>
    </w:p>
    <w:p>
      <w:pPr>
        <w:pStyle w:val="Heading6"/>
        <w:spacing w:before="0"/>
        <w:ind w:left="170"/>
      </w:pPr>
      <w:bookmarkStart w:name="Costs and prices in the service sector" w:id="60"/>
      <w:bookmarkEnd w:id="60"/>
      <w:r>
        <w:rPr>
          <w:b w:val="0"/>
        </w:rPr>
      </w:r>
      <w:bookmarkStart w:name="_bookmark23" w:id="61"/>
      <w:bookmarkEnd w:id="61"/>
      <w:r>
        <w:rPr>
          <w:b w:val="0"/>
        </w:rPr>
      </w:r>
      <w:r>
        <w:rPr>
          <w:color w:val="0092C7"/>
        </w:rPr>
        <w:t>Chart 4.6</w:t>
      </w:r>
    </w:p>
    <w:p>
      <w:pPr>
        <w:pStyle w:val="Heading6"/>
        <w:ind w:left="170"/>
      </w:pPr>
      <w:r>
        <w:rPr>
          <w:color w:val="0092C7"/>
        </w:rPr>
        <w:t>Manufacturing input prices</w:t>
      </w:r>
    </w:p>
    <w:p>
      <w:pPr>
        <w:pStyle w:val="BodyText"/>
        <w:spacing w:before="5"/>
        <w:rPr>
          <w:b/>
          <w:sz w:val="21"/>
        </w:rPr>
      </w:pPr>
      <w:r>
        <w:rPr/>
        <w:br w:type="column"/>
      </w:r>
      <w:r>
        <w:rPr>
          <w:b/>
          <w:sz w:val="21"/>
        </w:rPr>
      </w:r>
    </w:p>
    <w:p>
      <w:pPr>
        <w:spacing w:line="242" w:lineRule="auto" w:before="0"/>
        <w:ind w:left="170" w:right="0" w:firstLine="0"/>
        <w:jc w:val="left"/>
        <w:rPr>
          <w:sz w:val="24"/>
        </w:rPr>
      </w:pPr>
      <w:r>
        <w:rPr>
          <w:sz w:val="24"/>
        </w:rPr>
        <w:t>volatile in recent months, mainly reflecting quite sharp movements in oil prices. But excluding petrol and other</w:t>
      </w:r>
    </w:p>
    <w:p>
      <w:pPr>
        <w:spacing w:after="0" w:line="242" w:lineRule="auto"/>
        <w:jc w:val="left"/>
        <w:rPr>
          <w:sz w:val="24"/>
        </w:rPr>
        <w:sectPr>
          <w:type w:val="continuous"/>
          <w:pgSz w:w="11900" w:h="16840"/>
          <w:pgMar w:top="1260" w:bottom="280" w:left="640" w:right="640"/>
          <w:cols w:num="2" w:equalWidth="0">
            <w:col w:w="2577" w:space="2213"/>
            <w:col w:w="5830"/>
          </w:cols>
        </w:sectPr>
      </w:pPr>
    </w:p>
    <w:p>
      <w:pPr>
        <w:spacing w:before="70"/>
        <w:ind w:left="229" w:right="0" w:firstLine="0"/>
        <w:jc w:val="left"/>
        <w:rPr>
          <w:sz w:val="12"/>
        </w:rPr>
      </w:pPr>
      <w:r>
        <w:rPr/>
        <w:pict>
          <v:group style="position:absolute;margin-left:52.361pt;margin-top:11.34845pt;width:159.950pt;height:126.5pt;mso-position-horizontal-relative:page;mso-position-vertical-relative:paragraph;z-index:-23060992" coordorigin="1047,227" coordsize="3199,2530">
            <v:shape style="position:absolute;left:1207;top:624;width:1613;height:2123" coordorigin="1208,624" coordsize="1613,2123" path="m1208,639l1253,714m1253,714l1298,669m1298,669l1340,624m1340,624l1385,729m1385,729l1430,714m1430,714l1475,819m1475,819l1508,849m1508,849l1553,729m1553,729l1598,924m1598,924l1640,1207m1640,1207l1685,1132m1685,1132l1730,1342m1730,1342l1775,1432m1775,1432l1820,1447m1820,1447l1863,1537m1863,1537l1908,1759m1908,1759l1953,1909m1953,1909l1998,1954m1998,1954l2040,1969m2040,1969l2075,2014m2075,2014l2120,1834m2120,1834l2163,2014m2163,2014l2208,2104m2208,2104l2253,2164m2253,2164l2298,2269m2298,2269l2340,2479m2340,2479l2385,2747m2385,2747l2430,2537m2430,2537l2475,2522m2475,2522l2520,2449m2520,2449l2563,2374m2563,2374l2608,2464m2608,2464l2653,2507m2653,2507l2685,2479m2685,2479l2730,2537m2730,2537l2775,2627m2775,2627l2820,2582e" filled="false" stroked="true" strokeweight="1pt" strokecolor="#006caa">
              <v:path arrowok="t"/>
              <v:stroke dashstyle="solid"/>
            </v:shape>
            <v:line style="position:absolute" from="2810,2583" to="2873,2583" stroked="true" strokeweight="1.125pt" strokecolor="#006caa">
              <v:stroke dashstyle="solid"/>
            </v:line>
            <v:shape style="position:absolute;left:2862;top:2404;width:135;height:178" coordorigin="2863,2404" coordsize="135,178" path="m2863,2582l2908,2464m2908,2464l2953,2404m2953,2404l2998,2479e" filled="false" stroked="true" strokeweight="1pt" strokecolor="#006caa">
              <v:path arrowok="t"/>
              <v:stroke dashstyle="solid"/>
            </v:shape>
            <v:line style="position:absolute" from="2988,2481" to="3053,2481" stroked="true" strokeweight="1.125pt" strokecolor="#006caa">
              <v:stroke dashstyle="solid"/>
            </v:line>
            <v:shape style="position:absolute;left:3042;top:279;width:865;height:2393" coordorigin="3043,279" coordsize="865,2393" path="m3043,2479l3085,2597m3085,2597l3130,2627m3130,2627l3175,2672m3175,2672l3220,2507m3220,2507l3253,2522m3253,2522l3298,2314m3298,2314l3343,2269m3343,2269l3385,2044m3385,2044l3430,1702m3430,1702l3475,1909m3475,1909l3520,1774m3520,1774l3563,1387m3563,1387l3608,1267m3608,1267l3653,1072m3653,1072l3698,999m3698,999l3743,684m3743,684l3785,489m3785,489l3820,624m3820,624l3863,279m3863,279l3908,369e" filled="false" stroked="true" strokeweight="1pt" strokecolor="#006caa">
              <v:path arrowok="t"/>
              <v:stroke dashstyle="solid"/>
            </v:shape>
            <v:shape style="position:absolute;left:3930;top:359;width:45;height:560" coordorigin="3930,359" coordsize="45,560" path="m3930,359l3930,919m3975,419l3975,919e" filled="false" stroked="true" strokeweight="3.25pt" strokecolor="#006caa">
              <v:path arrowok="t"/>
              <v:stroke dashstyle="solid"/>
            </v:shape>
            <v:line style="position:absolute" from="3998,429" to="4043,309" stroked="true" strokeweight="1pt" strokecolor="#006caa">
              <v:stroke dashstyle="solid"/>
            </v:line>
            <v:shape style="position:absolute;left:1207;top:489;width:523;height:1063" coordorigin="1208,489" coordsize="523,1063" path="m1208,669l1253,744m1253,744l1298,609m1298,609l1340,489m1340,489l1385,534m1385,534l1430,504m1430,504l1475,489m1475,489l1508,609m1508,609l1553,744m1553,744l1598,984m1598,984l1640,1237m1640,1237l1685,1297m1685,1297l1730,1552e" filled="false" stroked="true" strokeweight="1pt" strokecolor="#9ed01a">
              <v:path arrowok="t"/>
              <v:stroke dashstyle="solid"/>
            </v:shape>
            <v:line style="position:absolute" from="1720,1553" to="1785,1553" stroked="true" strokeweight="1.125pt" strokecolor="#9ed01a">
              <v:stroke dashstyle="solid"/>
            </v:line>
            <v:shape style="position:absolute;left:1775;top:1551;width:345;height:823" coordorigin="1775,1552" coordsize="345,823" path="m1775,1552l1820,1732m1820,1732l1863,1924m1863,1924l1908,2044m1908,2044l1953,2209m1953,2209l1998,2359m1998,2359l2040,2329m2040,2329l2075,2374m2075,2374l2120,2224e" filled="false" stroked="true" strokeweight="1pt" strokecolor="#9ed01a">
              <v:path arrowok="t"/>
              <v:stroke dashstyle="solid"/>
            </v:shape>
            <v:line style="position:absolute" from="2110,2226" to="2173,2226" stroked="true" strokeweight="1.125pt" strokecolor="#9ed01a">
              <v:stroke dashstyle="solid"/>
            </v:line>
            <v:shape style="position:absolute;left:2162;top:2224;width:358;height:165" coordorigin="2163,2224" coordsize="358,165" path="m2163,2224l2208,2299m2208,2299l2253,2329m2253,2329l2298,2389m2298,2389l2340,2344m2340,2344l2385,2389m2385,2389l2430,2329m2430,2329l2475,2299m2475,2299l2520,2239e" filled="false" stroked="true" strokeweight="1pt" strokecolor="#9ed01a">
              <v:path arrowok="t"/>
              <v:stroke dashstyle="solid"/>
            </v:shape>
            <v:shape style="position:absolute;left:2510;top:2240;width:108;height:2" coordorigin="2510,2241" coordsize="108,0" path="m2510,2241l2573,2241m2553,2241l2618,2241e" filled="false" stroked="true" strokeweight="1.125pt" strokecolor="#9ed01a">
              <v:path arrowok="t"/>
              <v:stroke dashstyle="solid"/>
            </v:shape>
            <v:shape style="position:absolute;left:2607;top:2029;width:300;height:210" coordorigin="2608,2029" coordsize="300,210" path="m2608,2239l2653,2209m2653,2209l2685,2164m2685,2164l2730,2104m2730,2104l2775,2089m2775,2089l2820,2029m2820,2029l2863,2089m2863,2089l2908,2029e" filled="false" stroked="true" strokeweight="1pt" strokecolor="#9ed01a">
              <v:path arrowok="t"/>
              <v:stroke dashstyle="solid"/>
            </v:shape>
            <v:line style="position:absolute" from="2898,2031" to="2963,2031" stroked="true" strokeweight="1.125pt" strokecolor="#9ed01a">
              <v:stroke dashstyle="solid"/>
            </v:line>
            <v:shape style="position:absolute;left:2952;top:1999;width:133;height:90" coordorigin="2953,1999" coordsize="133,90" path="m2953,2029l2998,1999m2998,1999l3043,2044m3043,2044l3085,2089e" filled="false" stroked="true" strokeweight="1pt" strokecolor="#9ed01a">
              <v:path arrowok="t"/>
              <v:stroke dashstyle="solid"/>
            </v:shape>
            <v:line style="position:absolute" from="3075,2091" to="3140,2091" stroked="true" strokeweight="1.125pt" strokecolor="#9ed01a">
              <v:stroke dashstyle="solid"/>
            </v:line>
            <v:shape style="position:absolute;left:3130;top:1176;width:913;height:1003" coordorigin="3130,1177" coordsize="913,1003" path="m3130,2089l3175,2179m3175,2179l3220,2089m3220,2089l3253,2179m3253,2179l3298,2149m3298,2149l3343,2179m3343,2179l3385,2134m3385,2134l3430,2089m3430,2089l3475,2134m3475,2134l3520,2149m3520,2149l3563,1969m3563,1969l3608,1924m3608,1924l3653,1849m3653,1849l3698,1732m3698,1732l3743,1657m3743,1657l3785,1612m3785,1612l3820,1582m3820,1582l3863,1477m3863,1477l3908,1432m3908,1432l3953,1402m3953,1402l3998,1267m3998,1267l4043,1177e" filled="false" stroked="true" strokeweight="1pt" strokecolor="#9ed01a">
              <v:path arrowok="t"/>
              <v:stroke dashstyle="solid"/>
            </v:shape>
            <v:line style="position:absolute" from="1198,506" to="1263,506" stroked="true" strokeweight="1.125pt" strokecolor="#f6bd61">
              <v:stroke dashstyle="solid"/>
            </v:line>
            <v:shape style="position:absolute;left:1252;top:236;width:223;height:478" coordorigin="1253,237" coordsize="223,478" path="m1253,504l1298,444m1298,444l1340,237m1340,237l1385,624m1385,624l1430,444m1430,444l1475,714e" filled="false" stroked="true" strokeweight="1pt" strokecolor="#f6bd61">
              <v:path arrowok="t"/>
              <v:stroke dashstyle="solid"/>
            </v:shape>
            <v:line style="position:absolute" from="1491,704" to="1491,1067" stroked="true" strokeweight="2.625pt" strokecolor="#f6bd61">
              <v:stroke dashstyle="solid"/>
            </v:line>
            <v:shape style="position:absolute;left:1507;top:1011;width:2578;height:1408" coordorigin="1508,1012" coordsize="2578,1408" path="m1508,1057l1553,1312m1553,1312l1598,1702m1598,1702l1640,1774m1640,1774l1685,1717m1685,1717l1730,1747m1730,1747l1775,1984m1775,1984l1820,1999m1820,1999l1863,2029m1863,2029l1908,1984m1908,1984l1953,2134m1953,2134l1998,2179m1998,2179l2040,2119m2040,2119l2075,2059m2075,2059l2120,2014m2120,2014l2163,2119m2163,2119l2208,2074m2208,2074l2253,2089m2253,2089l2298,2179m2298,2179l2340,2104m2340,2104l2385,2074m2385,2074l2430,2149m2430,2149l2475,1969m2475,1969l2520,2209m2520,2209l2563,2149m2563,2149l2608,2119m2608,2119l2653,2029m2653,2029l2685,1954m2685,1954l2730,1924m2730,1924l2775,2044m2775,2044l2820,1909m2820,1909l2863,2014m2863,2014l2908,2059m2908,2059l2953,2029m2953,2029l2998,1864m2998,1864l3043,2104m3043,2104l3085,2254m3085,2254l3130,2284m3130,2284l3175,2419m3175,2419l3220,2404m3220,2404l3253,2359m3253,2359l3298,2329m3298,2329l3343,2314m3343,2314l3385,2194m3385,2194l3430,2149m3430,2149l3475,2014m3475,2014l3520,1924m3520,1924l3563,1774m3563,1774l3608,1567m3608,1567l3698,1387m3698,1387l3743,1357m3743,1357l3785,1417m3785,1417l3820,1372m3820,1372l3863,1297m3863,1297l3908,1222m3908,1222l3953,1012m3953,1012l3998,1192m3998,1192l4043,1102m4043,1102l4085,1072e" filled="false" stroked="true" strokeweight="1pt" strokecolor="#f6bd61">
              <v:path arrowok="t"/>
              <v:stroke dashstyle="solid"/>
            </v:shape>
            <v:shape style="position:absolute;left:1047;top:682;width:3199;height:1953" coordorigin="1047,682" coordsize="3199,1953" path="m1134,684l1047,684m1134,1173l1047,1173m1134,1686l1047,1686m1134,2147l1047,2147m1134,2635l1047,2635m4245,682l4159,682m4245,1171l4159,1171m4245,2145l4159,2145m4245,2633l4159,2633e" filled="false" stroked="true" strokeweight=".5pt" strokecolor="#000000">
              <v:path arrowok="t"/>
              <v:stroke dashstyle="solid"/>
            </v:shape>
            <v:shape style="position:absolute;left:1690;top:2323;width:251;height:430" type="#_x0000_t75" stroked="false">
              <v:imagedata r:id="rId140" o:title=""/>
            </v:shape>
            <v:line style="position:absolute" from="2621,1567" to="2669,1852" stroked="true" strokeweight=".5pt" strokecolor="#000000">
              <v:stroke dashstyle="solid"/>
            </v:line>
            <v:shape style="position:absolute;left:2641;top:1830;width:50;height:88" coordorigin="2642,1831" coordsize="50,88" path="m2691,1831l2642,1839,2651,1854,2657,1865,2681,1918,2681,1909,2681,1899,2682,1886,2683,1873,2685,1861,2691,1831xe" filled="true" fillcolor="#000000" stroked="false">
              <v:path arrowok="t"/>
              <v:fill type="solid"/>
            </v:shape>
            <w10:wrap type="none"/>
          </v:group>
        </w:pict>
      </w:r>
      <w:r>
        <w:rPr>
          <w:position w:val="-6"/>
          <w:sz w:val="12"/>
        </w:rPr>
        <w:t>80</w:t>
      </w:r>
      <w:r>
        <w:rPr>
          <w:sz w:val="12"/>
        </w:rPr>
        <w:t> </w:t>
      </w:r>
      <w:r>
        <w:rPr>
          <w:sz w:val="12"/>
          <w:u w:val="single"/>
        </w:rPr>
        <w:t>In</w:t>
      </w:r>
      <w:r>
        <w:rPr>
          <w:sz w:val="12"/>
        </w:rPr>
        <w:t>dex</w:t>
      </w:r>
    </w:p>
    <w:p>
      <w:pPr>
        <w:spacing w:before="70"/>
        <w:ind w:left="229" w:right="0" w:firstLine="0"/>
        <w:jc w:val="left"/>
        <w:rPr>
          <w:sz w:val="12"/>
        </w:rPr>
      </w:pPr>
      <w:r>
        <w:rPr/>
        <w:br w:type="column"/>
      </w:r>
      <w:r>
        <w:rPr>
          <w:sz w:val="12"/>
        </w:rPr>
        <w:t>Percentage changes on a year earli</w:t>
      </w:r>
      <w:r>
        <w:rPr>
          <w:sz w:val="12"/>
          <w:u w:val="single"/>
        </w:rPr>
        <w:t>er</w:t>
      </w:r>
      <w:r>
        <w:rPr>
          <w:sz w:val="12"/>
        </w:rPr>
        <w:t> </w:t>
      </w:r>
      <w:r>
        <w:rPr>
          <w:position w:val="-7"/>
          <w:sz w:val="12"/>
        </w:rPr>
        <w:t>15</w:t>
      </w:r>
    </w:p>
    <w:p>
      <w:pPr>
        <w:spacing w:line="133" w:lineRule="exact" w:before="152"/>
        <w:ind w:left="529" w:right="0" w:firstLine="0"/>
        <w:jc w:val="left"/>
        <w:rPr>
          <w:sz w:val="12"/>
        </w:rPr>
      </w:pPr>
      <w:r>
        <w:rPr>
          <w:sz w:val="12"/>
        </w:rPr>
        <w:t>Input prices</w:t>
      </w:r>
    </w:p>
    <w:p>
      <w:pPr>
        <w:spacing w:line="242" w:lineRule="auto" w:before="3"/>
        <w:ind w:left="229" w:right="241" w:firstLine="0"/>
        <w:jc w:val="left"/>
        <w:rPr>
          <w:sz w:val="24"/>
        </w:rPr>
      </w:pPr>
      <w:r>
        <w:rPr/>
        <w:br w:type="column"/>
      </w:r>
      <w:r>
        <w:rPr>
          <w:sz w:val="24"/>
        </w:rPr>
        <w:t>volatile components such as food, drink and tobacco, annual input price inflation has also continued to rise, to</w:t>
      </w:r>
    </w:p>
    <w:p>
      <w:pPr>
        <w:spacing w:after="0" w:line="242" w:lineRule="auto"/>
        <w:jc w:val="left"/>
        <w:rPr>
          <w:sz w:val="24"/>
        </w:rPr>
        <w:sectPr>
          <w:type w:val="continuous"/>
          <w:pgSz w:w="11900" w:h="16840"/>
          <w:pgMar w:top="1260" w:bottom="280" w:left="640" w:right="640"/>
          <w:cols w:num="3" w:equalWidth="0">
            <w:col w:w="711" w:space="905"/>
            <w:col w:w="2199" w:space="916"/>
            <w:col w:w="5889"/>
          </w:cols>
        </w:sectPr>
      </w:pPr>
    </w:p>
    <w:p>
      <w:pPr>
        <w:tabs>
          <w:tab w:pos="2205" w:val="left" w:leader="none"/>
          <w:tab w:pos="3774" w:val="right" w:leader="none"/>
        </w:tabs>
        <w:spacing w:before="8"/>
        <w:ind w:left="229" w:right="0" w:firstLine="0"/>
        <w:jc w:val="left"/>
        <w:rPr>
          <w:sz w:val="12"/>
        </w:rPr>
      </w:pPr>
      <w:r>
        <w:rPr>
          <w:position w:val="-2"/>
          <w:sz w:val="12"/>
        </w:rPr>
        <w:t>70</w:t>
        <w:tab/>
      </w:r>
      <w:r>
        <w:rPr>
          <w:sz w:val="12"/>
        </w:rPr>
        <w:t>(right-hand scale)</w:t>
        <w:tab/>
      </w:r>
      <w:r>
        <w:rPr>
          <w:position w:val="-4"/>
          <w:sz w:val="12"/>
        </w:rPr>
        <w:t>10</w:t>
      </w:r>
    </w:p>
    <w:p>
      <w:pPr>
        <w:pStyle w:val="BodyText"/>
      </w:pPr>
    </w:p>
    <w:p>
      <w:pPr>
        <w:tabs>
          <w:tab w:pos="3714" w:val="left" w:leader="none"/>
        </w:tabs>
        <w:spacing w:before="112"/>
        <w:ind w:left="229" w:right="0" w:firstLine="0"/>
        <w:jc w:val="left"/>
        <w:rPr>
          <w:sz w:val="12"/>
        </w:rPr>
      </w:pPr>
      <w:r>
        <w:rPr>
          <w:position w:val="2"/>
          <w:sz w:val="12"/>
        </w:rPr>
        <w:t>60</w:t>
        <w:tab/>
      </w:r>
      <w:r>
        <w:rPr>
          <w:sz w:val="12"/>
        </w:rPr>
        <w:t>5</w:t>
      </w:r>
    </w:p>
    <w:p>
      <w:pPr>
        <w:spacing w:line="135" w:lineRule="exact" w:before="40"/>
        <w:ind w:left="1567" w:right="0" w:firstLine="0"/>
        <w:jc w:val="left"/>
        <w:rPr>
          <w:sz w:val="12"/>
        </w:rPr>
      </w:pPr>
      <w:r>
        <w:rPr>
          <w:sz w:val="12"/>
        </w:rPr>
        <w:t>CIPS input price index (a)</w:t>
      </w:r>
    </w:p>
    <w:p>
      <w:pPr>
        <w:tabs>
          <w:tab w:pos="3563" w:val="left" w:leader="none"/>
        </w:tabs>
        <w:spacing w:line="171" w:lineRule="exact" w:before="0"/>
        <w:ind w:left="1627" w:right="0" w:firstLine="0"/>
        <w:jc w:val="left"/>
        <w:rPr>
          <w:sz w:val="16"/>
        </w:rPr>
      </w:pPr>
      <w:r>
        <w:rPr>
          <w:sz w:val="12"/>
        </w:rPr>
        <w:t>(left-hand scale)</w:t>
        <w:tab/>
      </w:r>
      <w:r>
        <w:rPr>
          <w:position w:val="-2"/>
          <w:sz w:val="16"/>
        </w:rPr>
        <w:t>+</w:t>
      </w:r>
    </w:p>
    <w:p>
      <w:pPr>
        <w:tabs>
          <w:tab w:pos="577" w:val="left" w:leader="none"/>
          <w:tab w:pos="3605" w:val="left" w:leader="none"/>
        </w:tabs>
        <w:spacing w:line="143" w:lineRule="exact" w:before="0"/>
        <w:ind w:left="229" w:right="0" w:firstLine="0"/>
        <w:jc w:val="left"/>
        <w:rPr>
          <w:sz w:val="12"/>
        </w:rPr>
      </w:pPr>
      <w:r>
        <w:rPr>
          <w:position w:val="2"/>
          <w:sz w:val="12"/>
        </w:rPr>
        <w:t>50</w:t>
        <w:tab/>
      </w:r>
      <w:r>
        <w:rPr>
          <w:position w:val="2"/>
          <w:sz w:val="12"/>
          <w:u w:val="single"/>
        </w:rPr>
        <w:t> </w:t>
        <w:tab/>
      </w:r>
      <w:r>
        <w:rPr>
          <w:sz w:val="12"/>
        </w:rPr>
        <w:t>0</w:t>
      </w:r>
    </w:p>
    <w:p>
      <w:pPr>
        <w:spacing w:line="179" w:lineRule="exact" w:before="0"/>
        <w:ind w:left="3574" w:right="0" w:firstLine="0"/>
        <w:jc w:val="left"/>
        <w:rPr>
          <w:sz w:val="16"/>
        </w:rPr>
      </w:pPr>
      <w:r>
        <w:rPr>
          <w:sz w:val="16"/>
        </w:rPr>
        <w:t>_</w:t>
      </w:r>
    </w:p>
    <w:p>
      <w:pPr>
        <w:tabs>
          <w:tab w:pos="3714" w:val="left" w:leader="none"/>
        </w:tabs>
        <w:spacing w:before="146"/>
        <w:ind w:left="229" w:right="0" w:firstLine="0"/>
        <w:jc w:val="left"/>
        <w:rPr>
          <w:sz w:val="12"/>
        </w:rPr>
      </w:pPr>
      <w:r>
        <w:rPr>
          <w:position w:val="2"/>
          <w:sz w:val="12"/>
        </w:rPr>
        <w:t>40</w:t>
        <w:tab/>
      </w:r>
      <w:r>
        <w:rPr>
          <w:sz w:val="12"/>
        </w:rPr>
        <w:t>5</w:t>
      </w:r>
    </w:p>
    <w:p>
      <w:pPr>
        <w:pStyle w:val="BodyText"/>
        <w:rPr>
          <w:sz w:val="14"/>
        </w:rPr>
      </w:pPr>
    </w:p>
    <w:p>
      <w:pPr>
        <w:pStyle w:val="BodyText"/>
        <w:spacing w:before="9"/>
        <w:rPr>
          <w:sz w:val="13"/>
        </w:rPr>
      </w:pPr>
    </w:p>
    <w:p>
      <w:pPr>
        <w:tabs>
          <w:tab w:pos="3654" w:val="left" w:leader="none"/>
        </w:tabs>
        <w:spacing w:before="0"/>
        <w:ind w:left="229" w:right="0" w:firstLine="0"/>
        <w:jc w:val="left"/>
        <w:rPr>
          <w:sz w:val="12"/>
        </w:rPr>
      </w:pPr>
      <w:r>
        <w:rPr>
          <w:position w:val="2"/>
          <w:sz w:val="12"/>
        </w:rPr>
        <w:t>30</w:t>
        <w:tab/>
      </w:r>
      <w:r>
        <w:rPr>
          <w:sz w:val="12"/>
        </w:rPr>
        <w:t>10</w:t>
      </w:r>
    </w:p>
    <w:p>
      <w:pPr>
        <w:spacing w:before="54"/>
        <w:ind w:left="575" w:right="0" w:firstLine="0"/>
        <w:jc w:val="left"/>
        <w:rPr>
          <w:sz w:val="12"/>
        </w:rPr>
      </w:pPr>
      <w:r>
        <w:rPr>
          <w:sz w:val="12"/>
        </w:rPr>
        <w:t>Input prices excluding</w:t>
      </w:r>
    </w:p>
    <w:p>
      <w:pPr>
        <w:spacing w:line="133" w:lineRule="exact" w:before="2"/>
        <w:ind w:left="635" w:right="0" w:firstLine="0"/>
        <w:jc w:val="left"/>
        <w:rPr>
          <w:sz w:val="12"/>
        </w:rPr>
      </w:pPr>
      <w:r>
        <w:rPr>
          <w:sz w:val="12"/>
        </w:rPr>
        <w:t>FBTP (b) (right-hand scale)</w:t>
      </w:r>
    </w:p>
    <w:p>
      <w:pPr>
        <w:tabs>
          <w:tab w:pos="3654" w:val="left" w:leader="none"/>
        </w:tabs>
        <w:spacing w:line="140" w:lineRule="exact" w:before="0"/>
        <w:ind w:left="229" w:right="0" w:firstLine="0"/>
        <w:jc w:val="left"/>
        <w:rPr>
          <w:sz w:val="12"/>
        </w:rPr>
      </w:pPr>
      <w:r>
        <w:rPr/>
        <w:pict>
          <v:line style="position:absolute;mso-position-horizontal-relative:page;mso-position-vertical-relative:paragraph;z-index:-23060480" from="56.695pt,4.489543pt" to="52.361pt,4.489543pt" stroked="true" strokeweight=".5pt" strokecolor="#000000">
            <v:stroke dashstyle="solid"/>
            <w10:wrap type="none"/>
          </v:line>
        </w:pict>
      </w:r>
      <w:r>
        <w:rPr/>
        <w:pict>
          <v:group style="position:absolute;margin-left:60.243pt;margin-top:2.073544pt;width:152.050pt;height:2.7pt;mso-position-horizontal-relative:page;mso-position-vertical-relative:paragraph;z-index:-23059968" coordorigin="1205,41" coordsize="3041,54">
            <v:shape style="position:absolute;left:1209;top:41;width:3036;height:54" coordorigin="1210,41" coordsize="3036,54" path="m1210,41l1210,95m1730,41l1730,95m2251,41l2251,95m2779,41l2779,95m4245,90l4159,90e" filled="false" stroked="true" strokeweight=".5pt" strokecolor="#000000">
              <v:path arrowok="t"/>
              <v:stroke dashstyle="solid"/>
            </v:shape>
            <v:line style="position:absolute" from="1210,90" to="4096,90" stroked="true" strokeweight=".5pt" strokecolor="#000000">
              <v:stroke dashstyle="solid"/>
            </v:line>
            <v:shape style="position:absolute;left:3315;top:41;width:505;height:54" coordorigin="3316,41" coordsize="505,54" path="m3316,41l3316,95m3820,41l3820,95e" filled="false" stroked="true" strokeweight=".5pt" strokecolor="#000000">
              <v:path arrowok="t"/>
              <v:stroke dashstyle="solid"/>
            </v:shape>
            <w10:wrap type="none"/>
          </v:group>
        </w:pict>
      </w:r>
      <w:r>
        <w:rPr>
          <w:position w:val="2"/>
          <w:sz w:val="12"/>
        </w:rPr>
        <w:t>20</w:t>
        <w:tab/>
      </w:r>
      <w:r>
        <w:rPr>
          <w:sz w:val="12"/>
        </w:rPr>
        <w:t>15</w:t>
      </w:r>
    </w:p>
    <w:p>
      <w:pPr>
        <w:tabs>
          <w:tab w:pos="1317" w:val="left" w:leader="none"/>
          <w:tab w:pos="1839" w:val="left" w:leader="none"/>
          <w:tab w:pos="2349" w:val="left" w:leader="none"/>
          <w:tab w:pos="2872" w:val="left" w:leader="none"/>
          <w:tab w:pos="3207" w:val="left" w:leader="none"/>
        </w:tabs>
        <w:spacing w:line="125" w:lineRule="exact" w:before="0"/>
        <w:ind w:left="715" w:right="0" w:firstLine="0"/>
        <w:jc w:val="left"/>
        <w:rPr>
          <w:sz w:val="12"/>
        </w:rPr>
      </w:pPr>
      <w:r>
        <w:rPr>
          <w:sz w:val="12"/>
        </w:rPr>
        <w:t>1995</w:t>
        <w:tab/>
        <w:t>96</w:t>
        <w:tab/>
        <w:t>97</w:t>
        <w:tab/>
        <w:t>98</w:t>
        <w:tab/>
        <w:t>99</w:t>
        <w:tab/>
        <w:t>2000</w:t>
      </w:r>
    </w:p>
    <w:p>
      <w:pPr>
        <w:spacing w:before="64"/>
        <w:ind w:left="170" w:right="0" w:firstLine="0"/>
        <w:jc w:val="left"/>
        <w:rPr>
          <w:sz w:val="12"/>
        </w:rPr>
      </w:pPr>
      <w:r>
        <w:rPr>
          <w:sz w:val="12"/>
        </w:rPr>
        <w:t>Sources: ONS and CIPS.</w:t>
      </w:r>
    </w:p>
    <w:p>
      <w:pPr>
        <w:pStyle w:val="BodyText"/>
        <w:spacing w:before="1"/>
        <w:rPr>
          <w:sz w:val="10"/>
        </w:rPr>
      </w:pPr>
    </w:p>
    <w:p>
      <w:pPr>
        <w:pStyle w:val="ListParagraph"/>
        <w:numPr>
          <w:ilvl w:val="0"/>
          <w:numId w:val="33"/>
        </w:numPr>
        <w:tabs>
          <w:tab w:pos="411" w:val="left" w:leader="none"/>
        </w:tabs>
        <w:spacing w:line="208" w:lineRule="auto" w:before="1" w:after="0"/>
        <w:ind w:left="410" w:right="841" w:hanging="240"/>
        <w:jc w:val="left"/>
        <w:rPr>
          <w:sz w:val="12"/>
        </w:rPr>
      </w:pPr>
      <w:r>
        <w:rPr>
          <w:sz w:val="12"/>
        </w:rPr>
        <w:t>Survey responses to question asking how prices compare with the same month a year ago. Readings above 50 suggest that prices are rising, readings below 50 indicate falling</w:t>
      </w:r>
      <w:r>
        <w:rPr>
          <w:spacing w:val="-12"/>
          <w:sz w:val="12"/>
        </w:rPr>
        <w:t> </w:t>
      </w:r>
      <w:r>
        <w:rPr>
          <w:sz w:val="12"/>
        </w:rPr>
        <w:t>prices.</w:t>
      </w:r>
    </w:p>
    <w:p>
      <w:pPr>
        <w:pStyle w:val="ListParagraph"/>
        <w:numPr>
          <w:ilvl w:val="0"/>
          <w:numId w:val="33"/>
        </w:numPr>
        <w:tabs>
          <w:tab w:pos="411" w:val="left" w:leader="none"/>
        </w:tabs>
        <w:spacing w:line="123" w:lineRule="exact" w:before="0" w:after="0"/>
        <w:ind w:left="410" w:right="0" w:hanging="241"/>
        <w:jc w:val="left"/>
        <w:rPr>
          <w:sz w:val="12"/>
        </w:rPr>
      </w:pPr>
      <w:r>
        <w:rPr>
          <w:sz w:val="12"/>
        </w:rPr>
        <w:t>Food, beverages, tobacco and</w:t>
      </w:r>
      <w:r>
        <w:rPr>
          <w:spacing w:val="-4"/>
          <w:sz w:val="12"/>
        </w:rPr>
        <w:t> </w:t>
      </w:r>
      <w:r>
        <w:rPr>
          <w:sz w:val="12"/>
        </w:rPr>
        <w:t>petroleum.</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7"/>
        </w:rPr>
      </w:pPr>
    </w:p>
    <w:p>
      <w:pPr>
        <w:pStyle w:val="Heading6"/>
        <w:spacing w:before="0"/>
      </w:pPr>
      <w:r>
        <w:rPr>
          <w:color w:val="0092C7"/>
        </w:rPr>
        <w:t>Table 4.A</w:t>
      </w:r>
    </w:p>
    <w:p>
      <w:pPr>
        <w:pStyle w:val="Heading6"/>
      </w:pPr>
      <w:r>
        <w:rPr>
          <w:color w:val="0092C7"/>
        </w:rPr>
        <w:t>Manufacturers’ costs and prices</w:t>
      </w:r>
    </w:p>
    <w:p>
      <w:pPr>
        <w:spacing w:before="106"/>
        <w:ind w:left="180" w:right="0" w:firstLine="0"/>
        <w:jc w:val="left"/>
        <w:rPr>
          <w:sz w:val="14"/>
        </w:rPr>
      </w:pPr>
      <w:r>
        <w:rPr>
          <w:sz w:val="14"/>
        </w:rPr>
        <w:t>Percentage changes on a year earlier</w:t>
      </w:r>
    </w:p>
    <w:p>
      <w:pPr>
        <w:tabs>
          <w:tab w:pos="4409" w:val="left" w:leader="none"/>
        </w:tabs>
        <w:spacing w:before="119"/>
        <w:ind w:left="2359" w:right="0" w:firstLine="0"/>
        <w:jc w:val="left"/>
        <w:rPr>
          <w:sz w:val="14"/>
        </w:rPr>
      </w:pPr>
      <w:r>
        <w:rPr>
          <w:sz w:val="14"/>
          <w:u w:val="single"/>
        </w:rPr>
        <w:t>2000</w:t>
        <w:tab/>
      </w: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00"/>
        <w:gridCol w:w="511"/>
        <w:gridCol w:w="456"/>
        <w:gridCol w:w="429"/>
        <w:gridCol w:w="474"/>
        <w:gridCol w:w="389"/>
      </w:tblGrid>
      <w:tr>
        <w:trPr>
          <w:trHeight w:val="217" w:hRule="atLeast"/>
        </w:trPr>
        <w:tc>
          <w:tcPr>
            <w:tcW w:w="2100" w:type="dxa"/>
          </w:tcPr>
          <w:p>
            <w:pPr>
              <w:pStyle w:val="TableParagraph"/>
              <w:spacing w:line="240" w:lineRule="auto"/>
              <w:rPr>
                <w:sz w:val="14"/>
              </w:rPr>
            </w:pPr>
          </w:p>
        </w:tc>
        <w:tc>
          <w:tcPr>
            <w:tcW w:w="511" w:type="dxa"/>
          </w:tcPr>
          <w:p>
            <w:pPr>
              <w:pStyle w:val="TableParagraph"/>
              <w:spacing w:line="155" w:lineRule="exact"/>
              <w:ind w:left="100" w:right="42"/>
              <w:jc w:val="center"/>
              <w:rPr>
                <w:sz w:val="14"/>
              </w:rPr>
            </w:pPr>
            <w:r>
              <w:rPr>
                <w:sz w:val="14"/>
                <w:u w:val="single"/>
              </w:rPr>
              <w:t>Feb. </w:t>
            </w:r>
          </w:p>
        </w:tc>
        <w:tc>
          <w:tcPr>
            <w:tcW w:w="456" w:type="dxa"/>
          </w:tcPr>
          <w:p>
            <w:pPr>
              <w:pStyle w:val="TableParagraph"/>
              <w:spacing w:line="155" w:lineRule="exact"/>
              <w:ind w:left="60" w:right="66"/>
              <w:jc w:val="center"/>
              <w:rPr>
                <w:sz w:val="14"/>
              </w:rPr>
            </w:pPr>
            <w:r>
              <w:rPr>
                <w:sz w:val="14"/>
                <w:u w:val="single"/>
              </w:rPr>
              <w:t>Mar. </w:t>
            </w:r>
          </w:p>
        </w:tc>
        <w:tc>
          <w:tcPr>
            <w:tcW w:w="429" w:type="dxa"/>
          </w:tcPr>
          <w:p>
            <w:pPr>
              <w:pStyle w:val="TableParagraph"/>
              <w:spacing w:line="155" w:lineRule="exact"/>
              <w:ind w:left="50" w:right="85"/>
              <w:jc w:val="center"/>
              <w:rPr>
                <w:sz w:val="14"/>
              </w:rPr>
            </w:pPr>
            <w:r>
              <w:rPr>
                <w:sz w:val="14"/>
                <w:u w:val="single"/>
              </w:rPr>
              <w:t>Apr.</w:t>
            </w:r>
          </w:p>
        </w:tc>
        <w:tc>
          <w:tcPr>
            <w:tcW w:w="474" w:type="dxa"/>
          </w:tcPr>
          <w:p>
            <w:pPr>
              <w:pStyle w:val="TableParagraph"/>
              <w:spacing w:line="155" w:lineRule="exact"/>
              <w:ind w:left="104"/>
              <w:rPr>
                <w:sz w:val="14"/>
              </w:rPr>
            </w:pPr>
            <w:r>
              <w:rPr>
                <w:sz w:val="14"/>
                <w:u w:val="single"/>
              </w:rPr>
              <w:t>May </w:t>
            </w:r>
          </w:p>
        </w:tc>
        <w:tc>
          <w:tcPr>
            <w:tcW w:w="389" w:type="dxa"/>
          </w:tcPr>
          <w:p>
            <w:pPr>
              <w:pStyle w:val="TableParagraph"/>
              <w:spacing w:line="155" w:lineRule="exact"/>
              <w:ind w:left="30"/>
              <w:rPr>
                <w:sz w:val="14"/>
              </w:rPr>
            </w:pPr>
            <w:r>
              <w:rPr>
                <w:sz w:val="14"/>
                <w:u w:val="single"/>
              </w:rPr>
              <w:t>June</w:t>
            </w:r>
          </w:p>
        </w:tc>
      </w:tr>
      <w:tr>
        <w:trPr>
          <w:trHeight w:val="210" w:hRule="atLeast"/>
        </w:trPr>
        <w:tc>
          <w:tcPr>
            <w:tcW w:w="2100" w:type="dxa"/>
          </w:tcPr>
          <w:p>
            <w:pPr>
              <w:pStyle w:val="TableParagraph"/>
              <w:spacing w:line="133" w:lineRule="exact" w:before="56"/>
              <w:ind w:left="50"/>
              <w:rPr>
                <w:sz w:val="12"/>
              </w:rPr>
            </w:pPr>
            <w:r>
              <w:rPr>
                <w:sz w:val="14"/>
              </w:rPr>
              <w:t>Weighted costs </w:t>
            </w:r>
            <w:r>
              <w:rPr>
                <w:sz w:val="12"/>
              </w:rPr>
              <w:t>(a)</w:t>
            </w:r>
          </w:p>
        </w:tc>
        <w:tc>
          <w:tcPr>
            <w:tcW w:w="511" w:type="dxa"/>
          </w:tcPr>
          <w:p>
            <w:pPr>
              <w:pStyle w:val="TableParagraph"/>
              <w:spacing w:line="133" w:lineRule="exact" w:before="56"/>
              <w:ind w:left="100" w:right="56"/>
              <w:jc w:val="center"/>
              <w:rPr>
                <w:sz w:val="14"/>
              </w:rPr>
            </w:pPr>
            <w:r>
              <w:rPr>
                <w:sz w:val="14"/>
              </w:rPr>
              <w:t>4.6</w:t>
            </w:r>
          </w:p>
        </w:tc>
        <w:tc>
          <w:tcPr>
            <w:tcW w:w="456" w:type="dxa"/>
          </w:tcPr>
          <w:p>
            <w:pPr>
              <w:pStyle w:val="TableParagraph"/>
              <w:spacing w:line="133" w:lineRule="exact" w:before="56"/>
              <w:ind w:left="60" w:right="43"/>
              <w:jc w:val="center"/>
              <w:rPr>
                <w:sz w:val="14"/>
              </w:rPr>
            </w:pPr>
            <w:r>
              <w:rPr>
                <w:sz w:val="14"/>
              </w:rPr>
              <w:t>4.4</w:t>
            </w:r>
          </w:p>
        </w:tc>
        <w:tc>
          <w:tcPr>
            <w:tcW w:w="429" w:type="dxa"/>
          </w:tcPr>
          <w:p>
            <w:pPr>
              <w:pStyle w:val="TableParagraph"/>
              <w:spacing w:line="133" w:lineRule="exact" w:before="56"/>
              <w:ind w:left="50" w:right="57"/>
              <w:jc w:val="center"/>
              <w:rPr>
                <w:sz w:val="14"/>
              </w:rPr>
            </w:pPr>
            <w:r>
              <w:rPr>
                <w:sz w:val="14"/>
              </w:rPr>
              <w:t>2.7</w:t>
            </w:r>
          </w:p>
        </w:tc>
        <w:tc>
          <w:tcPr>
            <w:tcW w:w="474" w:type="dxa"/>
          </w:tcPr>
          <w:p>
            <w:pPr>
              <w:pStyle w:val="TableParagraph"/>
              <w:spacing w:line="133" w:lineRule="exact" w:before="56"/>
              <w:ind w:left="184"/>
              <w:rPr>
                <w:sz w:val="14"/>
              </w:rPr>
            </w:pPr>
            <w:r>
              <w:rPr>
                <w:sz w:val="14"/>
              </w:rPr>
              <w:t>4.5</w:t>
            </w:r>
          </w:p>
        </w:tc>
        <w:tc>
          <w:tcPr>
            <w:tcW w:w="389" w:type="dxa"/>
          </w:tcPr>
          <w:p>
            <w:pPr>
              <w:pStyle w:val="TableParagraph"/>
              <w:spacing w:line="133" w:lineRule="exact" w:before="56"/>
              <w:ind w:left="130"/>
              <w:rPr>
                <w:sz w:val="14"/>
              </w:rPr>
            </w:pPr>
            <w:r>
              <w:rPr>
                <w:sz w:val="14"/>
              </w:rPr>
              <w:t>n.a.</w:t>
            </w:r>
          </w:p>
        </w:tc>
      </w:tr>
      <w:tr>
        <w:trPr>
          <w:trHeight w:val="139" w:hRule="atLeast"/>
        </w:trPr>
        <w:tc>
          <w:tcPr>
            <w:tcW w:w="2100" w:type="dxa"/>
          </w:tcPr>
          <w:p>
            <w:pPr>
              <w:pStyle w:val="TableParagraph"/>
              <w:ind w:left="120"/>
              <w:rPr>
                <w:sz w:val="14"/>
              </w:rPr>
            </w:pPr>
            <w:r>
              <w:rPr>
                <w:sz w:val="14"/>
              </w:rPr>
              <w:t>Unit labour costs (46.8%)</w:t>
            </w:r>
          </w:p>
        </w:tc>
        <w:tc>
          <w:tcPr>
            <w:tcW w:w="511" w:type="dxa"/>
          </w:tcPr>
          <w:p>
            <w:pPr>
              <w:pStyle w:val="TableParagraph"/>
              <w:ind w:left="84" w:right="84"/>
              <w:jc w:val="center"/>
              <w:rPr>
                <w:sz w:val="14"/>
              </w:rPr>
            </w:pPr>
            <w:r>
              <w:rPr>
                <w:sz w:val="14"/>
              </w:rPr>
              <w:t>-0.1</w:t>
            </w:r>
          </w:p>
        </w:tc>
        <w:tc>
          <w:tcPr>
            <w:tcW w:w="456" w:type="dxa"/>
          </w:tcPr>
          <w:p>
            <w:pPr>
              <w:pStyle w:val="TableParagraph"/>
              <w:ind w:left="60" w:right="44"/>
              <w:jc w:val="center"/>
              <w:rPr>
                <w:sz w:val="14"/>
              </w:rPr>
            </w:pPr>
            <w:r>
              <w:rPr>
                <w:sz w:val="14"/>
              </w:rPr>
              <w:t>0.1</w:t>
            </w:r>
          </w:p>
        </w:tc>
        <w:tc>
          <w:tcPr>
            <w:tcW w:w="429" w:type="dxa"/>
          </w:tcPr>
          <w:p>
            <w:pPr>
              <w:pStyle w:val="TableParagraph"/>
              <w:ind w:left="50" w:right="56"/>
              <w:jc w:val="center"/>
              <w:rPr>
                <w:sz w:val="14"/>
              </w:rPr>
            </w:pPr>
            <w:r>
              <w:rPr>
                <w:sz w:val="14"/>
              </w:rPr>
              <w:t>0.2</w:t>
            </w:r>
          </w:p>
        </w:tc>
        <w:tc>
          <w:tcPr>
            <w:tcW w:w="474" w:type="dxa"/>
          </w:tcPr>
          <w:p>
            <w:pPr>
              <w:pStyle w:val="TableParagraph"/>
              <w:ind w:left="183"/>
              <w:rPr>
                <w:sz w:val="14"/>
              </w:rPr>
            </w:pPr>
            <w:r>
              <w:rPr>
                <w:sz w:val="14"/>
              </w:rPr>
              <w:t>0.7</w:t>
            </w:r>
          </w:p>
        </w:tc>
        <w:tc>
          <w:tcPr>
            <w:tcW w:w="389" w:type="dxa"/>
          </w:tcPr>
          <w:p>
            <w:pPr>
              <w:pStyle w:val="TableParagraph"/>
              <w:ind w:left="129"/>
              <w:rPr>
                <w:sz w:val="14"/>
              </w:rPr>
            </w:pPr>
            <w:r>
              <w:rPr>
                <w:sz w:val="14"/>
              </w:rPr>
              <w:t>n.a.</w:t>
            </w:r>
          </w:p>
        </w:tc>
      </w:tr>
      <w:tr>
        <w:trPr>
          <w:trHeight w:val="140" w:hRule="atLeast"/>
        </w:trPr>
        <w:tc>
          <w:tcPr>
            <w:tcW w:w="2100" w:type="dxa"/>
          </w:tcPr>
          <w:p>
            <w:pPr>
              <w:pStyle w:val="TableParagraph"/>
              <w:ind w:left="120"/>
              <w:rPr>
                <w:sz w:val="12"/>
              </w:rPr>
            </w:pPr>
            <w:r>
              <w:rPr>
                <w:sz w:val="14"/>
              </w:rPr>
              <w:t>Materials and fuels (30.1%) </w:t>
            </w:r>
            <w:r>
              <w:rPr>
                <w:sz w:val="12"/>
              </w:rPr>
              <w:t>(b)</w:t>
            </w:r>
          </w:p>
        </w:tc>
        <w:tc>
          <w:tcPr>
            <w:tcW w:w="511" w:type="dxa"/>
          </w:tcPr>
          <w:p>
            <w:pPr>
              <w:pStyle w:val="TableParagraph"/>
              <w:ind w:left="59" w:right="84"/>
              <w:jc w:val="center"/>
              <w:rPr>
                <w:sz w:val="14"/>
              </w:rPr>
            </w:pPr>
            <w:r>
              <w:rPr>
                <w:sz w:val="14"/>
              </w:rPr>
              <w:t>14.3</w:t>
            </w:r>
          </w:p>
        </w:tc>
        <w:tc>
          <w:tcPr>
            <w:tcW w:w="456" w:type="dxa"/>
          </w:tcPr>
          <w:p>
            <w:pPr>
              <w:pStyle w:val="TableParagraph"/>
              <w:ind w:left="26" w:right="76"/>
              <w:jc w:val="center"/>
              <w:rPr>
                <w:sz w:val="14"/>
              </w:rPr>
            </w:pPr>
            <w:r>
              <w:rPr>
                <w:sz w:val="14"/>
              </w:rPr>
              <w:t>13.4</w:t>
            </w:r>
          </w:p>
        </w:tc>
        <w:tc>
          <w:tcPr>
            <w:tcW w:w="429" w:type="dxa"/>
          </w:tcPr>
          <w:p>
            <w:pPr>
              <w:pStyle w:val="TableParagraph"/>
              <w:ind w:left="50" w:right="57"/>
              <w:jc w:val="center"/>
              <w:rPr>
                <w:sz w:val="14"/>
              </w:rPr>
            </w:pPr>
            <w:r>
              <w:rPr>
                <w:sz w:val="14"/>
              </w:rPr>
              <w:t>7.9</w:t>
            </w:r>
          </w:p>
        </w:tc>
        <w:tc>
          <w:tcPr>
            <w:tcW w:w="474" w:type="dxa"/>
          </w:tcPr>
          <w:p>
            <w:pPr>
              <w:pStyle w:val="TableParagraph"/>
              <w:ind w:left="114"/>
              <w:rPr>
                <w:sz w:val="14"/>
              </w:rPr>
            </w:pPr>
            <w:r>
              <w:rPr>
                <w:sz w:val="14"/>
              </w:rPr>
              <w:t>12.9</w:t>
            </w:r>
          </w:p>
        </w:tc>
        <w:tc>
          <w:tcPr>
            <w:tcW w:w="389" w:type="dxa"/>
          </w:tcPr>
          <w:p>
            <w:pPr>
              <w:pStyle w:val="TableParagraph"/>
              <w:ind w:left="60"/>
              <w:rPr>
                <w:sz w:val="14"/>
              </w:rPr>
            </w:pPr>
            <w:r>
              <w:rPr>
                <w:sz w:val="14"/>
              </w:rPr>
              <w:t>14.1</w:t>
            </w:r>
          </w:p>
        </w:tc>
      </w:tr>
      <w:tr>
        <w:trPr>
          <w:trHeight w:val="140" w:hRule="atLeast"/>
        </w:trPr>
        <w:tc>
          <w:tcPr>
            <w:tcW w:w="2100" w:type="dxa"/>
          </w:tcPr>
          <w:p>
            <w:pPr>
              <w:pStyle w:val="TableParagraph"/>
              <w:ind w:left="120"/>
              <w:rPr>
                <w:sz w:val="14"/>
              </w:rPr>
            </w:pPr>
            <w:r>
              <w:rPr>
                <w:sz w:val="14"/>
              </w:rPr>
              <w:t>Imports of finished goods (6.9%)</w:t>
            </w:r>
          </w:p>
        </w:tc>
        <w:tc>
          <w:tcPr>
            <w:tcW w:w="511" w:type="dxa"/>
          </w:tcPr>
          <w:p>
            <w:pPr>
              <w:pStyle w:val="TableParagraph"/>
              <w:ind w:left="100" w:right="57"/>
              <w:jc w:val="center"/>
              <w:rPr>
                <w:sz w:val="14"/>
              </w:rPr>
            </w:pPr>
            <w:r>
              <w:rPr>
                <w:sz w:val="14"/>
              </w:rPr>
              <w:t>0.0</w:t>
            </w:r>
          </w:p>
        </w:tc>
        <w:tc>
          <w:tcPr>
            <w:tcW w:w="456" w:type="dxa"/>
          </w:tcPr>
          <w:p>
            <w:pPr>
              <w:pStyle w:val="TableParagraph"/>
              <w:ind w:left="60" w:right="44"/>
              <w:jc w:val="center"/>
              <w:rPr>
                <w:sz w:val="14"/>
              </w:rPr>
            </w:pPr>
            <w:r>
              <w:rPr>
                <w:sz w:val="14"/>
              </w:rPr>
              <w:t>0.0</w:t>
            </w:r>
          </w:p>
        </w:tc>
        <w:tc>
          <w:tcPr>
            <w:tcW w:w="429" w:type="dxa"/>
          </w:tcPr>
          <w:p>
            <w:pPr>
              <w:pStyle w:val="TableParagraph"/>
              <w:ind w:left="50" w:right="56"/>
              <w:jc w:val="center"/>
              <w:rPr>
                <w:sz w:val="14"/>
              </w:rPr>
            </w:pPr>
            <w:r>
              <w:rPr>
                <w:sz w:val="14"/>
              </w:rPr>
              <w:t>0.6</w:t>
            </w:r>
          </w:p>
        </w:tc>
        <w:tc>
          <w:tcPr>
            <w:tcW w:w="474" w:type="dxa"/>
          </w:tcPr>
          <w:p>
            <w:pPr>
              <w:pStyle w:val="TableParagraph"/>
              <w:ind w:left="183"/>
              <w:rPr>
                <w:sz w:val="14"/>
              </w:rPr>
            </w:pPr>
            <w:r>
              <w:rPr>
                <w:sz w:val="14"/>
              </w:rPr>
              <w:t>0.9</w:t>
            </w:r>
          </w:p>
        </w:tc>
        <w:tc>
          <w:tcPr>
            <w:tcW w:w="389" w:type="dxa"/>
          </w:tcPr>
          <w:p>
            <w:pPr>
              <w:pStyle w:val="TableParagraph"/>
              <w:ind w:left="129"/>
              <w:rPr>
                <w:sz w:val="14"/>
              </w:rPr>
            </w:pPr>
            <w:r>
              <w:rPr>
                <w:sz w:val="14"/>
              </w:rPr>
              <w:t>n.a.</w:t>
            </w:r>
          </w:p>
        </w:tc>
      </w:tr>
      <w:tr>
        <w:trPr>
          <w:trHeight w:val="140" w:hRule="atLeast"/>
        </w:trPr>
        <w:tc>
          <w:tcPr>
            <w:tcW w:w="2100" w:type="dxa"/>
          </w:tcPr>
          <w:p>
            <w:pPr>
              <w:pStyle w:val="TableParagraph"/>
              <w:ind w:left="120"/>
              <w:rPr>
                <w:sz w:val="14"/>
              </w:rPr>
            </w:pPr>
            <w:r>
              <w:rPr>
                <w:sz w:val="14"/>
              </w:rPr>
              <w:t>Bought-in services (16.2%)</w:t>
            </w:r>
          </w:p>
        </w:tc>
        <w:tc>
          <w:tcPr>
            <w:tcW w:w="511" w:type="dxa"/>
          </w:tcPr>
          <w:p>
            <w:pPr>
              <w:pStyle w:val="TableParagraph"/>
              <w:ind w:left="100" w:right="57"/>
              <w:jc w:val="center"/>
              <w:rPr>
                <w:sz w:val="14"/>
              </w:rPr>
            </w:pPr>
            <w:r>
              <w:rPr>
                <w:sz w:val="14"/>
              </w:rPr>
              <w:t>2.2</w:t>
            </w:r>
          </w:p>
        </w:tc>
        <w:tc>
          <w:tcPr>
            <w:tcW w:w="456" w:type="dxa"/>
          </w:tcPr>
          <w:p>
            <w:pPr>
              <w:pStyle w:val="TableParagraph"/>
              <w:ind w:left="60" w:right="44"/>
              <w:jc w:val="center"/>
              <w:rPr>
                <w:sz w:val="14"/>
              </w:rPr>
            </w:pPr>
            <w:r>
              <w:rPr>
                <w:sz w:val="14"/>
              </w:rPr>
              <w:t>1.7</w:t>
            </w:r>
          </w:p>
        </w:tc>
        <w:tc>
          <w:tcPr>
            <w:tcW w:w="429" w:type="dxa"/>
          </w:tcPr>
          <w:p>
            <w:pPr>
              <w:pStyle w:val="TableParagraph"/>
              <w:ind w:left="50" w:right="56"/>
              <w:jc w:val="center"/>
              <w:rPr>
                <w:sz w:val="14"/>
              </w:rPr>
            </w:pPr>
            <w:r>
              <w:rPr>
                <w:sz w:val="14"/>
              </w:rPr>
              <w:t>1.5</w:t>
            </w:r>
          </w:p>
        </w:tc>
        <w:tc>
          <w:tcPr>
            <w:tcW w:w="474" w:type="dxa"/>
          </w:tcPr>
          <w:p>
            <w:pPr>
              <w:pStyle w:val="TableParagraph"/>
              <w:ind w:left="183"/>
              <w:rPr>
                <w:sz w:val="14"/>
              </w:rPr>
            </w:pPr>
            <w:r>
              <w:rPr>
                <w:sz w:val="14"/>
              </w:rPr>
              <w:t>1.3</w:t>
            </w:r>
          </w:p>
        </w:tc>
        <w:tc>
          <w:tcPr>
            <w:tcW w:w="389" w:type="dxa"/>
          </w:tcPr>
          <w:p>
            <w:pPr>
              <w:pStyle w:val="TableParagraph"/>
              <w:ind w:left="129"/>
              <w:rPr>
                <w:sz w:val="14"/>
              </w:rPr>
            </w:pPr>
            <w:r>
              <w:rPr>
                <w:sz w:val="14"/>
              </w:rPr>
              <w:t>1.1</w:t>
            </w:r>
          </w:p>
        </w:tc>
      </w:tr>
      <w:tr>
        <w:trPr>
          <w:trHeight w:val="208" w:hRule="atLeast"/>
        </w:trPr>
        <w:tc>
          <w:tcPr>
            <w:tcW w:w="2100" w:type="dxa"/>
          </w:tcPr>
          <w:p>
            <w:pPr>
              <w:pStyle w:val="TableParagraph"/>
              <w:spacing w:line="148" w:lineRule="exact"/>
              <w:ind w:left="50"/>
              <w:rPr>
                <w:sz w:val="14"/>
              </w:rPr>
            </w:pPr>
            <w:r>
              <w:rPr>
                <w:sz w:val="14"/>
              </w:rPr>
              <w:t>Output prices (excl. duties)</w:t>
            </w:r>
          </w:p>
        </w:tc>
        <w:tc>
          <w:tcPr>
            <w:tcW w:w="511" w:type="dxa"/>
          </w:tcPr>
          <w:p>
            <w:pPr>
              <w:pStyle w:val="TableParagraph"/>
              <w:spacing w:line="148" w:lineRule="exact"/>
              <w:ind w:left="100" w:right="57"/>
              <w:jc w:val="center"/>
              <w:rPr>
                <w:sz w:val="14"/>
              </w:rPr>
            </w:pPr>
            <w:r>
              <w:rPr>
                <w:sz w:val="14"/>
              </w:rPr>
              <w:t>1.7</w:t>
            </w:r>
          </w:p>
        </w:tc>
        <w:tc>
          <w:tcPr>
            <w:tcW w:w="456" w:type="dxa"/>
          </w:tcPr>
          <w:p>
            <w:pPr>
              <w:pStyle w:val="TableParagraph"/>
              <w:spacing w:line="148" w:lineRule="exact"/>
              <w:ind w:left="60" w:right="44"/>
              <w:jc w:val="center"/>
              <w:rPr>
                <w:sz w:val="14"/>
              </w:rPr>
            </w:pPr>
            <w:r>
              <w:rPr>
                <w:sz w:val="14"/>
              </w:rPr>
              <w:t>1.9</w:t>
            </w:r>
          </w:p>
        </w:tc>
        <w:tc>
          <w:tcPr>
            <w:tcW w:w="429" w:type="dxa"/>
          </w:tcPr>
          <w:p>
            <w:pPr>
              <w:pStyle w:val="TableParagraph"/>
              <w:spacing w:line="148" w:lineRule="exact"/>
              <w:ind w:left="50" w:right="56"/>
              <w:jc w:val="center"/>
              <w:rPr>
                <w:sz w:val="14"/>
              </w:rPr>
            </w:pPr>
            <w:r>
              <w:rPr>
                <w:sz w:val="14"/>
              </w:rPr>
              <w:t>1.7</w:t>
            </w:r>
          </w:p>
        </w:tc>
        <w:tc>
          <w:tcPr>
            <w:tcW w:w="474" w:type="dxa"/>
          </w:tcPr>
          <w:p>
            <w:pPr>
              <w:pStyle w:val="TableParagraph"/>
              <w:spacing w:line="148" w:lineRule="exact"/>
              <w:ind w:left="183"/>
              <w:rPr>
                <w:sz w:val="14"/>
              </w:rPr>
            </w:pPr>
            <w:r>
              <w:rPr>
                <w:sz w:val="14"/>
              </w:rPr>
              <w:t>1.8</w:t>
            </w:r>
          </w:p>
        </w:tc>
        <w:tc>
          <w:tcPr>
            <w:tcW w:w="389" w:type="dxa"/>
          </w:tcPr>
          <w:p>
            <w:pPr>
              <w:pStyle w:val="TableParagraph"/>
              <w:spacing w:line="148" w:lineRule="exact"/>
              <w:ind w:left="129"/>
              <w:rPr>
                <w:sz w:val="14"/>
              </w:rPr>
            </w:pPr>
            <w:r>
              <w:rPr>
                <w:sz w:val="14"/>
              </w:rPr>
              <w:t>2.4</w:t>
            </w:r>
          </w:p>
        </w:tc>
      </w:tr>
      <w:tr>
        <w:trPr>
          <w:trHeight w:val="194" w:hRule="atLeast"/>
        </w:trPr>
        <w:tc>
          <w:tcPr>
            <w:tcW w:w="2100" w:type="dxa"/>
          </w:tcPr>
          <w:p>
            <w:pPr>
              <w:pStyle w:val="TableParagraph"/>
              <w:spacing w:line="118" w:lineRule="exact" w:before="56"/>
              <w:ind w:left="50"/>
              <w:rPr>
                <w:sz w:val="12"/>
              </w:rPr>
            </w:pPr>
            <w:r>
              <w:rPr>
                <w:sz w:val="12"/>
              </w:rPr>
              <w:t>Sources: ONS and Bank of England.</w:t>
            </w:r>
          </w:p>
        </w:tc>
        <w:tc>
          <w:tcPr>
            <w:tcW w:w="511" w:type="dxa"/>
          </w:tcPr>
          <w:p>
            <w:pPr>
              <w:pStyle w:val="TableParagraph"/>
              <w:spacing w:line="240" w:lineRule="auto"/>
              <w:rPr>
                <w:sz w:val="12"/>
              </w:rPr>
            </w:pPr>
          </w:p>
        </w:tc>
        <w:tc>
          <w:tcPr>
            <w:tcW w:w="456" w:type="dxa"/>
          </w:tcPr>
          <w:p>
            <w:pPr>
              <w:pStyle w:val="TableParagraph"/>
              <w:spacing w:line="240" w:lineRule="auto"/>
              <w:rPr>
                <w:sz w:val="12"/>
              </w:rPr>
            </w:pPr>
          </w:p>
        </w:tc>
        <w:tc>
          <w:tcPr>
            <w:tcW w:w="429" w:type="dxa"/>
          </w:tcPr>
          <w:p>
            <w:pPr>
              <w:pStyle w:val="TableParagraph"/>
              <w:spacing w:line="240" w:lineRule="auto"/>
              <w:rPr>
                <w:sz w:val="12"/>
              </w:rPr>
            </w:pPr>
          </w:p>
        </w:tc>
        <w:tc>
          <w:tcPr>
            <w:tcW w:w="474" w:type="dxa"/>
          </w:tcPr>
          <w:p>
            <w:pPr>
              <w:pStyle w:val="TableParagraph"/>
              <w:spacing w:line="240" w:lineRule="auto"/>
              <w:rPr>
                <w:sz w:val="12"/>
              </w:rPr>
            </w:pPr>
          </w:p>
        </w:tc>
        <w:tc>
          <w:tcPr>
            <w:tcW w:w="389" w:type="dxa"/>
          </w:tcPr>
          <w:p>
            <w:pPr>
              <w:pStyle w:val="TableParagraph"/>
              <w:spacing w:line="240" w:lineRule="auto"/>
              <w:rPr>
                <w:sz w:val="12"/>
              </w:rPr>
            </w:pPr>
          </w:p>
        </w:tc>
      </w:tr>
    </w:tbl>
    <w:p>
      <w:pPr>
        <w:pStyle w:val="ListParagraph"/>
        <w:numPr>
          <w:ilvl w:val="0"/>
          <w:numId w:val="34"/>
        </w:numPr>
        <w:tabs>
          <w:tab w:pos="421" w:val="left" w:leader="none"/>
        </w:tabs>
        <w:spacing w:line="208" w:lineRule="auto" w:before="122" w:after="0"/>
        <w:ind w:left="420" w:right="135" w:hanging="240"/>
        <w:jc w:val="left"/>
        <w:rPr>
          <w:sz w:val="12"/>
        </w:rPr>
      </w:pPr>
      <w:r>
        <w:rPr>
          <w:sz w:val="12"/>
        </w:rPr>
        <w:t>Percentages</w:t>
      </w:r>
      <w:r>
        <w:rPr>
          <w:spacing w:val="-7"/>
          <w:sz w:val="12"/>
        </w:rPr>
        <w:t> </w:t>
      </w:r>
      <w:r>
        <w:rPr>
          <w:sz w:val="12"/>
        </w:rPr>
        <w:t>shown</w:t>
      </w:r>
      <w:r>
        <w:rPr>
          <w:spacing w:val="-6"/>
          <w:sz w:val="12"/>
        </w:rPr>
        <w:t> </w:t>
      </w:r>
      <w:r>
        <w:rPr>
          <w:sz w:val="12"/>
        </w:rPr>
        <w:t>in</w:t>
      </w:r>
      <w:r>
        <w:rPr>
          <w:spacing w:val="-6"/>
          <w:sz w:val="12"/>
        </w:rPr>
        <w:t> </w:t>
      </w:r>
      <w:r>
        <w:rPr>
          <w:sz w:val="12"/>
        </w:rPr>
        <w:t>brackets</w:t>
      </w:r>
      <w:r>
        <w:rPr>
          <w:spacing w:val="-7"/>
          <w:sz w:val="12"/>
        </w:rPr>
        <w:t> </w:t>
      </w:r>
      <w:r>
        <w:rPr>
          <w:sz w:val="12"/>
        </w:rPr>
        <w:t>reflect</w:t>
      </w:r>
      <w:r>
        <w:rPr>
          <w:spacing w:val="-6"/>
          <w:sz w:val="12"/>
        </w:rPr>
        <w:t> </w:t>
      </w:r>
      <w:r>
        <w:rPr>
          <w:sz w:val="12"/>
        </w:rPr>
        <w:t>weights</w:t>
      </w:r>
      <w:r>
        <w:rPr>
          <w:spacing w:val="-6"/>
          <w:sz w:val="12"/>
        </w:rPr>
        <w:t> </w:t>
      </w:r>
      <w:r>
        <w:rPr>
          <w:sz w:val="12"/>
        </w:rPr>
        <w:t>of</w:t>
      </w:r>
      <w:r>
        <w:rPr>
          <w:spacing w:val="-6"/>
          <w:sz w:val="12"/>
        </w:rPr>
        <w:t> </w:t>
      </w:r>
      <w:r>
        <w:rPr>
          <w:sz w:val="12"/>
        </w:rPr>
        <w:t>components,</w:t>
      </w:r>
      <w:r>
        <w:rPr>
          <w:spacing w:val="-6"/>
          <w:sz w:val="12"/>
        </w:rPr>
        <w:t> </w:t>
      </w:r>
      <w:r>
        <w:rPr>
          <w:sz w:val="12"/>
        </w:rPr>
        <w:t>derived</w:t>
      </w:r>
      <w:r>
        <w:rPr>
          <w:spacing w:val="-6"/>
          <w:sz w:val="12"/>
        </w:rPr>
        <w:t> </w:t>
      </w:r>
      <w:r>
        <w:rPr>
          <w:sz w:val="12"/>
        </w:rPr>
        <w:t>from</w:t>
      </w:r>
      <w:r>
        <w:rPr>
          <w:spacing w:val="-6"/>
          <w:sz w:val="12"/>
        </w:rPr>
        <w:t> </w:t>
      </w:r>
      <w:r>
        <w:rPr>
          <w:sz w:val="12"/>
        </w:rPr>
        <w:t>1990 input-output tables for the United</w:t>
      </w:r>
      <w:r>
        <w:rPr>
          <w:spacing w:val="-8"/>
          <w:sz w:val="12"/>
        </w:rPr>
        <w:t> </w:t>
      </w:r>
      <w:r>
        <w:rPr>
          <w:sz w:val="12"/>
        </w:rPr>
        <w:t>Kingdom.</w:t>
      </w:r>
    </w:p>
    <w:p>
      <w:pPr>
        <w:pStyle w:val="ListParagraph"/>
        <w:numPr>
          <w:ilvl w:val="0"/>
          <w:numId w:val="34"/>
        </w:numPr>
        <w:tabs>
          <w:tab w:pos="421" w:val="left" w:leader="none"/>
        </w:tabs>
        <w:spacing w:line="123" w:lineRule="exact" w:before="0" w:after="0"/>
        <w:ind w:left="420" w:right="0" w:hanging="241"/>
        <w:jc w:val="left"/>
        <w:rPr>
          <w:sz w:val="12"/>
        </w:rPr>
      </w:pPr>
      <w:r>
        <w:rPr>
          <w:sz w:val="12"/>
        </w:rPr>
        <w:t>Includes imports of semi-finished</w:t>
      </w:r>
      <w:r>
        <w:rPr>
          <w:spacing w:val="-6"/>
          <w:sz w:val="12"/>
        </w:rPr>
        <w:t> </w:t>
      </w:r>
      <w:r>
        <w:rPr>
          <w:sz w:val="12"/>
        </w:rPr>
        <w:t>goods.</w:t>
      </w:r>
    </w:p>
    <w:p>
      <w:pPr>
        <w:pStyle w:val="BodyText"/>
        <w:rPr>
          <w:sz w:val="12"/>
        </w:rPr>
      </w:pPr>
    </w:p>
    <w:p>
      <w:pPr>
        <w:pStyle w:val="BodyText"/>
        <w:rPr>
          <w:sz w:val="12"/>
        </w:rPr>
      </w:pPr>
    </w:p>
    <w:p>
      <w:pPr>
        <w:pStyle w:val="BodyText"/>
        <w:rPr>
          <w:sz w:val="12"/>
        </w:rPr>
      </w:pPr>
    </w:p>
    <w:p>
      <w:pPr>
        <w:pStyle w:val="Heading6"/>
        <w:spacing w:before="73"/>
      </w:pPr>
      <w:r>
        <w:rPr>
          <w:color w:val="0092C7"/>
        </w:rPr>
        <w:t>Chart 4.7</w:t>
      </w:r>
    </w:p>
    <w:p>
      <w:pPr>
        <w:pStyle w:val="Heading6"/>
        <w:spacing w:line="249" w:lineRule="auto"/>
        <w:ind w:right="705"/>
      </w:pPr>
      <w:r>
        <w:rPr>
          <w:color w:val="0092C7"/>
        </w:rPr>
        <w:t>Manufacturing output price inflation and CBI average price expectations</w:t>
      </w:r>
    </w:p>
    <w:p>
      <w:pPr>
        <w:spacing w:line="242" w:lineRule="auto" w:before="0"/>
        <w:ind w:left="170" w:right="172" w:firstLine="0"/>
        <w:jc w:val="left"/>
        <w:rPr>
          <w:sz w:val="24"/>
        </w:rPr>
      </w:pPr>
      <w:r>
        <w:rPr/>
        <w:br w:type="column"/>
      </w:r>
      <w:r>
        <w:rPr>
          <w:sz w:val="24"/>
        </w:rPr>
        <w:t>5.0% in June (see Chart 4.6). In particular, hard commodity prices, notably of metals, are significantly higher than their levels of a year ago. The input price index in the CIPS manufacturing survey remains well above the no-change level of 50.</w:t>
      </w:r>
    </w:p>
    <w:p>
      <w:pPr>
        <w:pStyle w:val="BodyText"/>
        <w:rPr>
          <w:sz w:val="24"/>
        </w:rPr>
      </w:pPr>
    </w:p>
    <w:p>
      <w:pPr>
        <w:spacing w:line="242" w:lineRule="auto" w:before="1"/>
        <w:ind w:left="170" w:right="202" w:firstLine="0"/>
        <w:jc w:val="left"/>
        <w:rPr>
          <w:sz w:val="24"/>
        </w:rPr>
      </w:pPr>
      <w:r>
        <w:rPr>
          <w:sz w:val="24"/>
        </w:rPr>
        <w:t>During much of 1999, manufacturing productivity rose rapidly as output increased while employment declined. Productivity growth outpaced earnings growth, leading to a fall in manufacturers’ unit labour costs. But productivity growth has slowed below earnings growth in recent months and so unit labour costs have risen.</w:t>
      </w:r>
    </w:p>
    <w:p>
      <w:pPr>
        <w:spacing w:line="242" w:lineRule="auto" w:before="7"/>
        <w:ind w:left="170" w:right="296" w:firstLine="0"/>
        <w:jc w:val="left"/>
        <w:rPr>
          <w:sz w:val="24"/>
        </w:rPr>
      </w:pPr>
      <w:r>
        <w:rPr>
          <w:sz w:val="24"/>
        </w:rPr>
        <w:t>Taking into account the sharp increase in materials inputs, manufacturers’ weighted costs are estimated to have risen by around 4</w:t>
      </w:r>
      <w:r>
        <w:rPr>
          <w:position w:val="8"/>
          <w:sz w:val="12"/>
        </w:rPr>
        <w:t>1</w:t>
      </w:r>
      <w:r>
        <w:rPr>
          <w:sz w:val="24"/>
        </w:rPr>
        <w:t>/</w:t>
      </w:r>
      <w:r>
        <w:rPr>
          <w:sz w:val="12"/>
        </w:rPr>
        <w:t>2</w:t>
      </w:r>
      <w:r>
        <w:rPr>
          <w:sz w:val="24"/>
        </w:rPr>
        <w:t>% in the year to May (see Table 4.A).</w:t>
      </w:r>
    </w:p>
    <w:p>
      <w:pPr>
        <w:pStyle w:val="BodyText"/>
        <w:spacing w:before="9"/>
        <w:rPr>
          <w:sz w:val="24"/>
        </w:rPr>
      </w:pPr>
    </w:p>
    <w:p>
      <w:pPr>
        <w:spacing w:line="242" w:lineRule="auto" w:before="0"/>
        <w:ind w:left="170" w:right="202" w:firstLine="0"/>
        <w:jc w:val="left"/>
        <w:rPr>
          <w:sz w:val="24"/>
        </w:rPr>
      </w:pPr>
      <w:r>
        <w:rPr>
          <w:sz w:val="24"/>
        </w:rPr>
        <w:t>The annual rate of manufacturers’ domestic output price inflation (excluding excise duties) picked up to 2.4% in June, from 1.8% in May. That increase mainly reflected the rise in oil prices: petroleum products prices rose by 3.3% between May and June. However, with domestic output prices continuing to increase at a slower rate than weighted costs, domestic margins are likely to have continued to decline. Surveys suggest that pressures to contain prices remain high. For example, the CBI monthly industrial trends survey shows that the balance of firms who expect to reduce their domestic output prices over the next four months remains relatively high (see Chart 4.7). And the output prices balance in the BCC survey has fallen in recent quarters.</w:t>
      </w:r>
    </w:p>
    <w:p>
      <w:pPr>
        <w:spacing w:after="0" w:line="242" w:lineRule="auto"/>
        <w:jc w:val="left"/>
        <w:rPr>
          <w:sz w:val="24"/>
        </w:rPr>
        <w:sectPr>
          <w:type w:val="continuous"/>
          <w:pgSz w:w="11900" w:h="16840"/>
          <w:pgMar w:top="1260" w:bottom="280" w:left="640" w:right="640"/>
          <w:cols w:num="2" w:equalWidth="0">
            <w:col w:w="4450" w:space="339"/>
            <w:col w:w="5831"/>
          </w:cols>
        </w:sectPr>
      </w:pPr>
    </w:p>
    <w:p>
      <w:pPr>
        <w:spacing w:line="115" w:lineRule="auto" w:before="0"/>
        <w:ind w:left="204" w:right="0" w:firstLine="0"/>
        <w:jc w:val="left"/>
        <w:rPr>
          <w:sz w:val="12"/>
        </w:rPr>
      </w:pPr>
      <w:r>
        <w:rPr>
          <w:position w:val="-7"/>
          <w:sz w:val="12"/>
        </w:rPr>
        <w:t>40</w:t>
      </w:r>
      <w:r>
        <w:rPr>
          <w:sz w:val="12"/>
        </w:rPr>
        <w:t> </w:t>
      </w:r>
      <w:r>
        <w:rPr>
          <w:sz w:val="12"/>
          <w:u w:val="single"/>
        </w:rPr>
        <w:t>P</w:t>
      </w:r>
      <w:r>
        <w:rPr>
          <w:sz w:val="12"/>
        </w:rPr>
        <w:t>ercentage balance</w:t>
      </w:r>
    </w:p>
    <w:p>
      <w:pPr>
        <w:pStyle w:val="BodyText"/>
        <w:spacing w:before="7"/>
        <w:rPr>
          <w:sz w:val="20"/>
        </w:rPr>
      </w:pPr>
    </w:p>
    <w:p>
      <w:pPr>
        <w:spacing w:before="0"/>
        <w:ind w:left="204" w:right="0" w:firstLine="0"/>
        <w:jc w:val="left"/>
        <w:rPr>
          <w:sz w:val="12"/>
        </w:rPr>
      </w:pPr>
      <w:r>
        <w:rPr/>
        <w:pict>
          <v:group style="position:absolute;margin-left:45.597198pt;margin-top:-3.023834pt;width:166.5pt;height:114.4pt;mso-position-horizontal-relative:page;mso-position-vertical-relative:paragraph;z-index:-23057408" coordorigin="912,-60" coordsize="3330,2288">
            <v:shape style="position:absolute;left:1145;top:699;width:330;height:833" coordorigin="1145,700" coordsize="330,833" path="m1145,1172l1180,992m1180,992l1202,995m1202,992l1225,880m1225,880l1257,700m1257,700l1280,1145m1280,1145l1302,1060m1302,1060l1337,1032m1337,1032l1360,1102m1360,1102l1395,1282m1395,1282l1417,1212m1417,1212l1440,1352m1440,1352l1475,1532e" filled="false" stroked="true" strokeweight="1pt" strokecolor="#0099d9">
              <v:path arrowok="t"/>
              <v:stroke dashstyle="solid"/>
            </v:shape>
            <v:line style="position:absolute" from="1486,1230" to="1486,1542" stroked="true" strokeweight="2.125pt" strokecolor="#0099d9">
              <v:stroke dashstyle="solid"/>
            </v:line>
            <v:shape style="position:absolute;left:1497;top:699;width:295;height:540" coordorigin="1497,700" coordsize="295,540" path="m1497,1240l1520,1172m1520,1172l1552,880m1552,880l1575,742m1575,742l1610,700m1610,700l1632,852m1632,852l1655,782m1655,782l1690,880m1690,880l1712,1032m1712,1032l1735,1102m1735,1102l1770,1240m1770,1240l1792,1172e" filled="false" stroked="true" strokeweight="1pt" strokecolor="#0099d9">
              <v:path arrowok="t"/>
              <v:stroke dashstyle="solid"/>
            </v:shape>
            <v:line style="position:absolute" from="1783,1173" to="1835,1173" stroked="true" strokeweight="1.125pt" strokecolor="#0099d9">
              <v:stroke dashstyle="solid"/>
            </v:line>
            <v:shape style="position:absolute;left:1815;top:952;width:65;height:230" coordorigin="1815,952" coordsize="65,230" path="m1880,952l1858,952,1838,952,1815,952,1815,1182,1838,1182,1858,1182,1880,1182,1880,952xe" filled="true" fillcolor="#0099d9" stroked="false">
              <v:path arrowok="t"/>
              <v:fill type="solid"/>
            </v:shape>
            <v:line style="position:absolute" from="1888,690" to="1888,1182" stroked="true" strokeweight="2.75pt" strokecolor="#0099d9">
              <v:stroke dashstyle="solid"/>
            </v:line>
            <v:line style="position:absolute" from="1916,690" to="1916,1042" stroked="true" strokeweight="2.125pt" strokecolor="#0099d9">
              <v:stroke dashstyle="solid"/>
            </v:line>
            <v:shape style="position:absolute;left:1927;top:602;width:160;height:570" coordorigin="1928,602" coordsize="160,570" path="m1928,1032l1950,1035m1950,1032l1985,1172m1985,1172l2008,992m2008,992l2040,700m2040,700l2063,702m2063,700l2088,602e" filled="false" stroked="true" strokeweight="1pt" strokecolor="#0099d9">
              <v:path arrowok="t"/>
              <v:stroke dashstyle="solid"/>
            </v:shape>
            <v:line style="position:absolute" from="2078,603" to="2130,603" stroked="true" strokeweight="1.125pt" strokecolor="#0099d9">
              <v:stroke dashstyle="solid"/>
            </v:line>
            <v:shape style="position:absolute;left:2120;top:352;width:45;height:250" coordorigin="2120,352" coordsize="45,250" path="m2120,602l2143,422m2143,422l2165,352e" filled="false" stroked="true" strokeweight="1pt" strokecolor="#0099d9">
              <v:path arrowok="t"/>
              <v:stroke dashstyle="solid"/>
            </v:shape>
            <v:line style="position:absolute" from="2155,353" to="2210,353" stroked="true" strokeweight="1.125pt" strokecolor="#0099d9">
              <v:stroke dashstyle="solid"/>
            </v:line>
            <v:line style="position:absolute" from="2211,-60" to="2211,362" stroked="true" strokeweight="2.125pt" strokecolor="#0099d9">
              <v:stroke dashstyle="solid"/>
            </v:line>
            <v:shape style="position:absolute;left:2222;top:-51;width:58;height:223" coordorigin="2223,-50" coordsize="58,223" path="m2223,-50l2258,20m2258,20l2280,172e" filled="false" stroked="true" strokeweight="1pt" strokecolor="#0099d9">
              <v:path arrowok="t"/>
              <v:stroke dashstyle="solid"/>
            </v:shape>
            <v:line style="position:absolute" from="2291,162" to="2291,502" stroked="true" strokeweight="2.125pt" strokecolor="#0099d9">
              <v:stroke dashstyle="solid"/>
            </v:line>
            <v:shape style="position:absolute;left:2302;top:449;width:113;height:223" coordorigin="2303,450" coordsize="113,223" path="m2303,492l2335,450m2335,450l2358,492m2358,492l2383,495m2383,492l2415,672e" filled="false" stroked="true" strokeweight="1pt" strokecolor="#0099d9">
              <v:path arrowok="t"/>
              <v:stroke dashstyle="solid"/>
            </v:shape>
            <v:line style="position:absolute" from="2426,662" to="2426,890" stroked="true" strokeweight="2.125pt" strokecolor="#0099d9">
              <v:stroke dashstyle="solid"/>
            </v:line>
            <v:shape style="position:absolute;left:2437;top:492;width:193;height:388" coordorigin="2438,492" coordsize="193,388" path="m2438,880l2473,742m2473,742l2495,602m2495,602l2518,605m2518,602l2553,492m2553,492l2575,630m2575,630l2598,672m2598,672l2630,782e" filled="false" stroked="true" strokeweight="1pt" strokecolor="#0099d9">
              <v:path arrowok="t"/>
              <v:stroke dashstyle="solid"/>
            </v:shape>
            <v:line style="position:absolute" from="2641,772" to="2641,1002" stroked="true" strokeweight="2.125pt" strokecolor="#0099d9">
              <v:stroke dashstyle="solid"/>
            </v:line>
            <v:shape style="position:absolute;left:2652;top:922;width:80;height:250" coordorigin="2653,922" coordsize="80,250" path="m2653,992l2675,922m2675,922l2710,1172m2710,1172l2733,1145e" filled="false" stroked="true" strokeweight="1pt" strokecolor="#0099d9">
              <v:path arrowok="t"/>
              <v:stroke dashstyle="solid"/>
            </v:shape>
            <v:line style="position:absolute" from="2723,1146" to="2778,1146" stroked="true" strokeweight="1.125pt" strokecolor="#0099d9">
              <v:stroke dashstyle="solid"/>
            </v:line>
            <v:line style="position:absolute" from="2779,870" to="2779,1155" stroked="true" strokeweight="2.125pt" strokecolor="#0099d9">
              <v:stroke dashstyle="solid"/>
            </v:line>
            <v:shape style="position:absolute;left:2790;top:562;width:135;height:430" coordorigin="2790,562" coordsize="135,430" path="m2790,880l2813,852m2813,852l2848,700m2848,700l2870,562m2870,562l2893,992m2893,992l2925,810e" filled="false" stroked="true" strokeweight="1pt" strokecolor="#0099d9">
              <v:path arrowok="t"/>
              <v:stroke dashstyle="solid"/>
            </v:shape>
            <v:line style="position:absolute" from="2936,800" to="2936,1155" stroked="true" strokeweight="2.125pt" strokecolor="#0099d9">
              <v:stroke dashstyle="solid"/>
            </v:line>
            <v:shape style="position:absolute;left:2947;top:992;width:80;height:248" coordorigin="2948,992" coordsize="80,248" path="m2948,1145l2983,992m2983,992l3005,1172m3005,1172l3028,1240e" filled="false" stroked="true" strokeweight="1pt" strokecolor="#0099d9">
              <v:path arrowok="t"/>
              <v:stroke dashstyle="solid"/>
            </v:shape>
            <v:line style="position:absolute" from="3018,1241" to="3073,1241" stroked="true" strokeweight="1.125pt" strokecolor="#0099d9">
              <v:stroke dashstyle="solid"/>
            </v:line>
            <v:line style="position:absolute" from="3063,1240" to="3085,1282" stroked="true" strokeweight="1pt" strokecolor="#0099d9">
              <v:stroke dashstyle="solid"/>
            </v:line>
            <v:line style="position:absolute" from="3096,1050" to="3096,1292" stroked="true" strokeweight="2.125pt" strokecolor="#0099d9">
              <v:stroke dashstyle="solid"/>
            </v:line>
            <v:shape style="position:absolute;left:3107;top:1032;width:170;height:390" coordorigin="3108,1032" coordsize="170,390" path="m3108,1060l3143,1172m3143,1172l3165,1032m3165,1032l3198,1102m3198,1102l3220,1240m3220,1240l3243,1392m3243,1392l3278,1422e" filled="false" stroked="true" strokeweight="1pt" strokecolor="#0099d9">
              <v:path arrowok="t"/>
              <v:stroke dashstyle="solid"/>
            </v:shape>
            <v:shape style="position:absolute;left:3288;top:1412;width:23;height:518" coordorigin="3289,1412" coordsize="23,518" path="m3289,1412l3289,1680m3311,1660l3311,1930e" filled="false" stroked="true" strokeweight="2.125pt" strokecolor="#0099d9">
              <v:path arrowok="t"/>
              <v:stroke dashstyle="solid"/>
            </v:shape>
            <v:shape style="position:absolute;left:3322;top:1669;width:58;height:250" coordorigin="3323,1670" coordsize="58,250" path="m3323,1920l3358,1670m3358,1670l3380,1740e" filled="false" stroked="true" strokeweight="1pt" strokecolor="#0099d9">
              <v:path arrowok="t"/>
              <v:stroke dashstyle="solid"/>
            </v:shape>
            <v:line style="position:absolute" from="3370,1741" to="3423,1741" stroked="true" strokeweight="1.125pt" strokecolor="#0099d9">
              <v:stroke dashstyle="solid"/>
            </v:line>
            <v:line style="position:absolute" from="3413,1740" to="3435,1782" stroked="true" strokeweight="1pt" strokecolor="#0099d9">
              <v:stroke dashstyle="solid"/>
            </v:line>
            <v:line style="position:absolute" from="3448,1772" to="3448,2222" stroked="true" strokeweight="2.25pt" strokecolor="#0099d9">
              <v:stroke dashstyle="solid"/>
            </v:line>
            <v:shape style="position:absolute;left:3460;top:1712;width:170;height:500" coordorigin="3460,1712" coordsize="170,500" path="m3460,2212l3493,2032m3493,2032l3515,1892m3515,1892l3538,1920m3538,1920l3573,1892m3573,1892l3595,1712m3595,1712l3630,1892e" filled="false" stroked="true" strokeweight="1pt" strokecolor="#0099d9">
              <v:path arrowok="t"/>
              <v:stroke dashstyle="solid"/>
            </v:shape>
            <v:line style="position:absolute" from="3641,1660" to="3641,1902" stroked="true" strokeweight="2.125pt" strokecolor="#0099d9">
              <v:stroke dashstyle="solid"/>
            </v:line>
            <v:shape style="position:absolute;left:3652;top:1282;width:215;height:540" coordorigin="3653,1282" coordsize="215,540" path="m3653,1670l3675,1822m3675,1822l3708,1670m3708,1670l3730,1602m3730,1602l3755,1490m3755,1490l3788,1352m3788,1352l3810,1422m3810,1422l3845,1282m3845,1282l3868,1285e" filled="false" stroked="true" strokeweight="1pt" strokecolor="#0099d9">
              <v:path arrowok="t"/>
              <v:stroke dashstyle="solid"/>
            </v:shape>
            <v:line style="position:absolute" from="3879,1272" to="3879,1542" stroked="true" strokeweight="2.125pt" strokecolor="#0099d9">
              <v:stroke dashstyle="solid"/>
            </v:line>
            <v:line style="position:absolute" from="3890,1532" to="3925,1602" stroked="true" strokeweight="1pt" strokecolor="#0099d9">
              <v:stroke dashstyle="solid"/>
            </v:line>
            <v:line style="position:absolute" from="3936,1592" to="3936,1902" stroked="true" strokeweight="2.125pt" strokecolor="#0099d9">
              <v:stroke dashstyle="solid"/>
            </v:line>
            <v:shape style="position:absolute;left:3947;top:1669;width:55;height:223" coordorigin="3948,1670" coordsize="55,223" path="m3948,1892l3970,1782m3970,1782l4003,1670e" filled="false" stroked="true" strokeweight="1pt" strokecolor="#0099d9">
              <v:path arrowok="t"/>
              <v:stroke dashstyle="solid"/>
            </v:shape>
            <v:shape style="position:absolute;left:1145;top:422;width:430;height:295" coordorigin="1145,422" coordsize="430,295" path="m1145,687l1180,645m1180,645l1202,630m1202,630l1225,645m1225,645l1257,687m1257,687l1280,645m1280,645l1302,687m1302,687l1337,715m1337,715l1360,717m1360,715l1395,672m1395,672l1417,617m1417,617l1440,575m1440,575l1475,520m1475,520l1497,477m1497,477l1520,437m1520,437l1552,422m1552,422l1575,425e" filled="false" stroked="true" strokeweight="1pt" strokecolor="#f6bd61">
              <v:path arrowok="t"/>
              <v:stroke dashstyle="solid"/>
            </v:shape>
            <v:line style="position:absolute" from="1565,423" to="1620,423" stroked="true" strokeweight="1.125pt" strokecolor="#f6bd61">
              <v:stroke dashstyle="solid"/>
            </v:line>
            <v:shape style="position:absolute;left:1610;top:367;width:45;height:55" coordorigin="1610,367" coordsize="45,55" path="m1610,422l1633,380m1633,380l1655,367e" filled="false" stroked="true" strokeweight="1pt" strokecolor="#f6bd61">
              <v:path arrowok="t"/>
              <v:stroke dashstyle="solid"/>
            </v:shape>
            <v:line style="position:absolute" from="1645,368" to="1700,368" stroked="true" strokeweight="1.125pt" strokecolor="#f6bd61">
              <v:stroke dashstyle="solid"/>
            </v:line>
            <v:shape style="position:absolute;left:1690;top:367;width:613;height:443" coordorigin="1690,367" coordsize="613,443" path="m1690,367l1735,532m1735,532l1770,590m1770,590l1793,630m1793,630l1825,727m1825,727l1848,797m1848,797l1870,800m1870,797l1905,755m1905,755l1928,770m1928,770l1950,810m1950,810l1985,797m1985,797l2008,782m2008,782l2040,755m2040,755l2063,742m2063,742l2088,687m2088,687l2120,532m2120,532l2143,492m2143,492l2165,465m2165,465l2200,437m2200,437l2223,450m2223,450l2258,410m2258,410l2280,367m2280,367l2303,380e" filled="false" stroked="true" strokeweight="1pt" strokecolor="#f6bd61">
              <v:path arrowok="t"/>
              <v:stroke dashstyle="solid"/>
            </v:shape>
            <v:line style="position:absolute" from="2293,381" to="2345,381" stroked="true" strokeweight="1.125pt" strokecolor="#f6bd61">
              <v:stroke dashstyle="solid"/>
            </v:line>
            <v:shape style="position:absolute;left:2335;top:379;width:558;height:765" coordorigin="2335,380" coordsize="558,765" path="m2335,380l2358,382m2358,380l2383,422m2383,422l2415,380m2415,380l2438,532m2438,532l2473,562m2473,562l2495,575m2495,575l2518,590m2518,590l2553,645m2553,645l2575,727m2575,727l2598,782m2598,782l2630,810m2630,810l2653,797m2653,797l2675,840m2675,840l2710,810m2710,810l2733,907m2733,907l2768,962m2768,962l2813,1102m2813,1102l2848,1145m2848,1145l2870,1115m2870,1115l2893,1117e" filled="false" stroked="true" strokeweight="1pt" strokecolor="#f6bd61">
              <v:path arrowok="t"/>
              <v:stroke dashstyle="solid"/>
            </v:shape>
            <v:line style="position:absolute" from="2883,1116" to="2935,1116" stroked="true" strokeweight="1.125pt" strokecolor="#f6bd61">
              <v:stroke dashstyle="solid"/>
            </v:line>
            <v:shape style="position:absolute;left:2925;top:1114;width:103;height:58" coordorigin="2925,1115" coordsize="103,58" path="m2925,1115l2948,1117m2948,1115l2983,1157m2983,1157l3005,1160m3005,1157l3028,1172e" filled="false" stroked="true" strokeweight="1pt" strokecolor="#f6bd61">
              <v:path arrowok="t"/>
              <v:stroke dashstyle="solid"/>
            </v:shape>
            <v:line style="position:absolute" from="3018,1173" to="3073,1173" stroked="true" strokeweight="1.125pt" strokecolor="#f6bd61">
              <v:stroke dashstyle="solid"/>
            </v:line>
            <v:shape style="position:absolute;left:3062;top:714;width:805;height:595" coordorigin="3063,715" coordsize="805,595" path="m3063,1172l3085,1212m3085,1212l3108,1172m3108,1172l3143,1157m3143,1157l3165,1172m3165,1172l3198,1185m3198,1185l3220,1172m3220,1172l3243,1157m3243,1157l3278,1212m3278,1212l3300,1255m3300,1255l3323,1282m3323,1282l3358,1297m3358,1297l3380,1310m3380,1310l3413,1297m3413,1297l3435,1240m3435,1240l3460,1227m3460,1227l3493,1185m3493,1185l3515,1172m3515,1172l3538,1212m3538,1212l3573,1157m3573,1157l3595,1087m3595,1087l3630,1020m3630,1020l3653,977m3653,977l3675,922m3675,922l3708,867m3708,867l3730,840m3730,840l3755,842m3755,840l3788,797m3788,797l3810,840m3810,840l3845,825m3845,825l3868,715e" filled="false" stroked="true" strokeweight="1pt" strokecolor="#f6bd61">
              <v:path arrowok="t"/>
              <v:stroke dashstyle="solid"/>
            </v:shape>
            <v:shape style="position:absolute;left:999;top:67;width:3148;height:2155" coordorigin="1000,68" coordsize="3148,2155" path="m1086,775l1000,775m1086,1142l1000,1142m1086,1500l1000,1500m1086,1853l1000,1853m1086,2212l1000,2212m1086,68l1000,68m1086,425l1000,425m4148,785l4061,785m4148,1152l4061,1152m4148,1510l4061,1510m4148,1864l4061,1864m4148,2222l4061,2222m4148,78l4061,78m4148,435l4061,435m3141,503l3589,901e" filled="false" stroked="true" strokeweight=".5pt" strokecolor="#000000">
              <v:path arrowok="t"/>
              <v:stroke dashstyle="solid"/>
            </v:shape>
            <v:shape style="position:absolute;left:3560;top:871;width:81;height:76" coordorigin="3560,871" coordsize="81,76" path="m3594,871l3560,909,3576,915,3588,920,3640,946,3634,940,3628,931,3621,921,3614,909,3608,899,3594,871xe" filled="true" fillcolor="#000000" stroked="false">
              <v:path arrowok="t"/>
              <v:fill type="solid"/>
            </v:shape>
            <v:line style="position:absolute" from="1130,1143" to="4009,1143" stroked="true" strokeweight=".5pt" strokecolor="#5a5c5c">
              <v:stroke dashstyle="solid"/>
            </v:line>
            <v:shape style="position:absolute;left:2637;top:207;width:1223;height:273" type="#_x0000_t202" filled="false" stroked="false">
              <v:textbox inset="0,0,0,0">
                <w:txbxContent>
                  <w:p>
                    <w:pPr>
                      <w:spacing w:line="242" w:lineRule="auto" w:before="0"/>
                      <w:ind w:left="60" w:right="18" w:hanging="60"/>
                      <w:jc w:val="left"/>
                      <w:rPr>
                        <w:sz w:val="12"/>
                      </w:rPr>
                    </w:pPr>
                    <w:r>
                      <w:rPr>
                        <w:sz w:val="12"/>
                      </w:rPr>
                      <w:t>Output price inflation (a) (right-hand scale)</w:t>
                    </w:r>
                  </w:p>
                </w:txbxContent>
              </v:textbox>
              <w10:wrap type="none"/>
            </v:shape>
            <v:shape style="position:absolute;left:911;top:856;width:134;height:485" type="#_x0000_t202" filled="false" stroked="false">
              <v:textbox inset="0,0,0,0">
                <w:txbxContent>
                  <w:p>
                    <w:pPr>
                      <w:spacing w:line="177" w:lineRule="exact" w:before="0"/>
                      <w:ind w:left="23" w:right="0" w:firstLine="0"/>
                      <w:jc w:val="left"/>
                      <w:rPr>
                        <w:sz w:val="16"/>
                      </w:rPr>
                    </w:pPr>
                    <w:r>
                      <w:rPr>
                        <w:sz w:val="16"/>
                      </w:rPr>
                      <w:t>+</w:t>
                    </w:r>
                  </w:p>
                  <w:p>
                    <w:pPr>
                      <w:spacing w:line="106" w:lineRule="exact" w:before="49"/>
                      <w:ind w:left="0" w:right="0" w:firstLine="0"/>
                      <w:jc w:val="left"/>
                      <w:rPr>
                        <w:sz w:val="12"/>
                      </w:rPr>
                    </w:pPr>
                    <w:r>
                      <w:rPr>
                        <w:sz w:val="12"/>
                      </w:rPr>
                      <w:t>0</w:t>
                    </w:r>
                  </w:p>
                  <w:p>
                    <w:pPr>
                      <w:spacing w:line="152" w:lineRule="exact" w:before="0"/>
                      <w:ind w:left="33" w:right="0" w:firstLine="0"/>
                      <w:jc w:val="left"/>
                      <w:rPr>
                        <w:sz w:val="16"/>
                      </w:rPr>
                    </w:pPr>
                    <w:r>
                      <w:rPr>
                        <w:sz w:val="16"/>
                      </w:rPr>
                      <w:t>_</w:t>
                    </w:r>
                  </w:p>
                </w:txbxContent>
              </v:textbox>
              <w10:wrap type="none"/>
            </v:shape>
            <v:shape style="position:absolute;left:4131;top:856;width:111;height:485" type="#_x0000_t202" filled="false" stroked="false">
              <v:textbox inset="0,0,0,0">
                <w:txbxContent>
                  <w:p>
                    <w:pPr>
                      <w:spacing w:line="177" w:lineRule="exact" w:before="0"/>
                      <w:ind w:left="0" w:right="0" w:firstLine="0"/>
                      <w:jc w:val="left"/>
                      <w:rPr>
                        <w:sz w:val="16"/>
                      </w:rPr>
                    </w:pPr>
                    <w:r>
                      <w:rPr>
                        <w:sz w:val="16"/>
                      </w:rPr>
                      <w:t>+</w:t>
                    </w:r>
                  </w:p>
                  <w:p>
                    <w:pPr>
                      <w:spacing w:before="123"/>
                      <w:ind w:left="10" w:right="0" w:firstLine="0"/>
                      <w:jc w:val="left"/>
                      <w:rPr>
                        <w:sz w:val="16"/>
                      </w:rPr>
                    </w:pPr>
                    <w:r>
                      <w:rPr>
                        <w:sz w:val="16"/>
                      </w:rPr>
                      <w:t>_</w:t>
                    </w:r>
                  </w:p>
                </w:txbxContent>
              </v:textbox>
              <w10:wrap type="none"/>
            </v:shape>
            <v:shape style="position:absolute;left:2006;top:1657;width:1290;height:273" type="#_x0000_t202" filled="false" stroked="false">
              <v:textbox inset="0,0,0,0">
                <w:txbxContent>
                  <w:p>
                    <w:pPr>
                      <w:spacing w:line="242" w:lineRule="auto" w:before="0"/>
                      <w:ind w:left="60" w:right="18" w:hanging="60"/>
                      <w:jc w:val="left"/>
                      <w:rPr>
                        <w:sz w:val="12"/>
                      </w:rPr>
                    </w:pPr>
                    <w:r>
                      <w:rPr>
                        <w:sz w:val="12"/>
                      </w:rPr>
                      <w:t>CBI price expectations (b) (left-hand scale)</w:t>
                    </w:r>
                  </w:p>
                </w:txbxContent>
              </v:textbox>
              <w10:wrap type="none"/>
            </v:shape>
            <w10:wrap type="none"/>
          </v:group>
        </w:pict>
      </w:r>
      <w:r>
        <w:rPr>
          <w:sz w:val="12"/>
        </w:rPr>
        <w:t>30</w:t>
      </w:r>
    </w:p>
    <w:p>
      <w:pPr>
        <w:pStyle w:val="BodyText"/>
        <w:rPr>
          <w:sz w:val="12"/>
        </w:rPr>
      </w:pPr>
    </w:p>
    <w:p>
      <w:pPr>
        <w:spacing w:before="84"/>
        <w:ind w:left="204" w:right="0" w:firstLine="0"/>
        <w:jc w:val="left"/>
        <w:rPr>
          <w:sz w:val="12"/>
        </w:rPr>
      </w:pPr>
      <w:r>
        <w:rPr>
          <w:sz w:val="12"/>
        </w:rPr>
        <w:t>20</w:t>
      </w:r>
    </w:p>
    <w:p>
      <w:pPr>
        <w:pStyle w:val="BodyText"/>
        <w:rPr>
          <w:sz w:val="12"/>
        </w:rPr>
      </w:pPr>
    </w:p>
    <w:p>
      <w:pPr>
        <w:spacing w:before="87"/>
        <w:ind w:left="204" w:right="0" w:firstLine="0"/>
        <w:jc w:val="left"/>
        <w:rPr>
          <w:sz w:val="12"/>
        </w:rPr>
      </w:pPr>
      <w:r>
        <w:rPr>
          <w:sz w:val="12"/>
        </w:rPr>
        <w:t>10</w:t>
      </w:r>
    </w:p>
    <w:p>
      <w:pPr>
        <w:pStyle w:val="BodyText"/>
        <w:rPr>
          <w:sz w:val="12"/>
        </w:rPr>
      </w:pPr>
    </w:p>
    <w:p>
      <w:pPr>
        <w:pStyle w:val="BodyText"/>
        <w:rPr>
          <w:sz w:val="12"/>
        </w:rPr>
      </w:pPr>
    </w:p>
    <w:p>
      <w:pPr>
        <w:pStyle w:val="BodyText"/>
        <w:rPr>
          <w:sz w:val="12"/>
        </w:rPr>
      </w:pPr>
    </w:p>
    <w:p>
      <w:pPr>
        <w:pStyle w:val="BodyText"/>
        <w:spacing w:before="3"/>
        <w:rPr>
          <w:sz w:val="13"/>
        </w:rPr>
      </w:pPr>
    </w:p>
    <w:p>
      <w:pPr>
        <w:spacing w:before="0"/>
        <w:ind w:left="204" w:right="0" w:firstLine="0"/>
        <w:jc w:val="left"/>
        <w:rPr>
          <w:sz w:val="12"/>
        </w:rPr>
      </w:pPr>
      <w:r>
        <w:rPr>
          <w:sz w:val="12"/>
        </w:rPr>
        <w:t>10</w:t>
      </w:r>
    </w:p>
    <w:p>
      <w:pPr>
        <w:pStyle w:val="BodyText"/>
        <w:rPr>
          <w:sz w:val="12"/>
        </w:rPr>
      </w:pPr>
    </w:p>
    <w:p>
      <w:pPr>
        <w:spacing w:before="87"/>
        <w:ind w:left="204" w:right="0" w:firstLine="0"/>
        <w:jc w:val="left"/>
        <w:rPr>
          <w:sz w:val="12"/>
        </w:rPr>
      </w:pPr>
      <w:r>
        <w:rPr>
          <w:sz w:val="12"/>
        </w:rPr>
        <w:t>20</w:t>
      </w:r>
    </w:p>
    <w:p>
      <w:pPr>
        <w:pStyle w:val="BodyText"/>
        <w:rPr>
          <w:sz w:val="12"/>
        </w:rPr>
      </w:pPr>
    </w:p>
    <w:p>
      <w:pPr>
        <w:spacing w:before="84"/>
        <w:ind w:left="204" w:right="0" w:firstLine="0"/>
        <w:jc w:val="left"/>
        <w:rPr>
          <w:sz w:val="12"/>
        </w:rPr>
      </w:pPr>
      <w:r>
        <w:rPr>
          <w:sz w:val="12"/>
        </w:rPr>
        <w:t>30</w:t>
      </w:r>
    </w:p>
    <w:p>
      <w:pPr>
        <w:spacing w:line="57" w:lineRule="exact" w:before="0"/>
        <w:ind w:left="204" w:right="0" w:firstLine="0"/>
        <w:jc w:val="left"/>
        <w:rPr>
          <w:sz w:val="12"/>
        </w:rPr>
      </w:pPr>
      <w:r>
        <w:rPr/>
        <w:br w:type="column"/>
      </w:r>
      <w:r>
        <w:rPr>
          <w:sz w:val="12"/>
        </w:rPr>
        <w:t>Percentage change on a year earli</w:t>
      </w:r>
      <w:r>
        <w:rPr>
          <w:sz w:val="12"/>
          <w:u w:val="single"/>
        </w:rPr>
        <w:t>er</w:t>
      </w:r>
    </w:p>
    <w:p>
      <w:pPr>
        <w:spacing w:line="114" w:lineRule="exact" w:before="0"/>
        <w:ind w:left="1978" w:right="0" w:firstLine="0"/>
        <w:jc w:val="left"/>
        <w:rPr>
          <w:sz w:val="12"/>
        </w:rPr>
      </w:pPr>
      <w:r>
        <w:rPr>
          <w:sz w:val="12"/>
        </w:rPr>
        <w:t>8</w:t>
      </w:r>
    </w:p>
    <w:p>
      <w:pPr>
        <w:pStyle w:val="BodyText"/>
        <w:rPr>
          <w:sz w:val="12"/>
        </w:rPr>
      </w:pPr>
    </w:p>
    <w:p>
      <w:pPr>
        <w:spacing w:before="84"/>
        <w:ind w:left="0" w:right="38" w:firstLine="0"/>
        <w:jc w:val="right"/>
        <w:rPr>
          <w:sz w:val="12"/>
        </w:rPr>
      </w:pPr>
      <w:r>
        <w:rPr>
          <w:sz w:val="12"/>
        </w:rPr>
        <w:t>6</w:t>
      </w:r>
    </w:p>
    <w:p>
      <w:pPr>
        <w:pStyle w:val="BodyText"/>
        <w:rPr>
          <w:sz w:val="12"/>
        </w:rPr>
      </w:pPr>
    </w:p>
    <w:p>
      <w:pPr>
        <w:spacing w:before="84"/>
        <w:ind w:left="0" w:right="38" w:firstLine="0"/>
        <w:jc w:val="right"/>
        <w:rPr>
          <w:sz w:val="12"/>
        </w:rPr>
      </w:pPr>
      <w:r>
        <w:rPr>
          <w:sz w:val="12"/>
        </w:rPr>
        <w:t>4</w:t>
      </w:r>
    </w:p>
    <w:p>
      <w:pPr>
        <w:pStyle w:val="BodyText"/>
        <w:rPr>
          <w:sz w:val="12"/>
        </w:rPr>
      </w:pPr>
    </w:p>
    <w:p>
      <w:pPr>
        <w:spacing w:before="86"/>
        <w:ind w:left="0" w:right="38" w:firstLine="0"/>
        <w:jc w:val="right"/>
        <w:rPr>
          <w:sz w:val="12"/>
        </w:rPr>
      </w:pPr>
      <w:r>
        <w:rPr>
          <w:sz w:val="12"/>
        </w:rPr>
        <w:t>2</w:t>
      </w:r>
    </w:p>
    <w:p>
      <w:pPr>
        <w:pStyle w:val="BodyText"/>
        <w:rPr>
          <w:sz w:val="12"/>
        </w:rPr>
      </w:pPr>
    </w:p>
    <w:p>
      <w:pPr>
        <w:spacing w:before="84"/>
        <w:ind w:left="0" w:right="38" w:firstLine="0"/>
        <w:jc w:val="right"/>
        <w:rPr>
          <w:sz w:val="12"/>
        </w:rPr>
      </w:pPr>
      <w:r>
        <w:rPr>
          <w:sz w:val="12"/>
        </w:rPr>
        <w:t>0</w:t>
      </w:r>
    </w:p>
    <w:p>
      <w:pPr>
        <w:pStyle w:val="BodyText"/>
        <w:rPr>
          <w:sz w:val="12"/>
        </w:rPr>
      </w:pPr>
    </w:p>
    <w:p>
      <w:pPr>
        <w:spacing w:before="69"/>
        <w:ind w:left="0" w:right="38" w:firstLine="0"/>
        <w:jc w:val="right"/>
        <w:rPr>
          <w:sz w:val="12"/>
        </w:rPr>
      </w:pPr>
      <w:r>
        <w:rPr>
          <w:sz w:val="12"/>
        </w:rPr>
        <w:t>2</w:t>
      </w:r>
    </w:p>
    <w:p>
      <w:pPr>
        <w:pStyle w:val="BodyText"/>
        <w:rPr>
          <w:sz w:val="12"/>
        </w:rPr>
      </w:pPr>
    </w:p>
    <w:p>
      <w:pPr>
        <w:spacing w:before="87"/>
        <w:ind w:left="0" w:right="38" w:firstLine="0"/>
        <w:jc w:val="right"/>
        <w:rPr>
          <w:sz w:val="12"/>
        </w:rPr>
      </w:pPr>
      <w:r>
        <w:rPr>
          <w:sz w:val="12"/>
        </w:rPr>
        <w:t>4</w:t>
      </w:r>
    </w:p>
    <w:p>
      <w:pPr>
        <w:pStyle w:val="BodyText"/>
        <w:rPr>
          <w:sz w:val="12"/>
        </w:rPr>
      </w:pPr>
    </w:p>
    <w:p>
      <w:pPr>
        <w:spacing w:before="84"/>
        <w:ind w:left="0" w:right="38" w:firstLine="0"/>
        <w:jc w:val="right"/>
        <w:rPr>
          <w:sz w:val="12"/>
        </w:rPr>
      </w:pPr>
      <w:r>
        <w:rPr>
          <w:sz w:val="12"/>
        </w:rPr>
        <w:t>6</w:t>
      </w:r>
    </w:p>
    <w:p>
      <w:pPr>
        <w:pStyle w:val="BodyText"/>
        <w:spacing w:before="10"/>
        <w:rPr>
          <w:sz w:val="27"/>
        </w:rPr>
      </w:pPr>
      <w:r>
        <w:rPr/>
        <w:br w:type="column"/>
      </w:r>
      <w:r>
        <w:rPr>
          <w:sz w:val="27"/>
        </w:rPr>
      </w:r>
    </w:p>
    <w:p>
      <w:pPr>
        <w:pStyle w:val="ListParagraph"/>
        <w:numPr>
          <w:ilvl w:val="1"/>
          <w:numId w:val="35"/>
        </w:numPr>
        <w:tabs>
          <w:tab w:pos="1102" w:val="left" w:leader="none"/>
          <w:tab w:pos="1103" w:val="left" w:leader="none"/>
          <w:tab w:pos="5704" w:val="left" w:leader="none"/>
        </w:tabs>
        <w:spacing w:line="240" w:lineRule="auto" w:before="0" w:after="0"/>
        <w:ind w:left="1102" w:right="0" w:hanging="899"/>
        <w:jc w:val="left"/>
        <w:rPr>
          <w:b/>
          <w:sz w:val="28"/>
        </w:rPr>
      </w:pPr>
      <w:r>
        <w:rPr>
          <w:b/>
          <w:color w:val="009391"/>
          <w:sz w:val="28"/>
          <w:u w:val="thick" w:color="0092C7"/>
        </w:rPr>
        <w:t>Costs and prices in the service</w:t>
      </w:r>
      <w:r>
        <w:rPr>
          <w:b/>
          <w:color w:val="009391"/>
          <w:spacing w:val="-33"/>
          <w:sz w:val="28"/>
          <w:u w:val="thick" w:color="0092C7"/>
        </w:rPr>
        <w:t> </w:t>
      </w:r>
      <w:r>
        <w:rPr>
          <w:b/>
          <w:color w:val="009391"/>
          <w:sz w:val="28"/>
          <w:u w:val="thick" w:color="0092C7"/>
        </w:rPr>
        <w:t>sector</w:t>
        <w:tab/>
      </w:r>
    </w:p>
    <w:p>
      <w:pPr>
        <w:spacing w:line="242" w:lineRule="auto" w:before="264"/>
        <w:ind w:left="204" w:right="262" w:firstLine="0"/>
        <w:jc w:val="left"/>
        <w:rPr>
          <w:sz w:val="24"/>
        </w:rPr>
      </w:pPr>
      <w:r>
        <w:rPr>
          <w:sz w:val="24"/>
        </w:rPr>
        <w:t>Unit labour costs in the service sector are estimated to have risen by nearly 4% in the year to Q1. The rate of increase has been broadly constant in recent quarters, as a rise in earnings growth has been broadly matched by an increase in productivity growth. The CIPS survey indicated a further increase in service sector input cost pressures in Q2 (see Table 4.B), with rising staff costs</w:t>
      </w:r>
    </w:p>
    <w:p>
      <w:pPr>
        <w:spacing w:after="0" w:line="242" w:lineRule="auto"/>
        <w:jc w:val="left"/>
        <w:rPr>
          <w:sz w:val="24"/>
        </w:rPr>
        <w:sectPr>
          <w:type w:val="continuous"/>
          <w:pgSz w:w="11900" w:h="16840"/>
          <w:pgMar w:top="1260" w:bottom="280" w:left="640" w:right="640"/>
          <w:cols w:num="3" w:equalWidth="0">
            <w:col w:w="1324" w:space="267"/>
            <w:col w:w="2079" w:space="1086"/>
            <w:col w:w="5864"/>
          </w:cols>
        </w:sectPr>
      </w:pPr>
    </w:p>
    <w:p>
      <w:pPr>
        <w:tabs>
          <w:tab w:pos="3477" w:val="left" w:leader="none"/>
        </w:tabs>
        <w:spacing w:line="126" w:lineRule="exact" w:before="36"/>
        <w:ind w:left="112" w:right="0" w:firstLine="0"/>
        <w:jc w:val="center"/>
        <w:rPr>
          <w:sz w:val="12"/>
        </w:rPr>
      </w:pPr>
      <w:r>
        <w:rPr/>
        <w:pict>
          <v:group style="position:absolute;margin-left:49.977001pt;margin-top:.726215pt;width:157.4pt;height:5.15pt;mso-position-horizontal-relative:page;mso-position-vertical-relative:paragraph;z-index:-23056896" coordorigin="1000,15" coordsize="3148,103">
            <v:line style="position:absolute" from="1133,110" to="4005,110" stroked="true" strokeweight=".5pt" strokecolor="#000000">
              <v:stroke dashstyle="solid"/>
            </v:line>
            <v:shape style="position:absolute;left:999;top:14;width:3148;height:100" coordorigin="1000,15" coordsize="3148,100" path="m1086,112l1000,112m1133,15l1133,115m1211,61l1211,115m1290,61l1290,115m1369,61l1369,115m1447,15l1447,115m1545,61l1545,115m1624,61l1624,115m1703,61l1703,115m1781,15l1781,115m1861,61l1861,115m1939,61l1939,115m2018,61l2018,115m2097,15l2097,115m2189,61l2189,115m2268,61l2268,115m2346,61l2346,115m2425,15l2425,115m2505,61l2505,115m2583,61l2583,115m2662,61l2662,115m2741,15l2741,115m2842,61l2842,115m2921,61l2921,115m3000,61l3000,115m3078,15l3078,115m3150,61l3150,115m3228,61l3228,115m3307,61l3307,115m3386,15l3386,115m3482,61l3482,115m3561,61l3561,115m3639,61l3639,115m3718,15l3718,115m3797,61l3797,115m3876,61l3876,115m3955,61l3955,115m4148,111l4061,111e" filled="false" stroked="true" strokeweight=".5pt" strokecolor="#000000">
              <v:path arrowok="t"/>
              <v:stroke dashstyle="solid"/>
            </v:shape>
            <w10:wrap type="none"/>
          </v:group>
        </w:pict>
      </w:r>
      <w:r>
        <w:rPr>
          <w:position w:val="1"/>
          <w:sz w:val="12"/>
        </w:rPr>
        <w:t>40</w:t>
        <w:tab/>
      </w:r>
      <w:r>
        <w:rPr>
          <w:sz w:val="12"/>
        </w:rPr>
        <w:t>8</w:t>
      </w:r>
    </w:p>
    <w:p>
      <w:pPr>
        <w:tabs>
          <w:tab w:pos="1152" w:val="left" w:leader="none"/>
          <w:tab w:pos="1799" w:val="left" w:leader="none"/>
          <w:tab w:pos="2444" w:val="left" w:leader="none"/>
        </w:tabs>
        <w:spacing w:line="116" w:lineRule="exact" w:before="0"/>
        <w:ind w:left="109" w:right="0" w:firstLine="0"/>
        <w:jc w:val="center"/>
        <w:rPr>
          <w:sz w:val="12"/>
        </w:rPr>
      </w:pPr>
      <w:r>
        <w:rPr>
          <w:sz w:val="12"/>
        </w:rPr>
        <w:t>1992    </w:t>
      </w:r>
      <w:r>
        <w:rPr>
          <w:spacing w:val="5"/>
          <w:sz w:val="12"/>
        </w:rPr>
        <w:t> </w:t>
      </w:r>
      <w:r>
        <w:rPr>
          <w:sz w:val="12"/>
        </w:rPr>
        <w:t>93     </w:t>
      </w:r>
      <w:r>
        <w:rPr>
          <w:spacing w:val="17"/>
          <w:sz w:val="12"/>
        </w:rPr>
        <w:t> </w:t>
      </w:r>
      <w:r>
        <w:rPr>
          <w:sz w:val="12"/>
        </w:rPr>
        <w:t>94</w:t>
        <w:tab/>
        <w:t>95     </w:t>
      </w:r>
      <w:r>
        <w:rPr>
          <w:spacing w:val="17"/>
          <w:sz w:val="12"/>
        </w:rPr>
        <w:t> </w:t>
      </w:r>
      <w:r>
        <w:rPr>
          <w:sz w:val="12"/>
        </w:rPr>
        <w:t>96</w:t>
        <w:tab/>
        <w:t>97     </w:t>
      </w:r>
      <w:r>
        <w:rPr>
          <w:spacing w:val="17"/>
          <w:sz w:val="12"/>
        </w:rPr>
        <w:t> </w:t>
      </w:r>
      <w:r>
        <w:rPr>
          <w:sz w:val="12"/>
        </w:rPr>
        <w:t>98</w:t>
        <w:tab/>
        <w:t>99</w:t>
      </w:r>
      <w:r>
        <w:rPr>
          <w:spacing w:val="10"/>
          <w:sz w:val="12"/>
        </w:rPr>
        <w:t> </w:t>
      </w:r>
      <w:r>
        <w:rPr>
          <w:sz w:val="12"/>
        </w:rPr>
        <w:t>2000</w:t>
      </w:r>
    </w:p>
    <w:p>
      <w:pPr>
        <w:pStyle w:val="BodyText"/>
        <w:spacing w:before="4"/>
        <w:rPr>
          <w:sz w:val="17"/>
        </w:rPr>
      </w:pPr>
    </w:p>
    <w:p>
      <w:pPr>
        <w:spacing w:before="0"/>
        <w:ind w:left="180" w:right="0" w:firstLine="0"/>
        <w:jc w:val="left"/>
        <w:rPr>
          <w:sz w:val="12"/>
        </w:rPr>
      </w:pPr>
      <w:r>
        <w:rPr>
          <w:sz w:val="12"/>
        </w:rPr>
        <w:t>Sources: ONS and CBI.</w:t>
      </w:r>
    </w:p>
    <w:p>
      <w:pPr>
        <w:pStyle w:val="ListParagraph"/>
        <w:numPr>
          <w:ilvl w:val="0"/>
          <w:numId w:val="36"/>
        </w:numPr>
        <w:tabs>
          <w:tab w:pos="421" w:val="left" w:leader="none"/>
        </w:tabs>
        <w:spacing w:line="129" w:lineRule="exact" w:before="102" w:after="0"/>
        <w:ind w:left="420" w:right="0" w:hanging="241"/>
        <w:jc w:val="left"/>
        <w:rPr>
          <w:sz w:val="12"/>
        </w:rPr>
      </w:pPr>
      <w:r>
        <w:rPr>
          <w:sz w:val="12"/>
        </w:rPr>
        <w:t>Excluding excise</w:t>
      </w:r>
      <w:r>
        <w:rPr>
          <w:spacing w:val="-3"/>
          <w:sz w:val="12"/>
        </w:rPr>
        <w:t> </w:t>
      </w:r>
      <w:r>
        <w:rPr>
          <w:sz w:val="12"/>
        </w:rPr>
        <w:t>duties.</w:t>
      </w:r>
    </w:p>
    <w:p>
      <w:pPr>
        <w:pStyle w:val="ListParagraph"/>
        <w:numPr>
          <w:ilvl w:val="0"/>
          <w:numId w:val="36"/>
        </w:numPr>
        <w:tabs>
          <w:tab w:pos="421" w:val="left" w:leader="none"/>
        </w:tabs>
        <w:spacing w:line="208" w:lineRule="auto" w:before="6" w:after="0"/>
        <w:ind w:left="420" w:right="38" w:hanging="240"/>
        <w:jc w:val="left"/>
        <w:rPr>
          <w:sz w:val="12"/>
        </w:rPr>
      </w:pPr>
      <w:r>
        <w:rPr>
          <w:sz w:val="12"/>
        </w:rPr>
        <w:t>Balance of manufacturers expecting to increase prices over the following four months minus those expecting to reduce prices, adjusted for seasonal variation. This series has been advanced by four</w:t>
      </w:r>
      <w:r>
        <w:rPr>
          <w:spacing w:val="-6"/>
          <w:sz w:val="12"/>
        </w:rPr>
        <w:t> </w:t>
      </w:r>
      <w:r>
        <w:rPr>
          <w:sz w:val="12"/>
        </w:rPr>
        <w:t>months,</w:t>
      </w:r>
      <w:r>
        <w:rPr>
          <w:spacing w:val="-4"/>
          <w:sz w:val="12"/>
        </w:rPr>
        <w:t> </w:t>
      </w:r>
      <w:r>
        <w:rPr>
          <w:sz w:val="12"/>
        </w:rPr>
        <w:t>as</w:t>
      </w:r>
      <w:r>
        <w:rPr>
          <w:spacing w:val="-6"/>
          <w:sz w:val="12"/>
        </w:rPr>
        <w:t> </w:t>
      </w:r>
      <w:r>
        <w:rPr>
          <w:sz w:val="12"/>
        </w:rPr>
        <w:t>it</w:t>
      </w:r>
      <w:r>
        <w:rPr>
          <w:spacing w:val="-5"/>
          <w:sz w:val="12"/>
        </w:rPr>
        <w:t> </w:t>
      </w:r>
      <w:r>
        <w:rPr>
          <w:sz w:val="12"/>
        </w:rPr>
        <w:t>relates</w:t>
      </w:r>
      <w:r>
        <w:rPr>
          <w:spacing w:val="-5"/>
          <w:sz w:val="12"/>
        </w:rPr>
        <w:t> </w:t>
      </w:r>
      <w:r>
        <w:rPr>
          <w:sz w:val="12"/>
        </w:rPr>
        <w:t>to</w:t>
      </w:r>
      <w:r>
        <w:rPr>
          <w:spacing w:val="-6"/>
          <w:sz w:val="12"/>
        </w:rPr>
        <w:t> </w:t>
      </w:r>
      <w:r>
        <w:rPr>
          <w:sz w:val="12"/>
        </w:rPr>
        <w:t>producers’</w:t>
      </w:r>
      <w:r>
        <w:rPr>
          <w:spacing w:val="-12"/>
          <w:sz w:val="12"/>
        </w:rPr>
        <w:t> </w:t>
      </w:r>
      <w:r>
        <w:rPr>
          <w:sz w:val="12"/>
        </w:rPr>
        <w:t>expectations</w:t>
      </w:r>
      <w:r>
        <w:rPr>
          <w:spacing w:val="-5"/>
          <w:sz w:val="12"/>
        </w:rPr>
        <w:t> </w:t>
      </w:r>
      <w:r>
        <w:rPr>
          <w:sz w:val="12"/>
        </w:rPr>
        <w:t>of</w:t>
      </w:r>
      <w:r>
        <w:rPr>
          <w:spacing w:val="-5"/>
          <w:sz w:val="12"/>
        </w:rPr>
        <w:t> </w:t>
      </w:r>
      <w:r>
        <w:rPr>
          <w:sz w:val="12"/>
        </w:rPr>
        <w:t>future</w:t>
      </w:r>
      <w:r>
        <w:rPr>
          <w:spacing w:val="-6"/>
          <w:sz w:val="12"/>
        </w:rPr>
        <w:t> </w:t>
      </w:r>
      <w:r>
        <w:rPr>
          <w:sz w:val="12"/>
        </w:rPr>
        <w:t>prices.</w:t>
      </w:r>
    </w:p>
    <w:p>
      <w:pPr>
        <w:spacing w:line="242" w:lineRule="auto" w:before="9"/>
        <w:ind w:left="180" w:right="168" w:firstLine="0"/>
        <w:jc w:val="left"/>
        <w:rPr>
          <w:sz w:val="24"/>
        </w:rPr>
      </w:pPr>
      <w:r>
        <w:rPr/>
        <w:br w:type="column"/>
      </w:r>
      <w:r>
        <w:rPr>
          <w:sz w:val="24"/>
        </w:rPr>
        <w:t>cited as the main factor. And the survey’s measure of output prices also increased in Q2. But the latest BCC survey shows a fall in the balance of firms who expect to increase their prices over the next three months. The ONS is developing an official quarterly producer output</w:t>
      </w:r>
    </w:p>
    <w:p>
      <w:pPr>
        <w:spacing w:after="0" w:line="242" w:lineRule="auto"/>
        <w:jc w:val="left"/>
        <w:rPr>
          <w:sz w:val="24"/>
        </w:rPr>
        <w:sectPr>
          <w:type w:val="continuous"/>
          <w:pgSz w:w="11900" w:h="16840"/>
          <w:pgMar w:top="1260" w:bottom="280" w:left="640" w:right="640"/>
          <w:cols w:num="2" w:equalWidth="0">
            <w:col w:w="3721" w:space="1059"/>
            <w:col w:w="5840"/>
          </w:cols>
        </w:sectPr>
      </w:pPr>
    </w:p>
    <w:p>
      <w:pPr>
        <w:pStyle w:val="BodyText"/>
        <w:rPr>
          <w:sz w:val="20"/>
        </w:rPr>
      </w:pPr>
    </w:p>
    <w:p>
      <w:pPr>
        <w:spacing w:after="0"/>
        <w:rPr>
          <w:sz w:val="20"/>
        </w:rPr>
        <w:sectPr>
          <w:pgSz w:w="11900" w:h="16840"/>
          <w:pgMar w:header="586" w:footer="612" w:top="800" w:bottom="800" w:left="640" w:right="640"/>
        </w:sectPr>
      </w:pPr>
    </w:p>
    <w:p>
      <w:pPr>
        <w:pStyle w:val="BodyText"/>
        <w:spacing w:before="1"/>
        <w:rPr>
          <w:sz w:val="20"/>
        </w:rPr>
      </w:pPr>
    </w:p>
    <w:p>
      <w:pPr>
        <w:pStyle w:val="Heading6"/>
        <w:spacing w:before="1"/>
        <w:ind w:left="165"/>
      </w:pPr>
      <w:bookmarkStart w:name="Retail prices" w:id="62"/>
      <w:bookmarkEnd w:id="62"/>
      <w:r>
        <w:rPr>
          <w:b w:val="0"/>
        </w:rPr>
      </w:r>
      <w:bookmarkStart w:name="_bookmark24" w:id="63"/>
      <w:bookmarkEnd w:id="63"/>
      <w:r>
        <w:rPr>
          <w:b w:val="0"/>
        </w:rPr>
      </w:r>
      <w:r>
        <w:rPr>
          <w:color w:val="0092C7"/>
        </w:rPr>
        <w:t>Table 4.B</w:t>
      </w:r>
    </w:p>
    <w:p>
      <w:pPr>
        <w:pStyle w:val="Heading6"/>
        <w:ind w:left="165"/>
      </w:pPr>
      <w:r>
        <w:rPr>
          <w:color w:val="0092C7"/>
        </w:rPr>
        <w:t>BCC and CIPS surveys of service sector prices</w:t>
      </w:r>
    </w:p>
    <w:p>
      <w:pPr>
        <w:pStyle w:val="BodyText"/>
        <w:spacing w:before="8"/>
        <w:rPr>
          <w:b/>
          <w:sz w:val="9"/>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70"/>
        <w:gridCol w:w="470"/>
        <w:gridCol w:w="497"/>
        <w:gridCol w:w="473"/>
        <w:gridCol w:w="495"/>
        <w:gridCol w:w="476"/>
      </w:tblGrid>
      <w:tr>
        <w:trPr>
          <w:trHeight w:val="155" w:hRule="atLeast"/>
        </w:trPr>
        <w:tc>
          <w:tcPr>
            <w:tcW w:w="3310" w:type="dxa"/>
            <w:gridSpan w:val="4"/>
          </w:tcPr>
          <w:p>
            <w:pPr>
              <w:pStyle w:val="TableParagraph"/>
              <w:tabs>
                <w:tab w:pos="3209" w:val="left" w:leader="none"/>
              </w:tabs>
              <w:spacing w:line="135" w:lineRule="exact"/>
              <w:ind w:left="1920"/>
              <w:rPr>
                <w:sz w:val="14"/>
              </w:rPr>
            </w:pPr>
            <w:r>
              <w:rPr>
                <w:sz w:val="14"/>
                <w:u w:val="single"/>
              </w:rPr>
              <w:t>1999</w:t>
              <w:tab/>
            </w:r>
          </w:p>
        </w:tc>
        <w:tc>
          <w:tcPr>
            <w:tcW w:w="971" w:type="dxa"/>
            <w:gridSpan w:val="2"/>
          </w:tcPr>
          <w:p>
            <w:pPr>
              <w:pStyle w:val="TableParagraph"/>
              <w:tabs>
                <w:tab w:pos="859" w:val="left" w:leader="none"/>
              </w:tabs>
              <w:spacing w:line="135" w:lineRule="exact"/>
              <w:ind w:left="100"/>
              <w:rPr>
                <w:sz w:val="14"/>
              </w:rPr>
            </w:pPr>
            <w:r>
              <w:rPr>
                <w:sz w:val="14"/>
                <w:u w:val="single"/>
              </w:rPr>
              <w:t>2000</w:t>
              <w:tab/>
            </w:r>
          </w:p>
        </w:tc>
      </w:tr>
      <w:tr>
        <w:trPr>
          <w:trHeight w:val="222" w:hRule="atLeast"/>
        </w:trPr>
        <w:tc>
          <w:tcPr>
            <w:tcW w:w="1870" w:type="dxa"/>
          </w:tcPr>
          <w:p>
            <w:pPr>
              <w:pStyle w:val="TableParagraph"/>
              <w:spacing w:line="240" w:lineRule="auto"/>
              <w:rPr>
                <w:sz w:val="14"/>
              </w:rPr>
            </w:pPr>
          </w:p>
        </w:tc>
        <w:tc>
          <w:tcPr>
            <w:tcW w:w="470" w:type="dxa"/>
          </w:tcPr>
          <w:p>
            <w:pPr>
              <w:pStyle w:val="TableParagraph"/>
              <w:spacing w:line="155" w:lineRule="exact"/>
              <w:ind w:left="50"/>
              <w:rPr>
                <w:sz w:val="14"/>
              </w:rPr>
            </w:pPr>
            <w:r>
              <w:rPr>
                <w:sz w:val="14"/>
                <w:u w:val="single"/>
              </w:rPr>
              <w:t>Q2 </w:t>
            </w:r>
          </w:p>
        </w:tc>
        <w:tc>
          <w:tcPr>
            <w:tcW w:w="497" w:type="dxa"/>
          </w:tcPr>
          <w:p>
            <w:pPr>
              <w:pStyle w:val="TableParagraph"/>
              <w:spacing w:line="155" w:lineRule="exact"/>
              <w:ind w:right="80"/>
              <w:jc w:val="right"/>
              <w:rPr>
                <w:sz w:val="14"/>
              </w:rPr>
            </w:pPr>
            <w:r>
              <w:rPr>
                <w:sz w:val="14"/>
                <w:u w:val="single"/>
              </w:rPr>
              <w:t>Q3 </w:t>
            </w:r>
          </w:p>
        </w:tc>
        <w:tc>
          <w:tcPr>
            <w:tcW w:w="473" w:type="dxa"/>
          </w:tcPr>
          <w:p>
            <w:pPr>
              <w:pStyle w:val="TableParagraph"/>
              <w:spacing w:line="155" w:lineRule="exact"/>
              <w:ind w:right="97"/>
              <w:jc w:val="right"/>
              <w:rPr>
                <w:sz w:val="14"/>
              </w:rPr>
            </w:pPr>
            <w:r>
              <w:rPr>
                <w:sz w:val="14"/>
                <w:u w:val="single"/>
              </w:rPr>
              <w:t>Q4 </w:t>
            </w:r>
          </w:p>
        </w:tc>
        <w:tc>
          <w:tcPr>
            <w:tcW w:w="495" w:type="dxa"/>
          </w:tcPr>
          <w:p>
            <w:pPr>
              <w:pStyle w:val="TableParagraph"/>
              <w:spacing w:line="155" w:lineRule="exact"/>
              <w:ind w:right="88"/>
              <w:jc w:val="right"/>
              <w:rPr>
                <w:sz w:val="14"/>
              </w:rPr>
            </w:pPr>
            <w:r>
              <w:rPr>
                <w:sz w:val="14"/>
                <w:u w:val="single"/>
              </w:rPr>
              <w:t>Q1 </w:t>
            </w:r>
          </w:p>
        </w:tc>
        <w:tc>
          <w:tcPr>
            <w:tcW w:w="476" w:type="dxa"/>
          </w:tcPr>
          <w:p>
            <w:pPr>
              <w:pStyle w:val="TableParagraph"/>
              <w:spacing w:line="155" w:lineRule="exact"/>
              <w:ind w:left="38"/>
              <w:jc w:val="center"/>
              <w:rPr>
                <w:sz w:val="14"/>
              </w:rPr>
            </w:pPr>
            <w:r>
              <w:rPr>
                <w:sz w:val="14"/>
                <w:u w:val="single"/>
              </w:rPr>
              <w:t> Q2 </w:t>
            </w:r>
          </w:p>
        </w:tc>
      </w:tr>
      <w:tr>
        <w:trPr>
          <w:trHeight w:val="210" w:hRule="atLeast"/>
        </w:trPr>
        <w:tc>
          <w:tcPr>
            <w:tcW w:w="1870" w:type="dxa"/>
          </w:tcPr>
          <w:p>
            <w:pPr>
              <w:pStyle w:val="TableParagraph"/>
              <w:spacing w:line="133" w:lineRule="exact" w:before="56"/>
              <w:ind w:left="50"/>
              <w:rPr>
                <w:sz w:val="12"/>
              </w:rPr>
            </w:pPr>
            <w:r>
              <w:rPr>
                <w:sz w:val="14"/>
              </w:rPr>
              <w:t>BCC prices balance </w:t>
            </w:r>
            <w:r>
              <w:rPr>
                <w:sz w:val="12"/>
              </w:rPr>
              <w:t>(a)</w:t>
            </w:r>
          </w:p>
        </w:tc>
        <w:tc>
          <w:tcPr>
            <w:tcW w:w="470" w:type="dxa"/>
          </w:tcPr>
          <w:p>
            <w:pPr>
              <w:pStyle w:val="TableParagraph"/>
              <w:spacing w:line="133" w:lineRule="exact" w:before="56"/>
              <w:ind w:left="132" w:right="122"/>
              <w:jc w:val="center"/>
              <w:rPr>
                <w:sz w:val="14"/>
              </w:rPr>
            </w:pPr>
            <w:r>
              <w:rPr>
                <w:sz w:val="14"/>
              </w:rPr>
              <w:t>11</w:t>
            </w:r>
          </w:p>
        </w:tc>
        <w:tc>
          <w:tcPr>
            <w:tcW w:w="497" w:type="dxa"/>
          </w:tcPr>
          <w:p>
            <w:pPr>
              <w:pStyle w:val="TableParagraph"/>
              <w:spacing w:line="133" w:lineRule="exact" w:before="56"/>
              <w:ind w:right="146"/>
              <w:jc w:val="right"/>
              <w:rPr>
                <w:sz w:val="14"/>
              </w:rPr>
            </w:pPr>
            <w:r>
              <w:rPr>
                <w:sz w:val="14"/>
              </w:rPr>
              <w:t>22</w:t>
            </w:r>
          </w:p>
        </w:tc>
        <w:tc>
          <w:tcPr>
            <w:tcW w:w="473" w:type="dxa"/>
          </w:tcPr>
          <w:p>
            <w:pPr>
              <w:pStyle w:val="TableParagraph"/>
              <w:spacing w:line="133" w:lineRule="exact" w:before="56"/>
              <w:ind w:right="137"/>
              <w:jc w:val="right"/>
              <w:rPr>
                <w:sz w:val="14"/>
              </w:rPr>
            </w:pPr>
            <w:r>
              <w:rPr>
                <w:sz w:val="14"/>
              </w:rPr>
              <w:t>24</w:t>
            </w:r>
          </w:p>
        </w:tc>
        <w:tc>
          <w:tcPr>
            <w:tcW w:w="495" w:type="dxa"/>
          </w:tcPr>
          <w:p>
            <w:pPr>
              <w:pStyle w:val="TableParagraph"/>
              <w:spacing w:line="133" w:lineRule="exact" w:before="56"/>
              <w:ind w:right="122"/>
              <w:jc w:val="right"/>
              <w:rPr>
                <w:sz w:val="14"/>
              </w:rPr>
            </w:pPr>
            <w:r>
              <w:rPr>
                <w:sz w:val="14"/>
              </w:rPr>
              <w:t>26</w:t>
            </w:r>
          </w:p>
        </w:tc>
        <w:tc>
          <w:tcPr>
            <w:tcW w:w="476" w:type="dxa"/>
          </w:tcPr>
          <w:p>
            <w:pPr>
              <w:pStyle w:val="TableParagraph"/>
              <w:spacing w:line="133" w:lineRule="exact" w:before="56"/>
              <w:ind w:left="74"/>
              <w:jc w:val="center"/>
              <w:rPr>
                <w:sz w:val="14"/>
              </w:rPr>
            </w:pPr>
            <w:r>
              <w:rPr>
                <w:sz w:val="14"/>
              </w:rPr>
              <w:t>21</w:t>
            </w:r>
          </w:p>
        </w:tc>
      </w:tr>
      <w:tr>
        <w:trPr>
          <w:trHeight w:val="139" w:hRule="atLeast"/>
        </w:trPr>
        <w:tc>
          <w:tcPr>
            <w:tcW w:w="1870" w:type="dxa"/>
          </w:tcPr>
          <w:p>
            <w:pPr>
              <w:pStyle w:val="TableParagraph"/>
              <w:ind w:left="50"/>
              <w:rPr>
                <w:sz w:val="12"/>
              </w:rPr>
            </w:pPr>
            <w:r>
              <w:rPr>
                <w:sz w:val="14"/>
              </w:rPr>
              <w:t>CIPS input price index </w:t>
            </w:r>
            <w:r>
              <w:rPr>
                <w:sz w:val="12"/>
              </w:rPr>
              <w:t>(b)</w:t>
            </w:r>
          </w:p>
        </w:tc>
        <w:tc>
          <w:tcPr>
            <w:tcW w:w="470" w:type="dxa"/>
          </w:tcPr>
          <w:p>
            <w:pPr>
              <w:pStyle w:val="TableParagraph"/>
              <w:ind w:left="65"/>
              <w:rPr>
                <w:sz w:val="14"/>
              </w:rPr>
            </w:pPr>
            <w:r>
              <w:rPr>
                <w:sz w:val="14"/>
              </w:rPr>
              <w:t>55.5</w:t>
            </w:r>
          </w:p>
        </w:tc>
        <w:tc>
          <w:tcPr>
            <w:tcW w:w="497" w:type="dxa"/>
          </w:tcPr>
          <w:p>
            <w:pPr>
              <w:pStyle w:val="TableParagraph"/>
              <w:ind w:right="146"/>
              <w:jc w:val="right"/>
              <w:rPr>
                <w:sz w:val="14"/>
              </w:rPr>
            </w:pPr>
            <w:r>
              <w:rPr>
                <w:sz w:val="14"/>
              </w:rPr>
              <w:t>54.8</w:t>
            </w:r>
          </w:p>
        </w:tc>
        <w:tc>
          <w:tcPr>
            <w:tcW w:w="473" w:type="dxa"/>
          </w:tcPr>
          <w:p>
            <w:pPr>
              <w:pStyle w:val="TableParagraph"/>
              <w:ind w:right="137"/>
              <w:jc w:val="right"/>
              <w:rPr>
                <w:sz w:val="14"/>
              </w:rPr>
            </w:pPr>
            <w:r>
              <w:rPr>
                <w:sz w:val="14"/>
              </w:rPr>
              <w:t>57.6</w:t>
            </w:r>
          </w:p>
        </w:tc>
        <w:tc>
          <w:tcPr>
            <w:tcW w:w="495" w:type="dxa"/>
          </w:tcPr>
          <w:p>
            <w:pPr>
              <w:pStyle w:val="TableParagraph"/>
              <w:ind w:right="122"/>
              <w:jc w:val="right"/>
              <w:rPr>
                <w:sz w:val="14"/>
              </w:rPr>
            </w:pPr>
            <w:r>
              <w:rPr>
                <w:sz w:val="14"/>
              </w:rPr>
              <w:t>59.3</w:t>
            </w:r>
          </w:p>
        </w:tc>
        <w:tc>
          <w:tcPr>
            <w:tcW w:w="476" w:type="dxa"/>
          </w:tcPr>
          <w:p>
            <w:pPr>
              <w:pStyle w:val="TableParagraph"/>
              <w:ind w:left="38" w:right="66"/>
              <w:jc w:val="center"/>
              <w:rPr>
                <w:sz w:val="14"/>
              </w:rPr>
            </w:pPr>
            <w:r>
              <w:rPr>
                <w:sz w:val="14"/>
              </w:rPr>
              <w:t>61.7</w:t>
            </w:r>
          </w:p>
        </w:tc>
      </w:tr>
      <w:tr>
        <w:trPr>
          <w:trHeight w:val="210" w:hRule="atLeast"/>
        </w:trPr>
        <w:tc>
          <w:tcPr>
            <w:tcW w:w="1870" w:type="dxa"/>
          </w:tcPr>
          <w:p>
            <w:pPr>
              <w:pStyle w:val="TableParagraph"/>
              <w:spacing w:line="148" w:lineRule="exact"/>
              <w:ind w:left="50"/>
              <w:rPr>
                <w:sz w:val="12"/>
              </w:rPr>
            </w:pPr>
            <w:r>
              <w:rPr>
                <w:sz w:val="14"/>
              </w:rPr>
              <w:t>CIPS selling price index </w:t>
            </w:r>
            <w:r>
              <w:rPr>
                <w:sz w:val="12"/>
              </w:rPr>
              <w:t>(b)</w:t>
            </w:r>
          </w:p>
        </w:tc>
        <w:tc>
          <w:tcPr>
            <w:tcW w:w="470" w:type="dxa"/>
          </w:tcPr>
          <w:p>
            <w:pPr>
              <w:pStyle w:val="TableParagraph"/>
              <w:spacing w:line="148" w:lineRule="exact"/>
              <w:ind w:left="65"/>
              <w:rPr>
                <w:sz w:val="14"/>
              </w:rPr>
            </w:pPr>
            <w:r>
              <w:rPr>
                <w:sz w:val="14"/>
              </w:rPr>
              <w:t>50.9</w:t>
            </w:r>
          </w:p>
        </w:tc>
        <w:tc>
          <w:tcPr>
            <w:tcW w:w="497" w:type="dxa"/>
          </w:tcPr>
          <w:p>
            <w:pPr>
              <w:pStyle w:val="TableParagraph"/>
              <w:spacing w:line="148" w:lineRule="exact"/>
              <w:ind w:right="146"/>
              <w:jc w:val="right"/>
              <w:rPr>
                <w:sz w:val="14"/>
              </w:rPr>
            </w:pPr>
            <w:r>
              <w:rPr>
                <w:sz w:val="14"/>
              </w:rPr>
              <w:t>49.2</w:t>
            </w:r>
          </w:p>
        </w:tc>
        <w:tc>
          <w:tcPr>
            <w:tcW w:w="473" w:type="dxa"/>
          </w:tcPr>
          <w:p>
            <w:pPr>
              <w:pStyle w:val="TableParagraph"/>
              <w:spacing w:line="148" w:lineRule="exact"/>
              <w:ind w:right="137"/>
              <w:jc w:val="right"/>
              <w:rPr>
                <w:sz w:val="14"/>
              </w:rPr>
            </w:pPr>
            <w:r>
              <w:rPr>
                <w:sz w:val="14"/>
              </w:rPr>
              <w:t>52.6</w:t>
            </w:r>
          </w:p>
        </w:tc>
        <w:tc>
          <w:tcPr>
            <w:tcW w:w="495" w:type="dxa"/>
          </w:tcPr>
          <w:p>
            <w:pPr>
              <w:pStyle w:val="TableParagraph"/>
              <w:spacing w:line="148" w:lineRule="exact"/>
              <w:ind w:right="122"/>
              <w:jc w:val="right"/>
              <w:rPr>
                <w:sz w:val="14"/>
              </w:rPr>
            </w:pPr>
            <w:r>
              <w:rPr>
                <w:sz w:val="14"/>
              </w:rPr>
              <w:t>53.6</w:t>
            </w:r>
          </w:p>
        </w:tc>
        <w:tc>
          <w:tcPr>
            <w:tcW w:w="476" w:type="dxa"/>
          </w:tcPr>
          <w:p>
            <w:pPr>
              <w:pStyle w:val="TableParagraph"/>
              <w:spacing w:line="148" w:lineRule="exact"/>
              <w:ind w:left="38" w:right="66"/>
              <w:jc w:val="center"/>
              <w:rPr>
                <w:sz w:val="14"/>
              </w:rPr>
            </w:pPr>
            <w:r>
              <w:rPr>
                <w:sz w:val="14"/>
              </w:rPr>
              <w:t>54.3</w:t>
            </w:r>
          </w:p>
        </w:tc>
      </w:tr>
      <w:tr>
        <w:trPr>
          <w:trHeight w:val="217" w:hRule="atLeast"/>
        </w:trPr>
        <w:tc>
          <w:tcPr>
            <w:tcW w:w="1870" w:type="dxa"/>
          </w:tcPr>
          <w:p>
            <w:pPr>
              <w:pStyle w:val="TableParagraph"/>
              <w:spacing w:line="141" w:lineRule="exact" w:before="56"/>
              <w:ind w:left="50"/>
              <w:rPr>
                <w:sz w:val="14"/>
              </w:rPr>
            </w:pPr>
            <w:r>
              <w:rPr>
                <w:sz w:val="14"/>
              </w:rPr>
              <w:t>Sources: BCC and CIPS.</w:t>
            </w:r>
          </w:p>
        </w:tc>
        <w:tc>
          <w:tcPr>
            <w:tcW w:w="470" w:type="dxa"/>
          </w:tcPr>
          <w:p>
            <w:pPr>
              <w:pStyle w:val="TableParagraph"/>
              <w:spacing w:line="240" w:lineRule="auto"/>
              <w:rPr>
                <w:sz w:val="14"/>
              </w:rPr>
            </w:pPr>
          </w:p>
        </w:tc>
        <w:tc>
          <w:tcPr>
            <w:tcW w:w="497" w:type="dxa"/>
          </w:tcPr>
          <w:p>
            <w:pPr>
              <w:pStyle w:val="TableParagraph"/>
              <w:spacing w:line="240" w:lineRule="auto"/>
              <w:rPr>
                <w:sz w:val="14"/>
              </w:rPr>
            </w:pPr>
          </w:p>
        </w:tc>
        <w:tc>
          <w:tcPr>
            <w:tcW w:w="473" w:type="dxa"/>
          </w:tcPr>
          <w:p>
            <w:pPr>
              <w:pStyle w:val="TableParagraph"/>
              <w:spacing w:line="240" w:lineRule="auto"/>
              <w:rPr>
                <w:sz w:val="14"/>
              </w:rPr>
            </w:pPr>
          </w:p>
        </w:tc>
        <w:tc>
          <w:tcPr>
            <w:tcW w:w="495" w:type="dxa"/>
          </w:tcPr>
          <w:p>
            <w:pPr>
              <w:pStyle w:val="TableParagraph"/>
              <w:spacing w:line="240" w:lineRule="auto"/>
              <w:rPr>
                <w:sz w:val="14"/>
              </w:rPr>
            </w:pPr>
          </w:p>
        </w:tc>
        <w:tc>
          <w:tcPr>
            <w:tcW w:w="476" w:type="dxa"/>
          </w:tcPr>
          <w:p>
            <w:pPr>
              <w:pStyle w:val="TableParagraph"/>
              <w:spacing w:line="240" w:lineRule="auto"/>
              <w:rPr>
                <w:sz w:val="14"/>
              </w:rPr>
            </w:pPr>
          </w:p>
        </w:tc>
      </w:tr>
    </w:tbl>
    <w:p>
      <w:pPr>
        <w:pStyle w:val="ListParagraph"/>
        <w:numPr>
          <w:ilvl w:val="0"/>
          <w:numId w:val="37"/>
        </w:numPr>
        <w:tabs>
          <w:tab w:pos="406" w:val="left" w:leader="none"/>
        </w:tabs>
        <w:spacing w:line="208" w:lineRule="auto" w:before="132" w:after="0"/>
        <w:ind w:left="405" w:right="156" w:hanging="240"/>
        <w:jc w:val="left"/>
        <w:rPr>
          <w:sz w:val="12"/>
        </w:rPr>
      </w:pPr>
      <w:r>
        <w:rPr>
          <w:sz w:val="12"/>
        </w:rPr>
        <w:t>Percentage</w:t>
      </w:r>
      <w:r>
        <w:rPr>
          <w:spacing w:val="-6"/>
          <w:sz w:val="12"/>
        </w:rPr>
        <w:t> </w:t>
      </w:r>
      <w:r>
        <w:rPr>
          <w:sz w:val="12"/>
        </w:rPr>
        <w:t>balance</w:t>
      </w:r>
      <w:r>
        <w:rPr>
          <w:spacing w:val="-5"/>
          <w:sz w:val="12"/>
        </w:rPr>
        <w:t> </w:t>
      </w:r>
      <w:r>
        <w:rPr>
          <w:sz w:val="12"/>
        </w:rPr>
        <w:t>of</w:t>
      </w:r>
      <w:r>
        <w:rPr>
          <w:spacing w:val="-5"/>
          <w:sz w:val="12"/>
        </w:rPr>
        <w:t> </w:t>
      </w:r>
      <w:r>
        <w:rPr>
          <w:sz w:val="12"/>
        </w:rPr>
        <w:t>responses</w:t>
      </w:r>
      <w:r>
        <w:rPr>
          <w:spacing w:val="-5"/>
          <w:sz w:val="12"/>
        </w:rPr>
        <w:t> </w:t>
      </w:r>
      <w:r>
        <w:rPr>
          <w:sz w:val="12"/>
        </w:rPr>
        <w:t>to</w:t>
      </w:r>
      <w:r>
        <w:rPr>
          <w:spacing w:val="-5"/>
          <w:sz w:val="12"/>
        </w:rPr>
        <w:t> </w:t>
      </w:r>
      <w:r>
        <w:rPr>
          <w:sz w:val="12"/>
        </w:rPr>
        <w:t>the</w:t>
      </w:r>
      <w:r>
        <w:rPr>
          <w:spacing w:val="-5"/>
          <w:sz w:val="12"/>
        </w:rPr>
        <w:t> </w:t>
      </w:r>
      <w:r>
        <w:rPr>
          <w:sz w:val="12"/>
        </w:rPr>
        <w:t>question:</w:t>
      </w:r>
      <w:r>
        <w:rPr>
          <w:spacing w:val="-4"/>
          <w:sz w:val="12"/>
        </w:rPr>
        <w:t> </w:t>
      </w:r>
      <w:r>
        <w:rPr>
          <w:sz w:val="12"/>
        </w:rPr>
        <w:t>‘Over</w:t>
      </w:r>
      <w:r>
        <w:rPr>
          <w:spacing w:val="-5"/>
          <w:sz w:val="12"/>
        </w:rPr>
        <w:t> </w:t>
      </w:r>
      <w:r>
        <w:rPr>
          <w:sz w:val="12"/>
        </w:rPr>
        <w:t>the</w:t>
      </w:r>
      <w:r>
        <w:rPr>
          <w:spacing w:val="-5"/>
          <w:sz w:val="12"/>
        </w:rPr>
        <w:t> </w:t>
      </w:r>
      <w:r>
        <w:rPr>
          <w:sz w:val="12"/>
        </w:rPr>
        <w:t>next</w:t>
      </w:r>
      <w:r>
        <w:rPr>
          <w:spacing w:val="-5"/>
          <w:sz w:val="12"/>
        </w:rPr>
        <w:t> </w:t>
      </w:r>
      <w:r>
        <w:rPr>
          <w:sz w:val="12"/>
        </w:rPr>
        <w:t>three</w:t>
      </w:r>
      <w:r>
        <w:rPr>
          <w:spacing w:val="-5"/>
          <w:sz w:val="12"/>
        </w:rPr>
        <w:t> </w:t>
      </w:r>
      <w:r>
        <w:rPr>
          <w:sz w:val="12"/>
        </w:rPr>
        <w:t>months,</w:t>
      </w:r>
      <w:r>
        <w:rPr>
          <w:spacing w:val="-4"/>
          <w:sz w:val="12"/>
        </w:rPr>
        <w:t> </w:t>
      </w:r>
      <w:r>
        <w:rPr>
          <w:sz w:val="12"/>
        </w:rPr>
        <w:t>do you</w:t>
      </w:r>
      <w:r>
        <w:rPr>
          <w:spacing w:val="-4"/>
          <w:sz w:val="12"/>
        </w:rPr>
        <w:t> </w:t>
      </w:r>
      <w:r>
        <w:rPr>
          <w:sz w:val="12"/>
        </w:rPr>
        <w:t>expect</w:t>
      </w:r>
      <w:r>
        <w:rPr>
          <w:spacing w:val="-4"/>
          <w:sz w:val="12"/>
        </w:rPr>
        <w:t> </w:t>
      </w:r>
      <w:r>
        <w:rPr>
          <w:sz w:val="12"/>
        </w:rPr>
        <w:t>the</w:t>
      </w:r>
      <w:r>
        <w:rPr>
          <w:spacing w:val="-4"/>
          <w:sz w:val="12"/>
        </w:rPr>
        <w:t> </w:t>
      </w:r>
      <w:r>
        <w:rPr>
          <w:sz w:val="12"/>
        </w:rPr>
        <w:t>price</w:t>
      </w:r>
      <w:r>
        <w:rPr>
          <w:spacing w:val="-4"/>
          <w:sz w:val="12"/>
        </w:rPr>
        <w:t> </w:t>
      </w:r>
      <w:r>
        <w:rPr>
          <w:sz w:val="12"/>
        </w:rPr>
        <w:t>of</w:t>
      </w:r>
      <w:r>
        <w:rPr>
          <w:spacing w:val="-4"/>
          <w:sz w:val="12"/>
        </w:rPr>
        <w:t> </w:t>
      </w:r>
      <w:r>
        <w:rPr>
          <w:sz w:val="12"/>
        </w:rPr>
        <w:t>your</w:t>
      </w:r>
      <w:r>
        <w:rPr>
          <w:spacing w:val="-4"/>
          <w:sz w:val="12"/>
        </w:rPr>
        <w:t> </w:t>
      </w:r>
      <w:r>
        <w:rPr>
          <w:sz w:val="12"/>
        </w:rPr>
        <w:t>services</w:t>
      </w:r>
      <w:r>
        <w:rPr>
          <w:spacing w:val="-3"/>
          <w:sz w:val="12"/>
        </w:rPr>
        <w:t> </w:t>
      </w:r>
      <w:r>
        <w:rPr>
          <w:sz w:val="12"/>
        </w:rPr>
        <w:t>to</w:t>
      </w:r>
      <w:r>
        <w:rPr>
          <w:spacing w:val="-4"/>
          <w:sz w:val="12"/>
        </w:rPr>
        <w:t> </w:t>
      </w:r>
      <w:r>
        <w:rPr>
          <w:sz w:val="12"/>
        </w:rPr>
        <w:t>increase/remain</w:t>
      </w:r>
      <w:r>
        <w:rPr>
          <w:spacing w:val="-4"/>
          <w:sz w:val="12"/>
        </w:rPr>
        <w:t> </w:t>
      </w:r>
      <w:r>
        <w:rPr>
          <w:sz w:val="12"/>
        </w:rPr>
        <w:t>the</w:t>
      </w:r>
      <w:r>
        <w:rPr>
          <w:spacing w:val="-4"/>
          <w:sz w:val="12"/>
        </w:rPr>
        <w:t> </w:t>
      </w:r>
      <w:r>
        <w:rPr>
          <w:sz w:val="12"/>
        </w:rPr>
        <w:t>same/decrease?’</w:t>
      </w:r>
    </w:p>
    <w:p>
      <w:pPr>
        <w:pStyle w:val="ListParagraph"/>
        <w:numPr>
          <w:ilvl w:val="0"/>
          <w:numId w:val="37"/>
        </w:numPr>
        <w:tabs>
          <w:tab w:pos="406" w:val="left" w:leader="none"/>
        </w:tabs>
        <w:spacing w:line="208" w:lineRule="auto" w:before="0" w:after="0"/>
        <w:ind w:left="405" w:right="136" w:hanging="240"/>
        <w:jc w:val="left"/>
        <w:rPr>
          <w:sz w:val="12"/>
        </w:rPr>
      </w:pPr>
      <w:r>
        <w:rPr>
          <w:sz w:val="12"/>
        </w:rPr>
        <w:t>A reading above 50 suggests rising prices, a reading below 50 suggests falling prices. The CIPS survey is monthly, and the quarterly values shown are averages over the relevant three</w:t>
      </w:r>
      <w:r>
        <w:rPr>
          <w:spacing w:val="-6"/>
          <w:sz w:val="12"/>
        </w:rPr>
        <w:t> </w:t>
      </w:r>
      <w:r>
        <w:rPr>
          <w:sz w:val="12"/>
        </w:rPr>
        <w:t>months.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77"/>
        <w:ind w:left="175"/>
      </w:pPr>
      <w:r>
        <w:rPr>
          <w:color w:val="0092C7"/>
        </w:rPr>
        <w:t>Chart 4.8</w:t>
      </w:r>
    </w:p>
    <w:p>
      <w:pPr>
        <w:pStyle w:val="Heading6"/>
        <w:ind w:left="175"/>
      </w:pPr>
      <w:r>
        <w:rPr>
          <w:color w:val="0092C7"/>
        </w:rPr>
        <w:t>Retail price inflation</w:t>
      </w:r>
    </w:p>
    <w:p>
      <w:pPr>
        <w:spacing w:before="149"/>
        <w:ind w:left="1715" w:right="0" w:firstLine="0"/>
        <w:jc w:val="left"/>
        <w:rPr>
          <w:sz w:val="12"/>
        </w:rPr>
      </w:pPr>
      <w:r>
        <w:rPr/>
        <w:pict>
          <v:line style="position:absolute;mso-position-horizontal-relative:page;mso-position-vertical-relative:paragraph;z-index:16246272" from="44.278pt,15.928882pt" to="48.611pt,15.928882pt" stroked="true" strokeweight=".5pt" strokecolor="#000000">
            <v:stroke dashstyle="solid"/>
            <w10:wrap type="none"/>
          </v:line>
        </w:pict>
      </w:r>
      <w:r>
        <w:rPr/>
        <w:pict>
          <v:line style="position:absolute;mso-position-horizontal-relative:page;mso-position-vertical-relative:paragraph;z-index:-23046656" from="200.882996pt,15.444881pt" to="205.216996pt,15.444881pt" stroked="true" strokeweight=".5pt" strokecolor="#000000">
            <v:stroke dashstyle="solid"/>
            <w10:wrap type="none"/>
          </v:line>
        </w:pict>
      </w:r>
      <w:r>
        <w:rPr>
          <w:sz w:val="12"/>
        </w:rPr>
        <w:t>Percentage changes on a year earlier</w:t>
      </w:r>
      <w:r>
        <w:rPr>
          <w:spacing w:val="7"/>
          <w:sz w:val="12"/>
        </w:rPr>
        <w:t> </w:t>
      </w:r>
      <w:r>
        <w:rPr>
          <w:position w:val="-7"/>
          <w:sz w:val="12"/>
        </w:rPr>
        <w:t>4.5</w:t>
      </w:r>
    </w:p>
    <w:p>
      <w:pPr>
        <w:spacing w:before="179"/>
        <w:ind w:left="0" w:right="782" w:firstLine="0"/>
        <w:jc w:val="right"/>
        <w:rPr>
          <w:sz w:val="12"/>
        </w:rPr>
      </w:pPr>
      <w:r>
        <w:rPr/>
        <w:pict>
          <v:group style="position:absolute;margin-left:44.278pt;margin-top:6.978564pt;width:152.65pt;height:102.6pt;mso-position-horizontal-relative:page;mso-position-vertical-relative:paragraph;z-index:16245760" coordorigin="886,140" coordsize="3053,2052">
            <v:line style="position:absolute" from="1048,975" to="1101,1105" stroked="true" strokeweight="1pt" strokecolor="#006caa">
              <v:stroke dashstyle="solid"/>
            </v:line>
            <v:line style="position:absolute" from="1091,1106" to="1163,1106" stroked="true" strokeweight="1.125pt" strokecolor="#006caa">
              <v:stroke dashstyle="solid"/>
            </v:line>
            <v:shape style="position:absolute;left:1153;top:1104;width:273;height:380" coordorigin="1153,1105" coordsize="273,380" path="m1153,1105l1216,1287m1216,1287l1268,1420m1268,1420l1321,1485m1321,1485l1373,1420m1373,1420l1426,1485e" filled="false" stroked="true" strokeweight="1pt" strokecolor="#006caa">
              <v:path arrowok="t"/>
              <v:stroke dashstyle="solid"/>
            </v:shape>
            <v:line style="position:absolute" from="1416,1486" to="1498,1486" stroked="true" strokeweight="1.125pt" strokecolor="#006caa">
              <v:stroke dashstyle="solid"/>
            </v:line>
            <v:line style="position:absolute" from="1488,1485" to="1541,1105" stroked="true" strokeweight="1pt" strokecolor="#006caa">
              <v:stroke dashstyle="solid"/>
            </v:line>
            <v:line style="position:absolute" from="1531,1106" to="1603,1106" stroked="true" strokeweight="1.125pt" strokecolor="#006caa">
              <v:stroke dashstyle="solid"/>
            </v:line>
            <v:shape style="position:absolute;left:1593;top:462;width:598;height:825" coordorigin="1593,462" coordsize="598,825" path="m1593,1105l1646,1222m1646,1222l1698,1040m1698,1040l1751,1105m1751,1105l1813,1155m1813,1155l1866,1287m1866,1287l1918,1155m1918,1155l1971,975m1971,975l2023,710m2023,710l2086,595m2086,595l2138,527m2138,527l2191,462e" filled="false" stroked="true" strokeweight="1pt" strokecolor="#006caa">
              <v:path arrowok="t"/>
              <v:stroke dashstyle="solid"/>
            </v:shape>
            <v:line style="position:absolute" from="2181,463" to="2253,463" stroked="true" strokeweight="1.125pt" strokecolor="#006caa">
              <v:stroke dashstyle="solid"/>
            </v:line>
            <v:shape style="position:absolute;left:2243;top:149;width:818;height:1335" coordorigin="2243,150" coordsize="818,1335" path="m2243,462l2296,527m2296,527l2358,710m2358,710l2411,660m2411,660l2463,595m2463,595l2516,265m2516,265l2568,150m2568,150l2621,462m2621,462l2683,595m2683,595l2736,710m2736,710l2788,775m2788,775l2841,842m2841,842l2893,907m2893,907l2956,1040m2956,1040l3008,1287m3008,1287l3061,1485e" filled="false" stroked="true" strokeweight="1pt" strokecolor="#006caa">
              <v:path arrowok="t"/>
              <v:stroke dashstyle="solid"/>
            </v:shape>
            <v:line style="position:absolute" from="3051,1486" to="3123,1486" stroked="true" strokeweight="1.125pt" strokecolor="#006caa">
              <v:stroke dashstyle="solid"/>
            </v:line>
            <v:shape style="position:absolute;left:3113;top:1484;width:115;height:513" coordorigin="3113,1485" coordsize="115,513" path="m3113,1485l3166,1800m3166,1800l3228,1997e" filled="false" stroked="true" strokeweight="1pt" strokecolor="#006caa">
              <v:path arrowok="t"/>
              <v:stroke dashstyle="solid"/>
            </v:shape>
            <v:shape style="position:absolute;left:3218;top:1998;width:125;height:2" coordorigin="3218,1998" coordsize="125,0" path="m3218,1998l3291,1998m3271,1998l3343,1998e" filled="false" stroked="true" strokeweight="1.125pt" strokecolor="#006caa">
              <v:path arrowok="t"/>
              <v:stroke dashstyle="solid"/>
            </v:shape>
            <v:line style="position:absolute" from="3333,1997" to="3386,2112" stroked="true" strokeweight="1pt" strokecolor="#006caa">
              <v:stroke dashstyle="solid"/>
            </v:line>
            <v:line style="position:absolute" from="3376,2113" to="3446,2113" stroked="true" strokeweight="1.125pt" strokecolor="#006caa">
              <v:stroke dashstyle="solid"/>
            </v:line>
            <v:shape style="position:absolute;left:3435;top:709;width:493;height:1403" coordorigin="3436,710" coordsize="493,1403" path="m3436,2112l3488,2062m3488,2062l3553,1932m3553,1932l3603,1667m3603,1667l3656,1567m3656,1567l3708,1337m3708,1337l3761,1155m3761,1155l3823,925m3823,925l3876,857m3876,857l3928,710e" filled="false" stroked="true" strokeweight="1pt" strokecolor="#006caa">
              <v:path arrowok="t"/>
              <v:stroke dashstyle="solid"/>
            </v:shape>
            <v:line style="position:absolute" from="1048,1040" to="1101,975" stroked="true" strokeweight="1pt" strokecolor="#de0035">
              <v:stroke dashstyle="solid"/>
            </v:line>
            <v:shape style="position:absolute;left:1090;top:975;width:135;height:2" coordorigin="1091,976" coordsize="135,0" path="m1091,976l1163,976m1143,976l1226,976e" filled="false" stroked="true" strokeweight="1.125pt" strokecolor="#de0035">
              <v:path arrowok="t"/>
              <v:stroke dashstyle="solid"/>
            </v:shape>
            <v:line style="position:absolute" from="1216,975" to="1268,1040" stroked="true" strokeweight="1pt" strokecolor="#de0035">
              <v:stroke dashstyle="solid"/>
            </v:line>
            <v:shape style="position:absolute;left:1258;top:1040;width:178;height:2" coordorigin="1258,1041" coordsize="178,0" path="m1258,1041l1331,1041m1311,1041l1383,1041m1363,1041l1436,1041e" filled="false" stroked="true" strokeweight="1.125pt" strokecolor="#de0035">
              <v:path arrowok="t"/>
              <v:stroke dashstyle="solid"/>
            </v:shape>
            <v:shape style="position:absolute;left:1425;top:709;width:115;height:330" coordorigin="1426,710" coordsize="115,330" path="m1426,1040l1488,975m1488,975l1541,710e" filled="false" stroked="true" strokeweight="1pt" strokecolor="#de0035">
              <v:path arrowok="t"/>
              <v:stroke dashstyle="solid"/>
            </v:shape>
            <v:line style="position:absolute" from="1531,711" to="1603,711" stroked="true" strokeweight="1.125pt" strokecolor="#de0035">
              <v:stroke dashstyle="solid"/>
            </v:line>
            <v:line style="position:absolute" from="1593,710" to="1646,842" stroked="true" strokeweight="1pt" strokecolor="#de0035">
              <v:stroke dashstyle="solid"/>
            </v:line>
            <v:line style="position:absolute" from="1636,843" to="1708,843" stroked="true" strokeweight="1.125pt" strokecolor="#de0035">
              <v:stroke dashstyle="solid"/>
            </v:line>
            <v:shape style="position:absolute;left:1698;top:842;width:168;height:380" coordorigin="1698,842" coordsize="168,380" path="m1698,842l1751,975m1751,975l1813,1105m1813,1105l1866,1222e" filled="false" stroked="true" strokeweight="1pt" strokecolor="#de0035">
              <v:path arrowok="t"/>
              <v:stroke dashstyle="solid"/>
            </v:shape>
            <v:line style="position:absolute" from="1856,1223" to="1928,1223" stroked="true" strokeweight="1.125pt" strokecolor="#de0035">
              <v:stroke dashstyle="solid"/>
            </v:line>
            <v:shape style="position:absolute;left:1918;top:907;width:273;height:315" coordorigin="1918,907" coordsize="273,315" path="m1918,1222l1971,1105m1971,1105l2023,907m2023,907l2086,1040m2086,1040l2138,1105m2138,1105l2191,1040e" filled="false" stroked="true" strokeweight="1pt" strokecolor="#de0035">
              <v:path arrowok="t"/>
              <v:stroke dashstyle="solid"/>
            </v:shape>
            <v:line style="position:absolute" from="2181,1041" to="2253,1041" stroked="true" strokeweight="1.125pt" strokecolor="#de0035">
              <v:stroke dashstyle="solid"/>
            </v:line>
            <v:shape style="position:absolute;left:2243;top:1039;width:168;height:183" coordorigin="2243,1040" coordsize="168,183" path="m2243,1040l2296,1105m2296,1105l2358,1222m2358,1222l2411,1155e" filled="false" stroked="true" strokeweight="1pt" strokecolor="#de0035">
              <v:path arrowok="t"/>
              <v:stroke dashstyle="solid"/>
            </v:shape>
            <v:line style="position:absolute" from="2401,1156" to="2473,1156" stroked="true" strokeweight="1.125pt" strokecolor="#de0035">
              <v:stroke dashstyle="solid"/>
            </v:line>
            <v:shape style="position:absolute;left:2463;top:774;width:273;height:448" coordorigin="2463,775" coordsize="273,448" path="m2463,1155l2516,907m2516,907l2568,775m2568,775l2621,1040m2621,1040l2683,1155m2683,1155l2736,1222e" filled="false" stroked="true" strokeweight="1pt" strokecolor="#de0035">
              <v:path arrowok="t"/>
              <v:stroke dashstyle="solid"/>
            </v:shape>
            <v:shape style="position:absolute;left:2725;top:1223;width:178;height:2" coordorigin="2726,1223" coordsize="178,0" path="m2726,1223l2798,1223m2778,1223l2851,1223m2831,1223l2903,1223e" filled="false" stroked="true" strokeweight="1.125pt" strokecolor="#de0035">
              <v:path arrowok="t"/>
              <v:stroke dashstyle="solid"/>
            </v:shape>
            <v:line style="position:absolute" from="2893,1222" to="2956,1155" stroked="true" strokeweight="1pt" strokecolor="#de0035">
              <v:stroke dashstyle="solid"/>
            </v:line>
            <v:line style="position:absolute" from="2946,1156" to="3018,1156" stroked="true" strokeweight="1.125pt" strokecolor="#de0035">
              <v:stroke dashstyle="solid"/>
            </v:line>
            <v:shape style="position:absolute;left:3008;top:1104;width:273;height:380" coordorigin="3008,1105" coordsize="273,380" path="m3008,1155l3061,1287m3061,1287l3113,1105m3113,1105l3166,1287m3166,1287l3228,1485m3228,1485l3281,1420e" filled="false" stroked="true" strokeweight="1pt" strokecolor="#de0035">
              <v:path arrowok="t"/>
              <v:stroke dashstyle="solid"/>
            </v:shape>
            <v:line style="position:absolute" from="3271,1421" to="3343,1421" stroked="true" strokeweight="1.125pt" strokecolor="#de0035">
              <v:stroke dashstyle="solid"/>
            </v:line>
            <v:line style="position:absolute" from="3333,1420" to="3386,1485" stroked="true" strokeweight="1pt" strokecolor="#de0035">
              <v:stroke dashstyle="solid"/>
            </v:line>
            <v:line style="position:absolute" from="3376,1486" to="3446,1486" stroked="true" strokeweight="1.125pt" strokecolor="#de0035">
              <v:stroke dashstyle="solid"/>
            </v:line>
            <v:line style="position:absolute" from="3436,1485" to="3488,1420" stroked="true" strokeweight="1pt" strokecolor="#de0035">
              <v:stroke dashstyle="solid"/>
            </v:line>
            <v:line style="position:absolute" from="3478,1421" to="3563,1421" stroked="true" strokeweight="1.125pt" strokecolor="#de0035">
              <v:stroke dashstyle="solid"/>
            </v:line>
            <v:shape style="position:absolute;left:3553;top:1387;width:375;height:198" coordorigin="3553,1387" coordsize="375,198" path="m3553,1420l3603,1452m3603,1452l3656,1485m3656,1485l3708,1452m3708,1452l3761,1567m3761,1567l3823,1585m3823,1585l3876,1552m3876,1552l3928,1387e" filled="false" stroked="true" strokeweight="1pt" strokecolor="#de0035">
              <v:path arrowok="t"/>
              <v:stroke dashstyle="solid"/>
            </v:shape>
            <v:line style="position:absolute" from="1038,1223" to="1111,1223" stroked="true" strokeweight="1.125pt" strokecolor="#a64991">
              <v:stroke dashstyle="solid"/>
            </v:line>
            <v:line style="position:absolute" from="1101,1222" to="1153,1155" stroked="true" strokeweight="1pt" strokecolor="#a64991">
              <v:stroke dashstyle="solid"/>
            </v:line>
            <v:line style="position:absolute" from="1143,1156" to="1226,1156" stroked="true" strokeweight="1.125pt" strokecolor="#a64991">
              <v:stroke dashstyle="solid"/>
            </v:line>
            <v:line style="position:absolute" from="1216,1155" to="1268,1355" stroked="true" strokeweight="1pt" strokecolor="#a64991">
              <v:stroke dashstyle="solid"/>
            </v:line>
            <v:line style="position:absolute" from="1258,1356" to="1331,1356" stroked="true" strokeweight="1.125pt" strokecolor="#a64991">
              <v:stroke dashstyle="solid"/>
            </v:line>
            <v:line style="position:absolute" from="1321,1355" to="1373,1287" stroked="true" strokeweight="1pt" strokecolor="#a64991">
              <v:stroke dashstyle="solid"/>
            </v:line>
            <v:line style="position:absolute" from="1363,1288" to="1436,1288" stroked="true" strokeweight="1.125pt" strokecolor="#a64991">
              <v:stroke dashstyle="solid"/>
            </v:line>
            <v:shape style="position:absolute;left:1425;top:907;width:115;height:380" coordorigin="1426,907" coordsize="115,380" path="m1426,1287l1488,1222m1488,1222l1541,907e" filled="false" stroked="true" strokeweight="1pt" strokecolor="#a64991">
              <v:path arrowok="t"/>
              <v:stroke dashstyle="solid"/>
            </v:shape>
            <v:line style="position:absolute" from="1531,908" to="1603,908" stroked="true" strokeweight="1.125pt" strokecolor="#a64991">
              <v:stroke dashstyle="solid"/>
            </v:line>
            <v:shape style="position:absolute;left:1593;top:907;width:273;height:645" coordorigin="1593,907" coordsize="273,645" path="m1593,907l1646,1105m1646,1105l1698,1040m1698,1040l1751,1222m1751,1222l1813,1355m1813,1355l1866,1552e" filled="false" stroked="true" strokeweight="1pt" strokecolor="#a64991">
              <v:path arrowok="t"/>
              <v:stroke dashstyle="solid"/>
            </v:shape>
            <v:line style="position:absolute" from="1856,1553" to="1928,1553" stroked="true" strokeweight="1.125pt" strokecolor="#a64991">
              <v:stroke dashstyle="solid"/>
            </v:line>
            <v:line style="position:absolute" from="1918,1552" to="1971,1420" stroked="true" strokeweight="1pt" strokecolor="#a64991">
              <v:stroke dashstyle="solid"/>
            </v:line>
            <v:line style="position:absolute" from="1961,1421" to="2033,1421" stroked="true" strokeweight="1.125pt" strokecolor="#a64991">
              <v:stroke dashstyle="solid"/>
            </v:line>
            <v:shape style="position:absolute;left:2023;top:1419;width:388;height:198" coordorigin="2023,1420" coordsize="388,198" path="m2023,1420l2086,1485m2086,1485l2138,1552m2138,1552l2191,1420m2191,1420l2243,1485m2243,1485l2296,1420m2296,1420l2358,1617m2358,1617l2411,1485e" filled="false" stroked="true" strokeweight="1pt" strokecolor="#a64991">
              <v:path arrowok="t"/>
              <v:stroke dashstyle="solid"/>
            </v:shape>
            <v:line style="position:absolute" from="2401,1486" to="2473,1486" stroked="true" strokeweight="1.125pt" strokecolor="#a64991">
              <v:stroke dashstyle="solid"/>
            </v:line>
            <v:shape style="position:absolute;left:2463;top:1222;width:220;height:330" coordorigin="2463,1222" coordsize="220,330" path="m2463,1485l2516,1420m2516,1420l2568,1222m2568,1222l2621,1552m2621,1552l2683,1485e" filled="false" stroked="true" strokeweight="1pt" strokecolor="#a64991">
              <v:path arrowok="t"/>
              <v:stroke dashstyle="solid"/>
            </v:shape>
            <v:line style="position:absolute" from="2673,1486" to="2746,1486" stroked="true" strokeweight="1.125pt" strokecolor="#a64991">
              <v:stroke dashstyle="solid"/>
            </v:line>
            <v:shape style="position:absolute;left:2735;top:1484;width:105;height:183" coordorigin="2736,1485" coordsize="105,183" path="m2736,1485l2788,1552m2788,1552l2841,1667e" filled="false" stroked="true" strokeweight="1pt" strokecolor="#a64991">
              <v:path arrowok="t"/>
              <v:stroke dashstyle="solid"/>
            </v:shape>
            <v:line style="position:absolute" from="2831,1668" to="2903,1668" stroked="true" strokeweight="1.125pt" strokecolor="#a64991">
              <v:stroke dashstyle="solid"/>
            </v:line>
            <v:line style="position:absolute" from="2893,1667" to="2956,1552" stroked="true" strokeweight="1pt" strokecolor="#a64991">
              <v:stroke dashstyle="solid"/>
            </v:line>
            <v:line style="position:absolute" from="2946,1553" to="3018,1553" stroked="true" strokeweight="1.125pt" strokecolor="#a64991">
              <v:stroke dashstyle="solid"/>
            </v:line>
            <v:shape style="position:absolute;left:3008;top:1552;width:220;height:313" coordorigin="3008,1552" coordsize="220,313" path="m3008,1552l3061,1667m3061,1667l3113,1732m3113,1732l3166,1667m3166,1667l3228,1865e" filled="false" stroked="true" strokeweight="1pt" strokecolor="#a64991">
              <v:path arrowok="t"/>
              <v:stroke dashstyle="solid"/>
            </v:shape>
            <v:line style="position:absolute" from="3218,1866" to="3291,1866" stroked="true" strokeweight="1.125pt" strokecolor="#a64991">
              <v:stroke dashstyle="solid"/>
            </v:line>
            <v:shape style="position:absolute;left:3280;top:1519;width:648;height:478" coordorigin="3281,1520" coordsize="648,478" path="m3281,1865l3333,1800m3333,1800l3386,1932m3386,1932l3436,1997m3436,1997l3488,1865m3488,1865l3553,1732m3553,1732l3603,1685m3603,1685l3656,1667m3656,1667l3708,1685m3708,1685l3761,1520m3761,1520l3823,1800m3823,1800l3876,1767m3876,1767l3928,1567e" filled="false" stroked="true" strokeweight="1pt" strokecolor="#a64991">
              <v:path arrowok="t"/>
              <v:stroke dashstyle="solid"/>
            </v:shape>
            <v:shape style="position:absolute;left:885;top:271;width:87;height:1915" coordorigin="886,271" coordsize="87,1915" path="m886,271l972,271m886,590l972,590m886,910l972,910m886,1229l972,1229m886,1548l972,1548m886,1867l972,1867m886,2186l972,2186e" filled="false" stroked="true" strokeweight=".5pt" strokecolor="#000000">
              <v:path arrowok="t"/>
              <v:stroke dashstyle="solid"/>
            </v:shape>
            <v:shape style="position:absolute;left:2658;top:175;width:207;height:133" type="#_x0000_t202" filled="false" stroked="false">
              <v:textbox inset="0,0,0,0">
                <w:txbxContent>
                  <w:p>
                    <w:pPr>
                      <w:spacing w:line="133" w:lineRule="exact" w:before="0"/>
                      <w:ind w:left="0" w:right="0" w:firstLine="0"/>
                      <w:jc w:val="left"/>
                      <w:rPr>
                        <w:sz w:val="12"/>
                      </w:rPr>
                    </w:pPr>
                    <w:r>
                      <w:rPr>
                        <w:sz w:val="12"/>
                      </w:rPr>
                      <w:t>RPI</w:t>
                    </w:r>
                  </w:p>
                </w:txbxContent>
              </v:textbox>
              <w10:wrap type="none"/>
            </v:shape>
            <v:shape style="position:absolute;left:2223;top:785;width:294;height:133" type="#_x0000_t202" filled="false" stroked="false">
              <v:textbox inset="0,0,0,0">
                <w:txbxContent>
                  <w:p>
                    <w:pPr>
                      <w:spacing w:line="133" w:lineRule="exact" w:before="0"/>
                      <w:ind w:left="0" w:right="0" w:firstLine="0"/>
                      <w:jc w:val="left"/>
                      <w:rPr>
                        <w:sz w:val="12"/>
                      </w:rPr>
                    </w:pPr>
                    <w:r>
                      <w:rPr>
                        <w:sz w:val="12"/>
                      </w:rPr>
                      <w:t>RPIX</w:t>
                    </w:r>
                  </w:p>
                </w:txbxContent>
              </v:textbox>
              <w10:wrap type="none"/>
            </v:shape>
            <v:shape style="position:absolute;left:2243;top:1652;width:294;height:133" type="#_x0000_t202" filled="false" stroked="false">
              <v:textbox inset="0,0,0,0">
                <w:txbxContent>
                  <w:p>
                    <w:pPr>
                      <w:spacing w:line="133" w:lineRule="exact" w:before="0"/>
                      <w:ind w:left="0" w:right="0" w:firstLine="0"/>
                      <w:jc w:val="left"/>
                      <w:rPr>
                        <w:sz w:val="12"/>
                      </w:rPr>
                    </w:pPr>
                    <w:r>
                      <w:rPr>
                        <w:sz w:val="12"/>
                      </w:rPr>
                      <w:t>RPIY</w:t>
                    </w:r>
                  </w:p>
                </w:txbxContent>
              </v:textbox>
              <w10:wrap type="none"/>
            </v:shape>
            <w10:wrap type="none"/>
          </v:group>
        </w:pict>
      </w:r>
      <w:r>
        <w:rPr/>
        <w:pict>
          <v:line style="position:absolute;mso-position-horizontal-relative:page;mso-position-vertical-relative:paragraph;z-index:16246784" from="200.882996pt,13.077564pt" to="205.216996pt,13.077564pt" stroked="true" strokeweight=".5pt" strokecolor="#000000">
            <v:stroke dashstyle="solid"/>
            <w10:wrap type="none"/>
          </v:line>
        </w:pict>
      </w:r>
      <w:r>
        <w:rPr>
          <w:sz w:val="12"/>
        </w:rPr>
        <w:t>4.0</w:t>
      </w:r>
    </w:p>
    <w:p>
      <w:pPr>
        <w:spacing w:line="242" w:lineRule="auto" w:before="232"/>
        <w:ind w:left="115" w:right="0" w:firstLine="0"/>
        <w:jc w:val="left"/>
        <w:rPr>
          <w:sz w:val="24"/>
        </w:rPr>
      </w:pPr>
      <w:r>
        <w:rPr/>
        <w:br w:type="column"/>
      </w:r>
      <w:r>
        <w:rPr>
          <w:sz w:val="24"/>
        </w:rPr>
        <w:t>price index for corporate services.</w:t>
      </w:r>
      <w:r>
        <w:rPr>
          <w:position w:val="5"/>
          <w:sz w:val="16"/>
        </w:rPr>
        <w:t>(1) </w:t>
      </w:r>
      <w:r>
        <w:rPr>
          <w:sz w:val="24"/>
        </w:rPr>
        <w:t>At present, data are available for only around a half of the sectors to be covered. An example is the freight road transport sector, where the ONS estimates that output price inflation was around 4% in Q1, partly reflecting a rise in fuel costs.</w:t>
      </w:r>
    </w:p>
    <w:p>
      <w:pPr>
        <w:pStyle w:val="BodyText"/>
        <w:spacing w:before="7"/>
        <w:rPr>
          <w:sz w:val="28"/>
        </w:rPr>
      </w:pPr>
    </w:p>
    <w:p>
      <w:pPr>
        <w:pStyle w:val="ListParagraph"/>
        <w:numPr>
          <w:ilvl w:val="1"/>
          <w:numId w:val="35"/>
        </w:numPr>
        <w:tabs>
          <w:tab w:pos="3894" w:val="left" w:leader="none"/>
          <w:tab w:pos="3896" w:val="left" w:leader="none"/>
          <w:tab w:pos="5635" w:val="left" w:leader="none"/>
        </w:tabs>
        <w:spacing w:line="240" w:lineRule="auto" w:before="0" w:after="0"/>
        <w:ind w:left="3895" w:right="0" w:hanging="3781"/>
        <w:jc w:val="left"/>
        <w:rPr>
          <w:b/>
          <w:sz w:val="28"/>
        </w:rPr>
      </w:pPr>
      <w:r>
        <w:rPr>
          <w:b/>
          <w:color w:val="009391"/>
          <w:sz w:val="28"/>
          <w:u w:val="thick" w:color="0092C7"/>
        </w:rPr>
        <w:t>Retail</w:t>
      </w:r>
      <w:r>
        <w:rPr>
          <w:b/>
          <w:color w:val="009391"/>
          <w:spacing w:val="-11"/>
          <w:sz w:val="28"/>
          <w:u w:val="thick" w:color="0092C7"/>
        </w:rPr>
        <w:t> </w:t>
      </w:r>
      <w:r>
        <w:rPr>
          <w:b/>
          <w:color w:val="009391"/>
          <w:sz w:val="28"/>
          <w:u w:val="thick" w:color="0092C7"/>
        </w:rPr>
        <w:t>prices</w:t>
        <w:tab/>
      </w:r>
    </w:p>
    <w:p>
      <w:pPr>
        <w:spacing w:line="242" w:lineRule="auto" w:before="264"/>
        <w:ind w:left="115" w:right="162" w:firstLine="0"/>
        <w:jc w:val="left"/>
        <w:rPr>
          <w:sz w:val="24"/>
        </w:rPr>
      </w:pPr>
      <w:r>
        <w:rPr>
          <w:sz w:val="24"/>
        </w:rPr>
        <w:t>Annual RPIX inflation has risen, to 2.2% in June, from 2.0% in March (see Chart 4.8). RPIX inflation was 2.1% in Q2, slightly higher than the May </w:t>
      </w:r>
      <w:r>
        <w:rPr>
          <w:i/>
          <w:sz w:val="24"/>
        </w:rPr>
        <w:t>Inflation Report </w:t>
      </w:r>
      <w:r>
        <w:rPr>
          <w:sz w:val="24"/>
        </w:rPr>
        <w:t>projection, mainly reflecting higher-than-expected oil and petrol prices. RPI inflation rose to 3.3% in June, as mortgage interest payments increased relative to a year </w:t>
      </w:r>
      <w:r>
        <w:rPr>
          <w:spacing w:val="-3"/>
          <w:sz w:val="24"/>
        </w:rPr>
        <w:t>earlier. </w:t>
      </w:r>
      <w:r>
        <w:rPr>
          <w:sz w:val="24"/>
        </w:rPr>
        <w:t>In contrast, RPIY inflation, which excludes mortgage interest payments and indirect taxes, was 2.0% in June, slightly lower than in</w:t>
      </w:r>
      <w:r>
        <w:rPr>
          <w:spacing w:val="-10"/>
          <w:sz w:val="24"/>
        </w:rPr>
        <w:t> </w:t>
      </w:r>
      <w:r>
        <w:rPr>
          <w:sz w:val="24"/>
        </w:rPr>
        <w:t>March.</w:t>
      </w:r>
    </w:p>
    <w:p>
      <w:pPr>
        <w:spacing w:after="0" w:line="242" w:lineRule="auto"/>
        <w:jc w:val="left"/>
        <w:rPr>
          <w:sz w:val="24"/>
        </w:rPr>
        <w:sectPr>
          <w:type w:val="continuous"/>
          <w:pgSz w:w="11900" w:h="16840"/>
          <w:pgMar w:top="1260" w:bottom="280" w:left="640" w:right="640"/>
          <w:cols w:num="2" w:equalWidth="0">
            <w:col w:w="4436" w:space="408"/>
            <w:col w:w="5776"/>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8"/>
        </w:rPr>
      </w:pPr>
    </w:p>
    <w:p>
      <w:pPr>
        <w:pStyle w:val="BodyText"/>
        <w:spacing w:line="20" w:lineRule="exact"/>
        <w:ind w:left="24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12"/>
        </w:rPr>
      </w:pPr>
      <w:r>
        <w:rPr/>
        <w:pict>
          <v:shape style="position:absolute;margin-left:44.278pt;margin-top:9.120pt;width:152.35pt;height:6.1pt;mso-position-horizontal-relative:page;mso-position-vertical-relative:paragraph;z-index:-15215104;mso-wrap-distance-left:0;mso-wrap-distance-right:0" coordorigin="886,182" coordsize="3047,122" path="m886,304l972,304m1045,298l3932,298m1046,182l1046,298m1209,252l1209,298m1372,252l1372,298m1535,252l1535,298m1698,182l1698,298m1861,252l1861,298m2024,252l2024,298m2187,252l2187,298m2350,182l2350,298m2513,252l2513,298m2676,252l2676,298m2839,252l2839,298m3002,182l3002,298m3165,252l3165,298m3328,252l3328,298m3491,252l3491,298m3654,182l3654,298m3817,252l3817,298e" filled="false" stroked="true" strokeweight=".5pt" strokecolor="#000000">
            <v:path arrowok="t"/>
            <v:stroke dashstyle="solid"/>
            <w10:wrap type="topAndBottom"/>
          </v:shape>
        </w:pict>
      </w:r>
    </w:p>
    <w:p>
      <w:pPr>
        <w:tabs>
          <w:tab w:pos="1335" w:val="left" w:leader="none"/>
          <w:tab w:pos="1979" w:val="left" w:leader="none"/>
          <w:tab w:pos="2637" w:val="left" w:leader="none"/>
          <w:tab w:pos="3041" w:val="left" w:leader="none"/>
        </w:tabs>
        <w:spacing w:before="4"/>
        <w:ind w:left="615" w:right="0" w:firstLine="0"/>
        <w:jc w:val="left"/>
        <w:rPr>
          <w:sz w:val="12"/>
        </w:rPr>
      </w:pPr>
      <w:r>
        <w:rPr>
          <w:sz w:val="12"/>
        </w:rPr>
        <w:t>1996</w:t>
        <w:tab/>
        <w:t>97</w:t>
        <w:tab/>
        <w:t>98</w:t>
        <w:tab/>
        <w:t>99</w:t>
        <w:tab/>
        <w:t>2000</w:t>
      </w:r>
    </w:p>
    <w:p>
      <w:pPr>
        <w:pStyle w:val="BodyText"/>
        <w:rPr>
          <w:sz w:val="12"/>
        </w:rPr>
      </w:pPr>
    </w:p>
    <w:p>
      <w:pPr>
        <w:spacing w:line="125" w:lineRule="exact" w:before="73"/>
        <w:ind w:left="175" w:right="0" w:firstLine="0"/>
        <w:jc w:val="left"/>
        <w:rPr>
          <w:sz w:val="12"/>
        </w:rPr>
      </w:pPr>
      <w:r>
        <w:rPr>
          <w:sz w:val="12"/>
        </w:rPr>
        <w:t>RPIX</w:t>
      </w:r>
      <w:r>
        <w:rPr>
          <w:spacing w:val="-8"/>
          <w:sz w:val="12"/>
        </w:rPr>
        <w:t> </w:t>
      </w:r>
      <w:r>
        <w:rPr>
          <w:sz w:val="12"/>
        </w:rPr>
        <w:t>=</w:t>
      </w:r>
      <w:r>
        <w:rPr>
          <w:spacing w:val="-7"/>
          <w:sz w:val="12"/>
        </w:rPr>
        <w:t> </w:t>
      </w:r>
      <w:r>
        <w:rPr>
          <w:sz w:val="12"/>
        </w:rPr>
        <w:t>Retail</w:t>
      </w:r>
      <w:r>
        <w:rPr>
          <w:spacing w:val="-7"/>
          <w:sz w:val="12"/>
        </w:rPr>
        <w:t> </w:t>
      </w:r>
      <w:r>
        <w:rPr>
          <w:sz w:val="12"/>
        </w:rPr>
        <w:t>price</w:t>
      </w:r>
      <w:r>
        <w:rPr>
          <w:spacing w:val="-7"/>
          <w:sz w:val="12"/>
        </w:rPr>
        <w:t> </w:t>
      </w:r>
      <w:r>
        <w:rPr>
          <w:sz w:val="12"/>
        </w:rPr>
        <w:t>index</w:t>
      </w:r>
      <w:r>
        <w:rPr>
          <w:spacing w:val="-7"/>
          <w:sz w:val="12"/>
        </w:rPr>
        <w:t> </w:t>
      </w:r>
      <w:r>
        <w:rPr>
          <w:sz w:val="12"/>
        </w:rPr>
        <w:t>excluding</w:t>
      </w:r>
      <w:r>
        <w:rPr>
          <w:spacing w:val="-7"/>
          <w:sz w:val="12"/>
        </w:rPr>
        <w:t> </w:t>
      </w:r>
      <w:r>
        <w:rPr>
          <w:sz w:val="12"/>
        </w:rPr>
        <w:t>mortgage</w:t>
      </w:r>
      <w:r>
        <w:rPr>
          <w:spacing w:val="-7"/>
          <w:sz w:val="12"/>
        </w:rPr>
        <w:t> </w:t>
      </w:r>
      <w:r>
        <w:rPr>
          <w:sz w:val="12"/>
        </w:rPr>
        <w:t>interest</w:t>
      </w:r>
      <w:r>
        <w:rPr>
          <w:spacing w:val="-7"/>
          <w:sz w:val="12"/>
        </w:rPr>
        <w:t> </w:t>
      </w:r>
      <w:r>
        <w:rPr>
          <w:sz w:val="12"/>
        </w:rPr>
        <w:t>payments.</w:t>
      </w:r>
    </w:p>
    <w:p>
      <w:pPr>
        <w:pStyle w:val="BodyText"/>
        <w:spacing w:before="7"/>
        <w:rPr>
          <w:sz w:val="14"/>
        </w:rPr>
      </w:pPr>
      <w:r>
        <w:rPr/>
        <w:br w:type="column"/>
      </w:r>
      <w:r>
        <w:rPr>
          <w:sz w:val="14"/>
        </w:rPr>
      </w:r>
    </w:p>
    <w:p>
      <w:pPr>
        <w:spacing w:before="0"/>
        <w:ind w:left="147" w:right="0" w:firstLine="0"/>
        <w:jc w:val="left"/>
        <w:rPr>
          <w:sz w:val="12"/>
        </w:rPr>
      </w:pPr>
      <w:r>
        <w:rPr>
          <w:sz w:val="12"/>
        </w:rPr>
        <w:t>3.5</w:t>
      </w:r>
    </w:p>
    <w:p>
      <w:pPr>
        <w:pStyle w:val="BodyText"/>
        <w:spacing w:before="8"/>
        <w:rPr>
          <w:sz w:val="15"/>
        </w:rPr>
      </w:pPr>
    </w:p>
    <w:p>
      <w:pPr>
        <w:spacing w:before="1"/>
        <w:ind w:left="147" w:right="0" w:firstLine="0"/>
        <w:jc w:val="left"/>
        <w:rPr>
          <w:sz w:val="12"/>
        </w:rPr>
      </w:pPr>
      <w:r>
        <w:rPr/>
        <w:pict>
          <v:line style="position:absolute;mso-position-horizontal-relative:page;mso-position-vertical-relative:paragraph;z-index:16247296" from="200.882996pt,-11.780848pt" to="205.216996pt,-11.780848pt" stroked="true" strokeweight=".5pt" strokecolor="#000000">
            <v:stroke dashstyle="solid"/>
            <w10:wrap type="none"/>
          </v:line>
        </w:pict>
      </w:r>
      <w:r>
        <w:rPr/>
        <w:pict>
          <v:line style="position:absolute;mso-position-horizontal-relative:page;mso-position-vertical-relative:paragraph;z-index:16247808" from="200.882996pt,4.178152pt" to="205.216996pt,4.178152pt" stroked="true" strokeweight=".5pt" strokecolor="#000000">
            <v:stroke dashstyle="solid"/>
            <w10:wrap type="none"/>
          </v:line>
        </w:pict>
      </w:r>
      <w:r>
        <w:rPr>
          <w:sz w:val="12"/>
        </w:rPr>
        <w:t>3.0</w:t>
      </w:r>
    </w:p>
    <w:p>
      <w:pPr>
        <w:pStyle w:val="BodyText"/>
        <w:spacing w:before="8"/>
        <w:rPr>
          <w:sz w:val="15"/>
        </w:rPr>
      </w:pPr>
    </w:p>
    <w:p>
      <w:pPr>
        <w:spacing w:before="0"/>
        <w:ind w:left="147" w:right="0" w:firstLine="0"/>
        <w:jc w:val="left"/>
        <w:rPr>
          <w:sz w:val="12"/>
        </w:rPr>
      </w:pPr>
      <w:r>
        <w:rPr/>
        <w:pict>
          <v:line style="position:absolute;mso-position-horizontal-relative:page;mso-position-vertical-relative:paragraph;z-index:16248320" from="200.882996pt,4.127961pt" to="205.216996pt,4.127961pt" stroked="true" strokeweight=".5pt" strokecolor="#000000">
            <v:stroke dashstyle="solid"/>
            <w10:wrap type="none"/>
          </v:line>
        </w:pict>
      </w:r>
      <w:r>
        <w:rPr>
          <w:sz w:val="12"/>
        </w:rPr>
        <w:t>2.5</w:t>
      </w:r>
    </w:p>
    <w:p>
      <w:pPr>
        <w:pStyle w:val="BodyText"/>
        <w:spacing w:before="9"/>
        <w:rPr>
          <w:sz w:val="15"/>
        </w:rPr>
      </w:pPr>
    </w:p>
    <w:p>
      <w:pPr>
        <w:spacing w:before="0"/>
        <w:ind w:left="147" w:right="0" w:firstLine="0"/>
        <w:jc w:val="left"/>
        <w:rPr>
          <w:sz w:val="12"/>
        </w:rPr>
      </w:pPr>
      <w:r>
        <w:rPr/>
        <w:pict>
          <v:line style="position:absolute;mso-position-horizontal-relative:page;mso-position-vertical-relative:paragraph;z-index:16248832" from="200.882996pt,4.12716pt" to="205.216996pt,4.12716pt" stroked="true" strokeweight=".5pt" strokecolor="#000000">
            <v:stroke dashstyle="solid"/>
            <w10:wrap type="none"/>
          </v:line>
        </w:pict>
      </w:r>
      <w:r>
        <w:rPr>
          <w:sz w:val="12"/>
        </w:rPr>
        <w:t>2.0</w:t>
      </w:r>
    </w:p>
    <w:p>
      <w:pPr>
        <w:pStyle w:val="BodyText"/>
        <w:spacing w:before="8"/>
        <w:rPr>
          <w:sz w:val="15"/>
        </w:rPr>
      </w:pPr>
    </w:p>
    <w:p>
      <w:pPr>
        <w:spacing w:before="1"/>
        <w:ind w:left="147" w:right="0" w:firstLine="0"/>
        <w:jc w:val="left"/>
        <w:rPr>
          <w:sz w:val="12"/>
        </w:rPr>
      </w:pPr>
      <w:r>
        <w:rPr/>
        <w:pict>
          <v:line style="position:absolute;mso-position-horizontal-relative:page;mso-position-vertical-relative:paragraph;z-index:16249344" from="200.882996pt,4.177359pt" to="205.216996pt,4.177359pt" stroked="true" strokeweight=".5pt" strokecolor="#000000">
            <v:stroke dashstyle="solid"/>
            <w10:wrap type="none"/>
          </v:line>
        </w:pict>
      </w:r>
      <w:r>
        <w:rPr>
          <w:sz w:val="12"/>
        </w:rPr>
        <w:t>1.5</w:t>
      </w:r>
    </w:p>
    <w:p>
      <w:pPr>
        <w:pStyle w:val="BodyText"/>
        <w:spacing w:before="8"/>
        <w:rPr>
          <w:sz w:val="15"/>
        </w:rPr>
      </w:pPr>
    </w:p>
    <w:p>
      <w:pPr>
        <w:spacing w:before="0"/>
        <w:ind w:left="147" w:right="0" w:firstLine="0"/>
        <w:jc w:val="left"/>
        <w:rPr>
          <w:sz w:val="12"/>
        </w:rPr>
      </w:pPr>
      <w:r>
        <w:rPr/>
        <w:pict>
          <v:line style="position:absolute;mso-position-horizontal-relative:page;mso-position-vertical-relative:paragraph;z-index:16249856" from="200.882996pt,4.126557pt" to="205.216996pt,4.126557pt" stroked="true" strokeweight=".5pt" strokecolor="#000000">
            <v:stroke dashstyle="solid"/>
            <w10:wrap type="none"/>
          </v:line>
        </w:pict>
      </w:r>
      <w:r>
        <w:rPr>
          <w:sz w:val="12"/>
        </w:rPr>
        <w:t>1.0</w:t>
      </w:r>
    </w:p>
    <w:p>
      <w:pPr>
        <w:pStyle w:val="BodyText"/>
        <w:spacing w:before="9"/>
        <w:rPr>
          <w:sz w:val="15"/>
        </w:rPr>
      </w:pPr>
    </w:p>
    <w:p>
      <w:pPr>
        <w:spacing w:before="0"/>
        <w:ind w:left="147" w:right="0" w:firstLine="0"/>
        <w:jc w:val="left"/>
        <w:rPr>
          <w:sz w:val="12"/>
        </w:rPr>
      </w:pPr>
      <w:r>
        <w:rPr/>
        <w:pict>
          <v:line style="position:absolute;mso-position-horizontal-relative:page;mso-position-vertical-relative:paragraph;z-index:16250368" from="200.882996pt,4.126756pt" to="205.216996pt,4.126756pt" stroked="true" strokeweight=".5pt" strokecolor="#000000">
            <v:stroke dashstyle="solid"/>
            <w10:wrap type="none"/>
          </v:line>
        </w:pict>
      </w:r>
      <w:r>
        <w:rPr>
          <w:sz w:val="12"/>
        </w:rPr>
        <w:t>0.5</w:t>
      </w:r>
    </w:p>
    <w:p>
      <w:pPr>
        <w:pStyle w:val="BodyText"/>
        <w:spacing w:before="9"/>
        <w:rPr>
          <w:sz w:val="15"/>
        </w:rPr>
      </w:pPr>
    </w:p>
    <w:p>
      <w:pPr>
        <w:spacing w:before="0"/>
        <w:ind w:left="147" w:right="0" w:firstLine="0"/>
        <w:jc w:val="left"/>
        <w:rPr>
          <w:sz w:val="12"/>
        </w:rPr>
      </w:pPr>
      <w:r>
        <w:rPr/>
        <w:pict>
          <v:line style="position:absolute;mso-position-horizontal-relative:page;mso-position-vertical-relative:paragraph;z-index:16250880" from="200.882996pt,4.126565pt" to="205.216996pt,4.126565pt" stroked="true" strokeweight=".5pt" strokecolor="#000000">
            <v:stroke dashstyle="solid"/>
            <w10:wrap type="none"/>
          </v:line>
        </w:pict>
      </w:r>
      <w:r>
        <w:rPr>
          <w:sz w:val="12"/>
        </w:rPr>
        <w:t>0.0</w:t>
      </w:r>
    </w:p>
    <w:p>
      <w:pPr>
        <w:pStyle w:val="BodyText"/>
        <w:spacing w:before="4"/>
        <w:rPr>
          <w:sz w:val="25"/>
        </w:rPr>
      </w:pPr>
      <w:r>
        <w:rPr/>
        <w:br w:type="column"/>
      </w:r>
      <w:r>
        <w:rPr>
          <w:sz w:val="25"/>
        </w:rPr>
      </w:r>
    </w:p>
    <w:p>
      <w:pPr>
        <w:spacing w:line="242" w:lineRule="auto" w:before="0"/>
        <w:ind w:left="175" w:right="243" w:firstLine="0"/>
        <w:jc w:val="left"/>
        <w:rPr>
          <w:sz w:val="24"/>
        </w:rPr>
      </w:pPr>
      <w:r>
        <w:rPr>
          <w:sz w:val="24"/>
        </w:rPr>
        <w:t>While RPIX inflation has risen </w:t>
      </w:r>
      <w:r>
        <w:rPr>
          <w:spacing w:val="-3"/>
          <w:sz w:val="24"/>
        </w:rPr>
        <w:t>slightly, </w:t>
      </w:r>
      <w:r>
        <w:rPr>
          <w:sz w:val="24"/>
        </w:rPr>
        <w:t>the gap between retail goods and services price inflation has narrowed: the differential in June was 2.8 percentage points, compared with 4.4 percentage points in March (see Chart 4.9).  But it remains well above the average for the past ten years. That may partly reflect the past appreciation of the exchange rate, because of</w:t>
      </w:r>
      <w:r>
        <w:rPr>
          <w:spacing w:val="-20"/>
          <w:sz w:val="24"/>
        </w:rPr>
        <w:t> </w:t>
      </w:r>
      <w:r>
        <w:rPr>
          <w:sz w:val="24"/>
        </w:rPr>
        <w:t>the</w:t>
      </w:r>
    </w:p>
    <w:p>
      <w:pPr>
        <w:spacing w:line="280" w:lineRule="atLeast" w:before="5"/>
        <w:ind w:left="175" w:right="1181" w:firstLine="0"/>
        <w:jc w:val="left"/>
        <w:rPr>
          <w:sz w:val="24"/>
        </w:rPr>
      </w:pPr>
      <w:r>
        <w:rPr>
          <w:sz w:val="24"/>
        </w:rPr>
        <w:t>higher import content of goods and the greater exposure of the goods sector to international competition.</w:t>
      </w:r>
    </w:p>
    <w:p>
      <w:pPr>
        <w:spacing w:after="0" w:line="280" w:lineRule="atLeast"/>
        <w:jc w:val="left"/>
        <w:rPr>
          <w:sz w:val="24"/>
        </w:rPr>
        <w:sectPr>
          <w:type w:val="continuous"/>
          <w:pgSz w:w="11900" w:h="16840"/>
          <w:pgMar w:top="1260" w:bottom="280" w:left="640" w:right="640"/>
          <w:cols w:num="3" w:equalWidth="0">
            <w:col w:w="3315" w:space="40"/>
            <w:col w:w="338" w:space="1092"/>
            <w:col w:w="5835"/>
          </w:cols>
        </w:sectPr>
      </w:pPr>
    </w:p>
    <w:p>
      <w:pPr>
        <w:spacing w:line="52" w:lineRule="exact" w:before="0"/>
        <w:ind w:left="175" w:right="0" w:firstLine="0"/>
        <w:jc w:val="left"/>
        <w:rPr>
          <w:sz w:val="12"/>
        </w:rPr>
      </w:pPr>
      <w:r>
        <w:rPr>
          <w:sz w:val="12"/>
        </w:rPr>
        <w:t>RPIY = RPIX excluding VAT, local authorities’ taxes and excise duties.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1"/>
        </w:rPr>
      </w:pPr>
    </w:p>
    <w:p>
      <w:pPr>
        <w:pStyle w:val="Heading6"/>
        <w:spacing w:before="1"/>
      </w:pPr>
      <w:r>
        <w:rPr>
          <w:color w:val="0092C7"/>
        </w:rPr>
        <w:t>Chart 4.9</w:t>
      </w:r>
    </w:p>
    <w:p>
      <w:pPr>
        <w:pStyle w:val="Heading6"/>
      </w:pPr>
      <w:r>
        <w:rPr>
          <w:color w:val="0092C7"/>
        </w:rPr>
        <w:t>Goods and services price inflation</w:t>
      </w:r>
    </w:p>
    <w:p>
      <w:pPr>
        <w:spacing w:before="169"/>
        <w:ind w:left="1713" w:right="0" w:firstLine="0"/>
        <w:jc w:val="left"/>
        <w:rPr>
          <w:sz w:val="12"/>
        </w:rPr>
      </w:pPr>
      <w:r>
        <w:rPr/>
        <w:pict>
          <v:line style="position:absolute;mso-position-horizontal-relative:page;mso-position-vertical-relative:paragraph;z-index:16259072" from="43.723999pt,17.200642pt" to="48.056999pt,17.200642pt" stroked="true" strokeweight=".5pt" strokecolor="#000000">
            <v:stroke dashstyle="solid"/>
            <w10:wrap type="none"/>
          </v:line>
        </w:pict>
      </w:r>
      <w:r>
        <w:rPr/>
        <w:pict>
          <v:line style="position:absolute;mso-position-horizontal-relative:page;mso-position-vertical-relative:paragraph;z-index:-23033856" from="200.822006pt,16.983641pt" to="205.156006pt,16.983641pt" stroked="true" strokeweight=".5pt" strokecolor="#000000">
            <v:stroke dashstyle="solid"/>
            <w10:wrap type="none"/>
          </v:line>
        </w:pict>
      </w:r>
      <w:r>
        <w:rPr>
          <w:sz w:val="12"/>
        </w:rPr>
        <w:t>Percentage changes on a year earlier </w:t>
      </w:r>
      <w:r>
        <w:rPr>
          <w:spacing w:val="13"/>
          <w:sz w:val="12"/>
        </w:rPr>
        <w:t> </w:t>
      </w:r>
      <w:r>
        <w:rPr>
          <w:position w:val="-7"/>
          <w:sz w:val="12"/>
        </w:rPr>
        <w:t>4.5</w:t>
      </w:r>
    </w:p>
    <w:p>
      <w:pPr>
        <w:spacing w:before="153"/>
        <w:ind w:left="0" w:right="38" w:firstLine="0"/>
        <w:jc w:val="right"/>
        <w:rPr>
          <w:sz w:val="12"/>
        </w:rPr>
      </w:pPr>
      <w:r>
        <w:rPr/>
        <w:pict>
          <v:group style="position:absolute;margin-left:51.75pt;margin-top:5.706458pt;width:145.15pt;height:127.9pt;mso-position-horizontal-relative:page;mso-position-vertical-relative:paragraph;z-index:16253952" coordorigin="1035,114" coordsize="2903,2558">
            <v:line style="position:absolute" from="1039,2551" to="3923,2551" stroked="true" strokeweight=".5pt" strokecolor="#000000">
              <v:stroke dashstyle="solid"/>
            </v:line>
            <v:shape style="position:absolute;left:1045;top:556;width:90;height:110" coordorigin="1045,557" coordsize="90,110" path="m1045,667l1090,597m1090,597l1135,557e" filled="false" stroked="true" strokeweight="1pt" strokecolor="#f6bd61">
              <v:path arrowok="t"/>
              <v:stroke dashstyle="solid"/>
            </v:shape>
            <v:line style="position:absolute" from="1156,547" to="1156,1137" stroked="true" strokeweight="3.125pt" strokecolor="#f6bd61">
              <v:stroke dashstyle="solid"/>
            </v:line>
            <v:line style="position:absolute" from="1178,1127" to="1223,1099" stroked="true" strokeweight="1pt" strokecolor="#f6bd61">
              <v:stroke dashstyle="solid"/>
            </v:line>
            <v:line style="position:absolute" from="1213,1100" to="1278,1100" stroked="true" strokeweight="1.125pt" strokecolor="#f6bd61">
              <v:stroke dashstyle="solid"/>
            </v:line>
            <v:shape style="position:absolute;left:1267;top:1071;width:615;height:335" coordorigin="1268,1072" coordsize="615,335" path="m1268,1099l1313,1212m1313,1212l1358,1169m1358,1169l1403,1099m1403,1099l1448,1322m1448,1322l1493,1252m1493,1252l1538,1322m1538,1322l1580,1252m1580,1252l1625,1322m1625,1322l1670,1294m1670,1294l1715,1407m1715,1407l1760,1379m1760,1379l1793,1309m1793,1309l1838,1072m1838,1072l1883,1142e" filled="false" stroked="true" strokeweight="1pt" strokecolor="#f6bd61">
              <v:path arrowok="t"/>
              <v:stroke dashstyle="solid"/>
            </v:shape>
            <v:line style="position:absolute" from="1873,1143" to="1938,1143" stroked="true" strokeweight="1.125pt" strokecolor="#f6bd61">
              <v:stroke dashstyle="solid"/>
            </v:line>
            <v:shape style="position:absolute;left:1927;top:666;width:223;height:475" coordorigin="1928,667" coordsize="223,475" path="m1928,1142l1973,889m1973,889l2018,932m2018,932l2063,862m2063,862l2108,737m2108,737l2150,667e" filled="false" stroked="true" strokeweight="1pt" strokecolor="#f6bd61">
              <v:path arrowok="t"/>
              <v:stroke dashstyle="solid"/>
            </v:shape>
            <v:line style="position:absolute" from="2140,668" to="2205,668" stroked="true" strokeweight="1.125pt" strokecolor="#f6bd61">
              <v:stroke dashstyle="solid"/>
            </v:line>
            <v:line style="position:absolute" from="2195,667" to="2240,654" stroked="true" strokeweight="1pt" strokecolor="#f6bd61">
              <v:stroke dashstyle="solid"/>
            </v:line>
            <v:line style="position:absolute" from="2230,655" to="2295,655" stroked="true" strokeweight="1.125pt" strokecolor="#f6bd61">
              <v:stroke dashstyle="solid"/>
            </v:line>
            <v:shape style="position:absolute;left:2285;top:654;width:223;height:250" coordorigin="2285,654" coordsize="223,250" path="m2285,654l2330,724m2330,724l2375,904m2375,904l2420,807m2420,807l2465,904m2465,904l2508,779e" filled="false" stroked="true" strokeweight="1pt" strokecolor="#f6bd61">
              <v:path arrowok="t"/>
              <v:stroke dashstyle="solid"/>
            </v:shape>
            <v:line style="position:absolute" from="2498,780" to="2563,780" stroked="true" strokeweight="1.125pt" strokecolor="#f6bd61">
              <v:stroke dashstyle="solid"/>
            </v:line>
            <v:line style="position:absolute" from="2553,779" to="2598,849" stroked="true" strokeweight="1pt" strokecolor="#f6bd61">
              <v:stroke dashstyle="solid"/>
            </v:line>
            <v:line style="position:absolute" from="2588,850" to="2653,850" stroked="true" strokeweight="1.125pt" strokecolor="#f6bd61">
              <v:stroke dashstyle="solid"/>
            </v:line>
            <v:shape style="position:absolute;left:2642;top:709;width:135;height:153" coordorigin="2643,709" coordsize="135,153" path="m2643,849l2688,862m2688,862l2733,822m2733,822l2778,709e" filled="false" stroked="true" strokeweight="1pt" strokecolor="#f6bd61">
              <v:path arrowok="t"/>
              <v:stroke dashstyle="solid"/>
            </v:shape>
            <v:shape style="position:absolute;left:2767;top:710;width:108;height:2" coordorigin="2768,710" coordsize="108,0" path="m2768,710l2833,710m2813,710l2875,710e" filled="false" stroked="true" strokeweight="1.125pt" strokecolor="#f6bd61">
              <v:path arrowok="t"/>
              <v:stroke dashstyle="solid"/>
            </v:shape>
            <v:shape style="position:absolute;left:2865;top:529;width:225;height:180" coordorigin="2865,529" coordsize="225,180" path="m2865,709l2910,654m2910,654l2955,694m2955,694l3000,529m3000,529l3045,569m3045,569l3090,542e" filled="false" stroked="true" strokeweight="1pt" strokecolor="#f6bd61">
              <v:path arrowok="t"/>
              <v:stroke dashstyle="solid"/>
            </v:shape>
            <v:line style="position:absolute" from="3080,543" to="3145,543" stroked="true" strokeweight="1.125pt" strokecolor="#f6bd61">
              <v:stroke dashstyle="solid"/>
            </v:line>
            <v:shape style="position:absolute;left:3135;top:541;width:168;height:125" coordorigin="3135,542" coordsize="168,125" path="m3135,542l3180,612m3180,612l3213,654m3213,654l3258,627m3258,627l3303,667e" filled="false" stroked="true" strokeweight="1pt" strokecolor="#f6bd61">
              <v:path arrowok="t"/>
              <v:stroke dashstyle="solid"/>
            </v:shape>
            <v:line style="position:absolute" from="3293,668" to="3358,668" stroked="true" strokeweight="1.125pt" strokecolor="#f6bd61">
              <v:stroke dashstyle="solid"/>
            </v:line>
            <v:shape style="position:absolute;left:3347;top:291;width:268;height:390" coordorigin="3348,292" coordsize="268,390" path="m3348,667l3393,682m3393,682l3435,487m3435,487l3480,499m3480,499l3525,472m3525,472l3570,319m3570,319l3615,292e" filled="false" stroked="true" strokeweight="1pt" strokecolor="#f6bd61">
              <v:path arrowok="t"/>
              <v:stroke dashstyle="solid"/>
            </v:shape>
            <v:line style="position:absolute" from="3605,293" to="3670,293" stroked="true" strokeweight="1.125pt" strokecolor="#f6bd61">
              <v:stroke dashstyle="solid"/>
            </v:line>
            <v:shape style="position:absolute;left:3660;top:124;width:135;height:168" coordorigin="3660,124" coordsize="135,168" path="m3660,292l3705,137m3705,137l3750,152m3750,152l3795,124e" filled="false" stroked="true" strokeweight="1pt" strokecolor="#f6bd61">
              <v:path arrowok="t"/>
              <v:stroke dashstyle="solid"/>
            </v:shape>
            <v:line style="position:absolute" from="3816,114" to="3816,622" stroked="true" strokeweight="3.125pt" strokecolor="#f6bd61">
              <v:stroke dashstyle="solid"/>
            </v:line>
            <v:shape style="position:absolute;left:3837;top:514;width:90;height:98" coordorigin="3838,514" coordsize="90,98" path="m3838,612l3883,584m3883,584l3928,514e" filled="false" stroked="true" strokeweight="1pt" strokecolor="#f6bd61">
              <v:path arrowok="t"/>
              <v:stroke dashstyle="solid"/>
            </v:shape>
            <v:shape style="position:absolute;left:1045;top:764;width:403;height:265" coordorigin="1045,764" coordsize="403,265" path="m1045,959l1090,1017m1090,1017l1135,932m1135,932l1178,1029m1178,1029l1223,1002m1223,1002l1268,919m1268,919l1313,947m1313,947l1358,877m1358,877l1403,764m1403,764l1448,877e" filled="false" stroked="true" strokeweight="1pt" strokecolor="#de0035">
              <v:path arrowok="t"/>
              <v:stroke dashstyle="solid"/>
            </v:shape>
            <v:line style="position:absolute" from="1438,878" to="1503,878" stroked="true" strokeweight="1.125pt" strokecolor="#de0035">
              <v:stroke dashstyle="solid"/>
            </v:line>
            <v:shape style="position:absolute;left:1492;top:849;width:268;height:110" coordorigin="1493,849" coordsize="268,110" path="m1493,877l1538,849m1538,849l1580,919m1580,919l1625,889m1625,889l1670,862m1670,862l1715,877m1715,877l1760,959e" filled="false" stroked="true" strokeweight="1pt" strokecolor="#de0035">
              <v:path arrowok="t"/>
              <v:stroke dashstyle="solid"/>
            </v:shape>
            <v:line style="position:absolute" from="1750,960" to="1803,960" stroked="true" strokeweight="1.125pt" strokecolor="#de0035">
              <v:stroke dashstyle="solid"/>
            </v:line>
            <v:line style="position:absolute" from="1793,959" to="1838,919" stroked="true" strokeweight="1pt" strokecolor="#de0035">
              <v:stroke dashstyle="solid"/>
            </v:line>
            <v:line style="position:absolute" from="1828,920" to="1893,920" stroked="true" strokeweight="1.125pt" strokecolor="#de0035">
              <v:stroke dashstyle="solid"/>
            </v:line>
            <v:shape style="position:absolute;left:1882;top:654;width:90;height:265" coordorigin="1883,654" coordsize="90,265" path="m1883,919l1928,849m1928,849l1973,654e" filled="false" stroked="true" strokeweight="1pt" strokecolor="#de0035">
              <v:path arrowok="t"/>
              <v:stroke dashstyle="solid"/>
            </v:shape>
            <v:line style="position:absolute" from="1963,655" to="2028,655" stroked="true" strokeweight="1.125pt" strokecolor="#de0035">
              <v:stroke dashstyle="solid"/>
            </v:line>
            <v:line style="position:absolute" from="2018,654" to="2063,779" stroked="true" strokeweight="1pt" strokecolor="#de0035">
              <v:stroke dashstyle="solid"/>
            </v:line>
            <v:line style="position:absolute" from="2053,780" to="2118,780" stroked="true" strokeweight="1.125pt" strokecolor="#de0035">
              <v:stroke dashstyle="solid"/>
            </v:line>
            <v:shape style="position:absolute;left:2107;top:779;width:133;height:335" coordorigin="2108,779" coordsize="133,335" path="m2108,779l2150,904m2150,904l2195,1029m2195,1029l2240,1114e" filled="false" stroked="true" strokeweight="1pt" strokecolor="#de0035">
              <v:path arrowok="t"/>
              <v:stroke dashstyle="solid"/>
            </v:shape>
            <v:line style="position:absolute" from="2230,1115" to="2295,1115" stroked="true" strokeweight="1.125pt" strokecolor="#de0035">
              <v:stroke dashstyle="solid"/>
            </v:line>
            <v:shape style="position:absolute;left:2285;top:849;width:223;height:265" coordorigin="2285,849" coordsize="223,265" path="m2285,1114l2330,1002m2330,1002l2375,849m2375,849l2420,932m2420,932l2465,974m2465,974l2508,932e" filled="false" stroked="true" strokeweight="1pt" strokecolor="#de0035">
              <v:path arrowok="t"/>
              <v:stroke dashstyle="solid"/>
            </v:shape>
            <v:line style="position:absolute" from="2498,933" to="2563,933" stroked="true" strokeweight="1.125pt" strokecolor="#de0035">
              <v:stroke dashstyle="solid"/>
            </v:line>
            <v:shape style="position:absolute;left:2552;top:931;width:135;height:195" coordorigin="2553,932" coordsize="135,195" path="m2553,932l2598,1017m2598,1017l2643,1127m2643,1127l2688,1057e" filled="false" stroked="true" strokeweight="1pt" strokecolor="#de0035">
              <v:path arrowok="t"/>
              <v:stroke dashstyle="solid"/>
            </v:shape>
            <v:line style="position:absolute" from="2678,1058" to="2743,1058" stroked="true" strokeweight="1.125pt" strokecolor="#de0035">
              <v:stroke dashstyle="solid"/>
            </v:line>
            <v:shape style="position:absolute;left:2732;top:709;width:223;height:378" coordorigin="2733,709" coordsize="223,378" path="m2733,1057l2778,849m2778,849l2823,709m2823,709l2865,932m2865,932l2910,1044m2910,1044l2955,1087e" filled="false" stroked="true" strokeweight="1pt" strokecolor="#de0035">
              <v:path arrowok="t"/>
              <v:stroke dashstyle="solid"/>
            </v:shape>
            <v:shape style="position:absolute;left:2945;top:1087;width:155;height:2" coordorigin="2945,1088" coordsize="155,0" path="m2945,1088l3010,1088m2990,1088l3055,1088m3035,1088l3100,1088e" filled="false" stroked="true" strokeweight="1.125pt" strokecolor="#de0035">
              <v:path arrowok="t"/>
              <v:stroke dashstyle="solid"/>
            </v:shape>
            <v:line style="position:absolute" from="3090,1087" to="3135,1057" stroked="true" strokeweight="1pt" strokecolor="#de0035">
              <v:stroke dashstyle="solid"/>
            </v:line>
            <v:line style="position:absolute" from="3125,1058" to="3190,1058" stroked="true" strokeweight="1.125pt" strokecolor="#de0035">
              <v:stroke dashstyle="solid"/>
            </v:line>
            <v:shape style="position:absolute;left:3180;top:986;width:300;height:350" coordorigin="3180,987" coordsize="300,350" path="m3180,1057l3213,1169m3213,1169l3258,987m3258,987l3303,1154m3303,1154l3348,1337m3348,1337l3393,1267m3393,1267l3435,1252m3435,1252l3480,1337e" filled="false" stroked="true" strokeweight="1pt" strokecolor="#de0035">
              <v:path arrowok="t"/>
              <v:stroke dashstyle="solid"/>
            </v:shape>
            <v:line style="position:absolute" from="3470,1338" to="3535,1338" stroked="true" strokeweight="1.125pt" strokecolor="#de0035">
              <v:stroke dashstyle="solid"/>
            </v:line>
            <v:shape style="position:absolute;left:3525;top:1251;width:403;height:183" coordorigin="3525,1252" coordsize="403,183" path="m3525,1337l3570,1309m3570,1309l3615,1267m3615,1267l3660,1309m3660,1309l3705,1337m3705,1337l3750,1309m3750,1309l3795,1419m3795,1419l3838,1434m3838,1434l3883,1392m3883,1392l3928,1252e" filled="false" stroked="true" strokeweight="1pt" strokecolor="#de0035">
              <v:path arrowok="t"/>
              <v:stroke dashstyle="solid"/>
            </v:shape>
            <v:shape style="position:absolute;left:1045;top:486;width:793;height:738" coordorigin="1045,487" coordsize="793,738" path="m1045,1127l1090,1224m1090,1224l1135,1072m1135,1072l1178,1029m1178,1029l1223,904m1223,904l1268,862m1268,862l1313,764m1313,764l1358,737m1358,737l1403,487m1403,487l1448,557m1448,557l1493,654m1493,654l1538,499m1538,499l1580,694m1580,694l1625,667m1625,667l1670,724m1670,724l1715,654m1715,654l1760,877m1760,877l1793,834m1793,834l1838,947e" filled="false" stroked="true" strokeweight="1pt" strokecolor="#0099d9">
              <v:path arrowok="t"/>
              <v:stroke dashstyle="solid"/>
            </v:shape>
            <v:line style="position:absolute" from="1828,948" to="1893,948" stroked="true" strokeweight="1.125pt" strokecolor="#0099d9">
              <v:stroke dashstyle="solid"/>
            </v:line>
            <v:shape style="position:absolute;left:1882;top:709;width:358;height:850" coordorigin="1883,709" coordsize="358,850" path="m1883,947l1928,919m1928,919l1973,752m1973,752l2018,709m2018,709l2063,1017m2063,1017l2108,1044m2108,1044l2150,1212m2150,1212l2195,1392m2195,1392l2240,1559e" filled="false" stroked="true" strokeweight="1pt" strokecolor="#0099d9">
              <v:path arrowok="t"/>
              <v:stroke dashstyle="solid"/>
            </v:shape>
            <v:line style="position:absolute" from="2230,1560" to="2295,1560" stroked="true" strokeweight="1.125pt" strokecolor="#0099d9">
              <v:stroke dashstyle="solid"/>
            </v:line>
            <v:shape style="position:absolute;left:2285;top:1099;width:403;height:545" coordorigin="2285,1099" coordsize="403,545" path="m2285,1559l2330,1392m2330,1392l2375,1099m2375,1099l2420,1154m2420,1154l2465,1239m2465,1239l2508,1197m2508,1197l2553,1239m2553,1239l2598,1407m2598,1407l2643,1644m2643,1644l2688,1447e" filled="false" stroked="true" strokeweight="1pt" strokecolor="#0099d9">
              <v:path arrowok="t"/>
              <v:stroke dashstyle="solid"/>
            </v:shape>
            <v:line style="position:absolute" from="2678,1448" to="2743,1448" stroked="true" strokeweight="1.125pt" strokecolor="#0099d9">
              <v:stroke dashstyle="solid"/>
            </v:line>
            <v:shape style="position:absolute;left:2732;top:1099;width:313;height:795" coordorigin="2733,1099" coordsize="313,795" path="m2733,1447l2778,1294m2778,1294l2823,1099m2823,1099l2865,1419m2865,1419l2910,1657m2910,1657l2955,1742m2955,1742l3000,1809m3000,1809l3045,1894e" filled="false" stroked="true" strokeweight="1pt" strokecolor="#0099d9">
              <v:path arrowok="t"/>
              <v:stroke dashstyle="solid"/>
            </v:shape>
            <v:line style="position:absolute" from="3035,1895" to="3100,1895" stroked="true" strokeweight="1.125pt" strokecolor="#0099d9">
              <v:stroke dashstyle="solid"/>
            </v:line>
            <v:shape style="position:absolute;left:3090;top:1699;width:258;height:363" coordorigin="3090,1699" coordsize="258,363" path="m3090,1894l3135,1742m3135,1742l3180,1727m3180,1727l3213,1937m3213,1937l3258,1699m3258,1699l3303,1824m3303,1824l3348,2062e" filled="false" stroked="true" strokeweight="1pt" strokecolor="#0099d9">
              <v:path arrowok="t"/>
              <v:stroke dashstyle="solid"/>
            </v:shape>
            <v:line style="position:absolute" from="3338,2063" to="3403,2063" stroked="true" strokeweight="1.125pt" strokecolor="#0099d9">
              <v:stroke dashstyle="solid"/>
            </v:line>
            <v:shape style="position:absolute;left:3392;top:2046;width:88;height:195" coordorigin="3393,2047" coordsize="88,195" path="m3393,2062l3435,2047m3435,2047l3480,2242e" filled="false" stroked="true" strokeweight="1pt" strokecolor="#0099d9">
              <v:path arrowok="t"/>
              <v:stroke dashstyle="solid"/>
            </v:shape>
            <v:line style="position:absolute" from="3470,2243" to="3535,2243" stroked="true" strokeweight="1.125pt" strokecolor="#0099d9">
              <v:stroke dashstyle="solid"/>
            </v:line>
            <v:shape style="position:absolute;left:3525;top:2171;width:403;height:490" coordorigin="3525,2172" coordsize="403,490" path="m3525,2242l3570,2327m3570,2327l3615,2284m3615,2284l3660,2367m3660,2367l3705,2549m3705,2549l3750,2522m3750,2522l3795,2662m3795,2662l3838,2397m3838,2397l3883,2437m3883,2437l3928,2172e" filled="false" stroked="true" strokeweight="1pt" strokecolor="#0099d9">
              <v:path arrowok="t"/>
              <v:stroke dashstyle="solid"/>
            </v:shape>
            <v:shape style="position:absolute;left:3118;top:233;width:427;height:133" type="#_x0000_t202" filled="false" stroked="false">
              <v:textbox inset="0,0,0,0">
                <w:txbxContent>
                  <w:p>
                    <w:pPr>
                      <w:spacing w:line="133" w:lineRule="exact" w:before="0"/>
                      <w:ind w:left="0" w:right="0" w:firstLine="0"/>
                      <w:jc w:val="left"/>
                      <w:rPr>
                        <w:sz w:val="12"/>
                      </w:rPr>
                    </w:pPr>
                    <w:r>
                      <w:rPr>
                        <w:sz w:val="12"/>
                      </w:rPr>
                      <w:t>Services</w:t>
                    </w:r>
                  </w:p>
                </w:txbxContent>
              </v:textbox>
              <w10:wrap type="none"/>
            </v:shape>
            <v:shape style="position:absolute;left:3307;top:944;width:294;height:133" type="#_x0000_t202" filled="false" stroked="false">
              <v:textbox inset="0,0,0,0">
                <w:txbxContent>
                  <w:p>
                    <w:pPr>
                      <w:spacing w:line="133" w:lineRule="exact" w:before="0"/>
                      <w:ind w:left="0" w:right="0" w:firstLine="0"/>
                      <w:jc w:val="left"/>
                      <w:rPr>
                        <w:sz w:val="12"/>
                      </w:rPr>
                    </w:pPr>
                    <w:r>
                      <w:rPr>
                        <w:sz w:val="12"/>
                      </w:rPr>
                      <w:t>RPIX</w:t>
                    </w:r>
                  </w:p>
                </w:txbxContent>
              </v:textbox>
              <w10:wrap type="none"/>
            </v:shape>
            <v:shape style="position:absolute;left:2659;top:1789;width:334;height:133" type="#_x0000_t202" filled="false" stroked="false">
              <v:textbox inset="0,0,0,0">
                <w:txbxContent>
                  <w:p>
                    <w:pPr>
                      <w:spacing w:line="133" w:lineRule="exact" w:before="0"/>
                      <w:ind w:left="0" w:right="0" w:firstLine="0"/>
                      <w:jc w:val="left"/>
                      <w:rPr>
                        <w:sz w:val="12"/>
                      </w:rPr>
                    </w:pPr>
                    <w:r>
                      <w:rPr>
                        <w:sz w:val="12"/>
                      </w:rPr>
                      <w:t>Goods</w:t>
                    </w:r>
                  </w:p>
                </w:txbxContent>
              </v:textbox>
              <w10:wrap type="none"/>
            </v:shape>
            <w10:wrap type="none"/>
          </v:group>
        </w:pict>
      </w:r>
      <w:r>
        <w:rPr/>
        <w:pict>
          <v:line style="position:absolute;mso-position-horizontal-relative:page;mso-position-vertical-relative:paragraph;z-index:16254464" from="43.723999pt,12.269458pt" to="48.056999pt,12.269458pt" stroked="true" strokeweight=".5pt" strokecolor="#000000">
            <v:stroke dashstyle="solid"/>
            <w10:wrap type="none"/>
          </v:line>
        </w:pict>
      </w:r>
      <w:r>
        <w:rPr/>
        <w:pict>
          <v:line style="position:absolute;mso-position-horizontal-relative:page;mso-position-vertical-relative:paragraph;z-index:16259584" from="200.822006pt,12.052458pt" to="205.156006pt,12.052458pt" stroked="true" strokeweight=".5pt" strokecolor="#000000">
            <v:stroke dashstyle="solid"/>
            <w10:wrap type="none"/>
          </v:line>
        </w:pict>
      </w:r>
      <w:r>
        <w:rPr>
          <w:sz w:val="12"/>
        </w:rPr>
        <w:t>4.0</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6254976" from="43.723999pt,4.631836pt" to="48.056999pt,4.631836pt" stroked="true" strokeweight=".5pt" strokecolor="#000000">
            <v:stroke dashstyle="solid"/>
            <w10:wrap type="none"/>
          </v:line>
        </w:pict>
      </w:r>
      <w:r>
        <w:rPr/>
        <w:pict>
          <v:line style="position:absolute;mso-position-horizontal-relative:page;mso-position-vertical-relative:paragraph;z-index:16260096" from="200.822006pt,4.414836pt" to="205.156006pt,4.414836pt" stroked="true" strokeweight=".5pt" strokecolor="#000000">
            <v:stroke dashstyle="solid"/>
            <w10:wrap type="none"/>
          </v:line>
        </w:pict>
      </w:r>
      <w:r>
        <w:rPr>
          <w:sz w:val="12"/>
        </w:rPr>
        <w:t>3.5</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6255488" from="43.723999pt,4.645245pt" to="48.056999pt,4.645245pt" stroked="true" strokeweight=".5pt" strokecolor="#000000">
            <v:stroke dashstyle="solid"/>
            <w10:wrap type="none"/>
          </v:line>
        </w:pict>
      </w:r>
      <w:r>
        <w:rPr/>
        <w:pict>
          <v:line style="position:absolute;mso-position-horizontal-relative:page;mso-position-vertical-relative:paragraph;z-index:16260608" from="200.822006pt,4.428245pt" to="205.156006pt,4.428245pt" stroked="true" strokeweight=".5pt" strokecolor="#000000">
            <v:stroke dashstyle="solid"/>
            <w10:wrap type="none"/>
          </v:line>
        </w:pict>
      </w:r>
      <w:r>
        <w:rPr>
          <w:sz w:val="12"/>
        </w:rPr>
        <w:t>3.0</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6256000" from="43.723999pt,4.657654pt" to="48.056999pt,4.657654pt" stroked="true" strokeweight=".5pt" strokecolor="#000000">
            <v:stroke dashstyle="solid"/>
            <w10:wrap type="none"/>
          </v:line>
        </w:pict>
      </w:r>
      <w:r>
        <w:rPr/>
        <w:pict>
          <v:line style="position:absolute;mso-position-horizontal-relative:page;mso-position-vertical-relative:paragraph;z-index:16261120" from="200.822006pt,4.440654pt" to="205.156006pt,4.440654pt" stroked="true" strokeweight=".5pt" strokecolor="#000000">
            <v:stroke dashstyle="solid"/>
            <w10:wrap type="none"/>
          </v:line>
        </w:pict>
      </w:r>
      <w:r>
        <w:rPr>
          <w:sz w:val="12"/>
        </w:rPr>
        <w:t>2.5</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6256512" from="43.723999pt,4.671048pt" to="48.056999pt,4.671048pt" stroked="true" strokeweight=".5pt" strokecolor="#000000">
            <v:stroke dashstyle="solid"/>
            <w10:wrap type="none"/>
          </v:line>
        </w:pict>
      </w:r>
      <w:r>
        <w:rPr/>
        <w:pict>
          <v:line style="position:absolute;mso-position-horizontal-relative:page;mso-position-vertical-relative:paragraph;z-index:16261632" from="200.822006pt,4.454048pt" to="205.156006pt,4.454048pt" stroked="true" strokeweight=".5pt" strokecolor="#000000">
            <v:stroke dashstyle="solid"/>
            <w10:wrap type="none"/>
          </v:line>
        </w:pict>
      </w:r>
      <w:r>
        <w:rPr>
          <w:sz w:val="12"/>
        </w:rPr>
        <w:t>2.0</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6257024" from="43.723999pt,4.683456pt" to="48.056999pt,4.683456pt" stroked="true" strokeweight=".5pt" strokecolor="#000000">
            <v:stroke dashstyle="solid"/>
            <w10:wrap type="none"/>
          </v:line>
        </w:pict>
      </w:r>
      <w:r>
        <w:rPr/>
        <w:pict>
          <v:line style="position:absolute;mso-position-horizontal-relative:page;mso-position-vertical-relative:paragraph;z-index:16262144" from="200.822006pt,4.466456pt" to="205.156006pt,4.466456pt" stroked="true" strokeweight=".5pt" strokecolor="#000000">
            <v:stroke dashstyle="solid"/>
            <w10:wrap type="none"/>
          </v:line>
        </w:pict>
      </w:r>
      <w:r>
        <w:rPr>
          <w:sz w:val="12"/>
        </w:rPr>
        <w:t>1.5</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6257536" from="43.723999pt,4.696850pt" to="48.056999pt,4.696850pt" stroked="true" strokeweight=".5pt" strokecolor="#000000">
            <v:stroke dashstyle="solid"/>
            <w10:wrap type="none"/>
          </v:line>
        </w:pict>
      </w:r>
      <w:r>
        <w:rPr/>
        <w:pict>
          <v:line style="position:absolute;mso-position-horizontal-relative:page;mso-position-vertical-relative:paragraph;z-index:16262656" from="200.822006pt,4.47985pt" to="205.156006pt,4.47985pt" stroked="true" strokeweight=".5pt" strokecolor="#000000">
            <v:stroke dashstyle="solid"/>
            <w10:wrap type="none"/>
          </v:line>
        </w:pict>
      </w:r>
      <w:r>
        <w:rPr>
          <w:sz w:val="12"/>
        </w:rPr>
        <w:t>1.0</w:t>
      </w:r>
    </w:p>
    <w:p>
      <w:pPr>
        <w:pStyle w:val="BodyText"/>
        <w:spacing w:before="1"/>
        <w:rPr>
          <w:sz w:val="13"/>
        </w:rPr>
      </w:pPr>
    </w:p>
    <w:p>
      <w:pPr>
        <w:spacing w:line="128" w:lineRule="exact" w:before="0"/>
        <w:ind w:left="3536" w:right="0" w:firstLine="0"/>
        <w:jc w:val="left"/>
        <w:rPr>
          <w:sz w:val="12"/>
        </w:rPr>
      </w:pPr>
      <w:r>
        <w:rPr/>
        <w:pict>
          <v:line style="position:absolute;mso-position-horizontal-relative:page;mso-position-vertical-relative:paragraph;z-index:16258560" from="43.723999pt,4.708054pt" to="48.056999pt,4.708054pt" stroked="true" strokeweight=".5pt" strokecolor="#000000">
            <v:stroke dashstyle="solid"/>
            <w10:wrap type="none"/>
          </v:line>
        </w:pict>
      </w:r>
      <w:r>
        <w:rPr/>
        <w:pict>
          <v:line style="position:absolute;mso-position-horizontal-relative:page;mso-position-vertical-relative:paragraph;z-index:16263168" from="200.822006pt,4.491054pt" to="205.156006pt,4.491054pt" stroked="true" strokeweight=".5pt" strokecolor="#000000">
            <v:stroke dashstyle="solid"/>
            <w10:wrap type="none"/>
          </v:line>
        </w:pict>
      </w:r>
      <w:r>
        <w:rPr>
          <w:sz w:val="12"/>
        </w:rPr>
        <w:t>0.5</w:t>
      </w:r>
    </w:p>
    <w:p>
      <w:pPr>
        <w:spacing w:line="167" w:lineRule="exact" w:before="0"/>
        <w:ind w:left="3462" w:right="0" w:firstLine="0"/>
        <w:jc w:val="left"/>
        <w:rPr>
          <w:sz w:val="16"/>
        </w:rPr>
      </w:pPr>
      <w:r>
        <w:rPr>
          <w:sz w:val="16"/>
        </w:rPr>
        <w:t>+</w:t>
      </w:r>
    </w:p>
    <w:p>
      <w:pPr>
        <w:spacing w:line="168" w:lineRule="auto" w:before="11"/>
        <w:ind w:left="3471" w:right="0" w:firstLine="0"/>
        <w:jc w:val="left"/>
        <w:rPr>
          <w:sz w:val="12"/>
        </w:rPr>
      </w:pPr>
      <w:r>
        <w:rPr/>
        <w:pict>
          <v:line style="position:absolute;mso-position-horizontal-relative:page;mso-position-vertical-relative:paragraph;z-index:16251904" from="200.822006pt,4.163822pt" to="205.156006pt,4.163822pt" stroked="true" strokeweight=".5pt" strokecolor="#000000">
            <v:stroke dashstyle="solid"/>
            <w10:wrap type="none"/>
          </v:line>
        </w:pict>
      </w:r>
      <w:r>
        <w:rPr/>
        <w:pict>
          <v:line style="position:absolute;mso-position-horizontal-relative:page;mso-position-vertical-relative:paragraph;z-index:16258048" from="43.723999pt,4.380822pt" to="48.056999pt,4.380822pt" stroked="true" strokeweight=".5pt" strokecolor="#000000">
            <v:stroke dashstyle="solid"/>
            <w10:wrap type="none"/>
          </v:line>
        </w:pict>
      </w:r>
      <w:r>
        <w:rPr/>
        <w:pict>
          <v:line style="position:absolute;mso-position-horizontal-relative:page;mso-position-vertical-relative:paragraph;z-index:16263680" from="200.822006pt,18.817822pt" to="205.156006pt,18.817822pt" stroked="true" strokeweight=".5pt" strokecolor="#000000">
            <v:stroke dashstyle="solid"/>
            <w10:wrap type="none"/>
          </v:line>
        </w:pict>
      </w:r>
      <w:r>
        <w:rPr>
          <w:spacing w:val="-4"/>
          <w:position w:val="-8"/>
          <w:sz w:val="16"/>
        </w:rPr>
        <w:t>_</w:t>
      </w:r>
      <w:r>
        <w:rPr>
          <w:spacing w:val="-4"/>
          <w:sz w:val="12"/>
        </w:rPr>
        <w:t>0.0</w:t>
      </w:r>
    </w:p>
    <w:p>
      <w:pPr>
        <w:pStyle w:val="BodyText"/>
        <w:spacing w:before="8"/>
        <w:rPr>
          <w:sz w:val="24"/>
        </w:rPr>
      </w:pPr>
      <w:r>
        <w:rPr/>
        <w:br w:type="column"/>
      </w:r>
      <w:r>
        <w:rPr>
          <w:sz w:val="24"/>
        </w:rPr>
      </w:r>
    </w:p>
    <w:p>
      <w:pPr>
        <w:spacing w:line="242" w:lineRule="auto" w:before="0"/>
        <w:ind w:left="175" w:right="154" w:firstLine="0"/>
        <w:jc w:val="left"/>
        <w:rPr>
          <w:sz w:val="24"/>
        </w:rPr>
      </w:pPr>
      <w:r>
        <w:rPr>
          <w:sz w:val="24"/>
        </w:rPr>
        <w:t>Retail services price inflation fell from 4.2% in March to 3.5% in June.  That decline mainly reflected cuts in utility prices, following implementation of the latest price control </w:t>
      </w:r>
      <w:r>
        <w:rPr>
          <w:spacing w:val="-3"/>
          <w:sz w:val="24"/>
        </w:rPr>
        <w:t>reviews </w:t>
      </w:r>
      <w:r>
        <w:rPr>
          <w:sz w:val="24"/>
        </w:rPr>
        <w:t>in April. Retail goods price inflation rose to 0.7% in June from its recent </w:t>
      </w:r>
      <w:r>
        <w:rPr>
          <w:spacing w:val="-3"/>
          <w:sz w:val="24"/>
        </w:rPr>
        <w:t>low </w:t>
      </w:r>
      <w:r>
        <w:rPr>
          <w:sz w:val="24"/>
        </w:rPr>
        <w:t>point</w:t>
      </w:r>
      <w:r>
        <w:rPr>
          <w:spacing w:val="-39"/>
          <w:sz w:val="24"/>
        </w:rPr>
        <w:t> </w:t>
      </w:r>
      <w:r>
        <w:rPr>
          <w:sz w:val="24"/>
        </w:rPr>
        <w:t>of</w:t>
      </w:r>
    </w:p>
    <w:p>
      <w:pPr>
        <w:spacing w:line="242" w:lineRule="auto" w:before="6"/>
        <w:ind w:left="175" w:right="227" w:firstLine="0"/>
        <w:jc w:val="left"/>
        <w:rPr>
          <w:sz w:val="24"/>
        </w:rPr>
      </w:pPr>
      <w:r>
        <w:rPr>
          <w:sz w:val="24"/>
        </w:rPr>
        <w:t>-0.2% in March. That rise largely reflected an increase in petrol prices:  petrol price inflation contributed around</w:t>
      </w:r>
      <w:r>
        <w:rPr>
          <w:spacing w:val="-6"/>
          <w:sz w:val="24"/>
        </w:rPr>
        <w:t> </w:t>
      </w:r>
      <w:r>
        <w:rPr>
          <w:sz w:val="24"/>
        </w:rPr>
        <w:t>0.7</w:t>
      </w:r>
      <w:r>
        <w:rPr>
          <w:spacing w:val="-6"/>
          <w:sz w:val="24"/>
        </w:rPr>
        <w:t> </w:t>
      </w:r>
      <w:r>
        <w:rPr>
          <w:sz w:val="24"/>
        </w:rPr>
        <w:t>percentage</w:t>
      </w:r>
      <w:r>
        <w:rPr>
          <w:spacing w:val="-5"/>
          <w:sz w:val="24"/>
        </w:rPr>
        <w:t> </w:t>
      </w:r>
      <w:r>
        <w:rPr>
          <w:sz w:val="24"/>
        </w:rPr>
        <w:t>points</w:t>
      </w:r>
      <w:r>
        <w:rPr>
          <w:spacing w:val="-6"/>
          <w:sz w:val="24"/>
        </w:rPr>
        <w:t> </w:t>
      </w:r>
      <w:r>
        <w:rPr>
          <w:sz w:val="24"/>
        </w:rPr>
        <w:t>to</w:t>
      </w:r>
      <w:r>
        <w:rPr>
          <w:spacing w:val="-5"/>
          <w:sz w:val="24"/>
        </w:rPr>
        <w:t> </w:t>
      </w:r>
      <w:r>
        <w:rPr>
          <w:sz w:val="24"/>
        </w:rPr>
        <w:t>annual</w:t>
      </w:r>
      <w:r>
        <w:rPr>
          <w:spacing w:val="-6"/>
          <w:sz w:val="24"/>
        </w:rPr>
        <w:t> </w:t>
      </w:r>
      <w:r>
        <w:rPr>
          <w:sz w:val="24"/>
        </w:rPr>
        <w:t>RPIX</w:t>
      </w:r>
      <w:r>
        <w:rPr>
          <w:spacing w:val="-5"/>
          <w:sz w:val="24"/>
        </w:rPr>
        <w:t> </w:t>
      </w:r>
      <w:r>
        <w:rPr>
          <w:sz w:val="24"/>
        </w:rPr>
        <w:t>inflation</w:t>
      </w:r>
      <w:r>
        <w:rPr>
          <w:spacing w:val="-6"/>
          <w:sz w:val="24"/>
        </w:rPr>
        <w:t> </w:t>
      </w:r>
      <w:r>
        <w:rPr>
          <w:sz w:val="24"/>
        </w:rPr>
        <w:t>in June. Used cars, which comprise around 6% of the RPIX basket, continue to make the largest </w:t>
      </w:r>
      <w:r>
        <w:rPr>
          <w:spacing w:val="-3"/>
          <w:sz w:val="24"/>
        </w:rPr>
        <w:t>negative </w:t>
      </w:r>
      <w:r>
        <w:rPr>
          <w:sz w:val="24"/>
        </w:rPr>
        <w:t>contribution to annual RPIX inflation (-0.3 percentage points in June), although used car prices were higher in June than in March. The annual rate of decline in seasonal food prices has fallen since</w:t>
      </w:r>
      <w:r>
        <w:rPr>
          <w:spacing w:val="-13"/>
          <w:sz w:val="24"/>
        </w:rPr>
        <w:t> </w:t>
      </w:r>
      <w:r>
        <w:rPr>
          <w:spacing w:val="-3"/>
          <w:sz w:val="24"/>
        </w:rPr>
        <w:t>February.</w:t>
      </w:r>
    </w:p>
    <w:p>
      <w:pPr>
        <w:spacing w:after="0" w:line="242" w:lineRule="auto"/>
        <w:jc w:val="left"/>
        <w:rPr>
          <w:sz w:val="24"/>
        </w:rPr>
        <w:sectPr>
          <w:type w:val="continuous"/>
          <w:pgSz w:w="11900" w:h="16840"/>
          <w:pgMar w:top="1260" w:bottom="280" w:left="640" w:right="640"/>
          <w:cols w:num="2" w:equalWidth="0">
            <w:col w:w="3727" w:space="1058"/>
            <w:col w:w="5835"/>
          </w:cols>
        </w:sectPr>
      </w:pPr>
    </w:p>
    <w:p>
      <w:pPr>
        <w:pStyle w:val="BodyText"/>
        <w:spacing w:before="9"/>
        <w:rPr>
          <w:sz w:val="9"/>
        </w:rPr>
      </w:pPr>
    </w:p>
    <w:p>
      <w:pPr>
        <w:spacing w:line="77" w:lineRule="exact"/>
        <w:ind w:left="229" w:right="0" w:firstLine="0"/>
        <w:rPr>
          <w:sz w:val="7"/>
        </w:rPr>
      </w:pPr>
      <w:r>
        <w:rPr>
          <w:position w:val="-1"/>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position w:val="-1"/>
          <w:sz w:val="2"/>
        </w:rPr>
      </w:r>
      <w:r>
        <w:rPr>
          <w:spacing w:val="33"/>
          <w:position w:val="-1"/>
          <w:sz w:val="7"/>
        </w:rPr>
        <w:t> </w:t>
      </w:r>
      <w:r>
        <w:rPr>
          <w:spacing w:val="33"/>
          <w:position w:val="-1"/>
          <w:sz w:val="7"/>
        </w:rPr>
        <w:pict>
          <v:group style="width:144.4pt;height:3.65pt;mso-position-horizontal-relative:char;mso-position-vertical-relative:line" coordorigin="0,0" coordsize="2888,73">
            <v:shape style="position:absolute;left:5;top:0;width:2883;height:68" coordorigin="5,0" coordsize="2883,68" path="m8,67l2888,67m5,0l5,67m539,0l539,67m1072,0l1072,67m1606,0l1606,67m2140,0l2140,67m2673,0l2673,67e" filled="false" stroked="true" strokeweight=".5pt" strokecolor="#000000">
              <v:path arrowok="t"/>
              <v:stroke dashstyle="solid"/>
            </v:shape>
          </v:group>
        </w:pict>
      </w:r>
      <w:r>
        <w:rPr>
          <w:spacing w:val="33"/>
          <w:position w:val="-1"/>
          <w:sz w:val="7"/>
        </w:rPr>
      </w:r>
    </w:p>
    <w:p>
      <w:pPr>
        <w:tabs>
          <w:tab w:pos="1154" w:val="left" w:leader="none"/>
          <w:tab w:pos="1679" w:val="left" w:leader="none"/>
          <w:tab w:pos="2214" w:val="left" w:leader="none"/>
          <w:tab w:pos="2752" w:val="left" w:leader="none"/>
          <w:tab w:pos="3127" w:val="left" w:leader="none"/>
        </w:tabs>
        <w:spacing w:before="42"/>
        <w:ind w:left="547" w:right="0" w:firstLine="0"/>
        <w:jc w:val="left"/>
        <w:rPr>
          <w:sz w:val="12"/>
        </w:rPr>
      </w:pPr>
      <w:r>
        <w:rPr>
          <w:sz w:val="12"/>
        </w:rPr>
        <w:t>1995</w:t>
        <w:tab/>
        <w:t>96</w:t>
        <w:tab/>
        <w:t>97</w:t>
        <w:tab/>
        <w:t>98</w:t>
        <w:tab/>
        <w:t>99</w:t>
        <w:tab/>
      </w:r>
      <w:r>
        <w:rPr>
          <w:spacing w:val="-5"/>
          <w:sz w:val="12"/>
        </w:rPr>
        <w:t>2000</w:t>
      </w:r>
    </w:p>
    <w:p>
      <w:pPr>
        <w:spacing w:before="90"/>
        <w:ind w:left="129" w:right="0" w:firstLine="0"/>
        <w:jc w:val="left"/>
        <w:rPr>
          <w:sz w:val="12"/>
        </w:rPr>
      </w:pPr>
      <w:r>
        <w:rPr/>
        <w:br w:type="column"/>
      </w:r>
      <w:r>
        <w:rPr>
          <w:sz w:val="12"/>
        </w:rPr>
        <w:t>0.5</w:t>
      </w:r>
    </w:p>
    <w:p>
      <w:pPr>
        <w:spacing w:line="242" w:lineRule="auto" w:before="92"/>
        <w:ind w:left="547" w:right="81" w:firstLine="0"/>
        <w:jc w:val="left"/>
        <w:rPr>
          <w:sz w:val="24"/>
        </w:rPr>
      </w:pPr>
      <w:r>
        <w:rPr/>
        <w:br w:type="column"/>
      </w:r>
      <w:r>
        <w:rPr>
          <w:sz w:val="24"/>
        </w:rPr>
        <w:t>There is evidence from contacts of the Bank’s regional Agents that an intensification of competitive pressure is putting unusual downward pressure on retail prices in some sectors. Moreover, the CBI distributive trades survey shows that the balance of retailers (mainly goods</w:t>
      </w:r>
    </w:p>
    <w:p>
      <w:pPr>
        <w:pStyle w:val="BodyText"/>
        <w:spacing w:before="3"/>
        <w:rPr>
          <w:sz w:val="13"/>
        </w:rPr>
      </w:pPr>
      <w:r>
        <w:rPr/>
        <w:pict>
          <v:shape style="position:absolute;margin-left:279.279999pt;margin-top:9.69579pt;width:276.75pt;height:.1pt;mso-position-horizontal-relative:page;mso-position-vertical-relative:paragraph;z-index:-15213568;mso-wrap-distance-left:0;mso-wrap-distance-right:0" coordorigin="5586,194" coordsize="5535,0" path="m5586,194l11120,194e" filled="false" stroked="true" strokeweight=".125pt" strokecolor="#000000">
            <v:path arrowok="t"/>
            <v:stroke dashstyle="solid"/>
            <w10:wrap type="topAndBottom"/>
          </v:shape>
        </w:pict>
      </w:r>
    </w:p>
    <w:p>
      <w:pPr>
        <w:pStyle w:val="ListParagraph"/>
        <w:numPr>
          <w:ilvl w:val="2"/>
          <w:numId w:val="35"/>
        </w:numPr>
        <w:tabs>
          <w:tab w:pos="798" w:val="left" w:leader="none"/>
        </w:tabs>
        <w:spacing w:line="208" w:lineRule="auto" w:before="1" w:after="0"/>
        <w:ind w:left="797" w:right="1012" w:hanging="240"/>
        <w:jc w:val="left"/>
        <w:rPr>
          <w:sz w:val="16"/>
        </w:rPr>
      </w:pPr>
      <w:r>
        <w:rPr>
          <w:sz w:val="16"/>
        </w:rPr>
        <w:t>For more information, see ‘Corporate services prices: publication of prototype index’, </w:t>
      </w:r>
      <w:r>
        <w:rPr>
          <w:i/>
          <w:sz w:val="16"/>
        </w:rPr>
        <w:t>Economic </w:t>
      </w:r>
      <w:r>
        <w:rPr>
          <w:i/>
          <w:spacing w:val="-3"/>
          <w:sz w:val="16"/>
        </w:rPr>
        <w:t>Trends</w:t>
      </w:r>
      <w:r>
        <w:rPr>
          <w:spacing w:val="-3"/>
          <w:sz w:val="16"/>
        </w:rPr>
        <w:t>, </w:t>
      </w:r>
      <w:r>
        <w:rPr>
          <w:sz w:val="16"/>
        </w:rPr>
        <w:t>July 2000,</w:t>
      </w:r>
      <w:r>
        <w:rPr>
          <w:spacing w:val="-5"/>
          <w:sz w:val="16"/>
        </w:rPr>
        <w:t> </w:t>
      </w:r>
      <w:r>
        <w:rPr>
          <w:sz w:val="16"/>
        </w:rPr>
        <w:t>ONS.</w:t>
      </w:r>
    </w:p>
    <w:p>
      <w:pPr>
        <w:spacing w:after="0" w:line="208" w:lineRule="auto"/>
        <w:jc w:val="left"/>
        <w:rPr>
          <w:sz w:val="16"/>
        </w:rPr>
        <w:sectPr>
          <w:type w:val="continuous"/>
          <w:pgSz w:w="11900" w:h="16840"/>
          <w:pgMar w:top="1260" w:bottom="280" w:left="640" w:right="640"/>
          <w:cols w:num="3" w:equalWidth="0">
            <w:col w:w="3368" w:space="40"/>
            <w:col w:w="320" w:space="685"/>
            <w:col w:w="6207"/>
          </w:cols>
        </w:sectPr>
      </w:pPr>
    </w:p>
    <w:p>
      <w:pPr>
        <w:pStyle w:val="BodyText"/>
        <w:rPr>
          <w:sz w:val="20"/>
        </w:rPr>
      </w:pPr>
    </w:p>
    <w:p>
      <w:pPr>
        <w:pStyle w:val="BodyText"/>
        <w:spacing w:before="5"/>
        <w:rPr>
          <w:sz w:val="21"/>
        </w:rPr>
      </w:pPr>
    </w:p>
    <w:p>
      <w:pPr>
        <w:spacing w:before="1"/>
        <w:ind w:left="1975" w:right="1982" w:firstLine="0"/>
        <w:jc w:val="center"/>
        <w:rPr>
          <w:b/>
          <w:sz w:val="24"/>
        </w:rPr>
      </w:pPr>
      <w:r>
        <w:rPr/>
        <w:pict>
          <v:group style="position:absolute;margin-left:40.270pt;margin-top:-22.634876pt;width:515pt;height:421.5pt;mso-position-horizontal-relative:page;mso-position-vertical-relative:paragraph;z-index:-23033344" coordorigin="805,-453" coordsize="10300,8430">
            <v:shape style="position:absolute;left:815;top:-443;width:10281;height:8410" coordorigin="815,-443" coordsize="10281,8410" path="m11095,-443l5968,-443,5943,-443,815,-443,815,3754,815,3770,815,7967,5943,7967,5968,7967,11095,7967,11095,-443xe" filled="true" fillcolor="#d7e8e7" stroked="false">
              <v:path arrowok="t"/>
              <v:fill type="solid"/>
            </v:shape>
            <v:shape style="position:absolute;left:904;top:-372;width:10102;height:8268" coordorigin="904,-372" coordsize="10102,8268" path="m5955,-372l904,3762,5955,7896,11006,3762,5955,-372xe" filled="true" fillcolor="#d9e8e7" stroked="false">
              <v:path arrowok="t"/>
              <v:fill type="solid"/>
            </v:shape>
            <v:shape style="position:absolute;left:1003;top:-291;width:9904;height:8106" coordorigin="1004,-291" coordsize="9904,8106" path="m5955,-291l1004,3762,5955,7815,10907,3762,5955,-291xe" filled="true" fillcolor="#dae9e8" stroked="false">
              <v:path arrowok="t"/>
              <v:fill type="solid"/>
            </v:shape>
            <v:shape style="position:absolute;left:1102;top:-210;width:9706;height:7944" coordorigin="1103,-210" coordsize="9706,7944" path="m5955,-210l1103,3762,5955,7734,10808,3762,5955,-210xe" filled="true" fillcolor="#daeae8" stroked="false">
              <v:path arrowok="t"/>
              <v:fill type="solid"/>
            </v:shape>
            <v:shape style="position:absolute;left:1201;top:-129;width:9508;height:7782" coordorigin="1202,-129" coordsize="9508,7782" path="m5955,-129l1202,3762,5955,7653,10709,3762,5955,-129xe" filled="true" fillcolor="#dbeae8" stroked="false">
              <v:path arrowok="t"/>
              <v:fill type="solid"/>
            </v:shape>
            <v:shape style="position:absolute;left:1300;top:-48;width:9310;height:7620" coordorigin="1301,-47" coordsize="9310,7620" path="m5955,-47l1301,3762,5955,7572,10610,3762,5955,-47xe" filled="true" fillcolor="#dcebe9" stroked="false">
              <v:path arrowok="t"/>
              <v:fill type="solid"/>
            </v:shape>
            <v:shape style="position:absolute;left:1399;top:33;width:9112;height:7457" coordorigin="1400,34" coordsize="9112,7457" path="m5955,34l1400,3762,5955,7491,10511,3762,5955,34xe" filled="true" fillcolor="#ddebe9" stroked="false">
              <v:path arrowok="t"/>
              <v:fill type="solid"/>
            </v:shape>
            <v:shape style="position:absolute;left:1498;top:114;width:8914;height:7295" coordorigin="1499,115" coordsize="8914,7295" path="m5955,115l1499,3762,5955,7409,10412,3762,5955,115xe" filled="true" fillcolor="#ddebea" stroked="false">
              <v:path arrowok="t"/>
              <v:fill type="solid"/>
            </v:shape>
            <v:shape style="position:absolute;left:1597;top:195;width:8716;height:7133" coordorigin="1598,196" coordsize="8716,7133" path="m5955,196l1598,3762,5955,7328,10313,3762,5955,196xe" filled="true" fillcolor="#dfebea" stroked="false">
              <v:path arrowok="t"/>
              <v:fill type="solid"/>
            </v:shape>
            <v:shape style="position:absolute;left:1696;top:276;width:8518;height:6971" coordorigin="1697,277" coordsize="8518,6971" path="m10214,3762l5955,277,1697,3762,5955,7247,10214,3762xe" filled="true" fillcolor="#dfeceb" stroked="false">
              <v:path arrowok="t"/>
              <v:fill type="solid"/>
            </v:shape>
            <v:shape style="position:absolute;left:1894;top:438;width:8122;height:6647" coordorigin="1895,439" coordsize="8122,6647" path="m5955,439l1895,3762,5955,7085,10016,3762,5955,439xe" filled="true" fillcolor="#e0eceb" stroked="false">
              <v:path arrowok="t"/>
              <v:fill type="solid"/>
            </v:shape>
            <v:shape style="position:absolute;left:1993;top:519;width:7923;height:6485" coordorigin="1994,520" coordsize="7923,6485" path="m5955,520l1994,3762,5955,7004,9917,3762,5955,520xe" filled="true" fillcolor="#e0edeb" stroked="false">
              <v:path arrowok="t"/>
              <v:fill type="solid"/>
            </v:shape>
            <v:shape style="position:absolute;left:2092;top:600;width:7725;height:6323" coordorigin="2093,601" coordsize="7725,6323" path="m5955,601l2093,3762,5955,6923,9818,3762,5955,601xe" filled="true" fillcolor="#e1edeb" stroked="false">
              <v:path arrowok="t"/>
              <v:fill type="solid"/>
            </v:shape>
            <v:shape style="position:absolute;left:2191;top:682;width:7527;height:6161" coordorigin="2192,682" coordsize="7527,6161" path="m5955,682l2192,3762,5955,6842,9719,3762,5955,682xe" filled="true" fillcolor="#e2edec" stroked="false">
              <v:path arrowok="t"/>
              <v:fill type="solid"/>
            </v:shape>
            <v:shape style="position:absolute;left:2290;top:763;width:7329;height:5998" coordorigin="2291,763" coordsize="7329,5998" path="m5955,763l2291,3762,5955,6761,9620,3762,5955,763xe" filled="true" fillcolor="#e3eeec" stroked="false">
              <v:path arrowok="t"/>
              <v:fill type="solid"/>
            </v:shape>
            <v:shape style="position:absolute;left:2390;top:844;width:7131;height:5836" coordorigin="2390,844" coordsize="7131,5836" path="m5955,844l2390,3762,5955,6680,9521,3762,5955,844xe" filled="true" fillcolor="#e4efed" stroked="false">
              <v:path arrowok="t"/>
              <v:fill type="solid"/>
            </v:shape>
            <v:shape style="position:absolute;left:2489;top:925;width:6933;height:5674" coordorigin="2489,925" coordsize="6933,5674" path="m5955,925l2489,3762,5955,6599,9422,3762,5955,925xe" filled="true" fillcolor="#e6efed" stroked="false">
              <v:path arrowok="t"/>
              <v:fill type="solid"/>
            </v:shape>
            <v:shape style="position:absolute;left:2588;top:1006;width:6735;height:5512" coordorigin="2588,1006" coordsize="6735,5512" path="m5955,1006l2588,3762,5955,6518,9323,3762,5955,1006xe" filled="true" fillcolor="#e6efee" stroked="false">
              <v:path arrowok="t"/>
              <v:fill type="solid"/>
            </v:shape>
            <v:shape style="position:absolute;left:2687;top:1087;width:6537;height:5350" coordorigin="2687,1087" coordsize="6537,5350" path="m5955,1087l2687,3762,5955,6437,9224,3762,5955,1087xe" filled="true" fillcolor="#e7f0ee" stroked="false">
              <v:path arrowok="t"/>
              <v:fill type="solid"/>
            </v:shape>
            <v:shape style="position:absolute;left:2786;top:1168;width:6339;height:5188" coordorigin="2786,1168" coordsize="6339,5188" path="m9125,3762l5955,1168,2786,3762,5955,6356,9125,3762xe" filled="true" fillcolor="#e8f0ee" stroked="false">
              <v:path arrowok="t"/>
              <v:fill type="solid"/>
            </v:shape>
            <v:shape style="position:absolute;left:2984;top:1330;width:5943;height:4864" coordorigin="2984,1330" coordsize="5943,4864" path="m5955,1330l2984,3762,5955,6194,8927,3762,5955,1330xe" filled="true" fillcolor="#eaf1f0" stroked="false">
              <v:path arrowok="t"/>
              <v:fill type="solid"/>
            </v:shape>
            <v:shape style="position:absolute;left:3083;top:1411;width:5745;height:4702" coordorigin="3083,1411" coordsize="5745,4702" path="m8827,3762l5955,1411,3083,3762,5955,6113,8827,3762xe" filled="true" fillcolor="#ebf3f0" stroked="false">
              <v:path arrowok="t"/>
              <v:fill type="solid"/>
            </v:shape>
            <v:shape style="position:absolute;left:3281;top:1573;width:5349;height:4377" coordorigin="3281,1574" coordsize="5349,4377" path="m5955,1574l3281,3762,5955,5950,8629,3762,5955,1574xe" filled="true" fillcolor="#ebf4f1" stroked="false">
              <v:path arrowok="t"/>
              <v:fill type="solid"/>
            </v:shape>
            <v:shape style="position:absolute;left:3380;top:1654;width:5150;height:4215" coordorigin="3380,1655" coordsize="5150,4215" path="m5955,1655l3380,3762,5955,5869,8530,3762,5955,1655xe" filled="true" fillcolor="#ecf4f1" stroked="false">
              <v:path arrowok="t"/>
              <v:fill type="solid"/>
            </v:shape>
            <v:shape style="position:absolute;left:3479;top:1735;width:4952;height:4053" coordorigin="3479,1736" coordsize="4952,4053" path="m5955,1736l3479,3762,5955,5788,8431,3762,5955,1736xe" filled="true" fillcolor="#ecf4f3" stroked="false">
              <v:path arrowok="t"/>
              <v:fill type="solid"/>
            </v:shape>
            <v:shape style="position:absolute;left:3578;top:1816;width:4754;height:3891" coordorigin="3578,1817" coordsize="4754,3891" path="m5955,1817l3578,3762,5955,5707,8332,3762,5955,1817xe" filled="true" fillcolor="#edf5f3" stroked="false">
              <v:path arrowok="t"/>
              <v:fill type="solid"/>
            </v:shape>
            <v:shape style="position:absolute;left:3677;top:1897;width:4556;height:3729" coordorigin="3678,1898" coordsize="4556,3729" path="m5955,1898l3678,3762,5955,5626,8233,3762,5955,1898xe" filled="true" fillcolor="#eef5f4" stroked="false">
              <v:path arrowok="t"/>
              <v:fill type="solid"/>
            </v:shape>
            <v:shape style="position:absolute;left:3776;top:1978;width:4358;height:3567" coordorigin="3777,1979" coordsize="4358,3567" path="m5955,1979l3777,3762,5955,5545,8134,3762,5955,1979xe" filled="true" fillcolor="#eff6f4" stroked="false">
              <v:path arrowok="t"/>
              <v:fill type="solid"/>
            </v:shape>
            <v:shape style="position:absolute;left:3875;top:2059;width:4160;height:3405" coordorigin="3876,2060" coordsize="4160,3405" path="m5955,2060l3876,3762,5955,5464,8035,3762,5955,2060xe" filled="true" fillcolor="#eff6f5" stroked="false">
              <v:path arrowok="t"/>
              <v:fill type="solid"/>
            </v:shape>
            <v:shape style="position:absolute;left:3974;top:2140;width:3962;height:3243" coordorigin="3975,2141" coordsize="3962,3243" path="m5955,2141l3975,3762,5955,5383,7936,3762,5955,2141xe" filled="true" fillcolor="#f0f7f6" stroked="false">
              <v:path arrowok="t"/>
              <v:fill type="solid"/>
            </v:shape>
            <v:shape style="position:absolute;left:4073;top:2222;width:3764;height:3081" coordorigin="4074,2222" coordsize="3764,3081" path="m7837,3762l5955,2222,4074,3762,5955,5302,7837,3762xe" filled="true" fillcolor="#f1f7f6" stroked="false">
              <v:path arrowok="t"/>
              <v:fill type="solid"/>
            </v:shape>
            <v:shape style="position:absolute;left:4271;top:2384;width:3368;height:2756" coordorigin="4272,2384" coordsize="3368,2756" path="m5955,2384l4272,3762,5955,5140,7639,3762,5955,2384xe" filled="true" fillcolor="#f4f8f7" stroked="false">
              <v:path arrowok="t"/>
              <v:fill type="solid"/>
            </v:shape>
            <v:shape style="position:absolute;left:4370;top:2465;width:3170;height:2594" coordorigin="4371,2465" coordsize="3170,2594" path="m5955,2465l4371,3762,5955,5059,7540,3762,5955,2465xe" filled="true" fillcolor="#f4f8f8" stroked="false">
              <v:path arrowok="t"/>
              <v:fill type="solid"/>
            </v:shape>
            <v:shape style="position:absolute;left:4469;top:2546;width:2972;height:2432" coordorigin="4470,2546" coordsize="2972,2432" path="m5955,2546l4470,3762,5955,4978,7441,3762,5955,2546xe" filled="true" fillcolor="#f5f8f8" stroked="false">
              <v:path arrowok="t"/>
              <v:fill type="solid"/>
            </v:shape>
            <v:shape style="position:absolute;left:4568;top:2627;width:2774;height:2270" coordorigin="4569,2627" coordsize="2774,2270" path="m7342,3762l5955,2627,4569,3762,5955,4897,7342,3762xe" filled="true" fillcolor="#f6f8f8" stroked="false">
              <v:path arrowok="t"/>
              <v:fill type="solid"/>
            </v:shape>
            <v:shape style="position:absolute;left:4766;top:2789;width:2377;height:1946" coordorigin="4767,2789" coordsize="2377,1946" path="m5955,2789l4767,3762,5955,4735,7144,3762,5955,2789xe" filled="true" fillcolor="#f7f9f8" stroked="false">
              <v:path arrowok="t"/>
              <v:fill type="solid"/>
            </v:shape>
            <v:shape style="position:absolute;left:4865;top:2870;width:2179;height:1784" coordorigin="4866,2870" coordsize="2179,1784" path="m5955,2870l4866,3762,5955,4654,7045,3762,5955,2870xe" filled="true" fillcolor="#f8f9f8" stroked="false">
              <v:path arrowok="t"/>
              <v:fill type="solid"/>
            </v:shape>
            <v:shape style="position:absolute;left:4965;top:2951;width:1981;height:1622" coordorigin="4965,2952" coordsize="1981,1622" path="m5955,2952l4965,3762,5955,4573,6946,3762,5955,2952xe" filled="true" fillcolor="#f8fafa" stroked="false">
              <v:path arrowok="t"/>
              <v:fill type="solid"/>
            </v:shape>
            <v:shape style="position:absolute;left:5064;top:3032;width:1783;height:1459" coordorigin="5064,3033" coordsize="1783,1459" path="m5955,3033l5064,3762,5955,4492,6847,3762,5955,3033xe" filled="true" fillcolor="#f8fbfa" stroked="false">
              <v:path arrowok="t"/>
              <v:fill type="solid"/>
            </v:shape>
            <v:shape style="position:absolute;left:5163;top:3113;width:1585;height:1297" coordorigin="5163,3114" coordsize="1585,1297" path="m5955,3114l5163,3762,5955,4410,6748,3762,5955,3114xe" filled="true" fillcolor="#f9fbfa" stroked="false">
              <v:path arrowok="t"/>
              <v:fill type="solid"/>
            </v:shape>
            <v:shape style="position:absolute;left:5262;top:3194;width:1387;height:1135" coordorigin="5262,3195" coordsize="1387,1135" path="m5955,3195l5262,3762,5955,4329,6649,3762,5955,3195xe" filled="true" fillcolor="#fafbfb" stroked="false">
              <v:path arrowok="t"/>
              <v:fill type="solid"/>
            </v:shape>
            <v:shape style="position:absolute;left:5361;top:3275;width:1189;height:973" coordorigin="5361,3276" coordsize="1189,973" path="m5955,3276l5361,3762,5955,4248,6550,3762,5955,3276xe" filled="true" fillcolor="#fafcfb" stroked="false">
              <v:path arrowok="t"/>
              <v:fill type="solid"/>
            </v:shape>
            <v:shape style="position:absolute;left:5460;top:3356;width:991;height:811" coordorigin="5460,3357" coordsize="991,811" path="m5955,3357l5460,3762,5955,4167,6451,3762,5955,3357xe" filled="true" fillcolor="#fbfcfc" stroked="false">
              <v:path arrowok="t"/>
              <v:fill type="solid"/>
            </v:shape>
            <v:shape style="position:absolute;left:5559;top:3437;width:793;height:649" coordorigin="5559,3438" coordsize="793,649" path="m5955,3438l5559,3762,5955,4086,6352,3762,5955,3438xe" filled="true" fillcolor="#fcfdfd" stroked="false">
              <v:path arrowok="t"/>
              <v:fill type="solid"/>
            </v:shape>
            <v:shape style="position:absolute;left:5658;top:3518;width:595;height:487" coordorigin="5658,3519" coordsize="595,487" path="m5955,3519l5658,3762,5955,4005,6252,3762,5955,3519xe" filled="true" fillcolor="#fdfdfd" stroked="false">
              <v:path arrowok="t"/>
              <v:fill type="solid"/>
            </v:shape>
            <v:shape style="position:absolute;left:5757;top:3599;width:397;height:325" type="#_x0000_t75" stroked="false">
              <v:imagedata r:id="rId145" o:title=""/>
            </v:shape>
            <v:rect style="position:absolute;left:815;top:-443;width:10280;height:8410" filled="false" stroked="true" strokeweight="1pt" strokecolor="#009391">
              <v:stroke dashstyle="solid"/>
            </v:rect>
            <v:shape style="position:absolute;left:6159;top:757;width:4701;height:4170" coordorigin="6160,757" coordsize="4701,4170" path="m10860,757l6160,757,6160,1477,6160,1477,6160,4927,10860,4927,10860,1507,10860,1507,10860,757xe" filled="true" fillcolor="#ffffff" stroked="false">
              <v:path arrowok="t"/>
              <v:fill type="solid"/>
            </v:shape>
            <v:shape style="position:absolute;left:6387;top:4558;width:3607;height:69" coordorigin="6388,4559" coordsize="3607,69" path="m6390,4559l9995,4559m6388,4560l6388,4627m6645,4560l6645,4627m7161,4560l7161,4627m7676,4560l7676,4627m8191,4560l8191,4627m8707,4560l8707,4627m9222,4560l9222,4627m9479,4560l9479,4627m9737,4560l9737,4627m9995,4560l9995,4627m6903,4560l6903,4627m7418,4560l7418,4627m7934,4560l7934,4627m8449,4560l8449,4627m8964,4560l8964,4627e" filled="false" stroked="true" strokeweight=".5pt" strokecolor="#000000">
              <v:path arrowok="t"/>
              <v:stroke dashstyle="solid"/>
            </v:shape>
            <v:shape style="position:absolute;left:6390;top:2587;width:3605;height:1978" coordorigin="6391,2587" coordsize="3605,1978" path="m9223,4565l9223,4510,8966,4510,8966,4482,8708,4482,8708,4180,8451,4180,8451,3562,8193,3562,8193,2587,7933,2587,7933,2957,7678,2957,7678,3807,7421,3807,7421,4262,7163,4262,7163,4440,6906,4440,6906,4522,6391,4522,6391,4565m9996,4565l9996,4550,9736,4550,9736,4565e" filled="false" stroked="true" strokeweight="1pt" strokecolor="#acbc4a">
              <v:path arrowok="t"/>
              <v:stroke dashstyle="solid"/>
            </v:shape>
            <v:shape style="position:absolute;left:6208;top:1684;width:87;height:2883" coordorigin="6209,1685" coordsize="87,2883" path="m6209,2005l6295,2005m6209,2325l6295,2325m6209,2646l6295,2646m6209,2966l6295,2966m6209,3286l6295,3286m6209,3606l6295,3606m6209,4247l6295,4247m6209,3927l6295,3927m6209,4567l6295,4567m6209,1685l6295,1685e" filled="false" stroked="true" strokeweight=".5pt" strokecolor="#000000">
              <v:path arrowok="t"/>
              <v:stroke dashstyle="solid"/>
            </v:shape>
            <v:shape style="position:absolute;left:6392;top:3054;width:3605;height:1510" coordorigin="6393,3055" coordsize="3605,1510" path="m9998,4565l9998,4495,9738,4495,9738,4550,9483,4550,9483,4455,9225,4455,9225,4317,8968,4317,8968,4000,8710,4000,8710,3327,8453,3327,8453,3055,8193,3055,8193,3355,7935,3355,7935,3535,7680,3535,7680,4317,7423,4317,7423,4482,7165,4482,7165,4550,6653,4550,6653,4510,6393,4510,6393,4565e" filled="false" stroked="true" strokeweight="1pt" strokecolor="#be869b">
              <v:path arrowok="t"/>
              <v:stroke dashstyle="solid"/>
            </v:shape>
            <v:shape style="position:absolute;left:10073;top:1685;width:87;height:2883" coordorigin="10074,1686" coordsize="87,2883" path="m10074,2006l10160,2006m10074,2326l10160,2326m10074,2647l10160,2647m10074,2967l10160,2967m10074,3287l10160,3287m10074,3607l10160,3607m10074,4248l10160,4248m10074,3928l10160,3928m10074,4568l10160,4568m10074,1686l10160,1686e" filled="false" stroked="true" strokeweight=".5pt" strokecolor="#000000">
              <v:path arrowok="t"/>
              <v:stroke dashstyle="solid"/>
            </v:shape>
            <v:rect style="position:absolute;left:6170;top:4897;width:4690;height:480" filled="true" fillcolor="#ffffff" stroked="false">
              <v:fill type="solid"/>
            </v:rect>
            <v:line style="position:absolute" from="6150,5377" to="10860,5377" stroked="true" strokeweight=".125pt" strokecolor="#000000">
              <v:stroke dashstyle="solid"/>
            </v:line>
            <w10:wrap type="none"/>
          </v:group>
        </w:pict>
      </w:r>
      <w:bookmarkStart w:name="The distribution of price changes" w:id="64"/>
      <w:bookmarkEnd w:id="64"/>
      <w:r>
        <w:rPr/>
      </w:r>
      <w:bookmarkStart w:name="_bookmark25" w:id="65"/>
      <w:bookmarkEnd w:id="65"/>
      <w:r>
        <w:rPr/>
      </w:r>
      <w:r>
        <w:rPr>
          <w:b/>
          <w:color w:val="009391"/>
          <w:sz w:val="24"/>
        </w:rPr>
        <w:t>The distribution of price changes</w:t>
      </w:r>
    </w:p>
    <w:p>
      <w:pPr>
        <w:pStyle w:val="BodyText"/>
        <w:rPr>
          <w:b/>
          <w:sz w:val="20"/>
        </w:rPr>
      </w:pPr>
    </w:p>
    <w:p>
      <w:pPr>
        <w:spacing w:after="0"/>
        <w:rPr>
          <w:sz w:val="20"/>
        </w:rPr>
        <w:sectPr>
          <w:headerReference w:type="even" r:id="rId141"/>
          <w:headerReference w:type="default" r:id="rId142"/>
          <w:footerReference w:type="even" r:id="rId143"/>
          <w:footerReference w:type="default" r:id="rId144"/>
          <w:pgSz w:w="11900" w:h="16840"/>
          <w:pgMar w:header="586" w:footer="592" w:top="780" w:bottom="780" w:left="640" w:right="640"/>
          <w:pgNumType w:start="36"/>
        </w:sectPr>
      </w:pPr>
    </w:p>
    <w:p>
      <w:pPr>
        <w:pStyle w:val="BodyText"/>
        <w:spacing w:before="4"/>
        <w:rPr>
          <w:b/>
          <w:sz w:val="19"/>
        </w:rPr>
      </w:pPr>
    </w:p>
    <w:p>
      <w:pPr>
        <w:pStyle w:val="Heading7"/>
        <w:spacing w:line="249" w:lineRule="auto"/>
        <w:ind w:right="19"/>
      </w:pPr>
      <w:r>
        <w:rPr/>
        <w:t>Some information about the distribution of price changes of the components of the RPIX basket is conveyed by summary measures such as the ‘trimmed mean’, which is discussed on </w:t>
      </w:r>
      <w:hyperlink w:history="true" w:anchor="_bookmark27">
        <w:r>
          <w:rPr>
            <w:color w:val="FF0000"/>
          </w:rPr>
          <w:t>page 37 </w:t>
        </w:r>
      </w:hyperlink>
      <w:r>
        <w:rPr/>
        <w:t>of this </w:t>
      </w:r>
      <w:r>
        <w:rPr>
          <w:i/>
        </w:rPr>
        <w:t>Report</w:t>
      </w:r>
      <w:r>
        <w:rPr/>
        <w:t>. This box presents additional information on the distribution of inflation rates, and how this has changed over time. This can provide useful information on relative price movements and price flexibility.</w:t>
      </w:r>
    </w:p>
    <w:p>
      <w:pPr>
        <w:pStyle w:val="BodyText"/>
        <w:spacing w:before="4"/>
        <w:rPr>
          <w:sz w:val="19"/>
        </w:rPr>
      </w:pPr>
      <w:r>
        <w:rPr/>
        <w:br w:type="column"/>
      </w:r>
      <w:r>
        <w:rPr>
          <w:sz w:val="19"/>
        </w:rPr>
      </w:r>
    </w:p>
    <w:p>
      <w:pPr>
        <w:pStyle w:val="Heading6"/>
        <w:spacing w:before="0"/>
        <w:ind w:left="405"/>
      </w:pPr>
      <w:r>
        <w:rPr>
          <w:color w:val="0092C7"/>
        </w:rPr>
        <w:t>Chart A</w:t>
      </w:r>
    </w:p>
    <w:p>
      <w:pPr>
        <w:pStyle w:val="Heading6"/>
        <w:spacing w:line="249" w:lineRule="auto"/>
        <w:ind w:left="405" w:right="628"/>
        <w:rPr>
          <w:b w:val="0"/>
          <w:sz w:val="12"/>
        </w:rPr>
      </w:pPr>
      <w:r>
        <w:rPr>
          <w:color w:val="0092C7"/>
        </w:rPr>
        <w:t>Distribution of weighted annual price changes within RPIX</w:t>
      </w:r>
      <w:r>
        <w:rPr>
          <w:b w:val="0"/>
          <w:position w:val="4"/>
          <w:sz w:val="12"/>
        </w:rPr>
        <w:t>(a)</w:t>
      </w:r>
    </w:p>
    <w:p>
      <w:pPr>
        <w:spacing w:line="116" w:lineRule="exact" w:before="53"/>
        <w:ind w:left="3996" w:right="0" w:firstLine="0"/>
        <w:jc w:val="left"/>
        <w:rPr>
          <w:sz w:val="12"/>
        </w:rPr>
      </w:pPr>
      <w:r>
        <w:rPr>
          <w:sz w:val="12"/>
        </w:rPr>
        <w:t>Per cent</w:t>
      </w:r>
    </w:p>
    <w:p>
      <w:pPr>
        <w:spacing w:line="116" w:lineRule="exact" w:before="0"/>
        <w:ind w:left="4446" w:right="0" w:firstLine="0"/>
        <w:jc w:val="left"/>
        <w:rPr>
          <w:sz w:val="12"/>
        </w:rPr>
      </w:pPr>
      <w:r>
        <w:rPr>
          <w:sz w:val="12"/>
        </w:rPr>
        <w:t>45</w:t>
      </w:r>
    </w:p>
    <w:p>
      <w:pPr>
        <w:pStyle w:val="BodyText"/>
        <w:spacing w:before="10"/>
        <w:rPr>
          <w:sz w:val="15"/>
        </w:rPr>
      </w:pPr>
    </w:p>
    <w:p>
      <w:pPr>
        <w:spacing w:before="0"/>
        <w:ind w:left="4446" w:right="0" w:firstLine="0"/>
        <w:jc w:val="left"/>
        <w:rPr>
          <w:sz w:val="12"/>
        </w:rPr>
      </w:pPr>
      <w:r>
        <w:rPr>
          <w:sz w:val="12"/>
        </w:rPr>
        <w:t>40</w:t>
      </w:r>
    </w:p>
    <w:p>
      <w:pPr>
        <w:pStyle w:val="BodyText"/>
        <w:spacing w:before="10"/>
        <w:rPr>
          <w:sz w:val="15"/>
        </w:rPr>
      </w:pPr>
    </w:p>
    <w:p>
      <w:pPr>
        <w:spacing w:before="0"/>
        <w:ind w:left="4446" w:right="0" w:firstLine="0"/>
        <w:jc w:val="left"/>
        <w:rPr>
          <w:sz w:val="12"/>
        </w:rPr>
      </w:pPr>
      <w:r>
        <w:rPr>
          <w:sz w:val="12"/>
        </w:rPr>
        <w:t>35</w:t>
      </w:r>
    </w:p>
    <w:p>
      <w:pPr>
        <w:pStyle w:val="BodyText"/>
        <w:rPr>
          <w:sz w:val="16"/>
        </w:rPr>
      </w:pPr>
    </w:p>
    <w:p>
      <w:pPr>
        <w:tabs>
          <w:tab w:pos="4446" w:val="left" w:leader="none"/>
        </w:tabs>
        <w:spacing w:before="0"/>
        <w:ind w:left="2455" w:right="0" w:firstLine="0"/>
        <w:jc w:val="left"/>
        <w:rPr>
          <w:sz w:val="12"/>
        </w:rPr>
      </w:pPr>
      <w:r>
        <w:rPr>
          <w:sz w:val="12"/>
        </w:rPr>
        <w:t>1993–99</w:t>
        <w:tab/>
      </w:r>
      <w:r>
        <w:rPr>
          <w:position w:val="4"/>
          <w:sz w:val="12"/>
        </w:rPr>
        <w:t>30</w:t>
      </w:r>
    </w:p>
    <w:p>
      <w:pPr>
        <w:spacing w:after="0"/>
        <w:jc w:val="left"/>
        <w:rPr>
          <w:sz w:val="12"/>
        </w:rPr>
        <w:sectPr>
          <w:type w:val="continuous"/>
          <w:pgSz w:w="11900" w:h="16840"/>
          <w:pgMar w:top="1260" w:bottom="280" w:left="640" w:right="640"/>
          <w:cols w:num="2" w:equalWidth="0">
            <w:col w:w="5027" w:space="107"/>
            <w:col w:w="5486"/>
          </w:cols>
        </w:sectPr>
      </w:pPr>
    </w:p>
    <w:p>
      <w:pPr>
        <w:pStyle w:val="BodyText"/>
        <w:spacing w:before="7"/>
      </w:pPr>
    </w:p>
    <w:p>
      <w:pPr>
        <w:pStyle w:val="Heading7"/>
        <w:spacing w:line="249" w:lineRule="auto" w:before="1"/>
        <w:ind w:right="20"/>
      </w:pPr>
      <w:r>
        <w:rPr/>
        <w:t>Chart A presents the distribution of annual inflation rates of the 85 components of RPIX, weighted by their share in expenditure, averaged over different time periods. The height of a curve indicates the percentage of the distribution that is contained within each inflation band (shown in 2.5 percentage point ranges). For example the ‘1993–99’ curve peaks at 31% for the 2.5%–5% inflation range. This means that between 1993 and 1999, on</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1"/>
        </w:rPr>
      </w:pPr>
    </w:p>
    <w:p>
      <w:pPr>
        <w:spacing w:before="0"/>
        <w:ind w:left="405" w:right="0" w:firstLine="0"/>
        <w:jc w:val="left"/>
        <w:rPr>
          <w:sz w:val="12"/>
        </w:rPr>
      </w:pPr>
      <w:r>
        <w:rPr>
          <w:sz w:val="12"/>
        </w:rPr>
        <w:t>12.5 10.0 7.5</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1"/>
        </w:rPr>
      </w:pPr>
    </w:p>
    <w:p>
      <w:pPr>
        <w:spacing w:before="0"/>
        <w:ind w:left="68" w:right="0" w:firstLine="0"/>
        <w:jc w:val="left"/>
        <w:rPr>
          <w:sz w:val="12"/>
        </w:rPr>
      </w:pPr>
      <w:r>
        <w:rPr>
          <w:sz w:val="12"/>
        </w:rPr>
        <w:t>5.0</w:t>
      </w:r>
    </w:p>
    <w:p>
      <w:pPr>
        <w:pStyle w:val="BodyText"/>
      </w:pPr>
      <w:r>
        <w:rPr/>
        <w:br w:type="column"/>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154" w:lineRule="exact" w:before="143"/>
        <w:ind w:left="264" w:right="0" w:firstLine="0"/>
        <w:jc w:val="left"/>
        <w:rPr>
          <w:sz w:val="16"/>
        </w:rPr>
      </w:pPr>
      <w:r>
        <w:rPr>
          <w:sz w:val="16"/>
        </w:rPr>
        <w:t>–</w:t>
      </w:r>
    </w:p>
    <w:p>
      <w:pPr>
        <w:spacing w:line="108" w:lineRule="exact" w:before="0"/>
        <w:ind w:left="68" w:right="0" w:firstLine="0"/>
        <w:jc w:val="left"/>
        <w:rPr>
          <w:sz w:val="12"/>
        </w:rPr>
      </w:pPr>
      <w:r>
        <w:rPr>
          <w:sz w:val="12"/>
        </w:rPr>
        <w:t>2.5 0</w:t>
      </w:r>
    </w:p>
    <w:p>
      <w:pPr>
        <w:pStyle w:val="BodyText"/>
        <w:rPr>
          <w:sz w:val="24"/>
        </w:rPr>
      </w:pPr>
      <w:r>
        <w:rPr/>
        <w:br w:type="column"/>
      </w:r>
      <w:r>
        <w:rPr>
          <w:sz w:val="24"/>
        </w:rPr>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spacing w:before="160"/>
        <w:ind w:left="18" w:right="0" w:firstLine="0"/>
        <w:jc w:val="left"/>
        <w:rPr>
          <w:sz w:val="12"/>
        </w:rPr>
      </w:pPr>
      <w:r>
        <w:rPr>
          <w:position w:val="7"/>
          <w:sz w:val="16"/>
        </w:rPr>
        <w:t>+</w:t>
      </w:r>
      <w:r>
        <w:rPr>
          <w:sz w:val="12"/>
        </w:rPr>
        <w:t>2.5</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1"/>
        </w:rPr>
      </w:pPr>
    </w:p>
    <w:p>
      <w:pPr>
        <w:spacing w:before="0"/>
        <w:ind w:left="68" w:right="0" w:firstLine="0"/>
        <w:jc w:val="left"/>
        <w:rPr>
          <w:sz w:val="12"/>
        </w:rPr>
      </w:pPr>
      <w:r>
        <w:rPr>
          <w:sz w:val="12"/>
        </w:rPr>
        <w:t>5.0</w:t>
      </w:r>
    </w:p>
    <w:p>
      <w:pPr>
        <w:pStyle w:val="BodyText"/>
        <w:spacing w:before="2"/>
        <w:rPr>
          <w:sz w:val="12"/>
        </w:rPr>
      </w:pPr>
      <w:r>
        <w:rPr/>
        <w:br w:type="column"/>
      </w:r>
      <w:r>
        <w:rPr>
          <w:sz w:val="12"/>
        </w:rPr>
      </w:r>
    </w:p>
    <w:p>
      <w:pPr>
        <w:spacing w:before="1"/>
        <w:ind w:left="1905" w:right="0" w:firstLine="0"/>
        <w:jc w:val="left"/>
        <w:rPr>
          <w:sz w:val="12"/>
        </w:rPr>
      </w:pPr>
      <w:r>
        <w:rPr>
          <w:sz w:val="12"/>
        </w:rPr>
        <w:t>25</w:t>
      </w:r>
    </w:p>
    <w:p>
      <w:pPr>
        <w:pStyle w:val="BodyText"/>
        <w:spacing w:before="9"/>
        <w:rPr>
          <w:sz w:val="15"/>
        </w:rPr>
      </w:pPr>
    </w:p>
    <w:p>
      <w:pPr>
        <w:spacing w:before="0"/>
        <w:ind w:left="1905" w:right="0" w:firstLine="0"/>
        <w:jc w:val="left"/>
        <w:rPr>
          <w:sz w:val="12"/>
        </w:rPr>
      </w:pPr>
      <w:r>
        <w:rPr>
          <w:sz w:val="12"/>
        </w:rPr>
        <w:t>20</w:t>
      </w:r>
    </w:p>
    <w:p>
      <w:pPr>
        <w:pStyle w:val="BodyText"/>
        <w:spacing w:before="3"/>
        <w:rPr>
          <w:sz w:val="12"/>
        </w:rPr>
      </w:pPr>
    </w:p>
    <w:p>
      <w:pPr>
        <w:tabs>
          <w:tab w:pos="1905" w:val="left" w:leader="none"/>
        </w:tabs>
        <w:spacing w:before="0"/>
        <w:ind w:left="447" w:right="0" w:firstLine="0"/>
        <w:jc w:val="left"/>
        <w:rPr>
          <w:sz w:val="12"/>
        </w:rPr>
      </w:pPr>
      <w:r>
        <w:rPr>
          <w:sz w:val="12"/>
        </w:rPr>
        <w:t>1988–92</w:t>
        <w:tab/>
      </w:r>
      <w:r>
        <w:rPr>
          <w:position w:val="-3"/>
          <w:sz w:val="12"/>
        </w:rPr>
        <w:t>15</w:t>
      </w:r>
    </w:p>
    <w:p>
      <w:pPr>
        <w:pStyle w:val="BodyText"/>
        <w:rPr>
          <w:sz w:val="16"/>
        </w:rPr>
      </w:pPr>
    </w:p>
    <w:p>
      <w:pPr>
        <w:spacing w:before="0"/>
        <w:ind w:left="1905" w:right="0" w:firstLine="0"/>
        <w:jc w:val="left"/>
        <w:rPr>
          <w:sz w:val="12"/>
        </w:rPr>
      </w:pPr>
      <w:r>
        <w:rPr>
          <w:sz w:val="12"/>
        </w:rPr>
        <w:t>10</w:t>
      </w:r>
    </w:p>
    <w:p>
      <w:pPr>
        <w:pStyle w:val="BodyText"/>
        <w:spacing w:before="10"/>
        <w:rPr>
          <w:sz w:val="15"/>
        </w:rPr>
      </w:pPr>
    </w:p>
    <w:p>
      <w:pPr>
        <w:spacing w:before="0"/>
        <w:ind w:left="1965" w:right="0" w:firstLine="0"/>
        <w:jc w:val="left"/>
        <w:rPr>
          <w:sz w:val="12"/>
        </w:rPr>
      </w:pPr>
      <w:r>
        <w:rPr>
          <w:sz w:val="12"/>
        </w:rPr>
        <w:t>5</w:t>
      </w:r>
    </w:p>
    <w:p>
      <w:pPr>
        <w:pStyle w:val="BodyText"/>
        <w:spacing w:before="9"/>
        <w:rPr>
          <w:sz w:val="15"/>
        </w:rPr>
      </w:pPr>
    </w:p>
    <w:p>
      <w:pPr>
        <w:spacing w:before="1"/>
        <w:ind w:left="1965" w:right="0" w:firstLine="0"/>
        <w:jc w:val="left"/>
        <w:rPr>
          <w:sz w:val="12"/>
        </w:rPr>
      </w:pPr>
      <w:r>
        <w:rPr>
          <w:sz w:val="12"/>
        </w:rPr>
        <w:t>0</w:t>
      </w:r>
    </w:p>
    <w:p>
      <w:pPr>
        <w:spacing w:before="43"/>
        <w:ind w:left="68" w:right="0" w:firstLine="0"/>
        <w:jc w:val="left"/>
        <w:rPr>
          <w:sz w:val="12"/>
        </w:rPr>
      </w:pPr>
      <w:r>
        <w:rPr>
          <w:sz w:val="12"/>
        </w:rPr>
        <w:t>7.5 10.0 12.5 15.0 17.5 20.0 22.5</w:t>
      </w:r>
    </w:p>
    <w:p>
      <w:pPr>
        <w:spacing w:after="0"/>
        <w:jc w:val="left"/>
        <w:rPr>
          <w:sz w:val="12"/>
        </w:rPr>
        <w:sectPr>
          <w:type w:val="continuous"/>
          <w:pgSz w:w="11900" w:h="16840"/>
          <w:pgMar w:top="1260" w:bottom="280" w:left="640" w:right="640"/>
          <w:cols w:num="7" w:equalWidth="0">
            <w:col w:w="5072" w:space="141"/>
            <w:col w:w="1112" w:space="39"/>
            <w:col w:w="219" w:space="39"/>
            <w:col w:w="452" w:space="39"/>
            <w:col w:w="264" w:space="40"/>
            <w:col w:w="219" w:space="39"/>
            <w:col w:w="2945"/>
          </w:cols>
        </w:sectPr>
      </w:pPr>
    </w:p>
    <w:p>
      <w:pPr>
        <w:pStyle w:val="Heading7"/>
        <w:spacing w:line="249" w:lineRule="auto" w:before="6"/>
        <w:ind w:right="13"/>
      </w:pPr>
      <w:r>
        <w:rPr/>
        <w:t>average, 31% of weighted annual inflation rates were within the 2.5%–5% range. As the overall inflation rate has fallen since 1988, the whole distribution has tended to shift to the left over time. And the width of the distribution, which measures the variance of inflation rates, fell between the 1988–92 and 1993–99 periods.</w:t>
      </w:r>
    </w:p>
    <w:p>
      <w:pPr>
        <w:pStyle w:val="Heading7"/>
        <w:spacing w:line="249" w:lineRule="auto" w:before="5"/>
        <w:ind w:right="382"/>
      </w:pPr>
      <w:r>
        <w:rPr/>
        <w:t>A decline in the variance of inflation rates implies a decline in relative price variability. That has coincided with the introduction of inflation targeting and greater macroeconomic stability. Relative price changes are necessary for the efficient allocation of resources. But uncertainty about the general rate of</w:t>
      </w:r>
    </w:p>
    <w:p>
      <w:pPr>
        <w:spacing w:line="208" w:lineRule="auto" w:before="40"/>
        <w:ind w:left="649" w:right="809" w:hanging="240"/>
        <w:jc w:val="left"/>
        <w:rPr>
          <w:sz w:val="12"/>
        </w:rPr>
      </w:pPr>
      <w:r>
        <w:rPr/>
        <w:br w:type="column"/>
      </w:r>
      <w:r>
        <w:rPr>
          <w:sz w:val="12"/>
        </w:rPr>
        <w:t>(a) Share of weighted inflation rates falling within a given range. For a given category the data could lie anywhere in the range.</w:t>
      </w:r>
    </w:p>
    <w:p>
      <w:pPr>
        <w:pStyle w:val="BodyText"/>
        <w:rPr>
          <w:sz w:val="12"/>
        </w:rPr>
      </w:pPr>
    </w:p>
    <w:p>
      <w:pPr>
        <w:pStyle w:val="BodyText"/>
        <w:rPr>
          <w:sz w:val="12"/>
        </w:rPr>
      </w:pPr>
    </w:p>
    <w:p>
      <w:pPr>
        <w:pStyle w:val="BodyText"/>
        <w:spacing w:before="9"/>
        <w:rPr>
          <w:sz w:val="14"/>
        </w:rPr>
      </w:pPr>
    </w:p>
    <w:p>
      <w:pPr>
        <w:pStyle w:val="Heading7"/>
        <w:spacing w:line="249" w:lineRule="auto"/>
      </w:pPr>
      <w:r>
        <w:rPr/>
        <w:t>inflation can lead to price variability that is costly to the economy.</w:t>
      </w:r>
    </w:p>
    <w:p>
      <w:pPr>
        <w:pStyle w:val="BodyText"/>
        <w:rPr>
          <w:sz w:val="21"/>
        </w:rPr>
      </w:pPr>
    </w:p>
    <w:p>
      <w:pPr>
        <w:pStyle w:val="Heading7"/>
        <w:spacing w:line="249" w:lineRule="auto"/>
      </w:pPr>
      <w:r>
        <w:rPr/>
        <w:t>There have been quite distinct changes occurring to the inflation rates of the goods and services components underlying the movements in aggregate inflation.</w:t>
      </w:r>
    </w:p>
    <w:p>
      <w:pPr>
        <w:pStyle w:val="Heading7"/>
        <w:spacing w:line="249" w:lineRule="auto" w:before="3"/>
      </w:pPr>
      <w:r>
        <w:rPr/>
        <w:t>Distributions for goods (around 55% of RPIX in 1999) and services (45% of RPIX) are shown in Charts B and C; both are re-scaled so that the areas under each distribution</w:t>
      </w:r>
    </w:p>
    <w:p>
      <w:pPr>
        <w:spacing w:after="0" w:line="249" w:lineRule="auto"/>
        <w:sectPr>
          <w:type w:val="continuous"/>
          <w:pgSz w:w="11900" w:h="16840"/>
          <w:pgMar w:top="1260" w:bottom="280" w:left="640" w:right="640"/>
          <w:cols w:num="2" w:equalWidth="0">
            <w:col w:w="5082" w:space="58"/>
            <w:col w:w="5480"/>
          </w:cols>
        </w:sectPr>
      </w:pPr>
    </w:p>
    <w:p>
      <w:pPr>
        <w:pStyle w:val="BodyText"/>
        <w:rPr>
          <w:sz w:val="20"/>
        </w:rPr>
      </w:pPr>
    </w:p>
    <w:p>
      <w:pPr>
        <w:pStyle w:val="BodyText"/>
        <w:rPr>
          <w:sz w:val="20"/>
        </w:rPr>
      </w:pPr>
    </w:p>
    <w:p>
      <w:pPr>
        <w:spacing w:after="0"/>
        <w:rPr>
          <w:sz w:val="20"/>
        </w:rPr>
        <w:sectPr>
          <w:type w:val="continuous"/>
          <w:pgSz w:w="11900" w:h="16840"/>
          <w:pgMar w:top="1260" w:bottom="280" w:left="640" w:right="640"/>
        </w:sectPr>
      </w:pPr>
    </w:p>
    <w:p>
      <w:pPr>
        <w:pStyle w:val="BodyText"/>
        <w:spacing w:before="9"/>
        <w:rPr>
          <w:sz w:val="19"/>
        </w:rPr>
      </w:pPr>
    </w:p>
    <w:p>
      <w:pPr>
        <w:pStyle w:val="Heading6"/>
        <w:spacing w:before="0"/>
      </w:pPr>
      <w:r>
        <w:rPr>
          <w:color w:val="0092C7"/>
        </w:rPr>
        <w:t>Chart 4.10</w:t>
      </w:r>
    </w:p>
    <w:p>
      <w:pPr>
        <w:pStyle w:val="Heading6"/>
        <w:rPr>
          <w:b w:val="0"/>
          <w:sz w:val="12"/>
        </w:rPr>
      </w:pPr>
      <w:r>
        <w:rPr>
          <w:color w:val="0092C7"/>
        </w:rPr>
        <w:t>Retailers’ selling price expectations</w:t>
      </w:r>
      <w:r>
        <w:rPr>
          <w:b w:val="0"/>
          <w:position w:val="4"/>
          <w:sz w:val="12"/>
        </w:rPr>
        <w:t>(a)</w:t>
      </w:r>
    </w:p>
    <w:p>
      <w:pPr>
        <w:spacing w:line="120" w:lineRule="exact" w:before="163"/>
        <w:ind w:left="2549" w:right="0" w:firstLine="0"/>
        <w:jc w:val="left"/>
        <w:rPr>
          <w:sz w:val="12"/>
        </w:rPr>
      </w:pPr>
      <w:r>
        <w:rPr>
          <w:sz w:val="12"/>
        </w:rPr>
        <w:t>Percentage balance</w:t>
      </w:r>
    </w:p>
    <w:p>
      <w:pPr>
        <w:spacing w:line="120" w:lineRule="exact" w:before="0"/>
        <w:ind w:left="3513" w:right="0" w:firstLine="0"/>
        <w:jc w:val="left"/>
        <w:rPr>
          <w:sz w:val="12"/>
        </w:rPr>
      </w:pPr>
      <w:r>
        <w:rPr/>
        <w:pict>
          <v:line style="position:absolute;mso-position-horizontal-relative:page;mso-position-vertical-relative:paragraph;z-index:16269312" from="43.181pt,3.707535pt" to="47.514pt,3.707535pt" stroked="true" strokeweight=".5pt" strokecolor="#000000">
            <v:stroke dashstyle="solid"/>
            <w10:wrap type="none"/>
          </v:line>
        </w:pict>
      </w:r>
      <w:r>
        <w:rPr/>
        <w:pict>
          <v:line style="position:absolute;mso-position-horizontal-relative:page;mso-position-vertical-relative:paragraph;z-index:16272384" from="201.268997pt,3.401535pt" to="205.601997pt,3.401535pt" stroked="true" strokeweight=".5pt" strokecolor="#000000">
            <v:stroke dashstyle="solid"/>
            <w10:wrap type="none"/>
          </v:line>
        </w:pict>
      </w:r>
      <w:r>
        <w:rPr>
          <w:sz w:val="12"/>
        </w:rPr>
        <w:t>100</w:t>
      </w:r>
    </w:p>
    <w:p>
      <w:pPr>
        <w:pStyle w:val="BodyText"/>
        <w:rPr>
          <w:sz w:val="12"/>
        </w:rPr>
      </w:pPr>
    </w:p>
    <w:p>
      <w:pPr>
        <w:pStyle w:val="BodyText"/>
        <w:spacing w:before="7"/>
        <w:rPr>
          <w:sz w:val="17"/>
        </w:rPr>
      </w:pPr>
    </w:p>
    <w:p>
      <w:pPr>
        <w:spacing w:before="0"/>
        <w:ind w:left="0" w:right="38" w:firstLine="0"/>
        <w:jc w:val="right"/>
        <w:rPr>
          <w:sz w:val="12"/>
        </w:rPr>
      </w:pPr>
      <w:r>
        <w:rPr/>
        <w:pict>
          <v:group style="position:absolute;margin-left:52.658001pt;margin-top:-5.347443pt;width:144.75pt;height:120.4pt;mso-position-horizontal-relative:page;mso-position-vertical-relative:paragraph;z-index:16265728" coordorigin="1053,-107" coordsize="2895,2408">
            <v:line style="position:absolute" from="1053,2005" to="3937,2005" stroked="true" strokeweight=".5pt" strokecolor="#000000">
              <v:stroke dashstyle="solid"/>
            </v:line>
            <v:shape style="position:absolute;left:1137;top:-107;width:348;height:693" type="#_x0000_t75" stroked="false">
              <v:imagedata r:id="rId146" o:title=""/>
            </v:shape>
            <v:line style="position:absolute" from="1475,-97" to="1525,301" stroked="true" strokeweight="1pt" strokecolor="#00a2a0">
              <v:stroke dashstyle="solid"/>
            </v:line>
            <v:line style="position:absolute" from="1515,302" to="1570,302" stroked="true" strokeweight="1.125pt" strokecolor="#00a2a0">
              <v:stroke dashstyle="solid"/>
            </v:line>
            <v:shape style="position:absolute;left:1560;top:88;width:123;height:290" coordorigin="1560,88" coordsize="123,290" path="m1560,301l1598,378m1598,378l1648,163m1648,163l1683,88e" filled="false" stroked="true" strokeweight="1pt" strokecolor="#00a2a0">
              <v:path arrowok="t"/>
              <v:stroke dashstyle="solid"/>
            </v:shape>
            <v:line style="position:absolute" from="1673,89" to="1743,89" stroked="true" strokeweight="1.125pt" strokecolor="#00a2a0">
              <v:stroke dashstyle="solid"/>
            </v:line>
            <v:shape style="position:absolute;left:1732;top:88;width:413;height:213" coordorigin="1733,88" coordsize="413,213" path="m1733,88l1768,163m1768,163l1818,211m1818,211l1853,286m1853,286l1890,118m1890,118l1940,163m1940,163l1975,88m1975,88l2025,211m2025,211l2060,118m2060,118l2110,301m2110,301l2145,133e" filled="false" stroked="true" strokeweight="1pt" strokecolor="#00a2a0">
              <v:path arrowok="t"/>
              <v:stroke dashstyle="solid"/>
            </v:shape>
            <v:line style="position:absolute" from="2135,134" to="2193,134" stroked="true" strokeweight="1.125pt" strokecolor="#00a2a0">
              <v:stroke dashstyle="solid"/>
            </v:line>
            <v:shape style="position:absolute;left:2182;top:70;width:463;height:735" coordorigin="2183,71" coordsize="463,735" path="m2183,133l2233,88m2233,88l2268,71m2268,71l2318,301m2318,301l2353,163m2353,163l2390,453m2390,453l2438,286m2438,286l2475,331m2475,331l2525,471m2525,471l2560,423m2560,423l2610,623m2610,623l2645,806e" filled="false" stroked="true" strokeweight="1pt" strokecolor="#00a2a0">
              <v:path arrowok="t"/>
              <v:stroke dashstyle="solid"/>
            </v:shape>
            <v:line style="position:absolute" from="2635,807" to="2693,807" stroked="true" strokeweight="1.125pt" strokecolor="#00a2a0">
              <v:stroke dashstyle="solid"/>
            </v:line>
            <v:shape style="position:absolute;left:2682;top:805;width:85;height:275" coordorigin="2683,806" coordsize="85,275" path="m2683,806l2730,1081m2730,1081l2768,883e" filled="false" stroked="true" strokeweight="1pt" strokecolor="#00a2a0">
              <v:path arrowok="t"/>
              <v:stroke dashstyle="solid"/>
            </v:shape>
            <v:line style="position:absolute" from="2793,873" to="2793,1428" stroked="true" strokeweight="3.5pt" strokecolor="#00a2a0">
              <v:stroke dashstyle="solid"/>
            </v:line>
            <v:line style="position:absolute" from="2835,1041" to="2835,1428" stroked="true" strokeweight="2.75pt" strokecolor="#00a2a0">
              <v:stroke dashstyle="solid"/>
            </v:line>
            <v:shape style="position:absolute;left:2852;top:1050;width:170;height:673" coordorigin="2853,1051" coordsize="170,673" path="m2853,1051l2890,1311m2890,1311l2938,1341m2938,1341l2975,1356m2975,1356l3023,1723e" filled="false" stroked="true" strokeweight="1pt" strokecolor="#00a2a0">
              <v:path arrowok="t"/>
              <v:stroke dashstyle="solid"/>
            </v:shape>
            <v:line style="position:absolute" from="3041,1301" to="3041,1733" stroked="true" strokeweight="2.875pt" strokecolor="#00a2a0">
              <v:stroke dashstyle="solid"/>
            </v:line>
            <v:shape style="position:absolute;left:3050;top:780;width:568;height:540" type="#_x0000_t75" stroked="false">
              <v:imagedata r:id="rId147" o:title=""/>
            </v:shape>
            <v:line style="position:absolute" from="3626,948" to="3626,1351" stroked="true" strokeweight="2.875pt" strokecolor="#00a2a0">
              <v:stroke dashstyle="solid"/>
            </v:line>
            <v:shape style="position:absolute;left:3645;top:1173;width:293;height:1118" coordorigin="3645,1173" coordsize="293,1118" path="m3645,1341l3682,1173m3682,1173l3730,1463m3730,1463l3767,1693m3767,1693l3815,1771m3815,1771l3852,2031m3852,2031l3900,2228m3900,2228l3937,2291e" filled="false" stroked="true" strokeweight="1pt" strokecolor="#00a2a0">
              <v:path arrowok="t"/>
              <v:stroke dashstyle="solid"/>
            </v:shape>
            <w10:wrap type="none"/>
          </v:group>
        </w:pict>
      </w:r>
      <w:r>
        <w:rPr/>
        <w:pict>
          <v:line style="position:absolute;mso-position-horizontal-relative:page;mso-position-vertical-relative:paragraph;z-index:16266240" from="43.181pt,4.631557pt" to="47.514pt,4.631557pt" stroked="true" strokeweight=".5pt" strokecolor="#000000">
            <v:stroke dashstyle="solid"/>
            <w10:wrap type="none"/>
          </v:line>
        </w:pict>
      </w:r>
      <w:r>
        <w:rPr/>
        <w:pict>
          <v:line style="position:absolute;mso-position-horizontal-relative:page;mso-position-vertical-relative:paragraph;z-index:16269824" from="201.268997pt,4.325557pt" to="205.601997pt,4.325557pt" stroked="true" strokeweight=".5pt" strokecolor="#000000">
            <v:stroke dashstyle="solid"/>
            <w10:wrap type="none"/>
          </v:line>
        </w:pict>
      </w:r>
      <w:r>
        <w:rPr>
          <w:sz w:val="12"/>
        </w:rPr>
        <w:t>80</w:t>
      </w:r>
    </w:p>
    <w:p>
      <w:pPr>
        <w:pStyle w:val="BodyText"/>
        <w:rPr>
          <w:sz w:val="12"/>
        </w:rPr>
      </w:pPr>
    </w:p>
    <w:p>
      <w:pPr>
        <w:pStyle w:val="BodyText"/>
        <w:spacing w:before="8"/>
        <w:rPr>
          <w:sz w:val="17"/>
        </w:rPr>
      </w:pPr>
    </w:p>
    <w:p>
      <w:pPr>
        <w:spacing w:before="0"/>
        <w:ind w:left="0" w:right="38" w:firstLine="0"/>
        <w:jc w:val="right"/>
        <w:rPr>
          <w:sz w:val="12"/>
        </w:rPr>
      </w:pPr>
      <w:r>
        <w:rPr/>
        <w:pict>
          <v:line style="position:absolute;mso-position-horizontal-relative:page;mso-position-vertical-relative:paragraph;z-index:16266752" from="43.181pt,4.65297pt" to="47.514pt,4.65297pt" stroked="true" strokeweight=".5pt" strokecolor="#000000">
            <v:stroke dashstyle="solid"/>
            <w10:wrap type="none"/>
          </v:line>
        </w:pict>
      </w:r>
      <w:r>
        <w:rPr/>
        <w:pict>
          <v:line style="position:absolute;mso-position-horizontal-relative:page;mso-position-vertical-relative:paragraph;z-index:16270336" from="201.268997pt,4.34697pt" to="205.601997pt,4.34697pt" stroked="true" strokeweight=".5pt" strokecolor="#000000">
            <v:stroke dashstyle="solid"/>
            <w10:wrap type="none"/>
          </v:line>
        </w:pict>
      </w:r>
      <w:r>
        <w:rPr>
          <w:sz w:val="12"/>
        </w:rPr>
        <w:t>60</w:t>
      </w:r>
    </w:p>
    <w:p>
      <w:pPr>
        <w:pStyle w:val="BodyText"/>
        <w:rPr>
          <w:sz w:val="12"/>
        </w:rPr>
      </w:pPr>
    </w:p>
    <w:p>
      <w:pPr>
        <w:pStyle w:val="BodyText"/>
        <w:spacing w:before="8"/>
        <w:rPr>
          <w:sz w:val="17"/>
        </w:rPr>
      </w:pPr>
    </w:p>
    <w:p>
      <w:pPr>
        <w:spacing w:before="0"/>
        <w:ind w:left="0" w:right="38" w:firstLine="0"/>
        <w:jc w:val="right"/>
        <w:rPr>
          <w:sz w:val="12"/>
        </w:rPr>
      </w:pPr>
      <w:r>
        <w:rPr/>
        <w:pict>
          <v:line style="position:absolute;mso-position-horizontal-relative:page;mso-position-vertical-relative:paragraph;z-index:16267264" from="43.181pt,4.673367pt" to="47.514pt,4.673367pt" stroked="true" strokeweight=".5pt" strokecolor="#000000">
            <v:stroke dashstyle="solid"/>
            <w10:wrap type="none"/>
          </v:line>
        </w:pict>
      </w:r>
      <w:r>
        <w:rPr/>
        <w:pict>
          <v:line style="position:absolute;mso-position-horizontal-relative:page;mso-position-vertical-relative:paragraph;z-index:16270848" from="201.268997pt,4.367367pt" to="205.601997pt,4.367367pt" stroked="true" strokeweight=".5pt" strokecolor="#000000">
            <v:stroke dashstyle="solid"/>
            <w10:wrap type="none"/>
          </v:line>
        </w:pict>
      </w:r>
      <w:r>
        <w:rPr>
          <w:sz w:val="12"/>
        </w:rPr>
        <w:t>40</w:t>
      </w:r>
    </w:p>
    <w:p>
      <w:pPr>
        <w:pStyle w:val="BodyText"/>
        <w:rPr>
          <w:sz w:val="12"/>
        </w:rPr>
      </w:pPr>
    </w:p>
    <w:p>
      <w:pPr>
        <w:pStyle w:val="BodyText"/>
        <w:spacing w:before="7"/>
        <w:rPr>
          <w:sz w:val="17"/>
        </w:rPr>
      </w:pPr>
    </w:p>
    <w:p>
      <w:pPr>
        <w:spacing w:before="1"/>
        <w:ind w:left="0" w:right="38" w:firstLine="0"/>
        <w:jc w:val="right"/>
        <w:rPr>
          <w:sz w:val="12"/>
        </w:rPr>
      </w:pPr>
      <w:r>
        <w:rPr/>
        <w:pict>
          <v:line style="position:absolute;mso-position-horizontal-relative:page;mso-position-vertical-relative:paragraph;z-index:16268288" from="43.181pt,4.743764pt" to="47.514pt,4.743764pt" stroked="true" strokeweight=".5pt" strokecolor="#000000">
            <v:stroke dashstyle="solid"/>
            <w10:wrap type="none"/>
          </v:line>
        </w:pict>
      </w:r>
      <w:r>
        <w:rPr/>
        <w:pict>
          <v:line style="position:absolute;mso-position-horizontal-relative:page;mso-position-vertical-relative:paragraph;z-index:16271360" from="201.268997pt,4.437764pt" to="205.601997pt,4.437764pt" stroked="true" strokeweight=".5pt" strokecolor="#000000">
            <v:stroke dashstyle="solid"/>
            <w10:wrap type="none"/>
          </v:line>
        </w:pict>
      </w:r>
      <w:r>
        <w:rPr>
          <w:sz w:val="12"/>
        </w:rPr>
        <w:t>20</w:t>
      </w:r>
    </w:p>
    <w:p>
      <w:pPr>
        <w:pStyle w:val="BodyText"/>
        <w:spacing w:before="4"/>
        <w:rPr>
          <w:sz w:val="13"/>
        </w:rPr>
      </w:pPr>
    </w:p>
    <w:p>
      <w:pPr>
        <w:spacing w:before="0"/>
        <w:ind w:left="3501" w:right="0" w:firstLine="0"/>
        <w:jc w:val="left"/>
        <w:rPr>
          <w:sz w:val="16"/>
        </w:rPr>
      </w:pPr>
      <w:r>
        <w:rPr>
          <w:sz w:val="16"/>
        </w:rPr>
        <w:t>+</w:t>
      </w:r>
    </w:p>
    <w:p>
      <w:pPr>
        <w:spacing w:line="114" w:lineRule="exact" w:before="3"/>
        <w:ind w:left="3633" w:right="0" w:firstLine="0"/>
        <w:jc w:val="left"/>
        <w:rPr>
          <w:sz w:val="12"/>
        </w:rPr>
      </w:pPr>
      <w:r>
        <w:rPr/>
        <w:pict>
          <v:line style="position:absolute;mso-position-horizontal-relative:page;mso-position-vertical-relative:paragraph;z-index:16265216" from="201.268997pt,4.558756pt" to="205.601997pt,4.558756pt" stroked="true" strokeweight=".5pt" strokecolor="#000000">
            <v:stroke dashstyle="solid"/>
            <w10:wrap type="none"/>
          </v:line>
        </w:pict>
      </w:r>
      <w:r>
        <w:rPr/>
        <w:pict>
          <v:line style="position:absolute;mso-position-horizontal-relative:page;mso-position-vertical-relative:paragraph;z-index:16267776" from="43.181pt,4.864756pt" to="47.514pt,4.864756pt" stroked="true" strokeweight=".5pt" strokecolor="#000000">
            <v:stroke dashstyle="solid"/>
            <w10:wrap type="none"/>
          </v:line>
        </w:pict>
      </w:r>
      <w:r>
        <w:rPr>
          <w:sz w:val="12"/>
        </w:rPr>
        <w:t>0</w:t>
      </w:r>
    </w:p>
    <w:p>
      <w:pPr>
        <w:spacing w:line="160" w:lineRule="exact" w:before="0"/>
        <w:ind w:left="3506" w:right="0" w:firstLine="0"/>
        <w:jc w:val="left"/>
        <w:rPr>
          <w:sz w:val="16"/>
        </w:rPr>
      </w:pPr>
      <w:r>
        <w:rPr>
          <w:sz w:val="16"/>
        </w:rPr>
        <w:t>–</w:t>
      </w:r>
    </w:p>
    <w:p>
      <w:pPr>
        <w:pStyle w:val="BodyText"/>
        <w:spacing w:before="11"/>
        <w:rPr>
          <w:sz w:val="17"/>
        </w:rPr>
      </w:pPr>
    </w:p>
    <w:p>
      <w:pPr>
        <w:spacing w:line="136" w:lineRule="exact" w:before="0"/>
        <w:ind w:left="3573" w:right="0" w:firstLine="0"/>
        <w:jc w:val="left"/>
        <w:rPr>
          <w:sz w:val="12"/>
        </w:rPr>
      </w:pPr>
      <w:r>
        <w:rPr/>
        <w:pict>
          <v:line style="position:absolute;mso-position-horizontal-relative:page;mso-position-vertical-relative:paragraph;z-index:16268800" from="43.181pt,4.734558pt" to="47.514pt,4.734558pt" stroked="true" strokeweight=".5pt" strokecolor="#000000">
            <v:stroke dashstyle="solid"/>
            <w10:wrap type="none"/>
          </v:line>
        </w:pict>
      </w:r>
      <w:r>
        <w:rPr/>
        <w:pict>
          <v:shape style="position:absolute;margin-left:52.873001pt;margin-top:.834558pt;width:152.75pt;height:3.6pt;mso-position-horizontal-relative:page;mso-position-vertical-relative:paragraph;z-index:16271872" coordorigin="1057,17" coordsize="3055,72" path="m4025,89l4112,89m1060,84l3963,84m1057,17l1057,84m1392,17l1392,84m1726,17l1726,84m2061,17l2061,84m2395,17l2395,84m2729,17l2729,84m3064,17l3064,84m3733,17l3733,84m3231,17l3231,84m3900,17l3900,84m1225,17l1225,84m1559,17l1559,84m1893,17l1893,84m2228,17l2228,84m2562,17l2562,84m2897,17l2897,84m3398,17l3398,84m3565,17l3565,84e" filled="false" stroked="true" strokeweight=".5pt" strokecolor="#000000">
            <v:path arrowok="t"/>
            <v:stroke dashstyle="solid"/>
            <w10:wrap type="none"/>
          </v:shape>
        </w:pict>
      </w:r>
      <w:r>
        <w:rPr>
          <w:sz w:val="12"/>
        </w:rPr>
        <w:t>20</w:t>
      </w:r>
    </w:p>
    <w:p>
      <w:pPr>
        <w:tabs>
          <w:tab w:pos="1121" w:val="left" w:leader="none"/>
          <w:tab w:pos="1456" w:val="left" w:leader="none"/>
          <w:tab w:pos="1790" w:val="left" w:leader="none"/>
          <w:tab w:pos="2124" w:val="left" w:leader="none"/>
          <w:tab w:pos="2458" w:val="left" w:leader="none"/>
          <w:tab w:pos="2793" w:val="left" w:leader="none"/>
          <w:tab w:pos="3127" w:val="left" w:leader="none"/>
        </w:tabs>
        <w:spacing w:line="136" w:lineRule="exact" w:before="0"/>
        <w:ind w:left="387" w:right="0" w:firstLine="0"/>
        <w:jc w:val="left"/>
        <w:rPr>
          <w:sz w:val="12"/>
        </w:rPr>
      </w:pPr>
      <w:r>
        <w:rPr>
          <w:sz w:val="12"/>
        </w:rPr>
        <w:t>1983    </w:t>
      </w:r>
      <w:r>
        <w:rPr>
          <w:spacing w:val="10"/>
          <w:sz w:val="12"/>
        </w:rPr>
        <w:t> </w:t>
      </w:r>
      <w:r>
        <w:rPr>
          <w:sz w:val="12"/>
        </w:rPr>
        <w:t>85</w:t>
        <w:tab/>
        <w:t>87</w:t>
        <w:tab/>
        <w:t>89</w:t>
        <w:tab/>
        <w:t>91</w:t>
        <w:tab/>
        <w:t>93</w:t>
        <w:tab/>
        <w:t>95</w:t>
        <w:tab/>
        <w:t>97</w:t>
        <w:tab/>
        <w:t>99</w:t>
      </w:r>
    </w:p>
    <w:p>
      <w:pPr>
        <w:pStyle w:val="BodyText"/>
        <w:spacing w:before="4"/>
        <w:rPr>
          <w:sz w:val="15"/>
        </w:rPr>
      </w:pPr>
    </w:p>
    <w:p>
      <w:pPr>
        <w:spacing w:before="0"/>
        <w:ind w:left="180" w:right="0" w:firstLine="0"/>
        <w:jc w:val="left"/>
        <w:rPr>
          <w:sz w:val="12"/>
        </w:rPr>
      </w:pPr>
      <w:r>
        <w:rPr>
          <w:sz w:val="12"/>
        </w:rPr>
        <w:t>Source: CBI.</w:t>
      </w:r>
    </w:p>
    <w:p>
      <w:pPr>
        <w:pStyle w:val="BodyText"/>
        <w:spacing w:before="1"/>
        <w:rPr>
          <w:sz w:val="10"/>
        </w:rPr>
      </w:pPr>
    </w:p>
    <w:p>
      <w:pPr>
        <w:spacing w:line="208" w:lineRule="auto" w:before="1"/>
        <w:ind w:left="420" w:right="0" w:hanging="240"/>
        <w:jc w:val="left"/>
        <w:rPr>
          <w:sz w:val="12"/>
        </w:rPr>
      </w:pPr>
      <w:r>
        <w:rPr>
          <w:sz w:val="12"/>
        </w:rPr>
        <w:t>(a) Balance of retailers expecting to raise prices over the next month minus those expecting to reduce prices.</w:t>
      </w:r>
    </w:p>
    <w:p>
      <w:pPr>
        <w:spacing w:line="242" w:lineRule="auto" w:before="233"/>
        <w:ind w:left="180" w:right="165" w:firstLine="0"/>
        <w:jc w:val="left"/>
        <w:rPr>
          <w:sz w:val="24"/>
        </w:rPr>
      </w:pPr>
      <w:r>
        <w:rPr/>
        <w:br w:type="column"/>
      </w:r>
      <w:r>
        <w:rPr>
          <w:sz w:val="24"/>
        </w:rPr>
        <w:t>retailers) expecting to raise prices fell to -12 in May, the lowest since the survey began in 1983 (see Chart 4.10). Given the rise in manufacturers’ output price inflation and an increase in service sector output prices indicated by the CIPS survey, that suggests downward pressure on retail mark-ups.</w:t>
      </w:r>
    </w:p>
    <w:p>
      <w:pPr>
        <w:pStyle w:val="BodyText"/>
        <w:rPr>
          <w:sz w:val="25"/>
        </w:rPr>
      </w:pPr>
    </w:p>
    <w:p>
      <w:pPr>
        <w:spacing w:line="242" w:lineRule="auto" w:before="0"/>
        <w:ind w:left="180" w:right="108" w:firstLine="0"/>
        <w:jc w:val="left"/>
        <w:rPr>
          <w:sz w:val="24"/>
        </w:rPr>
      </w:pPr>
      <w:r>
        <w:rPr>
          <w:sz w:val="24"/>
        </w:rPr>
        <w:t>Given these developments and evidence that manufacturers’ domestic margins are falling, the MPC has maintained its view that the prospective increase in competitive pressure is likely to be more widespread than has been experienced in the past. The Committee has therefore continued to assume that there will be some overall compression of whole-economy margins over the forecast period, which will put downward pressure on retail prices.</w:t>
      </w:r>
    </w:p>
    <w:p>
      <w:pPr>
        <w:pStyle w:val="BodyText"/>
        <w:spacing w:before="4"/>
        <w:rPr>
          <w:sz w:val="25"/>
        </w:rPr>
      </w:pPr>
    </w:p>
    <w:p>
      <w:pPr>
        <w:spacing w:line="242" w:lineRule="auto" w:before="0"/>
        <w:ind w:left="180" w:right="135" w:firstLine="0"/>
        <w:jc w:val="left"/>
        <w:rPr>
          <w:sz w:val="24"/>
        </w:rPr>
      </w:pPr>
      <w:r>
        <w:rPr>
          <w:sz w:val="24"/>
        </w:rPr>
        <w:t>Chart 4.11 shows that for the economy as a whole, the share of profits in GDP has fallen back from the relatively high </w:t>
      </w:r>
      <w:r>
        <w:rPr>
          <w:spacing w:val="-3"/>
          <w:sz w:val="24"/>
        </w:rPr>
        <w:t>levels </w:t>
      </w:r>
      <w:r>
        <w:rPr>
          <w:sz w:val="24"/>
        </w:rPr>
        <w:t>of the mid-to-late 1990s, although it remains above its 1963–99 average.</w:t>
      </w:r>
    </w:p>
    <w:p>
      <w:pPr>
        <w:spacing w:after="0" w:line="242" w:lineRule="auto"/>
        <w:jc w:val="left"/>
        <w:rPr>
          <w:sz w:val="24"/>
        </w:rPr>
        <w:sectPr>
          <w:type w:val="continuous"/>
          <w:pgSz w:w="11900" w:h="16840"/>
          <w:pgMar w:top="1260" w:bottom="280" w:left="640" w:right="640"/>
          <w:cols w:num="2" w:equalWidth="0">
            <w:col w:w="3734" w:space="1046"/>
            <w:col w:w="584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5"/>
        </w:rPr>
      </w:pPr>
    </w:p>
    <w:tbl>
      <w:tblPr>
        <w:tblW w:w="0" w:type="auto"/>
        <w:jc w:val="left"/>
        <w:tblInd w:w="55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5"/>
        <w:gridCol w:w="902"/>
        <w:gridCol w:w="715"/>
        <w:gridCol w:w="2197"/>
      </w:tblGrid>
      <w:tr>
        <w:trPr>
          <w:trHeight w:val="532" w:hRule="atLeast"/>
        </w:trPr>
        <w:tc>
          <w:tcPr>
            <w:tcW w:w="4679" w:type="dxa"/>
            <w:gridSpan w:val="4"/>
            <w:shd w:val="clear" w:color="auto" w:fill="FFFFFF"/>
          </w:tcPr>
          <w:p>
            <w:pPr>
              <w:pStyle w:val="TableParagraph"/>
              <w:spacing w:line="203" w:lineRule="exact"/>
              <w:ind w:left="19"/>
              <w:rPr>
                <w:b/>
                <w:sz w:val="20"/>
              </w:rPr>
            </w:pPr>
            <w:bookmarkStart w:name="Other price indices" w:id="66"/>
            <w:bookmarkEnd w:id="66"/>
            <w:r>
              <w:rPr/>
            </w:r>
            <w:bookmarkStart w:name="_bookmark26" w:id="67"/>
            <w:bookmarkEnd w:id="67"/>
            <w:r>
              <w:rPr/>
            </w:r>
            <w:bookmarkStart w:name="_bookmark27" w:id="68"/>
            <w:bookmarkEnd w:id="68"/>
            <w:r>
              <w:rPr/>
            </w:r>
            <w:r>
              <w:rPr>
                <w:b/>
                <w:color w:val="0092C7"/>
                <w:sz w:val="20"/>
              </w:rPr>
              <w:t>Price falls as percentage of distribution</w:t>
            </w:r>
          </w:p>
          <w:p>
            <w:pPr>
              <w:pStyle w:val="TableParagraph"/>
              <w:spacing w:line="240" w:lineRule="auto" w:before="106"/>
              <w:ind w:left="19"/>
              <w:rPr>
                <w:sz w:val="14"/>
              </w:rPr>
            </w:pPr>
            <w:r>
              <w:rPr>
                <w:sz w:val="14"/>
              </w:rPr>
              <w:t>Per cent</w:t>
            </w:r>
          </w:p>
        </w:tc>
      </w:tr>
      <w:tr>
        <w:trPr>
          <w:trHeight w:val="280" w:hRule="atLeast"/>
        </w:trPr>
        <w:tc>
          <w:tcPr>
            <w:tcW w:w="865" w:type="dxa"/>
            <w:shd w:val="clear" w:color="auto" w:fill="FFFFFF"/>
          </w:tcPr>
          <w:p>
            <w:pPr>
              <w:pStyle w:val="TableParagraph"/>
              <w:spacing w:line="240" w:lineRule="auto"/>
              <w:rPr>
                <w:sz w:val="18"/>
              </w:rPr>
            </w:pPr>
          </w:p>
        </w:tc>
        <w:tc>
          <w:tcPr>
            <w:tcW w:w="902" w:type="dxa"/>
            <w:shd w:val="clear" w:color="auto" w:fill="FFFFFF"/>
          </w:tcPr>
          <w:p>
            <w:pPr>
              <w:pStyle w:val="TableParagraph"/>
              <w:spacing w:line="240" w:lineRule="auto" w:before="56"/>
              <w:ind w:left="354"/>
              <w:rPr>
                <w:sz w:val="14"/>
              </w:rPr>
            </w:pPr>
            <w:r>
              <w:rPr>
                <w:sz w:val="14"/>
                <w:u w:val="single"/>
              </w:rPr>
              <w:t>Total </w:t>
            </w:r>
          </w:p>
        </w:tc>
        <w:tc>
          <w:tcPr>
            <w:tcW w:w="715" w:type="dxa"/>
            <w:shd w:val="clear" w:color="auto" w:fill="FFFFFF"/>
          </w:tcPr>
          <w:p>
            <w:pPr>
              <w:pStyle w:val="TableParagraph"/>
              <w:spacing w:line="240" w:lineRule="auto" w:before="56"/>
              <w:ind w:left="154" w:right="155"/>
              <w:jc w:val="center"/>
              <w:rPr>
                <w:sz w:val="14"/>
              </w:rPr>
            </w:pPr>
            <w:r>
              <w:rPr>
                <w:sz w:val="14"/>
                <w:u w:val="single"/>
              </w:rPr>
              <w:t>Goods</w:t>
            </w:r>
          </w:p>
        </w:tc>
        <w:tc>
          <w:tcPr>
            <w:tcW w:w="2197" w:type="dxa"/>
            <w:shd w:val="clear" w:color="auto" w:fill="FFFFFF"/>
          </w:tcPr>
          <w:p>
            <w:pPr>
              <w:pStyle w:val="TableParagraph"/>
              <w:spacing w:line="240" w:lineRule="auto" w:before="56"/>
              <w:ind w:left="177"/>
              <w:rPr>
                <w:sz w:val="14"/>
              </w:rPr>
            </w:pPr>
            <w:r>
              <w:rPr>
                <w:sz w:val="14"/>
                <w:u w:val="single"/>
              </w:rPr>
              <w:t>Services </w:t>
            </w:r>
          </w:p>
        </w:tc>
      </w:tr>
      <w:tr>
        <w:trPr>
          <w:trHeight w:val="210" w:hRule="atLeast"/>
        </w:trPr>
        <w:tc>
          <w:tcPr>
            <w:tcW w:w="865" w:type="dxa"/>
            <w:shd w:val="clear" w:color="auto" w:fill="FFFFFF"/>
          </w:tcPr>
          <w:p>
            <w:pPr>
              <w:pStyle w:val="TableParagraph"/>
              <w:spacing w:line="133" w:lineRule="exact" w:before="56"/>
              <w:ind w:left="19"/>
              <w:rPr>
                <w:sz w:val="14"/>
              </w:rPr>
            </w:pPr>
            <w:r>
              <w:rPr>
                <w:sz w:val="14"/>
              </w:rPr>
              <w:t>1988–92</w:t>
            </w:r>
          </w:p>
        </w:tc>
        <w:tc>
          <w:tcPr>
            <w:tcW w:w="902" w:type="dxa"/>
            <w:shd w:val="clear" w:color="auto" w:fill="FFFFFF"/>
          </w:tcPr>
          <w:p>
            <w:pPr>
              <w:pStyle w:val="TableParagraph"/>
              <w:spacing w:line="133" w:lineRule="exact" w:before="56"/>
              <w:ind w:left="454"/>
              <w:rPr>
                <w:sz w:val="14"/>
              </w:rPr>
            </w:pPr>
            <w:r>
              <w:rPr>
                <w:sz w:val="14"/>
              </w:rPr>
              <w:t>6.3</w:t>
            </w:r>
          </w:p>
        </w:tc>
        <w:tc>
          <w:tcPr>
            <w:tcW w:w="715" w:type="dxa"/>
            <w:shd w:val="clear" w:color="auto" w:fill="FFFFFF"/>
          </w:tcPr>
          <w:p>
            <w:pPr>
              <w:pStyle w:val="TableParagraph"/>
              <w:spacing w:line="133" w:lineRule="exact" w:before="56"/>
              <w:ind w:left="154" w:right="69"/>
              <w:jc w:val="center"/>
              <w:rPr>
                <w:sz w:val="14"/>
              </w:rPr>
            </w:pPr>
            <w:r>
              <w:rPr>
                <w:sz w:val="14"/>
              </w:rPr>
              <w:t>9.2</w:t>
            </w:r>
          </w:p>
        </w:tc>
        <w:tc>
          <w:tcPr>
            <w:tcW w:w="2197" w:type="dxa"/>
            <w:shd w:val="clear" w:color="auto" w:fill="FFFFFF"/>
          </w:tcPr>
          <w:p>
            <w:pPr>
              <w:pStyle w:val="TableParagraph"/>
              <w:spacing w:line="133" w:lineRule="exact" w:before="56"/>
              <w:ind w:left="327"/>
              <w:rPr>
                <w:sz w:val="14"/>
              </w:rPr>
            </w:pPr>
            <w:r>
              <w:rPr>
                <w:sz w:val="14"/>
              </w:rPr>
              <w:t>1.1</w:t>
            </w:r>
          </w:p>
        </w:tc>
      </w:tr>
      <w:tr>
        <w:trPr>
          <w:trHeight w:val="140" w:hRule="atLeast"/>
        </w:trPr>
        <w:tc>
          <w:tcPr>
            <w:tcW w:w="865" w:type="dxa"/>
            <w:shd w:val="clear" w:color="auto" w:fill="FFFFFF"/>
          </w:tcPr>
          <w:p>
            <w:pPr>
              <w:pStyle w:val="TableParagraph"/>
              <w:ind w:left="19"/>
              <w:rPr>
                <w:sz w:val="14"/>
              </w:rPr>
            </w:pPr>
            <w:r>
              <w:rPr>
                <w:sz w:val="14"/>
              </w:rPr>
              <w:t>1993–97</w:t>
            </w:r>
          </w:p>
        </w:tc>
        <w:tc>
          <w:tcPr>
            <w:tcW w:w="902" w:type="dxa"/>
            <w:shd w:val="clear" w:color="auto" w:fill="FFFFFF"/>
          </w:tcPr>
          <w:p>
            <w:pPr>
              <w:pStyle w:val="TableParagraph"/>
              <w:ind w:left="384"/>
              <w:rPr>
                <w:sz w:val="14"/>
              </w:rPr>
            </w:pPr>
            <w:r>
              <w:rPr>
                <w:sz w:val="14"/>
              </w:rPr>
              <w:t>17.7</w:t>
            </w:r>
          </w:p>
        </w:tc>
        <w:tc>
          <w:tcPr>
            <w:tcW w:w="715" w:type="dxa"/>
            <w:shd w:val="clear" w:color="auto" w:fill="FFFFFF"/>
          </w:tcPr>
          <w:p>
            <w:pPr>
              <w:pStyle w:val="TableParagraph"/>
              <w:ind w:left="154" w:right="139"/>
              <w:jc w:val="center"/>
              <w:rPr>
                <w:sz w:val="14"/>
              </w:rPr>
            </w:pPr>
            <w:r>
              <w:rPr>
                <w:sz w:val="14"/>
              </w:rPr>
              <w:t>20.2</w:t>
            </w:r>
          </w:p>
        </w:tc>
        <w:tc>
          <w:tcPr>
            <w:tcW w:w="2197" w:type="dxa"/>
            <w:shd w:val="clear" w:color="auto" w:fill="FFFFFF"/>
          </w:tcPr>
          <w:p>
            <w:pPr>
              <w:pStyle w:val="TableParagraph"/>
              <w:ind w:left="257"/>
              <w:rPr>
                <w:sz w:val="14"/>
              </w:rPr>
            </w:pPr>
            <w:r>
              <w:rPr>
                <w:sz w:val="14"/>
              </w:rPr>
              <w:t>15.1</w:t>
            </w:r>
          </w:p>
        </w:tc>
      </w:tr>
      <w:tr>
        <w:trPr>
          <w:trHeight w:val="140" w:hRule="atLeast"/>
        </w:trPr>
        <w:tc>
          <w:tcPr>
            <w:tcW w:w="865" w:type="dxa"/>
            <w:shd w:val="clear" w:color="auto" w:fill="FFFFFF"/>
          </w:tcPr>
          <w:p>
            <w:pPr>
              <w:pStyle w:val="TableParagraph"/>
              <w:ind w:left="19"/>
              <w:rPr>
                <w:sz w:val="14"/>
              </w:rPr>
            </w:pPr>
            <w:r>
              <w:rPr>
                <w:sz w:val="14"/>
              </w:rPr>
              <w:t>1998</w:t>
            </w:r>
          </w:p>
        </w:tc>
        <w:tc>
          <w:tcPr>
            <w:tcW w:w="902" w:type="dxa"/>
            <w:shd w:val="clear" w:color="auto" w:fill="FFFFFF"/>
          </w:tcPr>
          <w:p>
            <w:pPr>
              <w:pStyle w:val="TableParagraph"/>
              <w:ind w:left="384"/>
              <w:rPr>
                <w:sz w:val="14"/>
              </w:rPr>
            </w:pPr>
            <w:r>
              <w:rPr>
                <w:sz w:val="14"/>
              </w:rPr>
              <w:t>20.5</w:t>
            </w:r>
          </w:p>
        </w:tc>
        <w:tc>
          <w:tcPr>
            <w:tcW w:w="715" w:type="dxa"/>
            <w:shd w:val="clear" w:color="auto" w:fill="FFFFFF"/>
          </w:tcPr>
          <w:p>
            <w:pPr>
              <w:pStyle w:val="TableParagraph"/>
              <w:ind w:left="154" w:right="139"/>
              <w:jc w:val="center"/>
              <w:rPr>
                <w:sz w:val="14"/>
              </w:rPr>
            </w:pPr>
            <w:r>
              <w:rPr>
                <w:sz w:val="14"/>
              </w:rPr>
              <w:t>27.2</w:t>
            </w:r>
          </w:p>
        </w:tc>
        <w:tc>
          <w:tcPr>
            <w:tcW w:w="2197" w:type="dxa"/>
            <w:shd w:val="clear" w:color="auto" w:fill="FFFFFF"/>
          </w:tcPr>
          <w:p>
            <w:pPr>
              <w:pStyle w:val="TableParagraph"/>
              <w:ind w:left="257"/>
              <w:rPr>
                <w:sz w:val="14"/>
              </w:rPr>
            </w:pPr>
            <w:r>
              <w:rPr>
                <w:sz w:val="14"/>
              </w:rPr>
              <w:t>13.6</w:t>
            </w:r>
          </w:p>
        </w:tc>
      </w:tr>
      <w:tr>
        <w:trPr>
          <w:trHeight w:val="187" w:hRule="atLeast"/>
        </w:trPr>
        <w:tc>
          <w:tcPr>
            <w:tcW w:w="865" w:type="dxa"/>
            <w:shd w:val="clear" w:color="auto" w:fill="FFFFFF"/>
          </w:tcPr>
          <w:p>
            <w:pPr>
              <w:pStyle w:val="TableParagraph"/>
              <w:spacing w:line="148" w:lineRule="exact"/>
              <w:ind w:left="19"/>
              <w:rPr>
                <w:sz w:val="14"/>
              </w:rPr>
            </w:pPr>
            <w:r>
              <w:rPr>
                <w:sz w:val="14"/>
              </w:rPr>
              <w:t>1999</w:t>
            </w:r>
          </w:p>
        </w:tc>
        <w:tc>
          <w:tcPr>
            <w:tcW w:w="902" w:type="dxa"/>
            <w:shd w:val="clear" w:color="auto" w:fill="FFFFFF"/>
          </w:tcPr>
          <w:p>
            <w:pPr>
              <w:pStyle w:val="TableParagraph"/>
              <w:spacing w:line="148" w:lineRule="exact"/>
              <w:ind w:left="384"/>
              <w:rPr>
                <w:sz w:val="14"/>
              </w:rPr>
            </w:pPr>
            <w:r>
              <w:rPr>
                <w:sz w:val="14"/>
              </w:rPr>
              <w:t>28.6</w:t>
            </w:r>
          </w:p>
        </w:tc>
        <w:tc>
          <w:tcPr>
            <w:tcW w:w="715" w:type="dxa"/>
            <w:shd w:val="clear" w:color="auto" w:fill="FFFFFF"/>
          </w:tcPr>
          <w:p>
            <w:pPr>
              <w:pStyle w:val="TableParagraph"/>
              <w:spacing w:line="148" w:lineRule="exact"/>
              <w:ind w:left="154" w:right="139"/>
              <w:jc w:val="center"/>
              <w:rPr>
                <w:sz w:val="14"/>
              </w:rPr>
            </w:pPr>
            <w:r>
              <w:rPr>
                <w:sz w:val="14"/>
              </w:rPr>
              <w:t>40.9</w:t>
            </w:r>
          </w:p>
        </w:tc>
        <w:tc>
          <w:tcPr>
            <w:tcW w:w="2197" w:type="dxa"/>
            <w:shd w:val="clear" w:color="auto" w:fill="FFFFFF"/>
          </w:tcPr>
          <w:p>
            <w:pPr>
              <w:pStyle w:val="TableParagraph"/>
              <w:spacing w:line="148" w:lineRule="exact"/>
              <w:ind w:left="257"/>
              <w:rPr>
                <w:sz w:val="14"/>
              </w:rPr>
            </w:pPr>
            <w:r>
              <w:rPr>
                <w:sz w:val="14"/>
              </w:rPr>
              <w:t>14.4</w:t>
            </w:r>
          </w:p>
        </w:tc>
      </w:tr>
    </w:tbl>
    <w:p>
      <w:pPr>
        <w:pStyle w:val="BodyText"/>
        <w:rPr>
          <w:sz w:val="20"/>
        </w:rPr>
      </w:pPr>
    </w:p>
    <w:p>
      <w:pPr>
        <w:pStyle w:val="BodyText"/>
        <w:rPr>
          <w:sz w:val="20"/>
        </w:rPr>
      </w:pPr>
    </w:p>
    <w:p>
      <w:pPr>
        <w:spacing w:after="0"/>
        <w:rPr>
          <w:sz w:val="20"/>
        </w:rPr>
        <w:sectPr>
          <w:pgSz w:w="11900" w:h="16840"/>
          <w:pgMar w:header="586" w:footer="612" w:top="780" w:bottom="800" w:left="640" w:right="640"/>
        </w:sectPr>
      </w:pPr>
    </w:p>
    <w:p>
      <w:pPr>
        <w:pStyle w:val="BodyText"/>
        <w:rPr>
          <w:sz w:val="22"/>
        </w:rPr>
      </w:pPr>
    </w:p>
    <w:p>
      <w:pPr>
        <w:pStyle w:val="Heading6"/>
        <w:spacing w:before="0"/>
        <w:ind w:left="200"/>
      </w:pPr>
      <w:r>
        <w:rPr/>
        <w:pict>
          <v:group style="position:absolute;margin-left:39.639999pt;margin-top:-445.654053pt;width:516.75pt;height:420.5pt;mso-position-horizontal-relative:page;mso-position-vertical-relative:paragraph;z-index:-23007232" coordorigin="793,-8913" coordsize="10335,8410">
            <v:shape style="position:absolute;left:802;top:-8904;width:10315;height:8390" coordorigin="803,-8903" coordsize="10315,8390" path="m11117,-8903l5972,-8903,5947,-8903,803,-8903,803,-4716,803,-4700,803,-513,5948,-513,5972,-513,11117,-513,11117,-4700,11117,-4716,11117,-8903xe" filled="true" fillcolor="#d7e8e7" stroked="false">
              <v:path arrowok="t"/>
              <v:fill type="solid"/>
            </v:shape>
            <v:shape style="position:absolute;left:892;top:-8833;width:10136;height:8249" coordorigin="892,-8832" coordsize="10136,8249" path="m5960,-8832l892,-4708,5960,-584,11028,-4708,5960,-8832xe" filled="true" fillcolor="#d9e8e7" stroked="false">
              <v:path arrowok="t"/>
              <v:fill type="solid"/>
            </v:shape>
            <v:shape style="position:absolute;left:991;top:-8752;width:9937;height:8087" coordorigin="991,-8751" coordsize="9937,8087" path="m5960,-8751l991,-4708,5960,-665,10928,-4708,5960,-8751xe" filled="true" fillcolor="#dae9e8" stroked="false">
              <v:path arrowok="t"/>
              <v:fill type="solid"/>
            </v:shape>
            <v:shape style="position:absolute;left:1090;top:-8671;width:9738;height:7925" coordorigin="1091,-8671" coordsize="9738,7925" path="m5960,-8671l1091,-4708,5960,-746,10829,-4708,5960,-8671xe" filled="true" fillcolor="#daeae8" stroked="false">
              <v:path arrowok="t"/>
              <v:fill type="solid"/>
            </v:shape>
            <v:shape style="position:absolute;left:1190;top:-8590;width:9540;height:7764" coordorigin="1190,-8590" coordsize="9540,7764" path="m5960,-8590l1190,-4708,5960,-827,10730,-4708,5960,-8590xe" filled="true" fillcolor="#dbeae8" stroked="false">
              <v:path arrowok="t"/>
              <v:fill type="solid"/>
            </v:shape>
            <v:shape style="position:absolute;left:1289;top:-8509;width:9341;height:7602" coordorigin="1290,-8509" coordsize="9341,7602" path="m5960,-8509l1290,-4708,5960,-907,10630,-4708,5960,-8509xe" filled="true" fillcolor="#dcebe9" stroked="false">
              <v:path arrowok="t"/>
              <v:fill type="solid"/>
            </v:shape>
            <v:shape style="position:absolute;left:1388;top:-8428;width:9142;height:7440" coordorigin="1389,-8428" coordsize="9142,7440" path="m5960,-8428l1389,-4708,5960,-988,10531,-4708,5960,-8428xe" filled="true" fillcolor="#ddebe9" stroked="false">
              <v:path arrowok="t"/>
              <v:fill type="solid"/>
            </v:shape>
            <v:shape style="position:absolute;left:1488;top:-8348;width:8944;height:7278" coordorigin="1488,-8347" coordsize="8944,7278" path="m5960,-8347l1488,-4708,5960,-1069,10431,-4708,5960,-8347xe" filled="true" fillcolor="#ddebea" stroked="false">
              <v:path arrowok="t"/>
              <v:fill type="solid"/>
            </v:shape>
            <v:shape style="position:absolute;left:1587;top:-8267;width:8745;height:7117" coordorigin="1588,-8266" coordsize="8745,7117" path="m5960,-8266l1588,-4708,5960,-1150,10332,-4708,5960,-8266xe" filled="true" fillcolor="#dfebea" stroked="false">
              <v:path arrowok="t"/>
              <v:fill type="solid"/>
            </v:shape>
            <v:shape style="position:absolute;left:1687;top:-8186;width:8546;height:6955" coordorigin="1687,-8185" coordsize="8546,6955" path="m10233,-4708l5960,-8185,1687,-4708,5960,-1231,10233,-4708xe" filled="true" fillcolor="#dfeceb" stroked="false">
              <v:path arrowok="t"/>
              <v:fill type="solid"/>
            </v:shape>
            <v:shape style="position:absolute;left:1885;top:-8024;width:8149;height:6632" coordorigin="1886,-8024" coordsize="8149,6632" path="m5960,-8024l1886,-4708,5960,-1393,10034,-4708,5960,-8024xe" filled="true" fillcolor="#e0eceb" stroked="false">
              <v:path arrowok="t"/>
              <v:fill type="solid"/>
            </v:shape>
            <v:shape style="position:absolute;left:1985;top:-7943;width:7950;height:6470" coordorigin="1985,-7943" coordsize="7950,6470" path="m5960,-7943l1985,-4708,5960,-1473,9935,-4708,5960,-7943xe" filled="true" fillcolor="#e0edeb" stroked="false">
              <v:path arrowok="t"/>
              <v:fill type="solid"/>
            </v:shape>
            <v:shape style="position:absolute;left:2084;top:-7862;width:7751;height:6308" coordorigin="2085,-7862" coordsize="7751,6308" path="m5960,-7862l2085,-4708,5960,-1554,9835,-4708,5960,-7862xe" filled="true" fillcolor="#e1edeb" stroked="false">
              <v:path arrowok="t"/>
              <v:fill type="solid"/>
            </v:shape>
            <v:shape style="position:absolute;left:2183;top:-7782;width:7552;height:6146" coordorigin="2184,-7781" coordsize="7552,6146" path="m5960,-7781l2184,-4708,5960,-1635,9736,-4708,5960,-7781xe" filled="true" fillcolor="#e2edec" stroked="false">
              <v:path arrowok="t"/>
              <v:fill type="solid"/>
            </v:shape>
            <v:shape style="position:absolute;left:2283;top:-7701;width:7354;height:5985" coordorigin="2283,-7700" coordsize="7354,5985" path="m5960,-7700l2283,-4708,5960,-1716,9636,-4708,5960,-7700xe" filled="true" fillcolor="#e3eeec" stroked="false">
              <v:path arrowok="t"/>
              <v:fill type="solid"/>
            </v:shape>
            <v:shape style="position:absolute;left:2382;top:-7620;width:7155;height:5823" coordorigin="2383,-7619" coordsize="7155,5823" path="m5960,-7619l2383,-4708,5960,-1797,9537,-4708,5960,-7619xe" filled="true" fillcolor="#e4efed" stroked="false">
              <v:path arrowok="t"/>
              <v:fill type="solid"/>
            </v:shape>
            <v:shape style="position:absolute;left:2482;top:-7539;width:6956;height:5661" coordorigin="2482,-7538" coordsize="6956,5661" path="m5960,-7538l2482,-4708,5960,-1878,9438,-4708,5960,-7538xe" filled="true" fillcolor="#e6efed" stroked="false">
              <v:path arrowok="t"/>
              <v:fill type="solid"/>
            </v:shape>
            <v:shape style="position:absolute;left:2581;top:-7458;width:6757;height:5499" coordorigin="2581,-7458" coordsize="6757,5499" path="m5960,-7458l2581,-4708,5960,-1959,9338,-4708,5960,-7458xe" filled="true" fillcolor="#e6efee" stroked="false">
              <v:path arrowok="t"/>
              <v:fill type="solid"/>
            </v:shape>
            <v:shape style="position:absolute;left:2680;top:-7377;width:6559;height:5338" coordorigin="2681,-7377" coordsize="6559,5338" path="m5960,-7377l2681,-4708,5960,-2040,9239,-4708,5960,-7377xe" filled="true" fillcolor="#e7f0ee" stroked="false">
              <v:path arrowok="t"/>
              <v:fill type="solid"/>
            </v:shape>
            <v:shape style="position:absolute;left:2780;top:-7296;width:6360;height:5176" coordorigin="2780,-7296" coordsize="6360,5176" path="m9140,-4708l5960,-7296,2780,-4708,5960,-2120,9140,-4708xe" filled="true" fillcolor="#e8f0ee" stroked="false">
              <v:path arrowok="t"/>
              <v:fill type="solid"/>
            </v:shape>
            <v:shape style="position:absolute;left:2978;top:-7135;width:5963;height:4852" coordorigin="2979,-7134" coordsize="5963,4852" path="m5960,-7134l2979,-4708,5960,-2282,8941,-4708,5960,-7134xe" filled="true" fillcolor="#eaf1f0" stroked="false">
              <v:path arrowok="t"/>
              <v:fill type="solid"/>
            </v:shape>
            <v:shape style="position:absolute;left:3078;top:-7054;width:5764;height:4691" coordorigin="3078,-7053" coordsize="5764,4691" path="m8842,-4708l5960,-7053,3078,-4708,5960,-2363,8842,-4708xe" filled="true" fillcolor="#ebf3f0" stroked="false">
              <v:path arrowok="t"/>
              <v:fill type="solid"/>
            </v:shape>
            <v:shape style="position:absolute;left:3276;top:-6892;width:5366;height:4367" coordorigin="3277,-6892" coordsize="5366,4367" path="m5960,-6892l3277,-4708,5960,-2525,8643,-4708,5960,-6892xe" filled="true" fillcolor="#ebf4f1" stroked="false">
              <v:path arrowok="t"/>
              <v:fill type="solid"/>
            </v:shape>
            <v:shape style="position:absolute;left:3376;top:-6811;width:5168;height:4206" coordorigin="3376,-6811" coordsize="5168,4206" path="m5960,-6811l3376,-4708,5960,-2606,8543,-4708,5960,-6811xe" filled="true" fillcolor="#ecf4f1" stroked="false">
              <v:path arrowok="t"/>
              <v:fill type="solid"/>
            </v:shape>
            <v:shape style="position:absolute;left:3475;top:-6730;width:4969;height:4044" coordorigin="3476,-6730" coordsize="4969,4044" path="m5960,-6730l3476,-4708,5960,-2686,8444,-4708,5960,-6730xe" filled="true" fillcolor="#ecf4f3" stroked="false">
              <v:path arrowok="t"/>
              <v:fill type="solid"/>
            </v:shape>
            <v:shape style="position:absolute;left:3575;top:-6649;width:4770;height:3882" coordorigin="3575,-6649" coordsize="4770,3882" path="m5960,-6649l3575,-4708,5960,-2767,8345,-4708,5960,-6649xe" filled="true" fillcolor="#edf5f3" stroked="false">
              <v:path arrowok="t"/>
              <v:fill type="solid"/>
            </v:shape>
            <v:shape style="position:absolute;left:3674;top:-6569;width:4571;height:3720" coordorigin="3674,-6568" coordsize="4571,3720" path="m5960,-6568l3674,-4708,5960,-2848,8245,-4708,5960,-6568xe" filled="true" fillcolor="#eef5f4" stroked="false">
              <v:path arrowok="t"/>
              <v:fill type="solid"/>
            </v:shape>
            <v:shape style="position:absolute;left:3773;top:-6488;width:4373;height:3559" coordorigin="3774,-6487" coordsize="4373,3559" path="m5960,-6487l3774,-4708,5960,-2929,8146,-4708,5960,-6487xe" filled="true" fillcolor="#eff6f4" stroked="false">
              <v:path arrowok="t"/>
              <v:fill type="solid"/>
            </v:shape>
            <v:shape style="position:absolute;left:3873;top:-6407;width:4174;height:3397" coordorigin="3873,-6406" coordsize="4174,3397" path="m5960,-6406l3873,-4708,5960,-3010,8047,-4708,5960,-6406xe" filled="true" fillcolor="#eff6f5" stroked="false">
              <v:path arrowok="t"/>
              <v:fill type="solid"/>
            </v:shape>
            <v:shape style="position:absolute;left:3972;top:-6326;width:3975;height:3235" coordorigin="3973,-6325" coordsize="3975,3235" path="m5960,-6325l3973,-4708,5960,-3091,7947,-4708,5960,-6325xe" filled="true" fillcolor="#f0f7f6" stroked="false">
              <v:path arrowok="t"/>
              <v:fill type="solid"/>
            </v:shape>
            <v:shape style="position:absolute;left:4071;top:-6245;width:3776;height:3073" coordorigin="4072,-6245" coordsize="3776,3073" path="m7848,-4708l5960,-6245,4072,-4708,5960,-3172,7848,-4708xe" filled="true" fillcolor="#f1f7f6" stroked="false">
              <v:path arrowok="t"/>
              <v:fill type="solid"/>
            </v:shape>
            <v:shape style="position:absolute;left:4270;top:-6083;width:3379;height:2750" coordorigin="4271,-6083" coordsize="3379,2750" path="m5960,-6083l4271,-4708,5960,-3333,7649,-4708,5960,-6083xe" filled="true" fillcolor="#f4f8f7" stroked="false">
              <v:path arrowok="t"/>
              <v:fill type="solid"/>
            </v:shape>
            <v:shape style="position:absolute;left:4370;top:-6002;width:3180;height:2588" coordorigin="4370,-6002" coordsize="3180,2588" path="m5960,-6002l4370,-4708,5960,-3414,7550,-4708,5960,-6002xe" filled="true" fillcolor="#f4f8f8" stroked="false">
              <v:path arrowok="t"/>
              <v:fill type="solid"/>
            </v:shape>
            <v:shape style="position:absolute;left:4469;top:-5922;width:2981;height:2426" coordorigin="4469,-5921" coordsize="2981,2426" path="m5960,-5921l4469,-4708,5960,-3495,7450,-4708,5960,-5921xe" filled="true" fillcolor="#f5f8f8" stroked="false">
              <v:path arrowok="t"/>
              <v:fill type="solid"/>
            </v:shape>
            <v:shape style="position:absolute;left:4568;top:-5841;width:2783;height:2265" coordorigin="4569,-5840" coordsize="2783,2265" path="m7351,-4708l5960,-5840,4569,-4708,5960,-3576,7351,-4708xe" filled="true" fillcolor="#f6f8f8" stroked="false">
              <v:path arrowok="t"/>
              <v:fill type="solid"/>
            </v:shape>
            <v:shape style="position:absolute;left:4767;top:-5679;width:2385;height:1941" coordorigin="4767,-5679" coordsize="2385,1941" path="m5960,-5679l4767,-4708,5960,-3738,7152,-4708,5960,-5679xe" filled="true" fillcolor="#f7f9f8" stroked="false">
              <v:path arrowok="t"/>
              <v:fill type="solid"/>
            </v:shape>
            <v:shape style="position:absolute;left:4866;top:-5598;width:2187;height:1780" coordorigin="4867,-5598" coordsize="2187,1780" path="m5960,-5598l4867,-4708,5960,-3819,7053,-4708,5960,-5598xe" filled="true" fillcolor="#f8f9f8" stroked="false">
              <v:path arrowok="t"/>
              <v:fill type="solid"/>
            </v:shape>
            <v:shape style="position:absolute;left:4966;top:-5517;width:1988;height:1618" coordorigin="4966,-5517" coordsize="1988,1618" path="m5960,-5517l4966,-4708,5960,-3899,6954,-4708,5960,-5517xe" filled="true" fillcolor="#f8fafa" stroked="false">
              <v:path arrowok="t"/>
              <v:fill type="solid"/>
            </v:shape>
            <v:shape style="position:absolute;left:5065;top:-5436;width:1789;height:1456" coordorigin="5066,-5436" coordsize="1789,1456" path="m5960,-5436l5066,-4708,5960,-3980,6854,-4708,5960,-5436xe" filled="true" fillcolor="#f8fbfa" stroked="false">
              <v:path arrowok="t"/>
              <v:fill type="solid"/>
            </v:shape>
            <v:shape style="position:absolute;left:5164;top:-5356;width:1590;height:1294" coordorigin="5165,-5355" coordsize="1590,1294" path="m5960,-5355l5165,-4708,5960,-4061,6755,-4708,5960,-5355xe" filled="true" fillcolor="#f9fbfa" stroked="false">
              <v:path arrowok="t"/>
              <v:fill type="solid"/>
            </v:shape>
            <v:shape style="position:absolute;left:5264;top:-5275;width:1392;height:1133" coordorigin="5264,-5274" coordsize="1392,1133" path="m5960,-5274l5264,-4708,5960,-4142,6655,-4708,5960,-5274xe" filled="true" fillcolor="#fafbfb" stroked="false">
              <v:path arrowok="t"/>
              <v:fill type="solid"/>
            </v:shape>
            <v:shape style="position:absolute;left:5363;top:-5194;width:1193;height:971" coordorigin="5364,-5193" coordsize="1193,971" path="m5960,-5193l5364,-4708,5960,-4223,6556,-4708,5960,-5193xe" filled="true" fillcolor="#fafcfb" stroked="false">
              <v:path arrowok="t"/>
              <v:fill type="solid"/>
            </v:shape>
            <v:shape style="position:absolute;left:5463;top:-5113;width:994;height:809" coordorigin="5463,-5112" coordsize="994,809" path="m5960,-5112l5463,-4708,5960,-4304,6457,-4708,5960,-5112xe" filled="true" fillcolor="#fbfcfc" stroked="false">
              <v:path arrowok="t"/>
              <v:fill type="solid"/>
            </v:shape>
            <v:shape style="position:absolute;left:5562;top:-5032;width:795;height:647" coordorigin="5562,-5032" coordsize="795,647" path="m5960,-5032l5562,-4708,5960,-4385,6357,-4708,5960,-5032xe" filled="true" fillcolor="#fcfdfd" stroked="false">
              <v:path arrowok="t"/>
              <v:fill type="solid"/>
            </v:shape>
            <v:shape style="position:absolute;left:5661;top:-4951;width:597;height:486" coordorigin="5662,-4951" coordsize="597,486" path="m5960,-4951l5662,-4708,5960,-4466,6258,-4708,5960,-4951xe" filled="true" fillcolor="#fdfdfd" stroked="false">
              <v:path arrowok="t"/>
              <v:fill type="solid"/>
            </v:shape>
            <v:shape style="position:absolute;left:5761;top:-4870;width:398;height:324" type="#_x0000_t75" stroked="false">
              <v:imagedata r:id="rId148" o:title=""/>
            </v:shape>
            <v:rect style="position:absolute;left:802;top:-8904;width:10315;height:8390" filled="false" stroked="true" strokeweight="1pt" strokecolor="#009391">
              <v:stroke dashstyle="solid"/>
            </v:rect>
            <v:shape style="position:absolute;left:6190;top:-8404;width:4727;height:4340" coordorigin="6190,-8403" coordsize="4727,4340" path="m10917,-8403l6190,-8403,6190,-7573,6202,-7573,6202,-4063,10917,-4063,10917,-7573,10917,-7613,10917,-8403xe" filled="true" fillcolor="#ffffff" stroked="false">
              <v:path arrowok="t"/>
              <v:fill type="solid"/>
            </v:shape>
            <v:shape style="position:absolute;left:6438;top:-4466;width:3607;height:69" coordorigin="6439,-4466" coordsize="3607,69" path="m7727,-4464l7727,-4397m6441,-4466l10046,-4466m6439,-4464l6439,-4397m6697,-4464l6697,-4397m7212,-4464l7212,-4397m8242,-4464l8242,-4397m8758,-4464l8758,-4397m9273,-4464l9273,-4397m9531,-4464l9531,-4397m9788,-4464l9788,-4397m10046,-4464l10046,-4397m6954,-4464l6954,-4397m7470,-4464l7470,-4397m7985,-4464l7985,-4397m8500,-4464l8500,-4397m9015,-4464l9015,-4397e" filled="false" stroked="true" strokeweight=".5pt" strokecolor="#000000">
              <v:path arrowok="t"/>
              <v:stroke dashstyle="solid"/>
            </v:shape>
            <v:shape style="position:absolute;left:7209;top:-6212;width:2836;height:1753" coordorigin="7209,-6211" coordsize="2836,1753" path="m9534,-4459l9534,-4614,9279,-4614,9279,-4819,9012,-4819,9012,-5364,8757,-5364,8757,-6211,8499,-6211,8499,-6129,8244,-6129,8244,-5009,7989,-5009,7989,-5336,7732,-5336,7732,-4489,7479,-4489,7479,-4504,7209,-4504,7209,-4459m10044,-4459l10044,-4531,9787,-4531,9787,-4459e" filled="false" stroked="true" strokeweight="1pt" strokecolor="#be869b">
              <v:path arrowok="t"/>
              <v:stroke dashstyle="solid"/>
            </v:shape>
            <v:shape style="position:absolute;left:6698;top:-7168;width:2580;height:2695" coordorigin="6699,-7167" coordsize="2580,2695" path="m9279,-4472l9279,-4530,9009,-4530,9009,-4517,8756,-4517,8756,-4790,8501,-4790,8501,-5857,8246,-5857,8246,-7167,7986,-7167,7986,-5460,7731,-5460,7731,-5007,7476,-5007,7476,-4722,7209,-4722,7209,-4627,6954,-4627,6954,-4502,6699,-4502,6699,-4472e" filled="false" stroked="true" strokeweight="1pt" strokecolor="#acbc4a">
              <v:path arrowok="t"/>
              <v:stroke dashstyle="solid"/>
            </v:shape>
            <v:shape style="position:absolute;left:6286;top:-7354;width:3914;height:2888" coordorigin="6286,-7353" coordsize="3914,2888" path="m6286,-7033l6373,-7033m6286,-6713l6373,-6713m6286,-6392l6373,-6392m6286,-6072l6373,-6072m6286,-5752l6373,-5752m6286,-5431l6373,-5431m6286,-4791l6373,-4791m6286,-5111l6373,-5111m6286,-4471l6373,-4471m6286,-7353l6373,-7353m10113,-7027l10200,-7027m10113,-6707l10200,-6707m10113,-6387l10200,-6387m10113,-6067l10200,-6067m10113,-5746l10200,-5746m10113,-5426l10200,-5426m10113,-4785l10200,-4785m10113,-5106l10200,-5106m10113,-4465l10200,-4465m10113,-7348l10200,-7348e" filled="false" stroked="true" strokeweight=".5pt" strokecolor="#000000">
              <v:path arrowok="t"/>
              <v:stroke dashstyle="solid"/>
            </v:shape>
            <v:shape style="position:absolute;left:1056;top:-8404;width:4580;height:4360" coordorigin="1056,-8403" coordsize="4580,4360" path="m5636,-8403l1056,-8403,1056,-7633,1056,-7593,1056,-4043,5636,-4043,5636,-7593,5636,-7633,5636,-8403xe" filled="true" fillcolor="#ffffff" stroked="false">
              <v:path arrowok="t"/>
              <v:fill type="solid"/>
            </v:shape>
            <v:shape style="position:absolute;left:1260;top:-4486;width:3607;height:69" coordorigin="1261,-4486" coordsize="3607,69" path="m1263,-4486l4867,-4486m1261,-4484l1261,-4417m1518,-4484l1518,-4417m2033,-4484l2033,-4417m2546,-4484l2546,-4417m3064,-4484l3064,-4417m3579,-4484l3579,-4417m4095,-4484l4095,-4417m4352,-4484l4352,-4417m4610,-4484l4610,-4417m4867,-4484l4867,-4417m1776,-4484l1776,-4417m2291,-4484l2291,-4417m2806,-4484l2806,-4417m3322,-4484l3322,-4417m3837,-4484l3837,-4417e" filled="false" stroked="true" strokeweight=".5pt" strokecolor="#000000">
              <v:path arrowok="t"/>
              <v:stroke dashstyle="solid"/>
            </v:shape>
            <v:shape style="position:absolute;left:1253;top:-6245;width:3618;height:1765" coordorigin="1253,-6244" coordsize="3618,1765" path="m4871,-4479l4871,-4509,4356,-4509,4356,-4579,4098,-4579,4098,-4634,3841,-4634,3841,-4892,3583,-4892,3583,-5384,3326,-5384,3326,-6067,3068,-6067,3068,-6244,2798,-6244,2798,-5342,2541,-5342,2541,-4892,2283,-4892,2283,-4604,2026,-4604,2026,-4509,1768,-4509,1768,-4494,1253,-4494,1253,-4479e" filled="false" stroked="true" strokeweight="1.0pt" strokecolor="#be869b">
              <v:path arrowok="t"/>
              <v:stroke dashstyle="solid"/>
            </v:shape>
            <v:shape style="position:absolute;left:1254;top:-6492;width:3618;height:2013" coordorigin="1255,-6492" coordsize="3618,2013" path="m4872,-4479l4872,-4509,4612,-4509,4612,-4494,4100,-4494,4100,-4537,3842,-4537,3842,-4604,3585,-4604,3585,-4812,3327,-4812,3327,-5112,3070,-5112,3070,-6149,2802,-6149,2802,-6492,2542,-6492,2542,-5452,2285,-5452,2285,-4849,2027,-4849,2027,-4617,1770,-4617,1770,-4494,1515,-4494,1515,-4549,1255,-4549,1255,-4479e" filled="false" stroked="true" strokeweight="1pt" strokecolor="#acbc4a">
              <v:path arrowok="t"/>
              <v:stroke dashstyle="solid"/>
            </v:shape>
            <v:shape style="position:absolute;left:1093;top:-7370;width:3941;height:2887" coordorigin="1094,-7370" coordsize="3941,2887" path="m1094,-7046l1180,-7046m1094,-6725l1180,-6725m1094,-6405l1180,-6405m1094,-6085l1180,-6085m1094,-5764l1180,-5764m1094,-5444l1180,-5444m1094,-4804l1180,-4804m1094,-5124l1180,-5124m1094,-4483l1180,-4483m1094,-7366l1180,-7366m4948,-7050l5034,-7050m4948,-6729l5034,-6729m4948,-6409l5034,-6409m4948,-6089l5034,-6089m4948,-5769l5034,-5769m4948,-5448l5034,-5448m4948,-4808l5034,-4808m4948,-5128l5034,-5128m4948,-4487l5034,-4487m4948,-7370l5034,-7370e" filled="false" stroked="true" strokeweight=".5pt" strokecolor="#000000">
              <v:path arrowok="t"/>
              <v:stroke dashstyle="solid"/>
            </v:shape>
            <v:shape style="position:absolute;left:1025;top:-4074;width:9865;height:30" coordorigin="1026,-4073" coordsize="9865,30" path="m6180,-4073l10890,-4073m1026,-4043l5640,-4043e" filled="false" stroked="true" strokeweight=".125pt" strokecolor="#000000">
              <v:path arrowok="t"/>
              <v:stroke dashstyle="solid"/>
            </v:shape>
            <v:shape style="position:absolute;left:6210;top:-8422;width:3944;height:702" type="#_x0000_t202" filled="false" stroked="false">
              <v:textbox inset="0,0,0,0">
                <w:txbxContent>
                  <w:p>
                    <w:pPr>
                      <w:spacing w:line="221" w:lineRule="exact" w:before="0"/>
                      <w:ind w:left="0" w:right="0" w:firstLine="0"/>
                      <w:jc w:val="left"/>
                      <w:rPr>
                        <w:b/>
                        <w:sz w:val="20"/>
                      </w:rPr>
                    </w:pPr>
                    <w:r>
                      <w:rPr>
                        <w:b/>
                        <w:color w:val="0092C7"/>
                        <w:sz w:val="20"/>
                      </w:rPr>
                      <w:t>Chart C</w:t>
                    </w:r>
                  </w:p>
                  <w:p>
                    <w:pPr>
                      <w:spacing w:line="249" w:lineRule="auto" w:before="10"/>
                      <w:ind w:left="0" w:right="-5" w:firstLine="0"/>
                      <w:jc w:val="left"/>
                      <w:rPr>
                        <w:b/>
                        <w:sz w:val="20"/>
                      </w:rPr>
                    </w:pPr>
                    <w:r>
                      <w:rPr>
                        <w:b/>
                        <w:color w:val="0092C7"/>
                        <w:sz w:val="20"/>
                      </w:rPr>
                      <w:t>Distribution of weighted annual price changes within RPIX services</w:t>
                    </w:r>
                  </w:p>
                </w:txbxContent>
              </v:textbox>
              <w10:wrap type="none"/>
            </v:shape>
            <v:shape style="position:absolute;left:8271;top:-7126;width:441;height:133" type="#_x0000_t202" filled="false" stroked="false">
              <v:textbox inset="0,0,0,0">
                <w:txbxContent>
                  <w:p>
                    <w:pPr>
                      <w:spacing w:line="133" w:lineRule="exact" w:before="0"/>
                      <w:ind w:left="0" w:right="0" w:firstLine="0"/>
                      <w:jc w:val="left"/>
                      <w:rPr>
                        <w:sz w:val="12"/>
                      </w:rPr>
                    </w:pPr>
                    <w:r>
                      <w:rPr>
                        <w:sz w:val="12"/>
                      </w:rPr>
                      <w:t>1993–99</w:t>
                    </w:r>
                  </w:p>
                </w:txbxContent>
              </v:textbox>
              <w10:wrap type="none"/>
            </v:shape>
            <v:shape style="position:absolute;left:9809;top:-7511;width:586;height:1182" type="#_x0000_t202" filled="false" stroked="false">
              <v:textbox inset="0,0,0,0">
                <w:txbxContent>
                  <w:p>
                    <w:pPr>
                      <w:spacing w:line="228" w:lineRule="auto" w:before="0"/>
                      <w:ind w:left="0" w:right="0" w:firstLine="0"/>
                      <w:jc w:val="left"/>
                      <w:rPr>
                        <w:sz w:val="12"/>
                      </w:rPr>
                    </w:pPr>
                    <w:r>
                      <w:rPr>
                        <w:sz w:val="12"/>
                      </w:rPr>
                      <w:t>Per cent</w:t>
                    </w:r>
                    <w:r>
                      <w:rPr>
                        <w:spacing w:val="25"/>
                        <w:sz w:val="12"/>
                      </w:rPr>
                      <w:t> </w:t>
                    </w:r>
                    <w:r>
                      <w:rPr>
                        <w:position w:val="-8"/>
                        <w:sz w:val="12"/>
                      </w:rPr>
                      <w:t>45</w:t>
                    </w:r>
                  </w:p>
                  <w:p>
                    <w:pPr>
                      <w:spacing w:before="180"/>
                      <w:ind w:left="0" w:right="18" w:firstLine="0"/>
                      <w:jc w:val="right"/>
                      <w:rPr>
                        <w:sz w:val="12"/>
                      </w:rPr>
                    </w:pPr>
                    <w:r>
                      <w:rPr>
                        <w:sz w:val="12"/>
                      </w:rPr>
                      <w:t>40</w:t>
                    </w:r>
                  </w:p>
                  <w:p>
                    <w:pPr>
                      <w:spacing w:line="240" w:lineRule="auto" w:before="10"/>
                      <w:rPr>
                        <w:sz w:val="15"/>
                      </w:rPr>
                    </w:pPr>
                  </w:p>
                  <w:p>
                    <w:pPr>
                      <w:spacing w:before="0"/>
                      <w:ind w:left="0" w:right="18" w:firstLine="0"/>
                      <w:jc w:val="right"/>
                      <w:rPr>
                        <w:sz w:val="12"/>
                      </w:rPr>
                    </w:pPr>
                    <w:r>
                      <w:rPr>
                        <w:sz w:val="12"/>
                      </w:rPr>
                      <w:t>35</w:t>
                    </w:r>
                  </w:p>
                  <w:p>
                    <w:pPr>
                      <w:spacing w:line="240" w:lineRule="auto" w:before="10"/>
                      <w:rPr>
                        <w:sz w:val="15"/>
                      </w:rPr>
                    </w:pPr>
                  </w:p>
                  <w:p>
                    <w:pPr>
                      <w:spacing w:before="0"/>
                      <w:ind w:left="0" w:right="18" w:firstLine="0"/>
                      <w:jc w:val="right"/>
                      <w:rPr>
                        <w:sz w:val="12"/>
                      </w:rPr>
                    </w:pPr>
                    <w:r>
                      <w:rPr>
                        <w:sz w:val="12"/>
                      </w:rPr>
                      <w:t>30</w:t>
                    </w:r>
                  </w:p>
                </w:txbxContent>
              </v:textbox>
              <w10:wrap type="none"/>
            </v:shape>
            <v:shape style="position:absolute;left:8776;top:-6183;width:441;height:133" type="#_x0000_t202" filled="false" stroked="false">
              <v:textbox inset="0,0,0,0">
                <w:txbxContent>
                  <w:p>
                    <w:pPr>
                      <w:spacing w:line="133" w:lineRule="exact" w:before="0"/>
                      <w:ind w:left="0" w:right="0" w:firstLine="0"/>
                      <w:jc w:val="left"/>
                      <w:rPr>
                        <w:sz w:val="12"/>
                      </w:rPr>
                    </w:pPr>
                    <w:r>
                      <w:rPr>
                        <w:sz w:val="12"/>
                      </w:rPr>
                      <w:t>1988–92</w:t>
                    </w:r>
                  </w:p>
                </w:txbxContent>
              </v:textbox>
              <w10:wrap type="none"/>
            </v:shape>
            <v:shape style="position:absolute;left:10255;top:-6141;width:140;height:1736" type="#_x0000_t202" filled="false" stroked="false">
              <v:textbox inset="0,0,0,0">
                <w:txbxContent>
                  <w:p>
                    <w:pPr>
                      <w:spacing w:line="133" w:lineRule="exact" w:before="0"/>
                      <w:ind w:left="0" w:right="0" w:firstLine="0"/>
                      <w:jc w:val="left"/>
                      <w:rPr>
                        <w:sz w:val="12"/>
                      </w:rPr>
                    </w:pPr>
                    <w:r>
                      <w:rPr>
                        <w:sz w:val="12"/>
                      </w:rPr>
                      <w:t>25</w:t>
                    </w:r>
                  </w:p>
                  <w:p>
                    <w:pPr>
                      <w:spacing w:line="240" w:lineRule="auto" w:before="10"/>
                      <w:rPr>
                        <w:sz w:val="15"/>
                      </w:rPr>
                    </w:pPr>
                  </w:p>
                  <w:p>
                    <w:pPr>
                      <w:spacing w:before="0"/>
                      <w:ind w:left="0" w:right="0" w:firstLine="0"/>
                      <w:jc w:val="left"/>
                      <w:rPr>
                        <w:sz w:val="12"/>
                      </w:rPr>
                    </w:pPr>
                    <w:r>
                      <w:rPr>
                        <w:sz w:val="12"/>
                      </w:rPr>
                      <w:t>20</w:t>
                    </w:r>
                  </w:p>
                  <w:p>
                    <w:pPr>
                      <w:spacing w:line="240" w:lineRule="auto" w:before="10"/>
                      <w:rPr>
                        <w:sz w:val="15"/>
                      </w:rPr>
                    </w:pPr>
                  </w:p>
                  <w:p>
                    <w:pPr>
                      <w:spacing w:before="0"/>
                      <w:ind w:left="0" w:right="0" w:firstLine="0"/>
                      <w:jc w:val="left"/>
                      <w:rPr>
                        <w:sz w:val="12"/>
                      </w:rPr>
                    </w:pPr>
                    <w:r>
                      <w:rPr>
                        <w:sz w:val="12"/>
                      </w:rPr>
                      <w:t>15</w:t>
                    </w:r>
                  </w:p>
                  <w:p>
                    <w:pPr>
                      <w:spacing w:line="240" w:lineRule="auto" w:before="10"/>
                      <w:rPr>
                        <w:sz w:val="15"/>
                      </w:rPr>
                    </w:pPr>
                  </w:p>
                  <w:p>
                    <w:pPr>
                      <w:spacing w:before="0"/>
                      <w:ind w:left="0" w:right="0" w:firstLine="0"/>
                      <w:jc w:val="left"/>
                      <w:rPr>
                        <w:sz w:val="12"/>
                      </w:rPr>
                    </w:pPr>
                    <w:r>
                      <w:rPr>
                        <w:sz w:val="12"/>
                      </w:rPr>
                      <w:t>10</w:t>
                    </w:r>
                  </w:p>
                  <w:p>
                    <w:pPr>
                      <w:spacing w:line="240" w:lineRule="auto" w:before="10"/>
                      <w:rPr>
                        <w:sz w:val="15"/>
                      </w:rPr>
                    </w:pPr>
                  </w:p>
                  <w:p>
                    <w:pPr>
                      <w:spacing w:before="0"/>
                      <w:ind w:left="60" w:right="0" w:firstLine="0"/>
                      <w:jc w:val="left"/>
                      <w:rPr>
                        <w:sz w:val="12"/>
                      </w:rPr>
                    </w:pPr>
                    <w:r>
                      <w:rPr>
                        <w:sz w:val="12"/>
                      </w:rPr>
                      <w:t>5</w:t>
                    </w:r>
                  </w:p>
                  <w:p>
                    <w:pPr>
                      <w:spacing w:line="240" w:lineRule="auto" w:before="10"/>
                      <w:rPr>
                        <w:sz w:val="15"/>
                      </w:rPr>
                    </w:pPr>
                  </w:p>
                  <w:p>
                    <w:pPr>
                      <w:spacing w:before="0"/>
                      <w:ind w:left="60" w:right="0" w:firstLine="0"/>
                      <w:jc w:val="left"/>
                      <w:rPr>
                        <w:sz w:val="12"/>
                      </w:rPr>
                    </w:pPr>
                    <w:r>
                      <w:rPr>
                        <w:sz w:val="12"/>
                      </w:rPr>
                      <w:t>0</w:t>
                    </w:r>
                  </w:p>
                </w:txbxContent>
              </v:textbox>
              <w10:wrap type="none"/>
            </v:shape>
            <v:shape style="position:absolute;left:6306;top:-4361;width:3882;height:133" type="#_x0000_t202" filled="false" stroked="false">
              <v:textbox inset="0,0,0,0">
                <w:txbxContent>
                  <w:p>
                    <w:pPr>
                      <w:spacing w:line="133" w:lineRule="exact" w:before="0"/>
                      <w:ind w:left="0" w:right="0" w:firstLine="0"/>
                      <w:jc w:val="left"/>
                      <w:rPr>
                        <w:sz w:val="12"/>
                      </w:rPr>
                    </w:pPr>
                    <w:r>
                      <w:rPr>
                        <w:sz w:val="12"/>
                      </w:rPr>
                      <w:t>12.5 10.0 7.5 5.0 2.5 0 2.5 5.0 7.5 10.0 12.5 15.0 17.5 20.0 22.5</w:t>
                    </w:r>
                  </w:p>
                </w:txbxContent>
              </v:textbox>
              <w10:wrap type="none"/>
            </v:shape>
            <v:shape style="position:absolute;left:7577;top:-4484;width:100;height:178" type="#_x0000_t202" filled="false" stroked="false">
              <v:textbox inset="0,0,0,0">
                <w:txbxContent>
                  <w:p>
                    <w:pPr>
                      <w:spacing w:line="177" w:lineRule="exact" w:before="0"/>
                      <w:ind w:left="0" w:right="0" w:firstLine="0"/>
                      <w:jc w:val="left"/>
                      <w:rPr>
                        <w:sz w:val="16"/>
                      </w:rPr>
                    </w:pPr>
                    <w:r>
                      <w:rPr>
                        <w:sz w:val="16"/>
                      </w:rPr>
                      <w:t>–</w:t>
                    </w:r>
                  </w:p>
                </w:txbxContent>
              </v:textbox>
              <w10:wrap type="none"/>
            </v:shape>
            <v:shape style="position:absolute;left:7823;top:-4471;width:111;height:178" type="#_x0000_t202" filled="false" stroked="false">
              <v:textbox inset="0,0,0,0">
                <w:txbxContent>
                  <w:p>
                    <w:pPr>
                      <w:spacing w:line="177" w:lineRule="exact" w:before="0"/>
                      <w:ind w:left="0" w:right="0" w:firstLine="0"/>
                      <w:jc w:val="left"/>
                      <w:rPr>
                        <w:sz w:val="16"/>
                      </w:rPr>
                    </w:pPr>
                    <w:r>
                      <w:rPr>
                        <w:sz w:val="16"/>
                      </w:rPr>
                      <w:t>+</w:t>
                    </w:r>
                  </w:p>
                </w:txbxContent>
              </v:textbox>
              <w10:wrap type="none"/>
            </v:shape>
            <v:shape style="position:absolute;left:1076;top:-8422;width:3944;height:702" type="#_x0000_t202" filled="false" stroked="false">
              <v:textbox inset="0,0,0,0">
                <w:txbxContent>
                  <w:p>
                    <w:pPr>
                      <w:spacing w:line="221" w:lineRule="exact" w:before="0"/>
                      <w:ind w:left="0" w:right="0" w:firstLine="0"/>
                      <w:jc w:val="left"/>
                      <w:rPr>
                        <w:b/>
                        <w:sz w:val="20"/>
                      </w:rPr>
                    </w:pPr>
                    <w:r>
                      <w:rPr>
                        <w:b/>
                        <w:color w:val="0092C7"/>
                        <w:sz w:val="20"/>
                      </w:rPr>
                      <w:t>Chart B</w:t>
                    </w:r>
                  </w:p>
                  <w:p>
                    <w:pPr>
                      <w:spacing w:line="249" w:lineRule="auto" w:before="10"/>
                      <w:ind w:left="0" w:right="-5" w:firstLine="0"/>
                      <w:jc w:val="left"/>
                      <w:rPr>
                        <w:b/>
                        <w:sz w:val="20"/>
                      </w:rPr>
                    </w:pPr>
                    <w:r>
                      <w:rPr>
                        <w:b/>
                        <w:color w:val="0092C7"/>
                        <w:sz w:val="20"/>
                      </w:rPr>
                      <w:t>Distribution of weighted annual price changes within RPIX goods</w:t>
                    </w:r>
                  </w:p>
                </w:txbxContent>
              </v:textbox>
              <w10:wrap type="none"/>
            </v:shape>
            <v:shape style="position:absolute;left:4644;top:-7537;width:410;height:133" type="#_x0000_t202" filled="false" stroked="false">
              <v:textbox inset="0,0,0,0">
                <w:txbxContent>
                  <w:p>
                    <w:pPr>
                      <w:spacing w:line="133" w:lineRule="exact" w:before="0"/>
                      <w:ind w:left="0" w:right="0" w:firstLine="0"/>
                      <w:jc w:val="left"/>
                      <w:rPr>
                        <w:sz w:val="12"/>
                      </w:rPr>
                    </w:pPr>
                    <w:r>
                      <w:rPr>
                        <w:sz w:val="12"/>
                      </w:rPr>
                      <w:t>Per cent</w:t>
                    </w:r>
                  </w:p>
                </w:txbxContent>
              </v:textbox>
              <w10:wrap type="none"/>
            </v:shape>
            <v:shape style="position:absolute;left:5079;top:-7448;width:140;height:774" type="#_x0000_t202" filled="false" stroked="false">
              <v:textbox inset="0,0,0,0">
                <w:txbxContent>
                  <w:p>
                    <w:pPr>
                      <w:spacing w:line="133" w:lineRule="exact" w:before="0"/>
                      <w:ind w:left="0" w:right="0" w:firstLine="0"/>
                      <w:jc w:val="left"/>
                      <w:rPr>
                        <w:sz w:val="12"/>
                      </w:rPr>
                    </w:pPr>
                    <w:r>
                      <w:rPr>
                        <w:sz w:val="12"/>
                      </w:rPr>
                      <w:t>45</w:t>
                    </w:r>
                  </w:p>
                  <w:p>
                    <w:pPr>
                      <w:spacing w:line="240" w:lineRule="auto" w:before="9"/>
                      <w:rPr>
                        <w:sz w:val="15"/>
                      </w:rPr>
                    </w:pPr>
                  </w:p>
                  <w:p>
                    <w:pPr>
                      <w:spacing w:before="0"/>
                      <w:ind w:left="0" w:right="0" w:firstLine="0"/>
                      <w:jc w:val="left"/>
                      <w:rPr>
                        <w:sz w:val="12"/>
                      </w:rPr>
                    </w:pPr>
                    <w:r>
                      <w:rPr>
                        <w:sz w:val="12"/>
                      </w:rPr>
                      <w:t>40</w:t>
                    </w:r>
                  </w:p>
                  <w:p>
                    <w:pPr>
                      <w:spacing w:line="240" w:lineRule="auto" w:before="10"/>
                      <w:rPr>
                        <w:sz w:val="15"/>
                      </w:rPr>
                    </w:pPr>
                  </w:p>
                  <w:p>
                    <w:pPr>
                      <w:spacing w:before="0"/>
                      <w:ind w:left="0" w:right="0" w:firstLine="0"/>
                      <w:jc w:val="left"/>
                      <w:rPr>
                        <w:sz w:val="12"/>
                      </w:rPr>
                    </w:pPr>
                    <w:r>
                      <w:rPr>
                        <w:sz w:val="12"/>
                      </w:rPr>
                      <w:t>35</w:t>
                    </w:r>
                  </w:p>
                </w:txbxContent>
              </v:textbox>
              <w10:wrap type="none"/>
            </v:shape>
            <v:shape style="position:absolute;left:2707;top:-6645;width:441;height:133" type="#_x0000_t202" filled="false" stroked="false">
              <v:textbox inset="0,0,0,0">
                <w:txbxContent>
                  <w:p>
                    <w:pPr>
                      <w:spacing w:line="133" w:lineRule="exact" w:before="0"/>
                      <w:ind w:left="0" w:right="0" w:firstLine="0"/>
                      <w:jc w:val="left"/>
                      <w:rPr>
                        <w:sz w:val="12"/>
                      </w:rPr>
                    </w:pPr>
                    <w:r>
                      <w:rPr>
                        <w:sz w:val="12"/>
                      </w:rPr>
                      <w:t>1993–99</w:t>
                    </w:r>
                  </w:p>
                </w:txbxContent>
              </v:textbox>
              <w10:wrap type="none"/>
            </v:shape>
            <v:shape style="position:absolute;left:5079;top:-6487;width:140;height:454" type="#_x0000_t202" filled="false" stroked="false">
              <v:textbox inset="0,0,0,0">
                <w:txbxContent>
                  <w:p>
                    <w:pPr>
                      <w:spacing w:line="133" w:lineRule="exact" w:before="0"/>
                      <w:ind w:left="0" w:right="0" w:firstLine="0"/>
                      <w:jc w:val="left"/>
                      <w:rPr>
                        <w:sz w:val="12"/>
                      </w:rPr>
                    </w:pPr>
                    <w:r>
                      <w:rPr>
                        <w:sz w:val="12"/>
                      </w:rPr>
                      <w:t>30</w:t>
                    </w:r>
                  </w:p>
                  <w:p>
                    <w:pPr>
                      <w:spacing w:line="240" w:lineRule="auto" w:before="9"/>
                      <w:rPr>
                        <w:sz w:val="15"/>
                      </w:rPr>
                    </w:pPr>
                  </w:p>
                  <w:p>
                    <w:pPr>
                      <w:spacing w:before="0"/>
                      <w:ind w:left="0" w:right="0" w:firstLine="0"/>
                      <w:jc w:val="left"/>
                      <w:rPr>
                        <w:sz w:val="12"/>
                      </w:rPr>
                    </w:pPr>
                    <w:r>
                      <w:rPr>
                        <w:sz w:val="12"/>
                      </w:rPr>
                      <w:t>25</w:t>
                    </w:r>
                  </w:p>
                </w:txbxContent>
              </v:textbox>
              <w10:wrap type="none"/>
            </v:shape>
            <v:shape style="position:absolute;left:3349;top:-5804;width:441;height:133" type="#_x0000_t202" filled="false" stroked="false">
              <v:textbox inset="0,0,0,0">
                <w:txbxContent>
                  <w:p>
                    <w:pPr>
                      <w:spacing w:line="133" w:lineRule="exact" w:before="0"/>
                      <w:ind w:left="0" w:right="0" w:firstLine="0"/>
                      <w:jc w:val="left"/>
                      <w:rPr>
                        <w:sz w:val="12"/>
                      </w:rPr>
                    </w:pPr>
                    <w:r>
                      <w:rPr>
                        <w:sz w:val="12"/>
                      </w:rPr>
                      <w:t>1988–92</w:t>
                    </w:r>
                  </w:p>
                </w:txbxContent>
              </v:textbox>
              <w10:wrap type="none"/>
            </v:shape>
            <v:shape style="position:absolute;left:5079;top:-5847;width:140;height:1094" type="#_x0000_t202" filled="false" stroked="false">
              <v:textbox inset="0,0,0,0">
                <w:txbxContent>
                  <w:p>
                    <w:pPr>
                      <w:spacing w:line="133" w:lineRule="exact" w:before="0"/>
                      <w:ind w:left="0" w:right="0" w:firstLine="0"/>
                      <w:jc w:val="left"/>
                      <w:rPr>
                        <w:sz w:val="12"/>
                      </w:rPr>
                    </w:pPr>
                    <w:r>
                      <w:rPr>
                        <w:sz w:val="12"/>
                      </w:rPr>
                      <w:t>20</w:t>
                    </w:r>
                  </w:p>
                  <w:p>
                    <w:pPr>
                      <w:spacing w:line="240" w:lineRule="auto" w:before="9"/>
                      <w:rPr>
                        <w:sz w:val="15"/>
                      </w:rPr>
                    </w:pPr>
                  </w:p>
                  <w:p>
                    <w:pPr>
                      <w:spacing w:before="1"/>
                      <w:ind w:left="0" w:right="0" w:firstLine="0"/>
                      <w:jc w:val="left"/>
                      <w:rPr>
                        <w:sz w:val="12"/>
                      </w:rPr>
                    </w:pPr>
                    <w:r>
                      <w:rPr>
                        <w:sz w:val="12"/>
                      </w:rPr>
                      <w:t>15</w:t>
                    </w:r>
                  </w:p>
                  <w:p>
                    <w:pPr>
                      <w:spacing w:line="240" w:lineRule="auto" w:before="9"/>
                      <w:rPr>
                        <w:sz w:val="15"/>
                      </w:rPr>
                    </w:pPr>
                  </w:p>
                  <w:p>
                    <w:pPr>
                      <w:spacing w:before="0"/>
                      <w:ind w:left="0" w:right="0" w:firstLine="0"/>
                      <w:jc w:val="left"/>
                      <w:rPr>
                        <w:sz w:val="12"/>
                      </w:rPr>
                    </w:pPr>
                    <w:r>
                      <w:rPr>
                        <w:sz w:val="12"/>
                      </w:rPr>
                      <w:t>10</w:t>
                    </w:r>
                  </w:p>
                  <w:p>
                    <w:pPr>
                      <w:spacing w:line="240" w:lineRule="auto" w:before="10"/>
                      <w:rPr>
                        <w:sz w:val="15"/>
                      </w:rPr>
                    </w:pPr>
                  </w:p>
                  <w:p>
                    <w:pPr>
                      <w:spacing w:before="0"/>
                      <w:ind w:left="60" w:right="0" w:firstLine="0"/>
                      <w:jc w:val="left"/>
                      <w:rPr>
                        <w:sz w:val="12"/>
                      </w:rPr>
                    </w:pPr>
                    <w:r>
                      <w:rPr>
                        <w:sz w:val="12"/>
                      </w:rPr>
                      <w:t>5</w:t>
                    </w:r>
                  </w:p>
                </w:txbxContent>
              </v:textbox>
              <w10:wrap type="none"/>
            </v:shape>
            <v:shape style="position:absolute;left:1133;top:-4499;width:3882;height:251" type="#_x0000_t202" filled="false" stroked="false">
              <v:textbox inset="0,0,0,0">
                <w:txbxContent>
                  <w:p>
                    <w:pPr>
                      <w:spacing w:line="250" w:lineRule="exact" w:before="0"/>
                      <w:ind w:left="0" w:right="0" w:firstLine="0"/>
                      <w:jc w:val="left"/>
                      <w:rPr>
                        <w:sz w:val="12"/>
                      </w:rPr>
                    </w:pPr>
                    <w:r>
                      <w:rPr>
                        <w:sz w:val="12"/>
                      </w:rPr>
                      <w:t>12.5 10.0 7.5 5.0 2.5 </w:t>
                    </w:r>
                    <w:r>
                      <w:rPr>
                        <w:position w:val="8"/>
                        <w:sz w:val="16"/>
                      </w:rPr>
                      <w:t>– </w:t>
                    </w:r>
                    <w:r>
                      <w:rPr>
                        <w:sz w:val="12"/>
                      </w:rPr>
                      <w:t>0 </w:t>
                    </w:r>
                    <w:r>
                      <w:rPr>
                        <w:position w:val="7"/>
                        <w:sz w:val="16"/>
                      </w:rPr>
                      <w:t>+ </w:t>
                    </w:r>
                    <w:r>
                      <w:rPr>
                        <w:sz w:val="12"/>
                      </w:rPr>
                      <w:t>2.5 5.0 7.5 10.0 12.5 15.0 17.5 20.0 22.5</w:t>
                    </w:r>
                  </w:p>
                </w:txbxContent>
              </v:textbox>
              <w10:wrap type="none"/>
            </v:shape>
            <v:shape style="position:absolute;left:5139;top:-4566;width:80;height:133" type="#_x0000_t202" filled="false" stroked="false">
              <v:textbox inset="0,0,0,0">
                <w:txbxContent>
                  <w:p>
                    <w:pPr>
                      <w:spacing w:line="133" w:lineRule="exact" w:before="0"/>
                      <w:ind w:left="0" w:right="0" w:firstLine="0"/>
                      <w:jc w:val="left"/>
                      <w:rPr>
                        <w:sz w:val="12"/>
                      </w:rPr>
                    </w:pPr>
                    <w:r>
                      <w:rPr>
                        <w:sz w:val="12"/>
                      </w:rPr>
                      <w:t>0</w:t>
                    </w:r>
                  </w:p>
                </w:txbxContent>
              </v:textbox>
              <w10:wrap type="none"/>
            </v:shape>
            <v:shape style="position:absolute;left:1061;top:-3822;width:4484;height:3102" type="#_x0000_t202" filled="false" stroked="false">
              <v:textbox inset="0,0,0,0">
                <w:txbxContent>
                  <w:p>
                    <w:pPr>
                      <w:spacing w:line="249" w:lineRule="auto" w:before="0"/>
                      <w:ind w:left="0" w:right="0" w:firstLine="0"/>
                      <w:jc w:val="left"/>
                      <w:rPr>
                        <w:sz w:val="20"/>
                      </w:rPr>
                    </w:pPr>
                    <w:r>
                      <w:rPr>
                        <w:sz w:val="20"/>
                      </w:rPr>
                      <w:t>sum to 100%. The distributions of both goods and services inflation rates have shifted to the left, as the mean inflation rates have fallen.</w:t>
                    </w:r>
                  </w:p>
                  <w:p>
                    <w:pPr>
                      <w:spacing w:line="240" w:lineRule="auto" w:before="3"/>
                      <w:rPr>
                        <w:sz w:val="20"/>
                      </w:rPr>
                    </w:pPr>
                  </w:p>
                  <w:p>
                    <w:pPr>
                      <w:spacing w:line="249" w:lineRule="auto" w:before="1"/>
                      <w:ind w:left="0" w:right="36" w:firstLine="0"/>
                      <w:jc w:val="left"/>
                      <w:rPr>
                        <w:sz w:val="20"/>
                      </w:rPr>
                    </w:pPr>
                    <w:r>
                      <w:rPr>
                        <w:sz w:val="20"/>
                      </w:rPr>
                      <w:t>An interesting feature of the changing shape of the distributions is the increasing proportion of components showing price falls. The table shows how much more widespread price cuts were in 1999 than in earlier years, and how much more marked this development has been for goods than for services. That is likely partly to reflect the strength of the exchange rate over the past </w:t>
                    </w:r>
                    <w:r>
                      <w:rPr>
                        <w:spacing w:val="-3"/>
                        <w:sz w:val="20"/>
                      </w:rPr>
                      <w:t>few </w:t>
                    </w:r>
                    <w:r>
                      <w:rPr>
                        <w:sz w:val="20"/>
                      </w:rPr>
                      <w:t>years. But, in addition, some sectors, for example car and food retailing, have</w:t>
                    </w:r>
                    <w:r>
                      <w:rPr>
                        <w:spacing w:val="-35"/>
                        <w:sz w:val="20"/>
                      </w:rPr>
                      <w:t> </w:t>
                    </w:r>
                    <w:r>
                      <w:rPr>
                        <w:sz w:val="20"/>
                      </w:rPr>
                      <w:t>been</w:t>
                    </w:r>
                  </w:p>
                </w:txbxContent>
              </v:textbox>
              <w10:wrap type="none"/>
            </v:shape>
            <v:shape style="position:absolute;left:6195;top:-3842;width:4725;height:1682" type="#_x0000_t202" filled="false" stroked="false">
              <v:textbox inset="0,0,0,0">
                <w:txbxContent>
                  <w:p>
                    <w:pPr>
                      <w:spacing w:line="249" w:lineRule="auto" w:before="0"/>
                      <w:ind w:left="16" w:right="91" w:firstLine="0"/>
                      <w:jc w:val="left"/>
                      <w:rPr>
                        <w:sz w:val="20"/>
                      </w:rPr>
                    </w:pPr>
                    <w:r>
                      <w:rPr>
                        <w:sz w:val="20"/>
                      </w:rPr>
                      <w:t>subject to official price investigations, which may also have exerted downward pressure on prices. The increasing prevalence of price cuts suggests that the efficient allocation of resources in a low-inflation environment has not been hampered by a lack of downward flexibility in prices.</w:t>
                    </w:r>
                  </w:p>
                  <w:p>
                    <w:pPr>
                      <w:tabs>
                        <w:tab w:pos="4704" w:val="left" w:leader="none"/>
                      </w:tabs>
                      <w:spacing w:before="16"/>
                      <w:ind w:left="0" w:right="0" w:firstLine="0"/>
                      <w:jc w:val="left"/>
                      <w:rPr>
                        <w:sz w:val="20"/>
                      </w:rPr>
                    </w:pPr>
                    <w:r>
                      <w:rPr>
                        <w:sz w:val="20"/>
                        <w:u w:val="single"/>
                      </w:rPr>
                      <w:t> </w:t>
                      <w:tab/>
                    </w:r>
                  </w:p>
                </w:txbxContent>
              </v:textbox>
              <w10:wrap type="none"/>
            </v:shape>
            <w10:wrap type="none"/>
          </v:group>
        </w:pict>
      </w:r>
      <w:r>
        <w:rPr>
          <w:color w:val="0092C7"/>
        </w:rPr>
        <w:t>Chart 4.11</w:t>
      </w:r>
    </w:p>
    <w:p>
      <w:pPr>
        <w:pStyle w:val="Heading6"/>
        <w:ind w:left="200"/>
        <w:rPr>
          <w:b w:val="0"/>
          <w:sz w:val="12"/>
        </w:rPr>
      </w:pPr>
      <w:r>
        <w:rPr>
          <w:color w:val="0092C7"/>
        </w:rPr>
        <w:t>Profits as a share of GDP</w:t>
      </w:r>
      <w:r>
        <w:rPr>
          <w:b w:val="0"/>
          <w:position w:val="4"/>
          <w:sz w:val="12"/>
        </w:rPr>
        <w:t>(a)</w:t>
      </w:r>
    </w:p>
    <w:p>
      <w:pPr>
        <w:pStyle w:val="BodyText"/>
        <w:spacing w:before="9" w:after="39"/>
        <w:rPr>
          <w:sz w:val="21"/>
        </w:rPr>
      </w:pPr>
    </w:p>
    <w:p>
      <w:pPr>
        <w:pStyle w:val="BodyText"/>
        <w:spacing w:line="20" w:lineRule="exact"/>
        <w:ind w:left="279"/>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spacing w:before="8"/>
        <w:rPr>
          <w:sz w:val="10"/>
        </w:rPr>
      </w:pPr>
      <w:r>
        <w:rPr/>
        <w:pict>
          <v:shape style="position:absolute;margin-left:46.238998pt;margin-top:8.361977pt;width:4.350pt;height:.1pt;mso-position-horizontal-relative:page;mso-position-vertical-relative:paragraph;z-index:-15183872;mso-wrap-distance-left:0;mso-wrap-distance-right:0" coordorigin="925,167" coordsize="87,0" path="m925,167l1011,167e" filled="false" stroked="true" strokeweight=".5pt" strokecolor="#000000">
            <v:path arrowok="t"/>
            <v:stroke dashstyle="solid"/>
            <w10:wrap type="topAndBottom"/>
          </v:shape>
        </w:pict>
      </w:r>
      <w:r>
        <w:rPr/>
        <w:pict>
          <v:shape style="position:absolute;margin-left:46.238998pt;margin-top:28.973976pt;width:4.350pt;height:.1pt;mso-position-horizontal-relative:page;mso-position-vertical-relative:paragraph;z-index:-15183360;mso-wrap-distance-left:0;mso-wrap-distance-right:0" coordorigin="925,579" coordsize="87,0" path="m925,579l1011,579e" filled="false" stroked="true" strokeweight=".5pt" strokecolor="#000000">
            <v:path arrowok="t"/>
            <v:stroke dashstyle="solid"/>
            <w10:wrap type="topAndBottom"/>
          </v:shape>
        </w:pict>
      </w:r>
      <w:r>
        <w:rPr/>
        <w:pict>
          <v:shape style="position:absolute;margin-left:46.238998pt;margin-top:49.584976pt;width:4.350pt;height:.1pt;mso-position-horizontal-relative:page;mso-position-vertical-relative:paragraph;z-index:-15182848;mso-wrap-distance-left:0;mso-wrap-distance-right:0" coordorigin="925,992" coordsize="87,0" path="m925,992l1011,992e" filled="false" stroked="true" strokeweight=".5pt" strokecolor="#000000">
            <v:path arrowok="t"/>
            <v:stroke dashstyle="solid"/>
            <w10:wrap type="topAndBottom"/>
          </v:shape>
        </w:pict>
      </w:r>
      <w:r>
        <w:rPr/>
        <w:pict>
          <v:shape style="position:absolute;margin-left:46.238998pt;margin-top:70.196976pt;width:4.350pt;height:.1pt;mso-position-horizontal-relative:page;mso-position-vertical-relative:paragraph;z-index:-15182336;mso-wrap-distance-left:0;mso-wrap-distance-right:0" coordorigin="925,1404" coordsize="87,0" path="m925,1404l1011,1404e" filled="false" stroked="true" strokeweight=".5pt" strokecolor="#000000">
            <v:path arrowok="t"/>
            <v:stroke dashstyle="solid"/>
            <w10:wrap type="topAndBottom"/>
          </v:shape>
        </w:pict>
      </w:r>
      <w:r>
        <w:rPr/>
        <w:pict>
          <v:shape style="position:absolute;margin-left:46.238998pt;margin-top:90.808975pt;width:4.350pt;height:.1pt;mso-position-horizontal-relative:page;mso-position-vertical-relative:paragraph;z-index:-15181824;mso-wrap-distance-left:0;mso-wrap-distance-right:0" coordorigin="925,1816" coordsize="87,0" path="m925,1816l1011,1816e" filled="false" stroked="true" strokeweight=".5pt" strokecolor="#000000">
            <v:path arrowok="t"/>
            <v:stroke dashstyle="solid"/>
            <w10:wrap type="topAndBottom"/>
          </v:shape>
        </w:pict>
      </w:r>
      <w:r>
        <w:rPr/>
        <w:pict>
          <v:shape style="position:absolute;margin-left:46.238998pt;margin-top:111.419975pt;width:4.350pt;height:.1pt;mso-position-horizontal-relative:page;mso-position-vertical-relative:paragraph;z-index:-15181312;mso-wrap-distance-left:0;mso-wrap-distance-right:0" coordorigin="925,2228" coordsize="87,0" path="m925,2228l1011,2228e" filled="false" stroked="true" strokeweight=".5pt" strokecolor="#000000">
            <v:path arrowok="t"/>
            <v:stroke dashstyle="solid"/>
            <w10:wrap type="topAndBottom"/>
          </v:shape>
        </w:pict>
      </w:r>
    </w:p>
    <w:p>
      <w:pPr>
        <w:pStyle w:val="BodyText"/>
        <w:rPr>
          <w:sz w:val="29"/>
        </w:rPr>
      </w:pPr>
    </w:p>
    <w:p>
      <w:pPr>
        <w:pStyle w:val="BodyText"/>
        <w:rPr>
          <w:sz w:val="29"/>
        </w:rPr>
      </w:pPr>
    </w:p>
    <w:p>
      <w:pPr>
        <w:pStyle w:val="BodyText"/>
        <w:rPr>
          <w:sz w:val="29"/>
        </w:rPr>
      </w:pPr>
    </w:p>
    <w:p>
      <w:pPr>
        <w:pStyle w:val="BodyText"/>
        <w:rPr>
          <w:sz w:val="29"/>
        </w:rPr>
      </w:pPr>
    </w:p>
    <w:p>
      <w:pPr>
        <w:pStyle w:val="BodyText"/>
        <w:rPr>
          <w:sz w:val="29"/>
        </w:rPr>
      </w:pPr>
    </w:p>
    <w:p>
      <w:pPr>
        <w:pStyle w:val="BodyText"/>
      </w:pPr>
      <w:r>
        <w:rPr/>
        <w:br w:type="column"/>
      </w:r>
      <w:r>
        <w:rPr/>
      </w:r>
    </w:p>
    <w:p>
      <w:pPr>
        <w:pStyle w:val="BodyText"/>
      </w:pPr>
    </w:p>
    <w:p>
      <w:pPr>
        <w:pStyle w:val="BodyText"/>
      </w:pPr>
    </w:p>
    <w:p>
      <w:pPr>
        <w:pStyle w:val="BodyText"/>
        <w:spacing w:before="1"/>
        <w:rPr>
          <w:sz w:val="21"/>
        </w:rPr>
      </w:pPr>
    </w:p>
    <w:p>
      <w:pPr>
        <w:spacing w:before="0"/>
        <w:ind w:left="200" w:right="0" w:firstLine="0"/>
        <w:jc w:val="left"/>
        <w:rPr>
          <w:sz w:val="12"/>
        </w:rPr>
      </w:pPr>
      <w:r>
        <w:rPr>
          <w:sz w:val="12"/>
        </w:rPr>
        <w:t>Per ce</w:t>
      </w:r>
      <w:r>
        <w:rPr>
          <w:sz w:val="12"/>
          <w:u w:val="single"/>
        </w:rPr>
        <w:t>n</w:t>
      </w:r>
      <w:r>
        <w:rPr>
          <w:sz w:val="12"/>
        </w:rPr>
        <w:t>t</w:t>
      </w:r>
      <w:r>
        <w:rPr>
          <w:spacing w:val="11"/>
          <w:sz w:val="12"/>
        </w:rPr>
        <w:t> </w:t>
      </w:r>
      <w:r>
        <w:rPr>
          <w:position w:val="-5"/>
          <w:sz w:val="12"/>
        </w:rPr>
        <w:t>30</w:t>
      </w:r>
    </w:p>
    <w:p>
      <w:pPr>
        <w:pStyle w:val="BodyText"/>
        <w:spacing w:before="8"/>
        <w:rPr>
          <w:sz w:val="23"/>
        </w:rPr>
      </w:pPr>
    </w:p>
    <w:p>
      <w:pPr>
        <w:spacing w:before="0"/>
        <w:ind w:left="631" w:right="0" w:firstLine="0"/>
        <w:jc w:val="left"/>
        <w:rPr>
          <w:sz w:val="12"/>
        </w:rPr>
      </w:pPr>
      <w:r>
        <w:rPr/>
        <w:pict>
          <v:group style="position:absolute;margin-left:54.125pt;margin-top:-1.604034pt;width:145.050pt;height:107.75pt;mso-position-horizontal-relative:page;mso-position-vertical-relative:paragraph;z-index:16276992" coordorigin="1083,-32" coordsize="2901,2155">
            <v:line style="position:absolute" from="1093,1085" to="1115,633" stroked="true" strokeweight="1pt" strokecolor="#008360">
              <v:stroke dashstyle="solid"/>
            </v:line>
            <v:shape style="position:absolute;left:1105;top:607;width:333;height:580" type="#_x0000_t75" stroked="false">
              <v:imagedata r:id="rId149" o:title=""/>
            </v:shape>
            <v:line style="position:absolute" from="1428,820" to="1438,1208" stroked="true" strokeweight="1pt" strokecolor="#008360">
              <v:stroke dashstyle="solid"/>
            </v:line>
            <v:shape style="position:absolute;left:1427;top:792;width:435;height:598" type="#_x0000_t75" stroked="false">
              <v:imagedata r:id="rId150" o:title=""/>
            </v:shape>
            <v:line style="position:absolute" from="1853,865" to="1863,475" stroked="true" strokeweight="1pt" strokecolor="#008360">
              <v:stroke dashstyle="solid"/>
            </v:line>
            <v:line style="position:absolute" from="1874,465" to="1874,813" stroked="true" strokeweight="2.125pt" strokecolor="#008360">
              <v:stroke dashstyle="solid"/>
            </v:line>
            <v:shape style="position:absolute;left:1885;top:802;width:58;height:780" coordorigin="1885,803" coordsize="58,780" path="m1885,803l1908,990m1908,990l1930,1053m1930,1053l1943,1583e" filled="false" stroked="true" strokeweight="1pt" strokecolor="#008360">
              <v:path arrowok="t"/>
              <v:stroke dashstyle="solid"/>
            </v:shape>
            <v:line style="position:absolute" from="1954,1198" to="1954,1593" stroked="true" strokeweight="2.125pt" strokecolor="#008360">
              <v:stroke dashstyle="solid"/>
            </v:line>
            <v:line style="position:absolute" from="1965,1208" to="1988,1410" stroked="true" strokeweight="1pt" strokecolor="#008360">
              <v:stroke dashstyle="solid"/>
            </v:line>
            <v:line style="position:absolute" from="1999,1400" to="1999,1795" stroked="true" strokeweight="2.125pt" strokecolor="#008360">
              <v:stroke dashstyle="solid"/>
            </v:line>
            <v:line style="position:absolute" from="2015,1775" to="2015,1998" stroked="true" strokeweight="1.5pt" strokecolor="#008360">
              <v:stroke dashstyle="solid"/>
            </v:line>
            <v:shape style="position:absolute;left:2020;top:1957;width:45;height:155" coordorigin="2020,1958" coordsize="45,155" path="m2020,1988l2043,1958m2043,1958l2065,2113e" filled="false" stroked="true" strokeweight="1pt" strokecolor="#008360">
              <v:path arrowok="t"/>
              <v:stroke dashstyle="solid"/>
            </v:shape>
            <v:line style="position:absolute" from="2076,1713" to="2076,2123" stroked="true" strokeweight="2.125pt" strokecolor="#008360">
              <v:stroke dashstyle="solid"/>
            </v:line>
            <v:line style="position:absolute" from="2093,1620" to="2093,1733" stroked="true" strokeweight="1.5pt" strokecolor="#008360">
              <v:stroke dashstyle="solid"/>
            </v:line>
            <v:shape style="position:absolute;left:2097;top:1147;width:68;height:528" coordorigin="2098,1148" coordsize="68,528" path="m2098,1630l2120,1675m2120,1675l2143,1583m2143,1583l2165,1148e" filled="false" stroked="true" strokeweight="1pt" strokecolor="#008360">
              <v:path arrowok="t"/>
              <v:stroke dashstyle="solid"/>
            </v:shape>
            <v:shape style="position:absolute;left:2155;top:685;width:423;height:613" type="#_x0000_t75" stroked="false">
              <v:imagedata r:id="rId151" o:title=""/>
            </v:shape>
            <v:shape style="position:absolute;left:2567;top:445;width:80;height:560" coordorigin="2568,445" coordsize="80,560" path="m2568,1005l2590,570m2590,570l2603,508m2603,508l2625,445m2625,445l2648,475e" filled="false" stroked="true" strokeweight="1pt" strokecolor="#008360">
              <v:path arrowok="t"/>
              <v:stroke dashstyle="solid"/>
            </v:shape>
            <v:line style="position:absolute" from="2659,123" to="2659,485" stroked="true" strokeweight="2.125pt" strokecolor="#008360">
              <v:stroke dashstyle="solid"/>
            </v:line>
            <v:shape style="position:absolute;left:2670;top:117;width:78;height:218" coordorigin="2670,118" coordsize="78,218" path="m2670,133l2680,180m2680,180l2703,118m2703,118l2725,305m2725,305l2748,335e" filled="false" stroked="true" strokeweight="1pt" strokecolor="#008360">
              <v:path arrowok="t"/>
              <v:stroke dashstyle="solid"/>
            </v:shape>
            <v:line style="position:absolute" from="2753,140" to="2753,345" stroked="true" strokeweight="1.5pt" strokecolor="#008360">
              <v:stroke dashstyle="solid"/>
            </v:line>
            <v:shape style="position:absolute;left:2757;top:132;width:68;height:95" coordorigin="2758,133" coordsize="68,95" path="m2758,150l2780,153m2780,150l2803,228m2803,228l2825,133e" filled="false" stroked="true" strokeweight="1pt" strokecolor="#008360">
              <v:path arrowok="t"/>
              <v:stroke dashstyle="solid"/>
            </v:shape>
            <v:line style="position:absolute" from="2831,-32" to="2831,143" stroked="true" strokeweight="1.625pt" strokecolor="#008360">
              <v:stroke dashstyle="solid"/>
            </v:line>
            <v:shape style="position:absolute;left:2837;top:-23;width:45;height:125" coordorigin="2838,-22" coordsize="45,125" path="m2838,-22l2860,103m2860,103l2883,55e" filled="false" stroked="true" strokeweight="1pt" strokecolor="#008360">
              <v:path arrowok="t"/>
              <v:stroke dashstyle="solid"/>
            </v:shape>
            <v:line style="position:absolute" from="2888,45" to="2888,268" stroked="true" strokeweight="1.5pt" strokecolor="#008360">
              <v:stroke dashstyle="solid"/>
            </v:line>
            <v:line style="position:absolute" from="2904,248" to="2904,548" stroked="true" strokeweight="2.125pt" strokecolor="#008360">
              <v:stroke dashstyle="solid"/>
            </v:line>
            <v:line style="position:absolute" from="2915,538" to="2938,508" stroked="true" strokeweight="1pt" strokecolor="#008360">
              <v:stroke dashstyle="solid"/>
            </v:line>
            <v:line style="position:absolute" from="2949,233" to="2949,518" stroked="true" strokeweight="2.125pt" strokecolor="#008360">
              <v:stroke dashstyle="solid"/>
            </v:line>
            <v:line style="position:absolute" from="2965,233" to="2965,408" stroked="true" strokeweight="1.5pt" strokecolor="#008360">
              <v:stroke dashstyle="solid"/>
            </v:line>
            <v:shape style="position:absolute;left:2970;top:242;width:68;height:155" coordorigin="2970,243" coordsize="68,155" path="m2970,398l2993,243m2993,243l3015,258m3015,258l3038,243e" filled="false" stroked="true" strokeweight="1pt" strokecolor="#008360">
              <v:path arrowok="t"/>
              <v:stroke dashstyle="solid"/>
            </v:shape>
            <v:line style="position:absolute" from="3044,233" to="3044,440" stroked="true" strokeweight="1.625pt" strokecolor="#008360">
              <v:stroke dashstyle="solid"/>
            </v:line>
            <v:shape style="position:absolute;left:3050;top:195;width:65;height:235" coordorigin="3050,195" coordsize="65,235" path="m3050,430l3073,290m3073,290l3095,228m3095,228l3115,195e" filled="false" stroked="true" strokeweight="1pt" strokecolor="#008360">
              <v:path arrowok="t"/>
              <v:stroke dashstyle="solid"/>
            </v:shape>
            <v:line style="position:absolute" from="3121,185" to="3121,315" stroked="true" strokeweight="1.625pt" strokecolor="#008360">
              <v:stroke dashstyle="solid"/>
            </v:line>
            <v:shape style="position:absolute;left:3127;top:272;width:68;height:283" coordorigin="3128,273" coordsize="68,283" path="m3128,305l3150,273m3150,273l3173,383m3173,383l3195,555e" filled="false" stroked="true" strokeweight="1pt" strokecolor="#008360">
              <v:path arrowok="t"/>
              <v:stroke dashstyle="solid"/>
            </v:shape>
            <v:line style="position:absolute" from="3200,450" to="3200,565" stroked="true" strokeweight="1.5pt" strokecolor="#008360">
              <v:stroke dashstyle="solid"/>
            </v:line>
            <v:line style="position:absolute" from="3216,450" to="3216,783" stroked="true" strokeweight="2.125pt" strokecolor="#008360">
              <v:stroke dashstyle="solid"/>
            </v:line>
            <v:line style="position:absolute" from="3228,773" to="3250,865" stroked="true" strokeweight="1pt" strokecolor="#008360">
              <v:stroke dashstyle="solid"/>
            </v:line>
            <v:line style="position:absolute" from="3256,855" to="3256,1048" stroked="true" strokeweight="1.625pt" strokecolor="#008360">
              <v:stroke dashstyle="solid"/>
            </v:line>
            <v:shape style="position:absolute;left:3262;top:1037;width:45;height:93" coordorigin="3263,1038" coordsize="45,93" path="m3263,1038l3285,1115m3285,1115l3308,1130e" filled="false" stroked="true" strokeweight="1pt" strokecolor="#008360">
              <v:path arrowok="t"/>
              <v:stroke dashstyle="solid"/>
            </v:shape>
            <v:shape style="position:absolute;left:3297;top:932;width:53;height:208" coordorigin="3298,933" coordsize="53,208" path="m3350,933l3338,933,3318,933,3298,933,3298,1140,3318,1140,3338,1140,3350,1140,3350,933xe" filled="true" fillcolor="#008360" stroked="false">
              <v:path arrowok="t"/>
              <v:fill type="solid"/>
            </v:shape>
            <v:shape style="position:absolute;left:3340;top:975;width:45;height:155" coordorigin="3340,975" coordsize="45,155" path="m3340,1130l3363,1038m3363,1038l3385,975e" filled="false" stroked="true" strokeweight="1pt" strokecolor="#008360">
              <v:path arrowok="t"/>
              <v:stroke dashstyle="solid"/>
            </v:shape>
            <v:rect style="position:absolute;left:3375;top:652;width:43;height:333" filled="true" fillcolor="#008360" stroked="false">
              <v:fill type="solid"/>
            </v:rect>
            <v:line style="position:absolute" from="3408,663" to="3418,990" stroked="true" strokeweight="1pt" strokecolor="#008360">
              <v:stroke dashstyle="solid"/>
            </v:line>
            <v:line style="position:absolute" from="3429,575" to="3429,1000" stroked="true" strokeweight="2.125pt" strokecolor="#008360">
              <v:stroke dashstyle="solid"/>
            </v:line>
            <v:shape style="position:absolute;left:3430;top:-18;width:435;height:645" type="#_x0000_t75" stroked="false">
              <v:imagedata r:id="rId152" o:title=""/>
            </v:shape>
            <v:shape style="position:absolute;left:3855;top:397;width:90;height:438" coordorigin="3855,398" coordsize="90,438" path="m3855,415l3865,835m3865,835l3888,758m3888,758l3910,835m3910,835l3933,398m3933,398l3945,415e" filled="false" stroked="true" strokeweight="1pt" strokecolor="#008360">
              <v:path arrowok="t"/>
              <v:stroke dashstyle="solid"/>
            </v:shape>
            <v:line style="position:absolute" from="3955,405" to="3955,628" stroked="true" strokeweight="2pt" strokecolor="#008360">
              <v:stroke dashstyle="solid"/>
            </v:line>
            <v:line style="position:absolute" from="2200,740" to="2223,743" stroked="true" strokeweight="1pt" strokecolor="#008360">
              <v:stroke dashstyle="solid"/>
            </v:line>
            <v:line style="position:absolute" from="1103,750" to="3983,750" stroked="true" strokeweight=".5pt" strokecolor="#000000">
              <v:stroke dashstyle="dash"/>
            </v:line>
            <v:line style="position:absolute" from="1593,151" to="1593,671" stroked="true" strokeweight="2.959pt" strokecolor="#000000">
              <v:stroke dashstyle="solid"/>
            </v:line>
            <v:shape style="position:absolute;left:1590;top:646;width:51;height:87" coordorigin="1591,647" coordsize="51,87" path="m1641,647l1591,651,1599,667,1604,678,1624,733,1624,724,1626,714,1628,702,1630,688,1633,677,1641,647xe" filled="true" fillcolor="#000000" stroked="false">
              <v:path arrowok="t"/>
              <v:fill type="solid"/>
            </v:shape>
            <v:shape style="position:absolute;left:1262;top:13;width:844;height:134" type="#_x0000_t202" filled="false" stroked="false">
              <v:textbox inset="0,0,0,0">
                <w:txbxContent>
                  <w:p>
                    <w:pPr>
                      <w:spacing w:line="133" w:lineRule="exact" w:before="0"/>
                      <w:ind w:left="0" w:right="0" w:firstLine="0"/>
                      <w:jc w:val="left"/>
                      <w:rPr>
                        <w:sz w:val="12"/>
                      </w:rPr>
                    </w:pPr>
                    <w:r>
                      <w:rPr>
                        <w:sz w:val="12"/>
                      </w:rPr>
                      <w:t>1963–99 average</w:t>
                    </w:r>
                  </w:p>
                </w:txbxContent>
              </v:textbox>
              <w10:wrap type="none"/>
            </v:shape>
            <w10:wrap type="none"/>
          </v:group>
        </w:pict>
      </w:r>
      <w:r>
        <w:rPr/>
        <w:pict>
          <v:line style="position:absolute;mso-position-horizontal-relative:page;mso-position-vertical-relative:paragraph;z-index:16278016" from="202.748993pt,4.532966pt" to="207.082993pt,4.532966pt" stroked="true" strokeweight=".5pt" strokecolor="#000000">
            <v:stroke dashstyle="solid"/>
            <w10:wrap type="none"/>
          </v:line>
        </w:pict>
      </w:r>
      <w:r>
        <w:rPr>
          <w:sz w:val="12"/>
        </w:rPr>
        <w:t>28</w:t>
      </w:r>
    </w:p>
    <w:p>
      <w:pPr>
        <w:pStyle w:val="BodyText"/>
        <w:rPr>
          <w:sz w:val="12"/>
        </w:rPr>
      </w:pPr>
    </w:p>
    <w:p>
      <w:pPr>
        <w:pStyle w:val="BodyText"/>
        <w:spacing w:before="10"/>
        <w:rPr>
          <w:sz w:val="11"/>
        </w:rPr>
      </w:pPr>
    </w:p>
    <w:p>
      <w:pPr>
        <w:spacing w:before="0"/>
        <w:ind w:left="631" w:right="0" w:firstLine="0"/>
        <w:jc w:val="left"/>
        <w:rPr>
          <w:sz w:val="12"/>
        </w:rPr>
      </w:pPr>
      <w:r>
        <w:rPr/>
        <w:pict>
          <v:line style="position:absolute;mso-position-horizontal-relative:page;mso-position-vertical-relative:paragraph;z-index:16278528" from="202.748993pt,4.555976pt" to="207.082993pt,4.555976pt" stroked="true" strokeweight=".5pt" strokecolor="#000000">
            <v:stroke dashstyle="solid"/>
            <w10:wrap type="none"/>
          </v:line>
        </w:pict>
      </w:r>
      <w:r>
        <w:rPr>
          <w:sz w:val="12"/>
        </w:rPr>
        <w:t>26</w:t>
      </w:r>
    </w:p>
    <w:p>
      <w:pPr>
        <w:pStyle w:val="BodyText"/>
        <w:rPr>
          <w:sz w:val="12"/>
        </w:rPr>
      </w:pPr>
    </w:p>
    <w:p>
      <w:pPr>
        <w:pStyle w:val="BodyText"/>
        <w:spacing w:before="9"/>
        <w:rPr>
          <w:sz w:val="11"/>
        </w:rPr>
      </w:pPr>
    </w:p>
    <w:p>
      <w:pPr>
        <w:spacing w:before="0"/>
        <w:ind w:left="631" w:right="0" w:firstLine="0"/>
        <w:jc w:val="left"/>
        <w:rPr>
          <w:sz w:val="12"/>
        </w:rPr>
      </w:pPr>
      <w:r>
        <w:rPr/>
        <w:pict>
          <v:line style="position:absolute;mso-position-horizontal-relative:page;mso-position-vertical-relative:paragraph;z-index:16279040" from="202.748993pt,4.577362pt" to="207.082993pt,4.577362pt" stroked="true" strokeweight=".5pt" strokecolor="#000000">
            <v:stroke dashstyle="solid"/>
            <w10:wrap type="none"/>
          </v:line>
        </w:pict>
      </w:r>
      <w:r>
        <w:rPr>
          <w:sz w:val="12"/>
        </w:rPr>
        <w:t>24</w:t>
      </w:r>
    </w:p>
    <w:p>
      <w:pPr>
        <w:pStyle w:val="BodyText"/>
        <w:rPr>
          <w:sz w:val="12"/>
        </w:rPr>
      </w:pPr>
    </w:p>
    <w:p>
      <w:pPr>
        <w:pStyle w:val="BodyText"/>
        <w:spacing w:before="9"/>
        <w:rPr>
          <w:sz w:val="11"/>
        </w:rPr>
      </w:pPr>
    </w:p>
    <w:p>
      <w:pPr>
        <w:spacing w:before="0"/>
        <w:ind w:left="631" w:right="0" w:firstLine="0"/>
        <w:jc w:val="left"/>
        <w:rPr>
          <w:sz w:val="12"/>
        </w:rPr>
      </w:pPr>
      <w:r>
        <w:rPr/>
        <w:pict>
          <v:line style="position:absolute;mso-position-horizontal-relative:page;mso-position-vertical-relative:paragraph;z-index:16279552" from="202.748993pt,4.599762pt" to="207.082993pt,4.599762pt" stroked="true" strokeweight=".5pt" strokecolor="#000000">
            <v:stroke dashstyle="solid"/>
            <w10:wrap type="none"/>
          </v:line>
        </w:pict>
      </w:r>
      <w:r>
        <w:rPr>
          <w:sz w:val="12"/>
        </w:rPr>
        <w:t>22</w:t>
      </w:r>
    </w:p>
    <w:p>
      <w:pPr>
        <w:pStyle w:val="BodyText"/>
        <w:rPr>
          <w:sz w:val="12"/>
        </w:rPr>
      </w:pPr>
    </w:p>
    <w:p>
      <w:pPr>
        <w:pStyle w:val="BodyText"/>
        <w:spacing w:before="10"/>
        <w:rPr>
          <w:sz w:val="11"/>
        </w:rPr>
      </w:pPr>
    </w:p>
    <w:p>
      <w:pPr>
        <w:spacing w:before="0"/>
        <w:ind w:left="631" w:right="0" w:firstLine="0"/>
        <w:jc w:val="left"/>
        <w:rPr>
          <w:sz w:val="12"/>
        </w:rPr>
      </w:pPr>
      <w:r>
        <w:rPr/>
        <w:pict>
          <v:line style="position:absolute;mso-position-horizontal-relative:page;mso-position-vertical-relative:paragraph;z-index:16280576" from="202.748993pt,4.622162pt" to="207.082993pt,4.622162pt" stroked="true" strokeweight=".5pt" strokecolor="#000000">
            <v:stroke dashstyle="solid"/>
            <w10:wrap type="none"/>
          </v:line>
        </w:pict>
      </w:r>
      <w:r>
        <w:rPr>
          <w:sz w:val="12"/>
        </w:rPr>
        <w:t>20</w:t>
      </w:r>
    </w:p>
    <w:p>
      <w:pPr>
        <w:pStyle w:val="BodyText"/>
        <w:rPr>
          <w:sz w:val="12"/>
        </w:rPr>
      </w:pPr>
    </w:p>
    <w:p>
      <w:pPr>
        <w:pStyle w:val="BodyText"/>
        <w:spacing w:before="9"/>
        <w:rPr>
          <w:sz w:val="11"/>
        </w:rPr>
      </w:pPr>
    </w:p>
    <w:p>
      <w:pPr>
        <w:spacing w:before="0"/>
        <w:ind w:left="631" w:right="0" w:firstLine="0"/>
        <w:jc w:val="left"/>
        <w:rPr>
          <w:sz w:val="12"/>
        </w:rPr>
      </w:pPr>
      <w:r>
        <w:rPr/>
        <w:pict>
          <v:line style="position:absolute;mso-position-horizontal-relative:page;mso-position-vertical-relative:paragraph;z-index:16280064" from="202.748993pt,4.643563pt" to="207.082993pt,4.643563pt" stroked="true" strokeweight=".5pt" strokecolor="#000000">
            <v:stroke dashstyle="solid"/>
            <w10:wrap type="none"/>
          </v:line>
        </w:pict>
      </w:r>
      <w:r>
        <w:rPr>
          <w:sz w:val="12"/>
        </w:rPr>
        <w:t>18</w:t>
      </w:r>
    </w:p>
    <w:p>
      <w:pPr>
        <w:pStyle w:val="BodyText"/>
        <w:rPr>
          <w:sz w:val="12"/>
        </w:rPr>
      </w:pPr>
    </w:p>
    <w:p>
      <w:pPr>
        <w:pStyle w:val="BodyText"/>
        <w:spacing w:before="9"/>
        <w:rPr>
          <w:sz w:val="11"/>
        </w:rPr>
      </w:pPr>
    </w:p>
    <w:p>
      <w:pPr>
        <w:spacing w:before="0"/>
        <w:ind w:left="631" w:right="0" w:firstLine="0"/>
        <w:jc w:val="left"/>
        <w:rPr>
          <w:sz w:val="12"/>
        </w:rPr>
      </w:pPr>
      <w:r>
        <w:rPr/>
        <w:pict>
          <v:shape style="position:absolute;margin-left:46.238998pt;margin-top:4.666558pt;width:161.6pt;height:6.65pt;mso-position-horizontal-relative:page;mso-position-vertical-relative:paragraph;z-index:16277504" coordorigin="925,93" coordsize="3232,133" path="m1099,222l3967,222m1096,155l1096,222m1484,155l1484,222m1871,155l1871,222m2259,155l2259,222m2647,155l2647,222m3034,155l3034,222m3422,155l3422,222m3809,155l3809,222m4055,93l4142,93m4136,99l4136,125,4116,142,4156,155,4116,175,4156,192,4133,202,4132,225m3539,222l4133,222m925,98l1011,98m1012,99l1012,125,992,142,1032,155,992,175,1032,192,1009,202,1008,225m925,222l1636,222e" filled="false" stroked="true" strokeweight=".5pt" strokecolor="#000000">
            <v:path arrowok="t"/>
            <v:stroke dashstyle="solid"/>
            <w10:wrap type="none"/>
          </v:shape>
        </w:pict>
      </w:r>
      <w:r>
        <w:rPr>
          <w:sz w:val="12"/>
        </w:rPr>
        <w:t>16</w:t>
      </w:r>
    </w:p>
    <w:p>
      <w:pPr>
        <w:spacing w:line="95" w:lineRule="exact" w:before="12"/>
        <w:ind w:left="691" w:right="0" w:firstLine="0"/>
        <w:jc w:val="left"/>
        <w:rPr>
          <w:sz w:val="12"/>
        </w:rPr>
      </w:pPr>
      <w:r>
        <w:rPr>
          <w:sz w:val="12"/>
        </w:rPr>
        <w:t>0</w:t>
      </w:r>
    </w:p>
    <w:p>
      <w:pPr>
        <w:pStyle w:val="BodyText"/>
        <w:spacing w:before="7"/>
        <w:rPr>
          <w:sz w:val="39"/>
        </w:rPr>
      </w:pPr>
      <w:r>
        <w:rPr/>
        <w:br w:type="column"/>
      </w:r>
      <w:r>
        <w:rPr>
          <w:sz w:val="39"/>
        </w:rPr>
      </w:r>
    </w:p>
    <w:p>
      <w:pPr>
        <w:pStyle w:val="ListParagraph"/>
        <w:numPr>
          <w:ilvl w:val="1"/>
          <w:numId w:val="35"/>
        </w:numPr>
        <w:tabs>
          <w:tab w:pos="3194" w:val="left" w:leader="none"/>
          <w:tab w:pos="3195" w:val="left" w:leader="none"/>
          <w:tab w:pos="5699" w:val="left" w:leader="none"/>
        </w:tabs>
        <w:spacing w:line="240" w:lineRule="auto" w:before="1" w:after="0"/>
        <w:ind w:left="3194" w:right="0" w:hanging="2995"/>
        <w:jc w:val="left"/>
        <w:rPr>
          <w:b/>
          <w:sz w:val="28"/>
        </w:rPr>
      </w:pPr>
      <w:r>
        <w:rPr>
          <w:b/>
          <w:color w:val="009391"/>
          <w:sz w:val="28"/>
          <w:u w:val="thick" w:color="0092C7"/>
        </w:rPr>
        <w:t>Other price</w:t>
      </w:r>
      <w:r>
        <w:rPr>
          <w:b/>
          <w:color w:val="009391"/>
          <w:spacing w:val="-16"/>
          <w:sz w:val="28"/>
          <w:u w:val="thick" w:color="0092C7"/>
        </w:rPr>
        <w:t> </w:t>
      </w:r>
      <w:r>
        <w:rPr>
          <w:b/>
          <w:color w:val="009391"/>
          <w:sz w:val="28"/>
          <w:u w:val="thick" w:color="0092C7"/>
        </w:rPr>
        <w:t>indices</w:t>
        <w:tab/>
      </w:r>
    </w:p>
    <w:p>
      <w:pPr>
        <w:spacing w:line="242" w:lineRule="auto" w:before="263"/>
        <w:ind w:left="200" w:right="129" w:firstLine="0"/>
        <w:jc w:val="left"/>
        <w:rPr>
          <w:sz w:val="24"/>
        </w:rPr>
      </w:pPr>
      <w:r>
        <w:rPr>
          <w:sz w:val="24"/>
        </w:rPr>
        <w:t>The trimmed mean measure of RPIX inflation has risen since the turn of the </w:t>
      </w:r>
      <w:r>
        <w:rPr>
          <w:spacing w:val="-3"/>
          <w:sz w:val="24"/>
        </w:rPr>
        <w:t>year, </w:t>
      </w:r>
      <w:r>
        <w:rPr>
          <w:sz w:val="24"/>
        </w:rPr>
        <w:t>to 2.1% in June. This measure excludes</w:t>
      </w:r>
      <w:r>
        <w:rPr>
          <w:spacing w:val="-8"/>
          <w:sz w:val="24"/>
        </w:rPr>
        <w:t> </w:t>
      </w:r>
      <w:r>
        <w:rPr>
          <w:sz w:val="24"/>
        </w:rPr>
        <w:t>the</w:t>
      </w:r>
      <w:r>
        <w:rPr>
          <w:spacing w:val="-7"/>
          <w:sz w:val="24"/>
        </w:rPr>
        <w:t> </w:t>
      </w:r>
      <w:r>
        <w:rPr>
          <w:sz w:val="24"/>
        </w:rPr>
        <w:t>largest</w:t>
      </w:r>
      <w:r>
        <w:rPr>
          <w:spacing w:val="-7"/>
          <w:sz w:val="24"/>
        </w:rPr>
        <w:t> </w:t>
      </w:r>
      <w:r>
        <w:rPr>
          <w:sz w:val="24"/>
        </w:rPr>
        <w:t>and</w:t>
      </w:r>
      <w:r>
        <w:rPr>
          <w:spacing w:val="-7"/>
          <w:sz w:val="24"/>
        </w:rPr>
        <w:t> </w:t>
      </w:r>
      <w:r>
        <w:rPr>
          <w:sz w:val="24"/>
        </w:rPr>
        <w:t>smallest</w:t>
      </w:r>
      <w:r>
        <w:rPr>
          <w:spacing w:val="-8"/>
          <w:sz w:val="24"/>
        </w:rPr>
        <w:t> </w:t>
      </w:r>
      <w:r>
        <w:rPr>
          <w:sz w:val="24"/>
        </w:rPr>
        <w:t>weighted</w:t>
      </w:r>
      <w:r>
        <w:rPr>
          <w:spacing w:val="-7"/>
          <w:sz w:val="24"/>
        </w:rPr>
        <w:t> </w:t>
      </w:r>
      <w:r>
        <w:rPr>
          <w:sz w:val="24"/>
        </w:rPr>
        <w:t>price</w:t>
      </w:r>
      <w:r>
        <w:rPr>
          <w:spacing w:val="-7"/>
          <w:sz w:val="24"/>
        </w:rPr>
        <w:t> </w:t>
      </w:r>
      <w:r>
        <w:rPr>
          <w:sz w:val="24"/>
        </w:rPr>
        <w:t>changes in the individual components of the RPI, to provide an indicator of underlying inflation that excludes major shifts in relative prices. In April and </w:t>
      </w:r>
      <w:r>
        <w:rPr>
          <w:spacing w:val="-5"/>
          <w:sz w:val="24"/>
        </w:rPr>
        <w:t>May, </w:t>
      </w:r>
      <w:r>
        <w:rPr>
          <w:sz w:val="24"/>
        </w:rPr>
        <w:t>the trimmed mean measure was higher than the overall inflation measure for the first time in more than eight years (see Chart 4.12)—the sharp falls in utility prices in April and May were excluded from the trimmed mean</w:t>
      </w:r>
      <w:r>
        <w:rPr>
          <w:spacing w:val="-27"/>
          <w:sz w:val="24"/>
        </w:rPr>
        <w:t> </w:t>
      </w:r>
      <w:r>
        <w:rPr>
          <w:sz w:val="24"/>
        </w:rPr>
        <w:t>measure.</w:t>
      </w:r>
    </w:p>
    <w:p>
      <w:pPr>
        <w:spacing w:line="208" w:lineRule="exact" w:before="13"/>
        <w:ind w:left="200" w:right="0" w:firstLine="0"/>
        <w:jc w:val="left"/>
        <w:rPr>
          <w:sz w:val="24"/>
        </w:rPr>
      </w:pPr>
      <w:r>
        <w:rPr>
          <w:sz w:val="24"/>
        </w:rPr>
        <w:t>The</w:t>
      </w:r>
      <w:r>
        <w:rPr>
          <w:spacing w:val="-8"/>
          <w:sz w:val="24"/>
        </w:rPr>
        <w:t> </w:t>
      </w:r>
      <w:r>
        <w:rPr>
          <w:sz w:val="24"/>
        </w:rPr>
        <w:t>box</w:t>
      </w:r>
      <w:r>
        <w:rPr>
          <w:spacing w:val="-7"/>
          <w:sz w:val="24"/>
        </w:rPr>
        <w:t> </w:t>
      </w:r>
      <w:r>
        <w:rPr>
          <w:sz w:val="24"/>
        </w:rPr>
        <w:t>above</w:t>
      </w:r>
      <w:r>
        <w:rPr>
          <w:spacing w:val="-7"/>
          <w:sz w:val="24"/>
        </w:rPr>
        <w:t> </w:t>
      </w:r>
      <w:r>
        <w:rPr>
          <w:sz w:val="24"/>
        </w:rPr>
        <w:t>presents</w:t>
      </w:r>
      <w:r>
        <w:rPr>
          <w:spacing w:val="-8"/>
          <w:sz w:val="24"/>
        </w:rPr>
        <w:t> </w:t>
      </w:r>
      <w:r>
        <w:rPr>
          <w:sz w:val="24"/>
        </w:rPr>
        <w:t>additional</w:t>
      </w:r>
      <w:r>
        <w:rPr>
          <w:spacing w:val="-7"/>
          <w:sz w:val="24"/>
        </w:rPr>
        <w:t> </w:t>
      </w:r>
      <w:r>
        <w:rPr>
          <w:sz w:val="24"/>
        </w:rPr>
        <w:t>information</w:t>
      </w:r>
      <w:r>
        <w:rPr>
          <w:spacing w:val="-7"/>
          <w:sz w:val="24"/>
        </w:rPr>
        <w:t> </w:t>
      </w:r>
      <w:r>
        <w:rPr>
          <w:sz w:val="24"/>
        </w:rPr>
        <w:t>on</w:t>
      </w:r>
      <w:r>
        <w:rPr>
          <w:spacing w:val="-7"/>
          <w:sz w:val="24"/>
        </w:rPr>
        <w:t> </w:t>
      </w:r>
      <w:r>
        <w:rPr>
          <w:sz w:val="24"/>
        </w:rPr>
        <w:t>the</w:t>
      </w:r>
    </w:p>
    <w:p>
      <w:pPr>
        <w:spacing w:after="0" w:line="208" w:lineRule="exact"/>
        <w:jc w:val="left"/>
        <w:rPr>
          <w:sz w:val="24"/>
        </w:rPr>
        <w:sectPr>
          <w:type w:val="continuous"/>
          <w:pgSz w:w="11900" w:h="16840"/>
          <w:pgMar w:top="1260" w:bottom="280" w:left="640" w:right="640"/>
          <w:cols w:num="3" w:equalWidth="0">
            <w:col w:w="2522" w:space="390"/>
            <w:col w:w="792" w:space="1061"/>
            <w:col w:w="5855"/>
          </w:cols>
        </w:sectPr>
      </w:pPr>
    </w:p>
    <w:p>
      <w:pPr>
        <w:tabs>
          <w:tab w:pos="779" w:val="left" w:leader="none"/>
          <w:tab w:pos="1167" w:val="left" w:leader="none"/>
          <w:tab w:pos="1554" w:val="left" w:leader="none"/>
          <w:tab w:pos="1942" w:val="left" w:leader="none"/>
          <w:tab w:pos="2329" w:val="left" w:leader="none"/>
          <w:tab w:pos="2717" w:val="left" w:leader="none"/>
          <w:tab w:pos="3104" w:val="left" w:leader="none"/>
        </w:tabs>
        <w:spacing w:line="133" w:lineRule="exact" w:before="0"/>
        <w:ind w:left="320" w:right="0" w:firstLine="0"/>
        <w:jc w:val="left"/>
        <w:rPr>
          <w:sz w:val="12"/>
        </w:rPr>
      </w:pPr>
      <w:r>
        <w:rPr>
          <w:sz w:val="12"/>
        </w:rPr>
        <w:t>1963</w:t>
        <w:tab/>
        <w:t>68</w:t>
        <w:tab/>
        <w:t>73</w:t>
        <w:tab/>
        <w:t>78</w:t>
        <w:tab/>
        <w:t>83</w:t>
        <w:tab/>
        <w:t>88</w:t>
        <w:tab/>
        <w:t>93</w:t>
        <w:tab/>
        <w:t>98</w:t>
      </w:r>
    </w:p>
    <w:p>
      <w:pPr>
        <w:pStyle w:val="BodyText"/>
        <w:rPr>
          <w:sz w:val="12"/>
        </w:rPr>
      </w:pPr>
    </w:p>
    <w:p>
      <w:pPr>
        <w:spacing w:before="0"/>
        <w:ind w:left="200" w:right="0" w:firstLine="0"/>
        <w:jc w:val="left"/>
        <w:rPr>
          <w:sz w:val="12"/>
        </w:rPr>
      </w:pPr>
      <w:r>
        <w:rPr>
          <w:sz w:val="12"/>
        </w:rPr>
        <w:t>Source: ONS.</w:t>
      </w:r>
    </w:p>
    <w:p>
      <w:pPr>
        <w:pStyle w:val="BodyText"/>
        <w:spacing w:before="2"/>
        <w:rPr>
          <w:sz w:val="10"/>
        </w:rPr>
      </w:pPr>
    </w:p>
    <w:p>
      <w:pPr>
        <w:spacing w:line="208" w:lineRule="auto" w:before="0"/>
        <w:ind w:left="440" w:right="38" w:hanging="240"/>
        <w:jc w:val="both"/>
        <w:rPr>
          <w:sz w:val="12"/>
        </w:rPr>
      </w:pPr>
      <w:r>
        <w:rPr>
          <w:sz w:val="12"/>
        </w:rPr>
        <w:t>(a) Defined as the gross operating surplus of corporations (excluding the quarterly alignment adjustment) as a percentage of current price GDP at factor cost.</w:t>
      </w:r>
    </w:p>
    <w:p>
      <w:pPr>
        <w:spacing w:before="72"/>
        <w:ind w:left="200" w:right="0" w:firstLine="0"/>
        <w:jc w:val="left"/>
        <w:rPr>
          <w:sz w:val="24"/>
        </w:rPr>
      </w:pPr>
      <w:r>
        <w:rPr/>
        <w:br w:type="column"/>
      </w:r>
      <w:r>
        <w:rPr>
          <w:sz w:val="24"/>
        </w:rPr>
        <w:t>distribution of inflation rates.</w:t>
      </w:r>
    </w:p>
    <w:p>
      <w:pPr>
        <w:pStyle w:val="BodyText"/>
        <w:spacing w:before="8"/>
        <w:rPr>
          <w:sz w:val="24"/>
        </w:rPr>
      </w:pPr>
    </w:p>
    <w:p>
      <w:pPr>
        <w:spacing w:line="242" w:lineRule="auto" w:before="0"/>
        <w:ind w:left="200" w:right="204" w:firstLine="0"/>
        <w:jc w:val="left"/>
        <w:rPr>
          <w:sz w:val="24"/>
        </w:rPr>
      </w:pPr>
      <w:r>
        <w:rPr>
          <w:sz w:val="24"/>
        </w:rPr>
        <w:t>Overall</w:t>
      </w:r>
      <w:r>
        <w:rPr>
          <w:spacing w:val="-7"/>
          <w:sz w:val="24"/>
        </w:rPr>
        <w:t> </w:t>
      </w:r>
      <w:r>
        <w:rPr>
          <w:sz w:val="24"/>
        </w:rPr>
        <w:t>retail</w:t>
      </w:r>
      <w:r>
        <w:rPr>
          <w:spacing w:val="-7"/>
          <w:sz w:val="24"/>
        </w:rPr>
        <w:t> </w:t>
      </w:r>
      <w:r>
        <w:rPr>
          <w:sz w:val="24"/>
        </w:rPr>
        <w:t>price</w:t>
      </w:r>
      <w:r>
        <w:rPr>
          <w:spacing w:val="-7"/>
          <w:sz w:val="24"/>
        </w:rPr>
        <w:t> </w:t>
      </w:r>
      <w:r>
        <w:rPr>
          <w:sz w:val="24"/>
        </w:rPr>
        <w:t>inflation</w:t>
      </w:r>
      <w:r>
        <w:rPr>
          <w:spacing w:val="-7"/>
          <w:sz w:val="24"/>
        </w:rPr>
        <w:t> </w:t>
      </w:r>
      <w:r>
        <w:rPr>
          <w:sz w:val="24"/>
        </w:rPr>
        <w:t>is</w:t>
      </w:r>
      <w:r>
        <w:rPr>
          <w:spacing w:val="-6"/>
          <w:sz w:val="24"/>
        </w:rPr>
        <w:t> </w:t>
      </w:r>
      <w:r>
        <w:rPr>
          <w:sz w:val="24"/>
        </w:rPr>
        <w:t>affected</w:t>
      </w:r>
      <w:r>
        <w:rPr>
          <w:spacing w:val="-7"/>
          <w:sz w:val="24"/>
        </w:rPr>
        <w:t> </w:t>
      </w:r>
      <w:r>
        <w:rPr>
          <w:sz w:val="24"/>
        </w:rPr>
        <w:t>by</w:t>
      </w:r>
      <w:r>
        <w:rPr>
          <w:spacing w:val="-7"/>
          <w:sz w:val="24"/>
        </w:rPr>
        <w:t> </w:t>
      </w:r>
      <w:r>
        <w:rPr>
          <w:sz w:val="24"/>
        </w:rPr>
        <w:t>a</w:t>
      </w:r>
      <w:r>
        <w:rPr>
          <w:spacing w:val="-7"/>
          <w:sz w:val="24"/>
        </w:rPr>
        <w:t> </w:t>
      </w:r>
      <w:r>
        <w:rPr>
          <w:sz w:val="24"/>
        </w:rPr>
        <w:t>combination of imported and domestically generated inflationary factors. In recent years the weakness of import prices has exerted downward pressure on retail price inflation. </w:t>
      </w:r>
      <w:r>
        <w:rPr>
          <w:spacing w:val="-10"/>
          <w:sz w:val="24"/>
        </w:rPr>
        <w:t>To </w:t>
      </w:r>
      <w:r>
        <w:rPr>
          <w:sz w:val="24"/>
        </w:rPr>
        <w:t>the extent that such pressure reflects the</w:t>
      </w:r>
      <w:r>
        <w:rPr>
          <w:spacing w:val="-11"/>
          <w:sz w:val="24"/>
        </w:rPr>
        <w:t> </w:t>
      </w:r>
      <w:r>
        <w:rPr>
          <w:sz w:val="24"/>
        </w:rPr>
        <w:t>past</w:t>
      </w:r>
    </w:p>
    <w:p>
      <w:pPr>
        <w:spacing w:after="0" w:line="242" w:lineRule="auto"/>
        <w:jc w:val="left"/>
        <w:rPr>
          <w:sz w:val="24"/>
        </w:rPr>
        <w:sectPr>
          <w:type w:val="continuous"/>
          <w:pgSz w:w="11900" w:h="16840"/>
          <w:pgMar w:top="1260" w:bottom="280" w:left="640" w:right="640"/>
          <w:cols w:num="2" w:equalWidth="0">
            <w:col w:w="3822" w:space="944"/>
            <w:col w:w="5854"/>
          </w:cols>
        </w:sectPr>
      </w:pPr>
    </w:p>
    <w:p>
      <w:pPr>
        <w:pStyle w:val="BodyText"/>
        <w:rPr>
          <w:sz w:val="20"/>
        </w:rPr>
      </w:pPr>
    </w:p>
    <w:p>
      <w:pPr>
        <w:spacing w:after="0"/>
        <w:rPr>
          <w:sz w:val="20"/>
        </w:rPr>
        <w:sectPr>
          <w:headerReference w:type="even" r:id="rId153"/>
          <w:headerReference w:type="default" r:id="rId154"/>
          <w:footerReference w:type="even" r:id="rId155"/>
          <w:footerReference w:type="default" r:id="rId156"/>
          <w:pgSz w:w="11900" w:h="16840"/>
          <w:pgMar w:header="586" w:footer="592" w:top="780" w:bottom="780" w:left="640" w:right="640"/>
          <w:pgNumType w:start="38"/>
        </w:sectPr>
      </w:pPr>
    </w:p>
    <w:p>
      <w:pPr>
        <w:pStyle w:val="BodyText"/>
        <w:spacing w:before="5"/>
        <w:rPr>
          <w:sz w:val="21"/>
        </w:rPr>
      </w:pPr>
    </w:p>
    <w:p>
      <w:pPr>
        <w:pStyle w:val="Heading6"/>
        <w:spacing w:line="249" w:lineRule="auto" w:before="0"/>
        <w:ind w:left="170" w:right="1"/>
        <w:rPr>
          <w:b w:val="0"/>
          <w:sz w:val="12"/>
        </w:rPr>
      </w:pPr>
      <w:bookmarkStart w:name="Summary" w:id="69"/>
      <w:bookmarkEnd w:id="69"/>
      <w:r>
        <w:rPr>
          <w:b w:val="0"/>
        </w:rPr>
      </w:r>
      <w:bookmarkStart w:name="_bookmark28" w:id="70"/>
      <w:bookmarkEnd w:id="70"/>
      <w:r>
        <w:rPr>
          <w:b w:val="0"/>
        </w:rPr>
      </w:r>
      <w:r>
        <w:rPr>
          <w:color w:val="0092C7"/>
        </w:rPr>
        <w:t>Chart 4.12 </w:t>
      </w:r>
      <w:r>
        <w:rPr>
          <w:color w:val="FF0000"/>
        </w:rPr>
        <w:t>Click here for erratum </w:t>
      </w:r>
      <w:r>
        <w:rPr>
          <w:color w:val="0092C7"/>
        </w:rPr>
        <w:t>Trimmed mean of retail price inflation</w:t>
      </w:r>
      <w:r>
        <w:rPr>
          <w:b w:val="0"/>
          <w:position w:val="4"/>
          <w:sz w:val="12"/>
        </w:rPr>
        <w:t>(a)</w:t>
      </w:r>
    </w:p>
    <w:p>
      <w:pPr>
        <w:spacing w:line="125" w:lineRule="exact" w:before="155"/>
        <w:ind w:left="1672" w:right="0" w:firstLine="0"/>
        <w:jc w:val="left"/>
        <w:rPr>
          <w:sz w:val="12"/>
        </w:rPr>
      </w:pPr>
      <w:r>
        <w:rPr>
          <w:sz w:val="12"/>
        </w:rPr>
        <w:t>Percentage changes on a year earlier</w:t>
      </w:r>
    </w:p>
    <w:p>
      <w:pPr>
        <w:spacing w:line="113" w:lineRule="exact" w:before="0"/>
        <w:ind w:left="3450" w:right="0" w:firstLine="0"/>
        <w:jc w:val="left"/>
        <w:rPr>
          <w:sz w:val="12"/>
        </w:rPr>
      </w:pPr>
      <w:r>
        <w:rPr/>
        <w:pict>
          <v:line style="position:absolute;mso-position-horizontal-relative:page;mso-position-vertical-relative:paragraph;z-index:16297472" from="42.806999pt,3.196747pt" to="47.139999pt,3.196747pt" stroked="true" strokeweight=".5pt" strokecolor="#000000">
            <v:stroke dashstyle="solid"/>
            <w10:wrap type="none"/>
          </v:line>
        </w:pict>
      </w:r>
      <w:r>
        <w:rPr/>
        <w:pict>
          <v:line style="position:absolute;mso-position-horizontal-relative:page;mso-position-vertical-relative:paragraph;z-index:16299008" from="198.768005pt,2.792747pt" to="203.102005pt,2.792747pt" stroked="true" strokeweight=".5pt" strokecolor="#000000">
            <v:stroke dashstyle="solid"/>
            <w10:wrap type="none"/>
          </v:line>
        </w:pict>
      </w:r>
      <w:r>
        <w:rPr>
          <w:sz w:val="12"/>
        </w:rPr>
        <w:t>10</w:t>
      </w:r>
    </w:p>
    <w:p>
      <w:pPr>
        <w:pStyle w:val="BodyText"/>
        <w:spacing w:before="2"/>
        <w:rPr>
          <w:sz w:val="23"/>
        </w:rPr>
      </w:pPr>
      <w:r>
        <w:rPr/>
        <w:br w:type="column"/>
      </w:r>
      <w:r>
        <w:rPr>
          <w:sz w:val="23"/>
        </w:rPr>
      </w:r>
    </w:p>
    <w:p>
      <w:pPr>
        <w:spacing w:line="242" w:lineRule="auto" w:before="0"/>
        <w:ind w:left="170" w:right="0" w:firstLine="0"/>
        <w:jc w:val="left"/>
        <w:rPr>
          <w:sz w:val="24"/>
        </w:rPr>
      </w:pPr>
      <w:r>
        <w:rPr>
          <w:sz w:val="24"/>
        </w:rPr>
        <w:t>appreciation of sterling, it may be expected to wear off. Measures of domestically generated inflation (DGI) provide information on the pressure being exerted on</w:t>
      </w:r>
    </w:p>
    <w:p>
      <w:pPr>
        <w:spacing w:after="0" w:line="242" w:lineRule="auto"/>
        <w:jc w:val="left"/>
        <w:rPr>
          <w:sz w:val="24"/>
        </w:rPr>
        <w:sectPr>
          <w:type w:val="continuous"/>
          <w:pgSz w:w="11900" w:h="16840"/>
          <w:pgMar w:top="1260" w:bottom="280" w:left="640" w:right="640"/>
          <w:cols w:num="2" w:equalWidth="0">
            <w:col w:w="3630" w:space="1175"/>
            <w:col w:w="5815"/>
          </w:cols>
        </w:sectPr>
      </w:pPr>
    </w:p>
    <w:p>
      <w:pPr>
        <w:pStyle w:val="BodyText"/>
        <w:spacing w:before="1"/>
        <w:rPr>
          <w:sz w:val="13"/>
        </w:rPr>
      </w:pPr>
    </w:p>
    <w:p>
      <w:pPr>
        <w:spacing w:before="0"/>
        <w:ind w:left="0" w:right="0" w:firstLine="0"/>
        <w:jc w:val="right"/>
        <w:rPr>
          <w:sz w:val="12"/>
        </w:rPr>
      </w:pPr>
      <w:r>
        <w:rPr/>
        <w:pict>
          <v:group style="position:absolute;margin-left:51pt;margin-top:-3.226074pt;width:152.15pt;height:118.5pt;mso-position-horizontal-relative:page;mso-position-vertical-relative:paragraph;z-index:-23001600" coordorigin="1020,-65" coordsize="3043,2370">
            <v:shape style="position:absolute;left:1030;top:1152;width:525;height:663" coordorigin="1030,1153" coordsize="525,663" path="m1030,1813l1055,1815m1055,1813l1068,1780m1068,1780l1090,1653m1090,1653l1103,1620m1103,1620l1128,1573m1128,1573l1140,1508m1140,1508l1165,1475m1165,1475l1190,1478m1190,1475l1200,1478m1200,1475l1225,1508m1225,1508l1238,1523m1238,1523l1263,1443m1263,1443l1288,1428m1288,1428l1300,1410m1300,1410l1323,1413m1323,1410l1335,1413m1335,1410l1360,1428m1360,1428l1373,1430m1373,1428l1398,1460m1398,1460l1423,1443m1423,1443l1433,1378m1433,1378l1458,1395m1458,1395l1470,1398m1470,1395l1495,1363m1495,1363l1508,1315m1508,1315l1533,1283m1533,1283l1555,1153e" filled="false" stroked="true" strokeweight="1pt" strokecolor="#b3dabb">
              <v:path arrowok="t"/>
              <v:stroke dashstyle="solid"/>
            </v:shape>
            <v:line style="position:absolute" from="1561,1015" to="1561,1163" stroked="true" strokeweight="1.625pt" strokecolor="#b3dabb">
              <v:stroke dashstyle="solid"/>
            </v:line>
            <v:shape style="position:absolute;left:1567;top:782;width:198;height:243" coordorigin="1568,783" coordsize="198,243" path="m1568,1025l1593,993m1593,993l1605,975m1605,975l1630,863m1630,863l1643,830m1643,830l1665,833m1665,830l1690,815m1690,815l1703,783m1703,783l1728,848m1728,848l1740,850m1740,848l1765,850e" filled="false" stroked="true" strokeweight="1pt" strokecolor="#b3dabb">
              <v:path arrowok="t"/>
              <v:stroke dashstyle="solid"/>
            </v:shape>
            <v:line style="position:absolute" from="1776,530" to="1776,858" stroked="true" strokeweight="2.125pt" strokecolor="#b3dabb">
              <v:stroke dashstyle="solid"/>
            </v:line>
            <v:shape style="position:absolute;left:1787;top:540;width:673;height:1468" coordorigin="1788,540" coordsize="673,1468" path="m1788,540l1800,590m1800,590l1825,593m1825,590l1838,605m1838,605l1863,685m1863,685l1875,735m1875,735l1898,783m1898,783l1923,815m1923,815l1935,863m1935,863l1960,880m1960,880l1973,895m1973,895l1998,880m1998,880l2008,1345m2008,1345l2033,1460m2033,1460l2058,1523m2058,1523l2070,1588m2070,1588l2095,1653m2095,1653l2108,1718m2108,1718l2130,1765m2130,1765l2143,1798m2143,1798l2168,1813m2168,1813l2193,1943m2193,1943l2205,1910m2205,1910l2230,1878m2230,1878l2240,1893m2240,1893l2265,1925m2265,1925l2290,1958m2290,1958l2303,1943m2303,1943l2328,1893m2328,1893l2340,1863m2340,1863l2363,1925m2363,1925l2375,1958m2375,1958l2400,1975m2400,1975l2425,1863m2425,1863l2438,1925m2438,1925l2460,2008e" filled="false" stroked="true" strokeweight="1pt" strokecolor="#b3dabb">
              <v:path arrowok="t"/>
              <v:stroke dashstyle="solid"/>
            </v:shape>
            <v:line style="position:absolute" from="2466,1998" to="2466,2145" stroked="true" strokeweight="1.625pt" strokecolor="#b3dabb">
              <v:stroke dashstyle="solid"/>
            </v:line>
            <v:shape style="position:absolute;left:2472;top:1845;width:1433;height:450" coordorigin="2473,1845" coordsize="1433,450" path="m2473,2135l2498,2153m2498,2153l2510,2155m2510,2153l2535,2233m2535,2233l2560,2235m2560,2233l2573,2280m2573,2280l2595,2295m2595,2295l2608,2265m2608,2265l2633,2215m2633,2215l2645,2183m2645,2183l2670,2168m2670,2168l2693,2120m2693,2120l2705,2103m2705,2103l2730,2070m2730,2070l2743,2023m2743,2023l2768,1990m2768,1990l2793,1975m2793,1975l2803,1943m2803,1943l2828,1958m2828,1958l2840,1960m2840,1958l2865,1943m2865,1943l2878,1958m2878,1958l2903,1960m2903,1958l2925,1990m2925,1990l2938,1958m2938,1958l2963,1975m2963,1975l2975,1990m2975,1990l3000,1958m3000,1958l3013,1943m3013,1943l3035,1910m3035,1910l3060,1863m3060,1863l3073,1845m3073,1845l3098,1878m3098,1878l3110,1880m3110,1878l3135,1893m3135,1893l3148,1925m3148,1925l3170,1990m3170,1990l3195,1975m3195,1975l3208,1978m3208,1975l3233,1978m3233,1975l3245,1978m3245,1975l3268,1990m3268,1990l3293,1993m3293,1990l3305,2023m3305,2023l3330,2025m3330,2023l3343,2038m3343,2038l3368,2023m3368,2023l3378,2025m3378,2023l3428,1958m3428,1958l3440,2023m3440,2023l3465,2025m3465,2023l3478,2070m3478,2070l3500,2088m3500,2088l3513,2090m3513,2088l3538,2090m3538,2088l3563,2103m3563,2103l3575,2088m3575,2088l3600,2153m3600,2153l3610,2135m3610,2135l3635,2138m3635,2135l3648,2200m3648,2200l3673,2183m3673,2183l3698,2200m3698,2200l3710,2203m3710,2200l3733,2215m3733,2215l3745,2233m3745,2233l3770,2215m3770,2215l3795,2233m3795,2233l3808,2183m3808,2183l3833,2153m3833,2153l3843,2135m3843,2135l3868,2120m3868,2120l3880,2088m3880,2088l3905,2090e" filled="false" stroked="true" strokeweight="1pt" strokecolor="#b3dabb">
              <v:path arrowok="t"/>
              <v:stroke dashstyle="solid"/>
            </v:shape>
            <v:shape style="position:absolute;left:1020;top:870;width:523;height:793" type="#_x0000_t75" stroked="false">
              <v:imagedata r:id="rId157" o:title=""/>
            </v:shape>
            <v:line style="position:absolute" from="1533,880" to="1555,398" stroked="true" strokeweight="1pt" strokecolor="#de0035">
              <v:stroke dashstyle="solid"/>
            </v:line>
            <v:shape style="position:absolute;left:1545;top:-65;width:230;height:473" type="#_x0000_t75" stroked="false">
              <v:imagedata r:id="rId158" o:title=""/>
            </v:shape>
            <v:shape style="position:absolute;left:1765;top:252;width:98;height:643" coordorigin="1765,253" coordsize="98,643" path="m1765,253l1788,735m1788,735l1800,768m1800,768l1825,703m1825,703l1838,735m1838,735l1863,895e" filled="false" stroked="true" strokeweight="1pt" strokecolor="#de0035">
              <v:path arrowok="t"/>
              <v:stroke dashstyle="solid"/>
            </v:shape>
            <v:line style="position:absolute" from="1869,885" to="1869,1050" stroked="true" strokeweight="1.625pt" strokecolor="#de0035">
              <v:stroke dashstyle="solid"/>
            </v:line>
            <v:shape style="position:absolute;left:1875;top:1007;width:183;height:290" coordorigin="1875,1008" coordsize="183,290" path="m1875,1040l1898,1105m1898,1105l1935,1008m1935,1008l1960,1058m1960,1058l1973,1073m1973,1073l1998,1025m1998,1025l2008,1040m2008,1040l2033,1153m2033,1153l2058,1298e" filled="false" stroked="true" strokeweight="1pt" strokecolor="#de0035">
              <v:path arrowok="t"/>
              <v:stroke dashstyle="solid"/>
            </v:shape>
            <v:line style="position:absolute" from="2064,1288" to="2064,1420" stroked="true" strokeweight="1.625pt" strokecolor="#de0035">
              <v:stroke dashstyle="solid"/>
            </v:line>
            <v:shape style="position:absolute;left:2070;top:1410;width:160;height:340" coordorigin="2070,1410" coordsize="160,340" path="m2070,1410l2095,1475m2095,1475l2108,1523m2108,1523l2130,1573m2130,1573l2143,1635m2143,1635l2168,1620m2168,1620l2193,1750m2193,1750l2205,1718m2205,1718l2230,1668e" filled="false" stroked="true" strokeweight="1pt" strokecolor="#de0035">
              <v:path arrowok="t"/>
              <v:stroke dashstyle="solid"/>
            </v:shape>
            <v:line style="position:absolute" from="2235,1658" to="2235,1873" stroked="true" strokeweight="1.5pt" strokecolor="#de0035">
              <v:stroke dashstyle="solid"/>
            </v:line>
            <v:shape style="position:absolute;left:2240;top:1732;width:1188;height:388" coordorigin="2240,1733" coordsize="1188,388" path="m2240,1863l2265,1865m2265,1863l2290,1878m2290,1878l2303,1863m2303,1863l2328,1780m2328,1780l2340,1733m2340,1733l2363,1863m2363,1863l2375,1958m2375,1958l2425,1863m2425,1863l2438,1878m2438,1878l2460,1975m2460,1975l2473,2008m2473,2008l2498,1975m2498,1975l2510,1990m2510,1990l2535,2055m2535,2055l2560,2023m2560,2023l2573,2088m2573,2088l2595,2120m2595,2120l2608,2023m2608,2023l2633,1975m2633,1975l2645,1893m2645,1893l2670,1910m2670,1910l2693,1878m2693,1878l2705,1925m2705,1925l2730,1910m2730,1910l2743,1863m2743,1863l2768,1878m2768,1878l2793,1845m2793,1845l2803,1780m2803,1780l2828,1845m2828,1845l2840,1848m2840,1845l2865,1830m2865,1830l2878,1863m2878,1863l2903,1865m2903,1863l2925,1830m2925,1830l2938,1845m2938,1845l2963,1893m2963,1893l2975,1895m2975,1893l3000,1863m3000,1863l3013,1865m3013,1863l3035,1830m3035,1830l3060,1733m3060,1733l3073,1735m3073,1733l3098,1798m3098,1798l3110,1800m3110,1798l3135,1863m3135,1863l3148,1925m3148,1925l3170,1958m3170,1958l3195,1960m3195,1958l3208,1910m3208,1910l3233,1830m3233,1830l3245,1878m3245,1878l3268,1893m3268,1893l3293,1878m3293,1878l3305,1880m3305,1878l3330,1910m3330,1910l3343,1975m3343,1975l3368,1943m3368,1943l3378,1945m3378,1943l3403,1830m3403,1830l3428,1765e" filled="false" stroked="true" strokeweight="1pt" strokecolor="#de0035">
              <v:path arrowok="t"/>
              <v:stroke dashstyle="solid"/>
            </v:shape>
            <v:line style="position:absolute" from="3434,1755" to="3434,1888" stroked="true" strokeweight="1.625pt" strokecolor="#de0035">
              <v:stroke dashstyle="solid"/>
            </v:line>
            <v:shape style="position:absolute;left:3440;top:1877;width:160;height:113" coordorigin="3440,1878" coordsize="160,113" path="m3440,1878l3465,1925m3465,1925l3478,1943m3478,1943l3500,1958m3500,1958l3513,1960m3513,1958l3538,1960m3538,1958l3563,1943m3563,1943l3575,1925m3575,1925l3600,1990e" filled="false" stroked="true" strokeweight="1pt" strokecolor="#de0035">
              <v:path arrowok="t"/>
              <v:stroke dashstyle="solid"/>
            </v:shape>
            <v:line style="position:absolute" from="3605,1900" to="3605,2000" stroked="true" strokeweight="1.5pt" strokecolor="#de0035">
              <v:stroke dashstyle="solid"/>
            </v:line>
            <v:shape style="position:absolute;left:3610;top:1910;width:295;height:213" coordorigin="3610,1910" coordsize="295,213" path="m3610,1910l3635,1975m3635,1975l3648,2070m3648,2070l3673,2038m3673,2038l3698,2040m3698,2038l3710,2070m3710,2070l3733,2073m3733,2070l3745,2055m3745,2055l3770,2038m3770,2038l3795,2055m3795,2055l3808,2070m3808,2070l3833,2055m3833,2055l3843,2120m3843,2120l3868,2123m3868,2120l3880,2103m3880,2103l3905,2038e" filled="false" stroked="true" strokeweight="1pt" strokecolor="#de0035">
              <v:path arrowok="t"/>
              <v:stroke dashstyle="solid"/>
            </v:shape>
            <v:shape style="position:absolute;left:3975;top:80;width:87;height:2020" coordorigin="3975,81" coordsize="87,2020" path="m3975,81l4062,81m3975,369l4062,369m3975,658l4062,658m3975,946l4062,946m3975,1235l4062,1235m3975,1523l4062,1523m3975,1812l4062,1812m3975,2100l4062,2100e" filled="false" stroked="true" strokeweight=".5pt" strokecolor="#000000">
              <v:path arrowok="t"/>
              <v:stroke dashstyle="solid"/>
            </v:shape>
            <w10:wrap type="none"/>
          </v:group>
        </w:pict>
      </w:r>
      <w:r>
        <w:rPr/>
        <w:pict>
          <v:line style="position:absolute;mso-position-horizontal-relative:page;mso-position-vertical-relative:paragraph;z-index:16296960" from="42.806999pt,4.448926pt" to="47.139999pt,4.448926pt" stroked="true" strokeweight=".5pt" strokecolor="#000000">
            <v:stroke dashstyle="solid"/>
            <w10:wrap type="none"/>
          </v:line>
        </w:pict>
      </w:r>
      <w:r>
        <w:rPr>
          <w:sz w:val="12"/>
        </w:rPr>
        <w:t>RPIX</w:t>
      </w:r>
    </w:p>
    <w:p>
      <w:pPr>
        <w:pStyle w:val="BodyText"/>
        <w:spacing w:after="39"/>
        <w:rPr>
          <w:sz w:val="17"/>
        </w:rPr>
      </w:pPr>
    </w:p>
    <w:p>
      <w:pPr>
        <w:pStyle w:val="BodyText"/>
        <w:spacing w:line="20" w:lineRule="exact"/>
        <w:ind w:left="211"/>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11"/>
        <w:rPr>
          <w:sz w:val="19"/>
        </w:rPr>
      </w:pPr>
      <w:r>
        <w:rPr/>
        <w:pict>
          <v:shape style="position:absolute;margin-left:42.806999pt;margin-top:13.675pt;width:4.350pt;height:.1pt;mso-position-horizontal-relative:page;mso-position-vertical-relative:paragraph;z-index:-15165440;mso-wrap-distance-left:0;mso-wrap-distance-right:0" coordorigin="856,274" coordsize="87,0" path="m856,274l943,274e" filled="false" stroked="true" strokeweight=".5pt" strokecolor="#000000">
            <v:path arrowok="t"/>
            <v:stroke dashstyle="solid"/>
            <w10:wrap type="topAndBottom"/>
          </v:shape>
        </w:pict>
      </w:r>
      <w:r>
        <w:rPr/>
        <w:pict>
          <v:shape style="position:absolute;margin-left:42.806999pt;margin-top:28.1pt;width:4.350pt;height:.1pt;mso-position-horizontal-relative:page;mso-position-vertical-relative:paragraph;z-index:-15164928;mso-wrap-distance-left:0;mso-wrap-distance-right:0" coordorigin="856,562" coordsize="87,0" path="m856,562l943,562e" filled="false" stroked="true" strokeweight=".5pt" strokecolor="#000000">
            <v:path arrowok="t"/>
            <v:stroke dashstyle="solid"/>
            <w10:wrap type="topAndBottom"/>
          </v:shape>
        </w:pict>
      </w:r>
      <w:r>
        <w:rPr/>
        <w:pict>
          <v:shape style="position:absolute;margin-left:42.806999pt;margin-top:42.525002pt;width:4.350pt;height:.1pt;mso-position-horizontal-relative:page;mso-position-vertical-relative:paragraph;z-index:-15164416;mso-wrap-distance-left:0;mso-wrap-distance-right:0" coordorigin="856,851" coordsize="87,0" path="m856,851l943,851e" filled="false" stroked="true" strokeweight=".5pt" strokecolor="#000000">
            <v:path arrowok="t"/>
            <v:stroke dashstyle="solid"/>
            <w10:wrap type="topAndBottom"/>
          </v:shape>
        </w:pict>
      </w:r>
      <w:r>
        <w:rPr/>
        <w:pict>
          <v:shape style="position:absolute;margin-left:42.806999pt;margin-top:56.950001pt;width:4.350pt;height:.1pt;mso-position-horizontal-relative:page;mso-position-vertical-relative:paragraph;z-index:-15163904;mso-wrap-distance-left:0;mso-wrap-distance-right:0" coordorigin="856,1139" coordsize="87,0" path="m856,1139l943,1139e" filled="false" stroked="true" strokeweight=".5pt" strokecolor="#000000">
            <v:path arrowok="t"/>
            <v:stroke dashstyle="solid"/>
            <w10:wrap type="topAndBottom"/>
          </v:shape>
        </w:pict>
      </w:r>
      <w:r>
        <w:rPr/>
        <w:pict>
          <v:shape style="position:absolute;margin-left:42.806999pt;margin-top:71.375pt;width:4.350pt;height:.1pt;mso-position-horizontal-relative:page;mso-position-vertical-relative:paragraph;z-index:-15163392;mso-wrap-distance-left:0;mso-wrap-distance-right:0" coordorigin="856,1428" coordsize="87,0" path="m856,1428l943,1428e" filled="false" stroked="true" strokeweight=".5pt" strokecolor="#000000">
            <v:path arrowok="t"/>
            <v:stroke dashstyle="solid"/>
            <w10:wrap type="topAndBottom"/>
          </v:shape>
        </w:pict>
      </w:r>
      <w:r>
        <w:rPr/>
        <w:pict>
          <v:shape style="position:absolute;margin-left:42.806999pt;margin-top:85.800003pt;width:4.350pt;height:.1pt;mso-position-horizontal-relative:page;mso-position-vertical-relative:paragraph;z-index:-15162880;mso-wrap-distance-left:0;mso-wrap-distance-right:0" coordorigin="856,1716" coordsize="87,0" path="m856,1716l943,1716e" filled="false" stroked="true" strokeweight=".5pt" strokecolor="#000000">
            <v:path arrowok="t"/>
            <v:stroke dashstyle="solid"/>
            <w10:wrap type="topAndBottom"/>
          </v:shape>
        </w:pict>
      </w:r>
      <w:r>
        <w:rPr/>
        <w:pict>
          <v:shape style="position:absolute;margin-left:42.806999pt;margin-top:100.224998pt;width:4.350pt;height:.1pt;mso-position-horizontal-relative:page;mso-position-vertical-relative:paragraph;z-index:-15162368;mso-wrap-distance-left:0;mso-wrap-distance-right:0" coordorigin="856,2004" coordsize="87,0" path="m856,2004l943,2004e" filled="false" stroked="true" strokeweight=".5pt" strokecolor="#000000">
            <v:path arrowok="t"/>
            <v:stroke dashstyle="solid"/>
            <w10:wrap type="topAndBottom"/>
          </v:shape>
        </w:pict>
      </w:r>
      <w:r>
        <w:rPr/>
        <w:pict>
          <v:shape style="position:absolute;margin-left:42.806999pt;margin-top:114.878998pt;width:4.350pt;height:.1pt;mso-position-horizontal-relative:page;mso-position-vertical-relative:paragraph;z-index:-15161856;mso-wrap-distance-left:0;mso-wrap-distance-right:0" coordorigin="856,2298" coordsize="87,0" path="m856,2298l943,2298e" filled="false" stroked="true" strokeweight=".5pt" strokecolor="#000000">
            <v:path arrowok="t"/>
            <v:stroke dashstyle="solid"/>
            <w10:wrap type="topAndBottom"/>
          </v:shape>
        </w:pict>
      </w:r>
    </w:p>
    <w:p>
      <w:pPr>
        <w:pStyle w:val="BodyText"/>
        <w:spacing w:before="3"/>
      </w:pPr>
    </w:p>
    <w:p>
      <w:pPr>
        <w:pStyle w:val="BodyText"/>
        <w:spacing w:before="3"/>
      </w:pPr>
    </w:p>
    <w:p>
      <w:pPr>
        <w:pStyle w:val="BodyText"/>
        <w:spacing w:before="3"/>
      </w:pPr>
    </w:p>
    <w:p>
      <w:pPr>
        <w:pStyle w:val="BodyText"/>
        <w:spacing w:before="3"/>
      </w:pPr>
    </w:p>
    <w:p>
      <w:pPr>
        <w:pStyle w:val="BodyText"/>
        <w:spacing w:before="3"/>
      </w:pPr>
    </w:p>
    <w:p>
      <w:pPr>
        <w:pStyle w:val="BodyText"/>
        <w:spacing w:before="3"/>
      </w:pPr>
    </w:p>
    <w:p>
      <w:pPr>
        <w:pStyle w:val="BodyText"/>
        <w:spacing w:before="8"/>
      </w:pPr>
    </w:p>
    <w:p>
      <w:pPr>
        <w:pStyle w:val="BodyText"/>
        <w:spacing w:before="1"/>
        <w:rPr>
          <w:sz w:val="14"/>
        </w:rPr>
      </w:pPr>
      <w:r>
        <w:rPr/>
        <w:br w:type="column"/>
      </w:r>
      <w:r>
        <w:rPr>
          <w:sz w:val="14"/>
        </w:rPr>
      </w:r>
    </w:p>
    <w:p>
      <w:pPr>
        <w:spacing w:before="0"/>
        <w:ind w:left="2087" w:right="0" w:firstLine="0"/>
        <w:jc w:val="left"/>
        <w:rPr>
          <w:sz w:val="12"/>
        </w:rPr>
      </w:pPr>
      <w:r>
        <w:rPr>
          <w:sz w:val="12"/>
        </w:rPr>
        <w:t>9</w:t>
      </w:r>
    </w:p>
    <w:p>
      <w:pPr>
        <w:pStyle w:val="BodyText"/>
        <w:rPr>
          <w:sz w:val="13"/>
        </w:rPr>
      </w:pPr>
    </w:p>
    <w:p>
      <w:pPr>
        <w:spacing w:before="1"/>
        <w:ind w:left="2087" w:right="0" w:firstLine="0"/>
        <w:jc w:val="left"/>
        <w:rPr>
          <w:sz w:val="12"/>
        </w:rPr>
      </w:pPr>
      <w:r>
        <w:rPr>
          <w:sz w:val="12"/>
        </w:rPr>
        <w:t>8</w:t>
      </w:r>
    </w:p>
    <w:p>
      <w:pPr>
        <w:pStyle w:val="BodyText"/>
        <w:rPr>
          <w:sz w:val="13"/>
        </w:rPr>
      </w:pPr>
    </w:p>
    <w:p>
      <w:pPr>
        <w:spacing w:before="0"/>
        <w:ind w:left="2087" w:right="0" w:firstLine="0"/>
        <w:jc w:val="left"/>
        <w:rPr>
          <w:sz w:val="12"/>
        </w:rPr>
      </w:pPr>
      <w:r>
        <w:rPr>
          <w:sz w:val="12"/>
        </w:rPr>
        <w:t>7</w:t>
      </w:r>
    </w:p>
    <w:p>
      <w:pPr>
        <w:pStyle w:val="BodyText"/>
        <w:spacing w:before="1"/>
        <w:rPr>
          <w:sz w:val="13"/>
        </w:rPr>
      </w:pPr>
    </w:p>
    <w:p>
      <w:pPr>
        <w:spacing w:before="0"/>
        <w:ind w:left="2087" w:right="0" w:firstLine="0"/>
        <w:jc w:val="left"/>
        <w:rPr>
          <w:sz w:val="12"/>
        </w:rPr>
      </w:pPr>
      <w:r>
        <w:rPr>
          <w:sz w:val="12"/>
        </w:rPr>
        <w:t>6</w:t>
      </w:r>
    </w:p>
    <w:p>
      <w:pPr>
        <w:pStyle w:val="BodyText"/>
        <w:spacing w:before="1"/>
        <w:rPr>
          <w:sz w:val="13"/>
        </w:rPr>
      </w:pPr>
    </w:p>
    <w:p>
      <w:pPr>
        <w:spacing w:before="0"/>
        <w:ind w:left="2087" w:right="0" w:firstLine="0"/>
        <w:jc w:val="left"/>
        <w:rPr>
          <w:sz w:val="12"/>
        </w:rPr>
      </w:pPr>
      <w:r>
        <w:rPr>
          <w:sz w:val="12"/>
        </w:rPr>
        <w:t>5</w:t>
      </w:r>
    </w:p>
    <w:p>
      <w:pPr>
        <w:pStyle w:val="BodyText"/>
        <w:spacing w:before="1"/>
        <w:rPr>
          <w:sz w:val="13"/>
        </w:rPr>
      </w:pPr>
    </w:p>
    <w:p>
      <w:pPr>
        <w:spacing w:before="0"/>
        <w:ind w:left="2087" w:right="0" w:firstLine="0"/>
        <w:jc w:val="left"/>
        <w:rPr>
          <w:sz w:val="12"/>
        </w:rPr>
      </w:pPr>
      <w:r>
        <w:rPr>
          <w:sz w:val="12"/>
        </w:rPr>
        <w:t>4</w:t>
      </w:r>
    </w:p>
    <w:p>
      <w:pPr>
        <w:pStyle w:val="BodyText"/>
        <w:rPr>
          <w:sz w:val="13"/>
        </w:rPr>
      </w:pPr>
    </w:p>
    <w:p>
      <w:pPr>
        <w:spacing w:before="1"/>
        <w:ind w:left="2087" w:right="0" w:firstLine="0"/>
        <w:jc w:val="left"/>
        <w:rPr>
          <w:sz w:val="12"/>
        </w:rPr>
      </w:pPr>
      <w:r>
        <w:rPr>
          <w:sz w:val="12"/>
        </w:rPr>
        <w:t>3</w:t>
      </w:r>
    </w:p>
    <w:p>
      <w:pPr>
        <w:pStyle w:val="BodyText"/>
        <w:rPr>
          <w:sz w:val="13"/>
        </w:rPr>
      </w:pPr>
    </w:p>
    <w:p>
      <w:pPr>
        <w:spacing w:before="0"/>
        <w:ind w:left="2087" w:right="0" w:firstLine="0"/>
        <w:jc w:val="left"/>
        <w:rPr>
          <w:sz w:val="12"/>
        </w:rPr>
      </w:pPr>
      <w:r>
        <w:rPr>
          <w:sz w:val="12"/>
        </w:rPr>
        <w:t>2</w:t>
      </w:r>
    </w:p>
    <w:p>
      <w:pPr>
        <w:spacing w:line="124" w:lineRule="exact" w:before="43"/>
        <w:ind w:left="598" w:right="0" w:firstLine="0"/>
        <w:jc w:val="left"/>
        <w:rPr>
          <w:sz w:val="12"/>
        </w:rPr>
      </w:pPr>
      <w:r>
        <w:rPr>
          <w:sz w:val="12"/>
        </w:rPr>
        <w:t>Trimmed mean</w:t>
      </w:r>
    </w:p>
    <w:p>
      <w:pPr>
        <w:tabs>
          <w:tab w:pos="2147" w:val="right" w:leader="none"/>
        </w:tabs>
        <w:spacing w:line="134" w:lineRule="exact" w:before="0"/>
        <w:ind w:left="658" w:right="0" w:firstLine="0"/>
        <w:jc w:val="left"/>
        <w:rPr>
          <w:sz w:val="12"/>
        </w:rPr>
      </w:pPr>
      <w:r>
        <w:rPr/>
        <w:pict>
          <v:line style="position:absolute;mso-position-horizontal-relative:page;mso-position-vertical-relative:paragraph;z-index:-23000064" from="198.768005pt,2.723246pt" to="203.102005pt,2.723246pt" stroked="true" strokeweight=".5pt" strokecolor="#000000">
            <v:stroke dashstyle="solid"/>
            <w10:wrap type="none"/>
          </v:line>
        </w:pict>
      </w:r>
      <w:r>
        <w:rPr>
          <w:sz w:val="12"/>
        </w:rPr>
        <w:t>of RPIX</w:t>
        <w:tab/>
      </w:r>
      <w:r>
        <w:rPr>
          <w:position w:val="1"/>
          <w:sz w:val="12"/>
        </w:rPr>
        <w:t>1</w:t>
      </w:r>
    </w:p>
    <w:p>
      <w:pPr>
        <w:spacing w:line="44" w:lineRule="exact" w:before="138"/>
        <w:ind w:left="2087" w:right="0" w:firstLine="0"/>
        <w:jc w:val="left"/>
        <w:rPr>
          <w:sz w:val="12"/>
        </w:rPr>
      </w:pPr>
      <w:r>
        <w:rPr/>
        <w:pict>
          <v:shape style="position:absolute;margin-left:51.207001pt;margin-top:7.825558pt;width:151.9pt;height:3.4pt;mso-position-horizontal-relative:page;mso-position-vertical-relative:paragraph;z-index:16298496" coordorigin="1024,157" coordsize="3038,68" path="m3975,223l4062,223m1027,224l3907,224m1024,157l1024,224m1256,157l1256,224m1721,157l1721,224m2185,157l2185,224m2649,157l2649,224m2881,157l2881,224m3346,157l3346,224m3810,157l3810,224m3114,157l3114,224m3578,157l3578,224m1488,157l1488,224m1953,157l1953,224m2417,157l2417,224e" filled="false" stroked="true" strokeweight=".5pt" strokecolor="#000000">
            <v:path arrowok="t"/>
            <v:stroke dashstyle="solid"/>
            <w10:wrap type="none"/>
          </v:shape>
        </w:pict>
      </w:r>
      <w:r>
        <w:rPr>
          <w:sz w:val="12"/>
        </w:rPr>
        <w:t>0</w:t>
      </w:r>
    </w:p>
    <w:p>
      <w:pPr>
        <w:spacing w:line="242" w:lineRule="auto" w:before="0"/>
        <w:ind w:left="1109" w:right="168" w:firstLine="0"/>
        <w:jc w:val="left"/>
        <w:rPr>
          <w:sz w:val="24"/>
        </w:rPr>
      </w:pPr>
      <w:r>
        <w:rPr/>
        <w:br w:type="column"/>
      </w:r>
      <w:r>
        <w:rPr>
          <w:sz w:val="24"/>
        </w:rPr>
        <w:t>prices domestically—in the labour market and elsewhere. One measure is calculated by adjusting RPIX inflation for the share of direct and indirect imports in consumption. That measure of DGI declined further in Q1 to around 3% (see Chart 4.13). Other measures of DGI, based on unit labour costs, are also around</w:t>
      </w:r>
      <w:r>
        <w:rPr>
          <w:spacing w:val="-25"/>
          <w:sz w:val="24"/>
        </w:rPr>
        <w:t> </w:t>
      </w:r>
      <w:r>
        <w:rPr>
          <w:sz w:val="24"/>
        </w:rPr>
        <w:t>3%.</w:t>
      </w:r>
    </w:p>
    <w:p>
      <w:pPr>
        <w:spacing w:line="242" w:lineRule="auto" w:before="0"/>
        <w:ind w:left="1109" w:right="152" w:firstLine="0"/>
        <w:jc w:val="left"/>
        <w:rPr>
          <w:sz w:val="24"/>
        </w:rPr>
      </w:pPr>
      <w:r>
        <w:rPr>
          <w:sz w:val="24"/>
        </w:rPr>
        <w:t>Annual inflation in the GDP deflator, a measure of whole-economy inflation, rose to 2.7% in Q1, from 2.3% in Q4, although the </w:t>
      </w:r>
      <w:r>
        <w:rPr>
          <w:spacing w:val="-3"/>
          <w:sz w:val="24"/>
        </w:rPr>
        <w:t>level </w:t>
      </w:r>
      <w:r>
        <w:rPr>
          <w:sz w:val="24"/>
        </w:rPr>
        <w:t>of the GDP deflator was revised down in the latest set of National</w:t>
      </w:r>
      <w:r>
        <w:rPr>
          <w:spacing w:val="-40"/>
          <w:sz w:val="24"/>
        </w:rPr>
        <w:t> </w:t>
      </w:r>
      <w:r>
        <w:rPr>
          <w:sz w:val="24"/>
        </w:rPr>
        <w:t>Accounts.</w:t>
      </w:r>
    </w:p>
    <w:p>
      <w:pPr>
        <w:spacing w:after="0" w:line="242" w:lineRule="auto"/>
        <w:jc w:val="left"/>
        <w:rPr>
          <w:sz w:val="24"/>
        </w:rPr>
        <w:sectPr>
          <w:type w:val="continuous"/>
          <w:pgSz w:w="11900" w:h="16840"/>
          <w:pgMar w:top="1260" w:bottom="280" w:left="640" w:right="640"/>
          <w:cols w:num="3" w:equalWidth="0">
            <w:col w:w="1384" w:space="40"/>
            <w:col w:w="2188" w:space="252"/>
            <w:col w:w="6756"/>
          </w:cols>
        </w:sectPr>
      </w:pPr>
    </w:p>
    <w:p>
      <w:pPr>
        <w:tabs>
          <w:tab w:pos="917" w:val="left" w:leader="none"/>
          <w:tab w:pos="1379" w:val="left" w:leader="none"/>
          <w:tab w:pos="1841" w:val="left" w:leader="none"/>
          <w:tab w:pos="2303" w:val="left" w:leader="none"/>
          <w:tab w:pos="2764" w:val="left" w:leader="none"/>
          <w:tab w:pos="3144" w:val="left" w:leader="none"/>
        </w:tabs>
        <w:spacing w:line="126" w:lineRule="exact" w:before="0"/>
        <w:ind w:left="378" w:right="0" w:firstLine="0"/>
        <w:jc w:val="left"/>
        <w:rPr>
          <w:sz w:val="12"/>
        </w:rPr>
      </w:pPr>
      <w:r>
        <w:rPr>
          <w:sz w:val="12"/>
        </w:rPr>
        <w:t>1988</w:t>
        <w:tab/>
        <w:t>90</w:t>
        <w:tab/>
        <w:t>92</w:t>
        <w:tab/>
        <w:t>94</w:t>
        <w:tab/>
        <w:t>96</w:t>
        <w:tab/>
        <w:t>98</w:t>
        <w:tab/>
        <w:t>2000</w:t>
      </w:r>
    </w:p>
    <w:p>
      <w:pPr>
        <w:pStyle w:val="BodyText"/>
        <w:spacing w:before="8"/>
        <w:rPr>
          <w:sz w:val="15"/>
        </w:rPr>
      </w:pPr>
    </w:p>
    <w:p>
      <w:pPr>
        <w:spacing w:line="208" w:lineRule="auto" w:before="1"/>
        <w:ind w:left="409" w:right="181" w:hanging="240"/>
        <w:jc w:val="left"/>
        <w:rPr>
          <w:sz w:val="12"/>
        </w:rPr>
      </w:pPr>
      <w:r>
        <w:rPr>
          <w:sz w:val="12"/>
        </w:rPr>
        <w:t>(a) The trimmed mean measure of RPI inflation is calculated by removing the largest 15% and smallest 15% of monthly price changes in the components of the RPI. The calculation takes account not only of</w:t>
      </w:r>
    </w:p>
    <w:p>
      <w:pPr>
        <w:spacing w:line="208" w:lineRule="auto" w:before="0"/>
        <w:ind w:left="409" w:right="501" w:firstLine="0"/>
        <w:jc w:val="left"/>
        <w:rPr>
          <w:sz w:val="12"/>
        </w:rPr>
      </w:pPr>
      <w:r>
        <w:rPr>
          <w:sz w:val="12"/>
        </w:rPr>
        <w:t>the size of price changes in different items which are included in the RPI, but also the weights of each item in the index.</w:t>
      </w:r>
    </w:p>
    <w:p>
      <w:pPr>
        <w:pStyle w:val="BodyText"/>
        <w:rPr>
          <w:sz w:val="12"/>
        </w:rPr>
      </w:pPr>
    </w:p>
    <w:p>
      <w:pPr>
        <w:pStyle w:val="BodyText"/>
        <w:rPr>
          <w:sz w:val="12"/>
        </w:rPr>
      </w:pPr>
    </w:p>
    <w:p>
      <w:pPr>
        <w:pStyle w:val="Heading6"/>
        <w:spacing w:before="90"/>
        <w:ind w:left="175"/>
      </w:pPr>
      <w:r>
        <w:rPr>
          <w:color w:val="0092C7"/>
        </w:rPr>
        <w:t>Chart 4.13</w:t>
      </w:r>
    </w:p>
    <w:p>
      <w:pPr>
        <w:pStyle w:val="Heading6"/>
        <w:ind w:left="175"/>
      </w:pPr>
      <w:r>
        <w:rPr>
          <w:color w:val="0092C7"/>
        </w:rPr>
        <w:t>Measures of domestically generated inflation</w:t>
      </w:r>
    </w:p>
    <w:p>
      <w:pPr>
        <w:pStyle w:val="BodyText"/>
        <w:spacing w:before="9"/>
        <w:rPr>
          <w:b/>
          <w:sz w:val="22"/>
        </w:rPr>
      </w:pPr>
    </w:p>
    <w:p>
      <w:pPr>
        <w:spacing w:before="0"/>
        <w:ind w:left="0" w:right="481" w:firstLine="0"/>
        <w:jc w:val="right"/>
        <w:rPr>
          <w:sz w:val="12"/>
        </w:rPr>
      </w:pPr>
      <w:r>
        <w:rPr/>
        <w:pict>
          <v:group style="position:absolute;margin-left:43.353001pt;margin-top:-4.494691pt;width:164.35pt;height:133.15pt;mso-position-horizontal-relative:page;mso-position-vertical-relative:paragraph;z-index:16301568" coordorigin="867,-90" coordsize="3287,2663">
            <v:line style="position:absolute" from="1012,2257" to="3907,2257" stroked="true" strokeweight=".5pt" strokecolor="#000000">
              <v:stroke dashstyle="solid"/>
            </v:line>
            <v:shape style="position:absolute;left:1017;top:284;width:2888;height:1603" coordorigin="1018,285" coordsize="2888,1603" path="m1018,1497l1125,1887m1125,1887l1223,1737m1223,1737l1330,1467m1330,1467l1428,1155m1428,1155l1535,1347m1535,1347l1630,1692m1630,1692l1740,1617m1740,1617l1848,1572m1848,1572l1943,1617m1943,1617l2050,1467m2050,1467l2148,1452m2148,1452l2255,1302m2255,1302l2353,1200m2353,1200l2460,780m2460,780l2568,480m2568,480l2665,390m2665,390l2773,285m2773,285l2870,300m2870,300l2978,345m2978,345l3075,390m3075,390l3183,315m3183,315l3290,450m3290,450l3388,525m3388,525l3495,720m3495,720l3593,900m3593,900l3700,1080m3700,1080l3795,1155m3795,1155l3905,1215e" filled="false" stroked="true" strokeweight="1pt" strokecolor="#de0035">
              <v:path arrowok="t"/>
              <v:stroke dashstyle="solid"/>
            </v:shape>
            <v:shape style="position:absolute;left:1017;top:1332;width:410;height:675" coordorigin="1018,1332" coordsize="410,675" path="m1018,1332l1125,1407m1125,1407l1223,2007m1223,2007l1330,1917m1330,1917l1428,1812e" filled="false" stroked="true" strokeweight="1pt" strokecolor="#f6bd61">
              <v:path arrowok="t"/>
              <v:stroke dashstyle="solid"/>
            </v:shape>
            <v:line style="position:absolute" from="1418,1813" to="1545,1813" stroked="true" strokeweight="1.125pt" strokecolor="#f6bd61">
              <v:stroke dashstyle="solid"/>
            </v:line>
            <v:shape style="position:absolute;left:1535;top:1184;width:1033;height:628" coordorigin="1535,1185" coordsize="1033,628" path="m1535,1812l1630,1767m1630,1767l1740,1812m1740,1812l1848,1782m1848,1782l1943,1797m1943,1797l2050,1482m2050,1482l2148,1542m2148,1542l2255,1275m2255,1275l2353,1185m2353,1185l2460,1587m2460,1587l2568,1392e" filled="false" stroked="true" strokeweight="1pt" strokecolor="#f6bd61">
              <v:path arrowok="t"/>
              <v:stroke dashstyle="solid"/>
            </v:shape>
            <v:line style="position:absolute" from="2558,1393" to="2675,1393" stroked="true" strokeweight="1.125pt" strokecolor="#f6bd61">
              <v:stroke dashstyle="solid"/>
            </v:line>
            <v:shape style="position:absolute;left:2665;top:1139;width:928;height:388" coordorigin="2665,1140" coordsize="928,388" path="m2665,1392l2773,1497m2773,1497l2870,1275m2870,1275l2978,1377m2978,1377l3075,1527m3075,1527l3183,1287m3183,1287l3290,1332m3290,1332l3388,1287m3388,1287l3495,1140m3495,1140l3593,1275e" filled="false" stroked="true" strokeweight="1pt" strokecolor="#f6bd61">
              <v:path arrowok="t"/>
              <v:stroke dashstyle="solid"/>
            </v:shape>
            <v:line style="position:absolute" from="3583,1281" to="3710,1281" stroked="true" strokeweight="1.625pt" strokecolor="#f6bd61">
              <v:stroke dashstyle="solid"/>
            </v:line>
            <v:shape style="position:absolute;left:3700;top:1109;width:205;height:178" coordorigin="3700,1110" coordsize="205,178" path="m3700,1287l3795,1140m3795,1140l3905,1110e" filled="false" stroked="true" strokeweight="1pt" strokecolor="#f6bd61">
              <v:path arrowok="t"/>
              <v:stroke dashstyle="solid"/>
            </v:shape>
            <v:line style="position:absolute" from="1008,2038" to="1135,2038" stroked="true" strokeweight="1.125pt" strokecolor="#835335">
              <v:stroke dashstyle="solid"/>
            </v:line>
            <v:shape style="position:absolute;left:1125;top:809;width:2780;height:1708" coordorigin="1125,810" coordsize="2780,1708" path="m1125,2037l1223,2367m1223,2367l1330,2007m1330,2007l1428,2112m1428,2112l1535,2517m1535,2517l1630,2472m1630,2472l1740,2517m1740,2517l1848,2172m1848,2172l1943,1707m1943,1707l2050,1230m2050,1230l2148,1185m2148,1185l2255,1095m2255,1095l2353,1005m2353,1005l2460,1377m2460,1377l2568,1287m2568,1287l2665,1170m2665,1170l2773,1275m2773,1275l2870,1155m2870,1155l2978,1185m2978,1185l3075,1200m3075,1200l3183,1230m3183,1230l3290,1125m3290,1125l3388,945m3388,945l3495,855m3495,855l3593,810m3593,810l3700,1110m3700,1110l3795,1170m3795,1170l3905,1215e" filled="false" stroked="true" strokeweight="1pt" strokecolor="#835335">
              <v:path arrowok="t"/>
              <v:stroke dashstyle="solid"/>
            </v:shape>
            <v:shape style="position:absolute;left:867;top:437;width:3198;height:1822" coordorigin="867,437" coordsize="3198,1822" path="m867,451l954,451m867,813l954,813m867,1174l954,1174m867,1536l954,1536m867,1897l954,1897m867,2259l954,2259m3978,437l4065,437m3978,799l4065,799m3978,1160l4065,1160m3978,1522l4065,1522m3978,1884l4065,1884m3978,2257l4065,2257e" filled="false" stroked="true" strokeweight=".5pt" strokecolor="#000000">
              <v:path arrowok="t"/>
              <v:stroke dashstyle="solid"/>
            </v:shape>
            <v:shape style="position:absolute;left:1859;top:-90;width:2226;height:566" type="#_x0000_t202" filled="false" stroked="false">
              <v:textbox inset="0,0,0,0">
                <w:txbxContent>
                  <w:p>
                    <w:pPr>
                      <w:spacing w:line="133" w:lineRule="exact" w:before="0"/>
                      <w:ind w:left="456" w:right="0" w:firstLine="0"/>
                      <w:jc w:val="left"/>
                      <w:rPr>
                        <w:sz w:val="12"/>
                      </w:rPr>
                    </w:pPr>
                    <w:r>
                      <w:rPr>
                        <w:sz w:val="12"/>
                      </w:rPr>
                      <w:t>Percentage changes on a year earlier</w:t>
                    </w:r>
                  </w:p>
                  <w:p>
                    <w:pPr>
                      <w:spacing w:line="240" w:lineRule="auto" w:before="4"/>
                      <w:rPr>
                        <w:sz w:val="16"/>
                      </w:rPr>
                    </w:pPr>
                  </w:p>
                  <w:p>
                    <w:pPr>
                      <w:spacing w:line="208" w:lineRule="auto" w:before="0"/>
                      <w:ind w:left="60" w:right="1429" w:hanging="60"/>
                      <w:jc w:val="left"/>
                      <w:rPr>
                        <w:sz w:val="12"/>
                      </w:rPr>
                    </w:pPr>
                    <w:r>
                      <w:rPr>
                        <w:sz w:val="12"/>
                      </w:rPr>
                      <w:t>RPIX excluding import prices</w:t>
                    </w:r>
                  </w:p>
                </w:txbxContent>
              </v:textbox>
              <w10:wrap type="none"/>
            </v:shape>
            <v:shape style="position:absolute;left:2677;top:1517;width:970;height:374" type="#_x0000_t202" filled="false" stroked="false">
              <v:textbox inset="0,0,0,0">
                <w:txbxContent>
                  <w:p>
                    <w:pPr>
                      <w:spacing w:line="208" w:lineRule="auto" w:before="9"/>
                      <w:ind w:left="60" w:right="0" w:hanging="60"/>
                      <w:jc w:val="left"/>
                      <w:rPr>
                        <w:sz w:val="12"/>
                      </w:rPr>
                    </w:pPr>
                    <w:r>
                      <w:rPr>
                        <w:sz w:val="12"/>
                      </w:rPr>
                      <w:t>Unit labour costs adjusted for trend productivity (a)(b)</w:t>
                    </w:r>
                  </w:p>
                </w:txbxContent>
              </v:textbox>
              <w10:wrap type="none"/>
            </v:shape>
            <v:shape style="position:absolute;left:4040;top:1995;width:113;height:410" type="#_x0000_t202" filled="false" stroked="false">
              <v:textbox inset="0,0,0,0">
                <w:txbxContent>
                  <w:p>
                    <w:pPr>
                      <w:spacing w:line="177" w:lineRule="exact" w:before="0"/>
                      <w:ind w:left="0" w:right="0" w:firstLine="0"/>
                      <w:jc w:val="left"/>
                      <w:rPr>
                        <w:sz w:val="16"/>
                      </w:rPr>
                    </w:pPr>
                    <w:r>
                      <w:rPr>
                        <w:sz w:val="16"/>
                      </w:rPr>
                      <w:t>+</w:t>
                    </w:r>
                  </w:p>
                  <w:p>
                    <w:pPr>
                      <w:spacing w:before="48"/>
                      <w:ind w:left="12" w:right="0" w:firstLine="0"/>
                      <w:jc w:val="left"/>
                      <w:rPr>
                        <w:sz w:val="16"/>
                      </w:rPr>
                    </w:pPr>
                    <w:r>
                      <w:rPr>
                        <w:sz w:val="16"/>
                      </w:rPr>
                      <w:t>_</w:t>
                    </w:r>
                  </w:p>
                </w:txbxContent>
              </v:textbox>
              <w10:wrap type="none"/>
            </v:shape>
            <v:shape style="position:absolute;left:1809;top:2439;width:1004;height:134" type="#_x0000_t202" filled="false" stroked="false">
              <v:textbox inset="0,0,0,0">
                <w:txbxContent>
                  <w:p>
                    <w:pPr>
                      <w:spacing w:line="133" w:lineRule="exact" w:before="0"/>
                      <w:ind w:left="0" w:right="0" w:firstLine="0"/>
                      <w:jc w:val="left"/>
                      <w:rPr>
                        <w:sz w:val="12"/>
                      </w:rPr>
                    </w:pPr>
                    <w:r>
                      <w:rPr>
                        <w:sz w:val="12"/>
                      </w:rPr>
                      <w:t>Unit labour costs (a)</w:t>
                    </w:r>
                  </w:p>
                </w:txbxContent>
              </v:textbox>
              <w10:wrap type="none"/>
            </v:shape>
            <w10:wrap type="none"/>
          </v:group>
        </w:pict>
      </w:r>
      <w:r>
        <w:rPr/>
        <w:pict>
          <v:line style="position:absolute;mso-position-horizontal-relative:page;mso-position-vertical-relative:paragraph;z-index:16303104" from="43.353001pt,4.483582pt" to="47.686001pt,4.483582pt" stroked="true" strokeweight=".5pt" strokecolor="#000000">
            <v:stroke dashstyle="solid"/>
            <w10:wrap type="none"/>
          </v:line>
        </w:pict>
      </w:r>
      <w:r>
        <w:rPr/>
        <w:pict>
          <v:line style="position:absolute;mso-position-horizontal-relative:page;mso-position-vertical-relative:paragraph;z-index:16304128" from="198.906006pt,4.483582pt" to="203.239006pt,4.483582pt" stroked="true" strokeweight=".5pt" strokecolor="#000000">
            <v:stroke dashstyle="solid"/>
            <w10:wrap type="none"/>
          </v:line>
        </w:pict>
      </w:r>
      <w:r>
        <w:rPr>
          <w:sz w:val="12"/>
        </w:rPr>
        <w:t>6</w:t>
      </w:r>
    </w:p>
    <w:p>
      <w:pPr>
        <w:pStyle w:val="BodyText"/>
        <w:rPr>
          <w:sz w:val="12"/>
        </w:rPr>
      </w:pPr>
    </w:p>
    <w:p>
      <w:pPr>
        <w:spacing w:before="86"/>
        <w:ind w:left="0" w:right="481" w:firstLine="0"/>
        <w:jc w:val="right"/>
        <w:rPr>
          <w:sz w:val="12"/>
        </w:rPr>
      </w:pPr>
      <w:r>
        <w:rPr>
          <w:sz w:val="12"/>
        </w:rPr>
        <w:t>5</w:t>
      </w:r>
    </w:p>
    <w:p>
      <w:pPr>
        <w:pStyle w:val="BodyText"/>
        <w:rPr>
          <w:sz w:val="12"/>
        </w:rPr>
      </w:pPr>
    </w:p>
    <w:p>
      <w:pPr>
        <w:spacing w:before="85"/>
        <w:ind w:left="0" w:right="481" w:firstLine="0"/>
        <w:jc w:val="right"/>
        <w:rPr>
          <w:sz w:val="12"/>
        </w:rPr>
      </w:pPr>
      <w:r>
        <w:rPr>
          <w:sz w:val="12"/>
        </w:rPr>
        <w:t>4</w:t>
      </w:r>
    </w:p>
    <w:p>
      <w:pPr>
        <w:pStyle w:val="BodyText"/>
        <w:rPr>
          <w:sz w:val="12"/>
        </w:rPr>
      </w:pPr>
    </w:p>
    <w:p>
      <w:pPr>
        <w:spacing w:before="85"/>
        <w:ind w:left="0" w:right="481" w:firstLine="0"/>
        <w:jc w:val="right"/>
        <w:rPr>
          <w:sz w:val="12"/>
        </w:rPr>
      </w:pPr>
      <w:r>
        <w:rPr>
          <w:sz w:val="12"/>
        </w:rPr>
        <w:t>3</w:t>
      </w:r>
    </w:p>
    <w:p>
      <w:pPr>
        <w:pStyle w:val="BodyText"/>
        <w:rPr>
          <w:sz w:val="12"/>
        </w:rPr>
      </w:pPr>
    </w:p>
    <w:p>
      <w:pPr>
        <w:spacing w:before="85"/>
        <w:ind w:left="0" w:right="481" w:firstLine="0"/>
        <w:jc w:val="right"/>
        <w:rPr>
          <w:sz w:val="12"/>
        </w:rPr>
      </w:pPr>
      <w:r>
        <w:rPr>
          <w:sz w:val="12"/>
        </w:rPr>
        <w:t>2</w:t>
      </w:r>
    </w:p>
    <w:p>
      <w:pPr>
        <w:pStyle w:val="BodyText"/>
        <w:rPr>
          <w:sz w:val="12"/>
        </w:rPr>
      </w:pPr>
    </w:p>
    <w:p>
      <w:pPr>
        <w:spacing w:before="86"/>
        <w:ind w:left="0" w:right="481" w:firstLine="0"/>
        <w:jc w:val="right"/>
        <w:rPr>
          <w:sz w:val="12"/>
        </w:rPr>
      </w:pPr>
      <w:r>
        <w:rPr>
          <w:sz w:val="12"/>
        </w:rPr>
        <w:t>1</w:t>
      </w:r>
    </w:p>
    <w:p>
      <w:pPr>
        <w:pStyle w:val="BodyText"/>
        <w:rPr>
          <w:sz w:val="12"/>
        </w:rPr>
      </w:pPr>
    </w:p>
    <w:p>
      <w:pPr>
        <w:spacing w:before="85"/>
        <w:ind w:left="0" w:right="481" w:firstLine="0"/>
        <w:jc w:val="right"/>
        <w:rPr>
          <w:sz w:val="12"/>
        </w:rPr>
      </w:pPr>
      <w:r>
        <w:rPr>
          <w:sz w:val="12"/>
        </w:rPr>
        <w:t>0</w:t>
      </w:r>
    </w:p>
    <w:p>
      <w:pPr>
        <w:pStyle w:val="BodyText"/>
        <w:rPr>
          <w:sz w:val="12"/>
        </w:rPr>
      </w:pPr>
    </w:p>
    <w:p>
      <w:pPr>
        <w:spacing w:before="85"/>
        <w:ind w:left="0" w:right="481" w:firstLine="0"/>
        <w:jc w:val="right"/>
        <w:rPr>
          <w:sz w:val="12"/>
        </w:rPr>
      </w:pPr>
      <w:r>
        <w:rPr/>
        <w:pict>
          <v:line style="position:absolute;mso-position-horizontal-relative:page;mso-position-vertical-relative:paragraph;z-index:16302592" from="43.353001pt,8.843783pt" to="47.686001pt,8.843783pt" stroked="true" strokeweight=".5pt" strokecolor="#000000">
            <v:stroke dashstyle="solid"/>
            <w10:wrap type="none"/>
          </v:line>
        </w:pict>
      </w:r>
      <w:r>
        <w:rPr/>
        <w:pict>
          <v:line style="position:absolute;mso-position-horizontal-relative:page;mso-position-vertical-relative:paragraph;z-index:16303616" from="198.906006pt,8.146784pt" to="203.239006pt,8.146784pt" stroked="true" strokeweight=".5pt" strokecolor="#000000">
            <v:stroke dashstyle="solid"/>
            <w10:wrap type="none"/>
          </v:line>
        </w:pict>
      </w:r>
      <w:r>
        <w:rPr>
          <w:sz w:val="12"/>
        </w:rPr>
        <w:t>1</w:t>
      </w:r>
    </w:p>
    <w:p>
      <w:pPr>
        <w:pStyle w:val="BodyText"/>
        <w:rPr>
          <w:sz w:val="12"/>
        </w:rPr>
      </w:pPr>
    </w:p>
    <w:p>
      <w:pPr>
        <w:spacing w:line="134" w:lineRule="exact" w:before="85"/>
        <w:ind w:left="0" w:right="481" w:firstLine="0"/>
        <w:jc w:val="right"/>
        <w:rPr>
          <w:sz w:val="12"/>
        </w:rPr>
      </w:pPr>
      <w:r>
        <w:rPr/>
        <w:pict>
          <v:shape style="position:absolute;margin-left:43.353001pt;margin-top:5.289405pt;width:159.9pt;height:3.6pt;mso-position-horizontal-relative:page;mso-position-vertical-relative:paragraph;z-index:16302080" coordorigin="867,106" coordsize="3198,72" path="m1026,173l3929,173m1023,106l1023,173m1435,106l1435,173m1847,106l1847,173m2259,106l2259,173m2671,106l2671,173m3083,106l3083,173m3495,106l3495,173m3907,106l3907,173m867,177l954,177m3978,177l4065,177e" filled="false" stroked="true" strokeweight=".5pt" strokecolor="#000000">
            <v:path arrowok="t"/>
            <v:stroke dashstyle="solid"/>
            <w10:wrap type="none"/>
          </v:shape>
        </w:pict>
      </w:r>
      <w:r>
        <w:rPr>
          <w:sz w:val="12"/>
        </w:rPr>
        <w:t>2</w:t>
      </w:r>
    </w:p>
    <w:p>
      <w:pPr>
        <w:tabs>
          <w:tab w:pos="464" w:val="left" w:leader="none"/>
          <w:tab w:pos="881" w:val="left" w:leader="none"/>
          <w:tab w:pos="1299" w:val="left" w:leader="none"/>
          <w:tab w:pos="1716" w:val="left" w:leader="none"/>
          <w:tab w:pos="2134" w:val="left" w:leader="none"/>
          <w:tab w:pos="2551" w:val="left" w:leader="none"/>
        </w:tabs>
        <w:spacing w:line="134" w:lineRule="exact" w:before="0"/>
        <w:ind w:left="0" w:right="556" w:firstLine="0"/>
        <w:jc w:val="right"/>
        <w:rPr>
          <w:sz w:val="12"/>
        </w:rPr>
      </w:pPr>
      <w:r>
        <w:rPr>
          <w:sz w:val="12"/>
        </w:rPr>
        <w:t>1993</w:t>
        <w:tab/>
        <w:t>94</w:t>
        <w:tab/>
        <w:t>95</w:t>
        <w:tab/>
        <w:t>96</w:t>
        <w:tab/>
        <w:t>97</w:t>
        <w:tab/>
        <w:t>98</w:t>
        <w:tab/>
        <w:t>99</w:t>
      </w:r>
      <w:r>
        <w:rPr>
          <w:spacing w:val="6"/>
          <w:sz w:val="12"/>
        </w:rPr>
        <w:t> </w:t>
      </w:r>
      <w:r>
        <w:rPr>
          <w:sz w:val="12"/>
        </w:rPr>
        <w:t>2000</w:t>
      </w:r>
    </w:p>
    <w:p>
      <w:pPr>
        <w:pStyle w:val="BodyText"/>
        <w:spacing w:before="3"/>
        <w:rPr>
          <w:sz w:val="14"/>
        </w:rPr>
      </w:pPr>
    </w:p>
    <w:p>
      <w:pPr>
        <w:pStyle w:val="ListParagraph"/>
        <w:numPr>
          <w:ilvl w:val="0"/>
          <w:numId w:val="38"/>
        </w:numPr>
        <w:tabs>
          <w:tab w:pos="406" w:val="left" w:leader="none"/>
        </w:tabs>
        <w:spacing w:line="208" w:lineRule="auto" w:before="0" w:after="0"/>
        <w:ind w:left="405" w:right="417" w:hanging="240"/>
        <w:jc w:val="left"/>
        <w:rPr>
          <w:sz w:val="12"/>
        </w:rPr>
      </w:pPr>
      <w:r>
        <w:rPr>
          <w:sz w:val="12"/>
        </w:rPr>
        <w:t>Using</w:t>
      </w:r>
      <w:r>
        <w:rPr>
          <w:spacing w:val="-7"/>
          <w:sz w:val="12"/>
        </w:rPr>
        <w:t> </w:t>
      </w:r>
      <w:r>
        <w:rPr>
          <w:sz w:val="12"/>
        </w:rPr>
        <w:t>National</w:t>
      </w:r>
      <w:r>
        <w:rPr>
          <w:spacing w:val="-11"/>
          <w:sz w:val="12"/>
        </w:rPr>
        <w:t> </w:t>
      </w:r>
      <w:r>
        <w:rPr>
          <w:sz w:val="12"/>
        </w:rPr>
        <w:t>Accounts</w:t>
      </w:r>
      <w:r>
        <w:rPr>
          <w:spacing w:val="-7"/>
          <w:sz w:val="12"/>
        </w:rPr>
        <w:t> </w:t>
      </w:r>
      <w:r>
        <w:rPr>
          <w:sz w:val="12"/>
        </w:rPr>
        <w:t>measures</w:t>
      </w:r>
      <w:r>
        <w:rPr>
          <w:spacing w:val="-6"/>
          <w:sz w:val="12"/>
        </w:rPr>
        <w:t> </w:t>
      </w:r>
      <w:r>
        <w:rPr>
          <w:sz w:val="12"/>
        </w:rPr>
        <w:t>of</w:t>
      </w:r>
      <w:r>
        <w:rPr>
          <w:spacing w:val="-6"/>
          <w:sz w:val="12"/>
        </w:rPr>
        <w:t> </w:t>
      </w:r>
      <w:r>
        <w:rPr>
          <w:sz w:val="12"/>
        </w:rPr>
        <w:t>employee</w:t>
      </w:r>
      <w:r>
        <w:rPr>
          <w:spacing w:val="-7"/>
          <w:sz w:val="12"/>
        </w:rPr>
        <w:t> </w:t>
      </w:r>
      <w:r>
        <w:rPr>
          <w:sz w:val="12"/>
        </w:rPr>
        <w:t>compensation</w:t>
      </w:r>
      <w:r>
        <w:rPr>
          <w:spacing w:val="-6"/>
          <w:sz w:val="12"/>
        </w:rPr>
        <w:t> </w:t>
      </w:r>
      <w:r>
        <w:rPr>
          <w:sz w:val="12"/>
        </w:rPr>
        <w:t>and productivity</w:t>
      </w:r>
      <w:r>
        <w:rPr>
          <w:spacing w:val="-2"/>
          <w:sz w:val="12"/>
        </w:rPr>
        <w:t> </w:t>
      </w:r>
      <w:r>
        <w:rPr>
          <w:sz w:val="12"/>
        </w:rPr>
        <w:t>growth.</w:t>
      </w:r>
    </w:p>
    <w:p>
      <w:pPr>
        <w:pStyle w:val="ListParagraph"/>
        <w:numPr>
          <w:ilvl w:val="0"/>
          <w:numId w:val="38"/>
        </w:numPr>
        <w:tabs>
          <w:tab w:pos="406" w:val="left" w:leader="none"/>
        </w:tabs>
        <w:spacing w:line="123" w:lineRule="exact" w:before="0" w:after="0"/>
        <w:ind w:left="405" w:right="0" w:hanging="242"/>
        <w:jc w:val="left"/>
        <w:rPr>
          <w:sz w:val="12"/>
        </w:rPr>
      </w:pPr>
      <w:r>
        <w:rPr>
          <w:sz w:val="12"/>
        </w:rPr>
        <w:t>Adjusted using long-run trend productivity growth of</w:t>
      </w:r>
      <w:r>
        <w:rPr>
          <w:spacing w:val="-16"/>
          <w:sz w:val="12"/>
        </w:rPr>
        <w:t> </w:t>
      </w:r>
      <w:r>
        <w:rPr>
          <w:sz w:val="12"/>
        </w:rPr>
        <w:t>2%.</w:t>
      </w:r>
    </w:p>
    <w:p>
      <w:pPr>
        <w:pStyle w:val="BodyText"/>
        <w:rPr>
          <w:sz w:val="12"/>
        </w:rPr>
      </w:pPr>
    </w:p>
    <w:p>
      <w:pPr>
        <w:pStyle w:val="BodyText"/>
        <w:rPr>
          <w:sz w:val="12"/>
        </w:rPr>
      </w:pPr>
    </w:p>
    <w:p>
      <w:pPr>
        <w:pStyle w:val="BodyText"/>
        <w:spacing w:before="10"/>
        <w:rPr>
          <w:sz w:val="15"/>
        </w:rPr>
      </w:pPr>
    </w:p>
    <w:p>
      <w:pPr>
        <w:pStyle w:val="Heading6"/>
        <w:spacing w:line="249" w:lineRule="auto" w:before="0"/>
        <w:ind w:right="2560"/>
      </w:pPr>
      <w:r>
        <w:rPr>
          <w:color w:val="0092C7"/>
        </w:rPr>
        <w:t>Chart 4.14 HICP inflation</w:t>
      </w:r>
    </w:p>
    <w:p>
      <w:pPr>
        <w:pStyle w:val="BodyText"/>
        <w:spacing w:before="5"/>
        <w:rPr>
          <w:b/>
        </w:rPr>
      </w:pPr>
    </w:p>
    <w:p>
      <w:pPr>
        <w:spacing w:before="1"/>
        <w:ind w:left="1679" w:right="0" w:firstLine="0"/>
        <w:jc w:val="left"/>
        <w:rPr>
          <w:sz w:val="12"/>
        </w:rPr>
      </w:pPr>
      <w:r>
        <w:rPr/>
        <w:pict>
          <v:line style="position:absolute;mso-position-horizontal-relative:page;mso-position-vertical-relative:paragraph;z-index:16307200" from="43.033001pt,8.595746pt" to="47.366001pt,8.595746pt" stroked="true" strokeweight=".5pt" strokecolor="#000000">
            <v:stroke dashstyle="solid"/>
            <w10:wrap type="none"/>
          </v:line>
        </w:pict>
      </w:r>
      <w:r>
        <w:rPr>
          <w:sz w:val="12"/>
        </w:rPr>
        <w:t>Percentage changes on a year earli</w:t>
      </w:r>
      <w:r>
        <w:rPr>
          <w:sz w:val="12"/>
          <w:u w:val="single"/>
        </w:rPr>
        <w:t>er</w:t>
      </w:r>
      <w:r>
        <w:rPr>
          <w:sz w:val="12"/>
        </w:rPr>
        <w:t> </w:t>
      </w:r>
      <w:r>
        <w:rPr>
          <w:position w:val="-7"/>
          <w:sz w:val="12"/>
        </w:rPr>
        <w:t>3.5</w:t>
      </w:r>
    </w:p>
    <w:p>
      <w:pPr>
        <w:spacing w:line="191" w:lineRule="exact" w:before="0"/>
        <w:ind w:left="164" w:right="0" w:firstLine="0"/>
        <w:jc w:val="left"/>
        <w:rPr>
          <w:sz w:val="24"/>
        </w:rPr>
      </w:pPr>
      <w:r>
        <w:rPr/>
        <w:br w:type="column"/>
      </w:r>
      <w:r>
        <w:rPr>
          <w:sz w:val="24"/>
        </w:rPr>
        <w:t>Inflation in the deflator for final consumption</w:t>
      </w:r>
    </w:p>
    <w:p>
      <w:pPr>
        <w:spacing w:before="4"/>
        <w:ind w:left="164" w:right="0" w:firstLine="0"/>
        <w:jc w:val="left"/>
        <w:rPr>
          <w:sz w:val="24"/>
        </w:rPr>
      </w:pPr>
      <w:r>
        <w:rPr>
          <w:sz w:val="24"/>
        </w:rPr>
        <w:t>expenditure increased to 2.1% in Q1, from 2.0% in Q4.</w:t>
      </w:r>
    </w:p>
    <w:p>
      <w:pPr>
        <w:pStyle w:val="BodyText"/>
        <w:spacing w:before="8"/>
        <w:rPr>
          <w:sz w:val="24"/>
        </w:rPr>
      </w:pPr>
    </w:p>
    <w:p>
      <w:pPr>
        <w:spacing w:line="242" w:lineRule="auto" w:before="0"/>
        <w:ind w:left="164" w:right="172" w:firstLine="0"/>
        <w:jc w:val="left"/>
        <w:rPr>
          <w:sz w:val="24"/>
        </w:rPr>
      </w:pPr>
      <w:r>
        <w:rPr>
          <w:sz w:val="24"/>
        </w:rPr>
        <w:t>The annual rate of change in the monthly retail sales deflator has been negative since May 1999. It has been markedly weaker than retail goods price inflation in recent years, despite the fact that the deflator is based on detailed retail goods price data. This largely reflects differences in weights attached to the components of the two indices, and some divergence in coverage. For example, the retail sales deflator does not include petrol.</w:t>
      </w:r>
    </w:p>
    <w:p>
      <w:pPr>
        <w:pStyle w:val="BodyText"/>
        <w:spacing w:before="2"/>
        <w:rPr>
          <w:sz w:val="25"/>
        </w:rPr>
      </w:pPr>
    </w:p>
    <w:p>
      <w:pPr>
        <w:spacing w:line="242" w:lineRule="auto" w:before="0"/>
        <w:ind w:left="164" w:right="172" w:firstLine="0"/>
        <w:jc w:val="left"/>
        <w:rPr>
          <w:sz w:val="24"/>
        </w:rPr>
      </w:pPr>
      <w:r>
        <w:rPr>
          <w:sz w:val="24"/>
        </w:rPr>
        <w:t>Annual inflation in the Harmonised Index of Consumer Prices (HICP) rose to 0.8% in June (see Chart 4.14).</w:t>
      </w:r>
    </w:p>
    <w:p>
      <w:pPr>
        <w:spacing w:line="242" w:lineRule="auto" w:before="3"/>
        <w:ind w:left="164" w:right="167" w:firstLine="0"/>
        <w:jc w:val="left"/>
        <w:rPr>
          <w:sz w:val="24"/>
        </w:rPr>
      </w:pPr>
      <w:r>
        <w:rPr>
          <w:sz w:val="24"/>
        </w:rPr>
        <w:t>This measure of inflation is lower in the United Kingdom than in any other country in the European Union—partly reflecting the appreciation of sterling relative to the euro. The May </w:t>
      </w:r>
      <w:r>
        <w:rPr>
          <w:i/>
          <w:sz w:val="24"/>
        </w:rPr>
        <w:t>Report </w:t>
      </w:r>
      <w:r>
        <w:rPr>
          <w:sz w:val="24"/>
        </w:rPr>
        <w:t>discussed </w:t>
      </w:r>
      <w:r>
        <w:rPr>
          <w:spacing w:val="-3"/>
          <w:sz w:val="24"/>
        </w:rPr>
        <w:t>several </w:t>
      </w:r>
      <w:r>
        <w:rPr>
          <w:sz w:val="24"/>
        </w:rPr>
        <w:t>reasons</w:t>
      </w:r>
      <w:r>
        <w:rPr>
          <w:spacing w:val="-6"/>
          <w:sz w:val="24"/>
        </w:rPr>
        <w:t> </w:t>
      </w:r>
      <w:r>
        <w:rPr>
          <w:sz w:val="24"/>
        </w:rPr>
        <w:t>why</w:t>
      </w:r>
      <w:r>
        <w:rPr>
          <w:spacing w:val="-6"/>
          <w:sz w:val="24"/>
        </w:rPr>
        <w:t> </w:t>
      </w:r>
      <w:r>
        <w:rPr>
          <w:sz w:val="24"/>
        </w:rPr>
        <w:t>UK</w:t>
      </w:r>
      <w:r>
        <w:rPr>
          <w:spacing w:val="-6"/>
          <w:sz w:val="24"/>
        </w:rPr>
        <w:t> </w:t>
      </w:r>
      <w:r>
        <w:rPr>
          <w:sz w:val="24"/>
        </w:rPr>
        <w:t>HICP</w:t>
      </w:r>
      <w:r>
        <w:rPr>
          <w:spacing w:val="-6"/>
          <w:sz w:val="24"/>
        </w:rPr>
        <w:t> </w:t>
      </w:r>
      <w:r>
        <w:rPr>
          <w:sz w:val="24"/>
        </w:rPr>
        <w:t>inflation</w:t>
      </w:r>
      <w:r>
        <w:rPr>
          <w:spacing w:val="-5"/>
          <w:sz w:val="24"/>
        </w:rPr>
        <w:t> </w:t>
      </w:r>
      <w:r>
        <w:rPr>
          <w:sz w:val="24"/>
        </w:rPr>
        <w:t>is</w:t>
      </w:r>
      <w:r>
        <w:rPr>
          <w:spacing w:val="-6"/>
          <w:sz w:val="24"/>
        </w:rPr>
        <w:t> </w:t>
      </w:r>
      <w:r>
        <w:rPr>
          <w:sz w:val="24"/>
        </w:rPr>
        <w:t>below</w:t>
      </w:r>
      <w:r>
        <w:rPr>
          <w:spacing w:val="-6"/>
          <w:sz w:val="24"/>
        </w:rPr>
        <w:t> </w:t>
      </w:r>
      <w:r>
        <w:rPr>
          <w:sz w:val="24"/>
        </w:rPr>
        <w:t>RPIX</w:t>
      </w:r>
      <w:r>
        <w:rPr>
          <w:spacing w:val="-6"/>
          <w:sz w:val="24"/>
        </w:rPr>
        <w:t> </w:t>
      </w:r>
      <w:r>
        <w:rPr>
          <w:sz w:val="24"/>
        </w:rPr>
        <w:t>inflation: most of the difference is attributable to the different treatment of housing (HICP does not currently include an owner-occupied housing component), and to the different approaches used to weight components of the indices at the lowest </w:t>
      </w:r>
      <w:r>
        <w:rPr>
          <w:spacing w:val="-3"/>
          <w:sz w:val="24"/>
        </w:rPr>
        <w:t>level </w:t>
      </w:r>
      <w:r>
        <w:rPr>
          <w:sz w:val="24"/>
        </w:rPr>
        <w:t>of aggregation (RPIX uses an arithmetic mean, whereas the HICP uses a geometric mean).</w:t>
      </w:r>
    </w:p>
    <w:p>
      <w:pPr>
        <w:spacing w:after="0" w:line="242" w:lineRule="auto"/>
        <w:jc w:val="left"/>
        <w:rPr>
          <w:sz w:val="24"/>
        </w:rPr>
        <w:sectPr>
          <w:type w:val="continuous"/>
          <w:pgSz w:w="11900" w:h="16840"/>
          <w:pgMar w:top="1260" w:bottom="280" w:left="640" w:right="640"/>
          <w:cols w:num="2" w:equalWidth="0">
            <w:col w:w="4033" w:space="777"/>
            <w:col w:w="5810"/>
          </w:cols>
        </w:sectPr>
      </w:pPr>
    </w:p>
    <w:p>
      <w:pPr>
        <w:pStyle w:val="BodyText"/>
        <w:spacing w:before="7"/>
        <w:rPr>
          <w:sz w:val="20"/>
        </w:rPr>
      </w:pPr>
    </w:p>
    <w:p>
      <w:pPr>
        <w:pStyle w:val="BodyText"/>
        <w:spacing w:line="20" w:lineRule="exact"/>
        <w:ind w:left="215"/>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0"/>
        </w:rPr>
      </w:pPr>
    </w:p>
    <w:p>
      <w:pPr>
        <w:tabs>
          <w:tab w:pos="1299" w:val="left" w:leader="none"/>
          <w:tab w:pos="1949" w:val="left" w:leader="none"/>
          <w:tab w:pos="2604" w:val="left" w:leader="none"/>
        </w:tabs>
        <w:spacing w:before="0"/>
        <w:ind w:left="567" w:right="0" w:firstLine="0"/>
        <w:jc w:val="left"/>
        <w:rPr>
          <w:sz w:val="12"/>
        </w:rPr>
      </w:pPr>
      <w:r>
        <w:rPr/>
        <w:pict>
          <v:shape style="position:absolute;margin-left:43.033001pt;margin-top:-4.386580pt;width:152.3pt;height:3.55pt;mso-position-horizontal-relative:page;mso-position-vertical-relative:paragraph;z-index:16306688" coordorigin="861,-88" coordsize="3046,71" path="m1020,-21l3906,-21m1017,-88l1017,-21m1670,-88l1670,-21m2322,-88l2322,-21m2975,-88l2975,-21m3627,-88l3627,-21m861,-17l947,-17e" filled="false" stroked="true" strokeweight=".5pt" strokecolor="#000000">
            <v:path arrowok="t"/>
            <v:stroke dashstyle="solid"/>
            <w10:wrap type="none"/>
          </v:shape>
        </w:pict>
      </w:r>
      <w:r>
        <w:rPr>
          <w:sz w:val="12"/>
        </w:rPr>
        <w:t>1996</w:t>
        <w:tab/>
        <w:t>97</w:t>
        <w:tab/>
        <w:t>98</w:t>
        <w:tab/>
      </w:r>
      <w:r>
        <w:rPr>
          <w:spacing w:val="-10"/>
          <w:sz w:val="12"/>
        </w:rPr>
        <w:t>99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104"/>
        <w:ind w:left="262" w:right="0" w:firstLine="0"/>
        <w:jc w:val="left"/>
        <w:rPr>
          <w:sz w:val="12"/>
        </w:rPr>
      </w:pPr>
      <w:r>
        <w:rPr>
          <w:sz w:val="12"/>
        </w:rPr>
        <w:t>2000</w:t>
      </w:r>
    </w:p>
    <w:p>
      <w:pPr>
        <w:pStyle w:val="BodyText"/>
        <w:spacing w:before="1"/>
        <w:rPr>
          <w:sz w:val="13"/>
        </w:rPr>
      </w:pPr>
      <w:r>
        <w:rPr/>
        <w:br w:type="column"/>
      </w:r>
      <w:r>
        <w:rPr>
          <w:sz w:val="13"/>
        </w:rPr>
      </w:r>
    </w:p>
    <w:p>
      <w:pPr>
        <w:spacing w:before="0"/>
        <w:ind w:left="183" w:right="0" w:firstLine="0"/>
        <w:jc w:val="left"/>
        <w:rPr>
          <w:sz w:val="12"/>
        </w:rPr>
      </w:pPr>
      <w:r>
        <w:rPr>
          <w:sz w:val="12"/>
        </w:rPr>
        <w:t>3.0</w:t>
      </w:r>
    </w:p>
    <w:p>
      <w:pPr>
        <w:pStyle w:val="BodyText"/>
        <w:rPr>
          <w:sz w:val="12"/>
        </w:rPr>
      </w:pPr>
    </w:p>
    <w:p>
      <w:pPr>
        <w:pStyle w:val="BodyText"/>
        <w:spacing w:before="9"/>
        <w:rPr>
          <w:sz w:val="11"/>
        </w:rPr>
      </w:pPr>
    </w:p>
    <w:p>
      <w:pPr>
        <w:spacing w:before="0"/>
        <w:ind w:left="183" w:right="0" w:firstLine="0"/>
        <w:jc w:val="left"/>
        <w:rPr>
          <w:sz w:val="12"/>
        </w:rPr>
      </w:pPr>
      <w:r>
        <w:rPr/>
        <w:pict>
          <v:group style="position:absolute;margin-left:43.033001pt;margin-top:-4.28273pt;width:160.4pt;height:91.65pt;mso-position-horizontal-relative:page;mso-position-vertical-relative:paragraph;z-index:16306176" coordorigin="861,-86" coordsize="3208,1833">
            <v:shape style="position:absolute;left:1190;top:91;width:108;height:335" coordorigin="1190,92" coordsize="108,335" path="m1190,167l1238,92m1238,92l1298,427e" filled="false" stroked="true" strokeweight="1pt" strokecolor="#de8508">
              <v:path arrowok="t"/>
              <v:stroke dashstyle="solid"/>
            </v:shape>
            <v:line style="position:absolute" from="1288,428" to="1355,428" stroked="true" strokeweight="1.125pt" strokecolor="#de8508">
              <v:stroke dashstyle="solid"/>
            </v:line>
            <v:line style="position:absolute" from="1345,427" to="1405,502" stroked="true" strokeweight="1pt" strokecolor="#de8508">
              <v:stroke dashstyle="solid"/>
            </v:line>
            <v:shape style="position:absolute;left:1395;top:503;width:128;height:2" coordorigin="1395,503" coordsize="128,0" path="m1395,503l1475,503m1455,503l1523,503e" filled="false" stroked="true" strokeweight="1.125pt" strokecolor="#de8508">
              <v:path arrowok="t"/>
              <v:stroke dashstyle="solid"/>
            </v:shape>
            <v:line style="position:absolute" from="1513,502" to="1573,579" stroked="true" strokeweight="1pt" strokecolor="#de8508">
              <v:stroke dashstyle="solid"/>
            </v:line>
            <v:line style="position:absolute" from="1563,581" to="1630,581" stroked="true" strokeweight="1.125pt" strokecolor="#de8508">
              <v:stroke dashstyle="solid"/>
            </v:line>
            <v:shape style="position:absolute;left:1620;top:501;width:273;height:580" coordorigin="1620,502" coordsize="273,580" path="m1620,579l1678,502m1678,502l1728,669m1728,669l1785,837m1785,837l1833,1082m1833,1082l1893,989e" filled="false" stroked="true" strokeweight="1pt" strokecolor="#de8508">
              <v:path arrowok="t"/>
              <v:stroke dashstyle="solid"/>
            </v:shape>
            <v:line style="position:absolute" from="1883,991" to="1963,991" stroked="true" strokeweight="1.125pt" strokecolor="#de8508">
              <v:stroke dashstyle="solid"/>
            </v:line>
            <v:shape style="position:absolute;left:1952;top:746;width:383;height:503" coordorigin="1953,747" coordsize="383,503" path="m1953,989l2000,914m2000,914l2060,747m2060,747l2108,837m2108,837l2168,914m2168,914l2215,837m2215,837l2275,914m2275,914l2335,1249e" filled="false" stroked="true" strokeweight="1pt" strokecolor="#de8508">
              <v:path arrowok="t"/>
              <v:stroke dashstyle="solid"/>
            </v:shape>
            <v:shape style="position:absolute;left:2325;top:1250;width:128;height:2" coordorigin="2325,1251" coordsize="128,0" path="m2325,1251l2393,1251m2373,1251l2453,1251e" filled="false" stroked="true" strokeweight="1.125pt" strokecolor="#de8508">
              <v:path arrowok="t"/>
              <v:stroke dashstyle="solid"/>
            </v:shape>
            <v:shape style="position:absolute;left:2442;top:989;width:428;height:503" coordorigin="2443,989" coordsize="428,503" path="m2443,1249l2490,989m2490,989l2550,1082m2550,1082l2598,989m2598,989l2655,1082m2655,1082l2715,1249m2715,1249l2763,1324m2763,1324l2823,1402m2823,1402l2870,1492e" filled="false" stroked="true" strokeweight="1pt" strokecolor="#de8508">
              <v:path arrowok="t"/>
              <v:stroke dashstyle="solid"/>
            </v:shape>
            <v:shape style="position:absolute;left:2860;top:1493;width:188;height:2" coordorigin="2860,1493" coordsize="188,0" path="m2860,1493l2940,1493m2920,1493l2988,1493m2968,1493l3048,1493e" filled="false" stroked="true" strokeweight="1.125pt" strokecolor="#de8508">
              <v:path arrowok="t"/>
              <v:stroke dashstyle="solid"/>
            </v:shape>
            <v:shape style="position:absolute;left:3037;top:1156;width:323;height:335" coordorigin="3038,1157" coordsize="323,335" path="m3038,1492l3098,1324m3098,1324l3145,1249m3145,1249l3205,1324m3205,1324l3253,1402m3253,1402l3313,1249m3313,1249l3360,1157e" filled="false" stroked="true" strokeweight="1pt" strokecolor="#de8508">
              <v:path arrowok="t"/>
              <v:stroke dashstyle="solid"/>
            </v:shape>
            <v:line style="position:absolute" from="3350,1158" to="3430,1158" stroked="true" strokeweight="1.125pt" strokecolor="#de8508">
              <v:stroke dashstyle="solid"/>
            </v:line>
            <v:shape style="position:absolute;left:3420;top:426;width:380;height:730" coordorigin="3420,427" coordsize="380,730" path="m3420,1157l3468,989m3468,989l3528,914m3528,914l3585,747m3585,747l3633,579m3633,579l3693,502m3693,502l3740,427m3740,427l3800,579e" filled="false" stroked="true" strokeweight="1pt" strokecolor="#de8508">
              <v:path arrowok="t"/>
              <v:stroke dashstyle="solid"/>
            </v:shape>
            <v:line style="position:absolute" from="3790,581" to="3857,581" stroked="true" strokeweight="1.125pt" strokecolor="#de8508">
              <v:stroke dashstyle="solid"/>
            </v:line>
            <v:line style="position:absolute" from="3847,579" to="3907,167" stroked="true" strokeweight="1pt" strokecolor="#de8508">
              <v:stroke dashstyle="solid"/>
            </v:line>
            <v:shape style="position:absolute;left:1012;top:-75;width:128;height:2" coordorigin="1013,-74" coordsize="128,0" path="m1013,-74l1093,-74m1073,-74l1140,-74e" filled="false" stroked="true" strokeweight="1.125pt" strokecolor="#008360">
              <v:path arrowok="t"/>
              <v:stroke dashstyle="solid"/>
            </v:shape>
            <v:shape style="position:absolute;left:1130;top:-76;width:215;height:335" coordorigin="1130,-76" coordsize="215,335" path="m1130,-76l1190,14m1190,14l1238,259m1238,259l1298,92m1298,92l1345,259e" filled="false" stroked="true" strokeweight="1pt" strokecolor="#008360">
              <v:path arrowok="t"/>
              <v:stroke dashstyle="solid"/>
            </v:shape>
            <v:shape style="position:absolute;left:1335;top:260;width:140;height:2" coordorigin="1335,261" coordsize="140,0" path="m1335,261l1415,261m1395,261l1475,261e" filled="false" stroked="true" strokeweight="1.125pt" strokecolor="#008360">
              <v:path arrowok="t"/>
              <v:stroke dashstyle="solid"/>
            </v:shape>
            <v:shape style="position:absolute;left:1465;top:91;width:368;height:823" coordorigin="1465,92" coordsize="368,823" path="m1465,259l1513,167m1513,167l1573,92m1573,92l1620,334m1620,334l1678,427m1678,427l1728,579m1728,579l1785,747m1785,747l1833,914e" filled="false" stroked="true" strokeweight="1pt" strokecolor="#008360">
              <v:path arrowok="t"/>
              <v:stroke dashstyle="solid"/>
            </v:shape>
            <v:line style="position:absolute" from="1823,916" to="1903,916" stroked="true" strokeweight="1.125pt" strokecolor="#008360">
              <v:stroke dashstyle="solid"/>
            </v:line>
            <v:shape style="position:absolute;left:1892;top:501;width:108;height:413" coordorigin="1893,502" coordsize="108,413" path="m1893,914l1953,747m1953,747l2000,502e" filled="false" stroked="true" strokeweight="1pt" strokecolor="#008360">
              <v:path arrowok="t"/>
              <v:stroke dashstyle="solid"/>
            </v:shape>
            <v:line style="position:absolute" from="1990,503" to="2070,503" stroked="true" strokeweight="1.125pt" strokecolor="#008360">
              <v:stroke dashstyle="solid"/>
            </v:line>
            <v:shape style="position:absolute;left:2060;top:501;width:108;height:168" coordorigin="2060,502" coordsize="108,168" path="m2060,502l2108,669m2108,669l2168,579e" filled="false" stroked="true" strokeweight="1pt" strokecolor="#008360">
              <v:path arrowok="t"/>
              <v:stroke dashstyle="solid"/>
            </v:shape>
            <v:line style="position:absolute" from="2158,581" to="2225,581" stroked="true" strokeweight="1.125pt" strokecolor="#008360">
              <v:stroke dashstyle="solid"/>
            </v:line>
            <v:shape style="position:absolute;left:2215;top:579;width:168;height:335" coordorigin="2215,579" coordsize="168,335" path="m2215,579l2335,914m2335,914l2383,837e" filled="false" stroked="true" strokeweight="1pt" strokecolor="#008360">
              <v:path arrowok="t"/>
              <v:stroke dashstyle="solid"/>
            </v:shape>
            <v:line style="position:absolute" from="2373,838" to="2453,838" stroked="true" strokeweight="1.125pt" strokecolor="#008360">
              <v:stroke dashstyle="solid"/>
            </v:line>
            <v:shape style="position:absolute;left:2442;top:426;width:380;height:655" coordorigin="2443,427" coordsize="380,655" path="m2443,837l2490,579m2490,579l2550,427m2550,427l2598,747m2598,747l2655,914m2655,914l2715,1082m2715,1082l2763,914m2763,914l2823,989e" filled="false" stroked="true" strokeweight="1pt" strokecolor="#008360">
              <v:path arrowok="t"/>
              <v:stroke dashstyle="solid"/>
            </v:shape>
            <v:line style="position:absolute" from="2813,991" to="2880,991" stroked="true" strokeweight="1.125pt" strokecolor="#008360">
              <v:stroke dashstyle="solid"/>
            </v:line>
            <v:line style="position:absolute" from="2870,989" to="2930,837" stroked="true" strokeweight="1pt" strokecolor="#008360">
              <v:stroke dashstyle="solid"/>
            </v:line>
            <v:line style="position:absolute" from="2920,838" to="2988,838" stroked="true" strokeweight="1.125pt" strokecolor="#008360">
              <v:stroke dashstyle="solid"/>
            </v:line>
            <v:shape style="position:absolute;left:2977;top:746;width:335;height:335" coordorigin="2978,747" coordsize="335,335" path="m2978,837l3038,914m3038,914l3098,747m3098,747l3145,914m3145,914l3205,1082m3205,1082l3253,989m3253,989l3313,1082e" filled="false" stroked="true" strokeweight="1pt" strokecolor="#008360">
              <v:path arrowok="t"/>
              <v:stroke dashstyle="solid"/>
            </v:shape>
            <v:line style="position:absolute" from="3303,1083" to="3370,1083" stroked="true" strokeweight="1.125pt" strokecolor="#008360">
              <v:stroke dashstyle="solid"/>
            </v:line>
            <v:line style="position:absolute" from="3360,1082" to="3420,1157" stroked="true" strokeweight="1pt" strokecolor="#008360">
              <v:stroke dashstyle="solid"/>
            </v:line>
            <v:line style="position:absolute" from="3410,1158" to="3478,1158" stroked="true" strokeweight="1.125pt" strokecolor="#008360">
              <v:stroke dashstyle="solid"/>
            </v:line>
            <v:shape style="position:absolute;left:3467;top:1081;width:440;height:655" coordorigin="3467,1082" coordsize="440,655" path="m3467,1157l3527,1082m3527,1082l3585,1157m3585,1157l3632,1492m3632,1492l3692,1324m3692,1324l3740,1569m3740,1569l3800,1659m3800,1659l3847,1737m3847,1737l3907,1492e" filled="false" stroked="true" strokeweight="1pt" strokecolor="#008360">
              <v:path arrowok="t"/>
              <v:stroke dashstyle="solid"/>
            </v:shape>
            <v:shape style="position:absolute;left:860;top:84;width:3208;height:1651" coordorigin="861,85" coordsize="3208,1651" path="m861,91l947,91m861,503l947,503m861,914l947,914m861,1736l947,1736m861,1325l947,1325m3982,85l4068,85m3982,496l4068,496m3982,907l4068,907m3982,1729l4068,1729m3982,1318l4068,1318e" filled="false" stroked="true" strokeweight=".5pt" strokecolor="#000000">
              <v:path arrowok="t"/>
              <v:stroke dashstyle="solid"/>
            </v:shape>
            <v:shape style="position:absolute;left:1012;top:57;width:208;height:133" type="#_x0000_t202" filled="false" stroked="false">
              <v:textbox inset="0,0,0,0">
                <w:txbxContent>
                  <w:p>
                    <w:pPr>
                      <w:spacing w:line="133" w:lineRule="exact" w:before="0"/>
                      <w:ind w:left="0" w:right="0" w:firstLine="0"/>
                      <w:jc w:val="left"/>
                      <w:rPr>
                        <w:sz w:val="12"/>
                      </w:rPr>
                    </w:pPr>
                    <w:r>
                      <w:rPr>
                        <w:sz w:val="12"/>
                        <w:u w:val="thick" w:color="DE8508"/>
                      </w:rPr>
                      <w:t> </w:t>
                    </w:r>
                    <w:r>
                      <w:rPr>
                        <w:spacing w:val="7"/>
                        <w:sz w:val="12"/>
                        <w:u w:val="thick" w:color="DE8508"/>
                      </w:rPr>
                      <w:t> </w:t>
                    </w:r>
                  </w:p>
                </w:txbxContent>
              </v:textbox>
              <w10:wrap type="none"/>
            </v:shape>
            <v:shape style="position:absolute;left:1619;top:57;width:830;height:134" type="#_x0000_t202" filled="false" stroked="false">
              <v:textbox inset="0,0,0,0">
                <w:txbxContent>
                  <w:p>
                    <w:pPr>
                      <w:spacing w:line="133" w:lineRule="exact" w:before="0"/>
                      <w:ind w:left="0" w:right="0" w:firstLine="0"/>
                      <w:jc w:val="left"/>
                      <w:rPr>
                        <w:sz w:val="12"/>
                      </w:rPr>
                    </w:pPr>
                    <w:r>
                      <w:rPr>
                        <w:sz w:val="12"/>
                      </w:rPr>
                      <w:t>United Kingdom</w:t>
                    </w:r>
                  </w:p>
                </w:txbxContent>
              </v:textbox>
              <w10:wrap type="none"/>
            </v:shape>
            <v:shape style="position:absolute;left:2351;top:1418;width:483;height:133" type="#_x0000_t202" filled="false" stroked="false">
              <v:textbox inset="0,0,0,0">
                <w:txbxContent>
                  <w:p>
                    <w:pPr>
                      <w:spacing w:line="133" w:lineRule="exact" w:before="0"/>
                      <w:ind w:left="0" w:right="0" w:firstLine="0"/>
                      <w:jc w:val="left"/>
                      <w:rPr>
                        <w:sz w:val="12"/>
                      </w:rPr>
                    </w:pPr>
                    <w:r>
                      <w:rPr>
                        <w:sz w:val="12"/>
                      </w:rPr>
                      <w:t>Euro area</w:t>
                    </w:r>
                  </w:p>
                </w:txbxContent>
              </v:textbox>
              <w10:wrap type="none"/>
            </v:shape>
            <w10:wrap type="none"/>
          </v:group>
        </w:pict>
      </w:r>
      <w:r>
        <w:rPr/>
        <w:pict>
          <v:line style="position:absolute;mso-position-horizontal-relative:page;mso-position-vertical-relative:paragraph;z-index:16307712" from="199.085999pt,-16.304729pt" to="203.417999pt,-16.304729pt" stroked="true" strokeweight=".5pt" strokecolor="#000000">
            <v:stroke dashstyle="solid"/>
            <w10:wrap type="none"/>
          </v:line>
        </w:pict>
      </w:r>
      <w:r>
        <w:rPr>
          <w:sz w:val="12"/>
        </w:rPr>
        <w:t>2.5</w:t>
      </w:r>
    </w:p>
    <w:p>
      <w:pPr>
        <w:pStyle w:val="BodyText"/>
        <w:rPr>
          <w:sz w:val="12"/>
        </w:rPr>
      </w:pPr>
    </w:p>
    <w:p>
      <w:pPr>
        <w:pStyle w:val="BodyText"/>
        <w:spacing w:before="9"/>
        <w:rPr>
          <w:sz w:val="11"/>
        </w:rPr>
      </w:pPr>
    </w:p>
    <w:p>
      <w:pPr>
        <w:spacing w:before="0"/>
        <w:ind w:left="183" w:right="0" w:firstLine="0"/>
        <w:jc w:val="left"/>
        <w:rPr>
          <w:sz w:val="12"/>
        </w:rPr>
      </w:pPr>
      <w:r>
        <w:rPr>
          <w:sz w:val="12"/>
        </w:rPr>
        <w:t>2.0</w:t>
      </w:r>
    </w:p>
    <w:p>
      <w:pPr>
        <w:pStyle w:val="BodyText"/>
        <w:rPr>
          <w:sz w:val="12"/>
        </w:rPr>
      </w:pPr>
    </w:p>
    <w:p>
      <w:pPr>
        <w:pStyle w:val="BodyText"/>
        <w:spacing w:before="9"/>
        <w:rPr>
          <w:sz w:val="11"/>
        </w:rPr>
      </w:pPr>
    </w:p>
    <w:p>
      <w:pPr>
        <w:spacing w:before="0"/>
        <w:ind w:left="183" w:right="0" w:firstLine="0"/>
        <w:jc w:val="left"/>
        <w:rPr>
          <w:sz w:val="12"/>
        </w:rPr>
      </w:pPr>
      <w:r>
        <w:rPr>
          <w:sz w:val="12"/>
        </w:rPr>
        <w:t>1.5</w:t>
      </w:r>
    </w:p>
    <w:p>
      <w:pPr>
        <w:pStyle w:val="BodyText"/>
        <w:rPr>
          <w:sz w:val="12"/>
        </w:rPr>
      </w:pPr>
    </w:p>
    <w:p>
      <w:pPr>
        <w:pStyle w:val="BodyText"/>
        <w:spacing w:before="9"/>
        <w:rPr>
          <w:sz w:val="11"/>
        </w:rPr>
      </w:pPr>
    </w:p>
    <w:p>
      <w:pPr>
        <w:spacing w:before="0"/>
        <w:ind w:left="183" w:right="0" w:firstLine="0"/>
        <w:jc w:val="left"/>
        <w:rPr>
          <w:sz w:val="12"/>
        </w:rPr>
      </w:pPr>
      <w:r>
        <w:rPr>
          <w:sz w:val="12"/>
        </w:rPr>
        <w:t>1.0</w:t>
      </w:r>
    </w:p>
    <w:p>
      <w:pPr>
        <w:pStyle w:val="BodyText"/>
        <w:rPr>
          <w:sz w:val="12"/>
        </w:rPr>
      </w:pPr>
    </w:p>
    <w:p>
      <w:pPr>
        <w:pStyle w:val="BodyText"/>
        <w:spacing w:before="9"/>
        <w:rPr>
          <w:sz w:val="11"/>
        </w:rPr>
      </w:pPr>
    </w:p>
    <w:p>
      <w:pPr>
        <w:spacing w:before="0"/>
        <w:ind w:left="183" w:right="0" w:firstLine="0"/>
        <w:jc w:val="left"/>
        <w:rPr>
          <w:sz w:val="12"/>
        </w:rPr>
      </w:pPr>
      <w:r>
        <w:rPr>
          <w:sz w:val="12"/>
        </w:rPr>
        <w:t>0.5</w:t>
      </w:r>
    </w:p>
    <w:p>
      <w:pPr>
        <w:pStyle w:val="BodyText"/>
        <w:rPr>
          <w:sz w:val="12"/>
        </w:rPr>
      </w:pPr>
    </w:p>
    <w:p>
      <w:pPr>
        <w:pStyle w:val="BodyText"/>
        <w:spacing w:before="9"/>
        <w:rPr>
          <w:sz w:val="11"/>
        </w:rPr>
      </w:pPr>
    </w:p>
    <w:p>
      <w:pPr>
        <w:spacing w:before="0"/>
        <w:ind w:left="183" w:right="0" w:firstLine="0"/>
        <w:jc w:val="left"/>
        <w:rPr>
          <w:sz w:val="12"/>
        </w:rPr>
      </w:pPr>
      <w:r>
        <w:rPr/>
        <w:pict>
          <v:line style="position:absolute;mso-position-horizontal-relative:page;mso-position-vertical-relative:paragraph;z-index:16308224" from="199.085999pt,4.15826pt" to="203.417999pt,4.15826pt" stroked="true" strokeweight=".5pt" strokecolor="#000000">
            <v:stroke dashstyle="solid"/>
            <w10:wrap type="none"/>
          </v:line>
        </w:pict>
      </w:r>
      <w:r>
        <w:rPr>
          <w:sz w:val="12"/>
        </w:rPr>
        <w:t>0.0</w:t>
      </w:r>
    </w:p>
    <w:p>
      <w:pPr>
        <w:pStyle w:val="BodyText"/>
        <w:spacing w:before="7"/>
        <w:rPr>
          <w:sz w:val="27"/>
        </w:rPr>
      </w:pPr>
      <w:r>
        <w:rPr/>
        <w:br w:type="column"/>
      </w:r>
      <w:r>
        <w:rPr>
          <w:sz w:val="27"/>
        </w:rPr>
      </w:r>
    </w:p>
    <w:p>
      <w:pPr>
        <w:pStyle w:val="ListParagraph"/>
        <w:numPr>
          <w:ilvl w:val="1"/>
          <w:numId w:val="35"/>
        </w:numPr>
        <w:tabs>
          <w:tab w:pos="4665" w:val="left" w:leader="none"/>
          <w:tab w:pos="4666" w:val="left" w:leader="none"/>
          <w:tab w:pos="6066" w:val="left" w:leader="none"/>
        </w:tabs>
        <w:spacing w:line="240" w:lineRule="auto" w:before="0" w:after="0"/>
        <w:ind w:left="4665" w:right="0" w:hanging="4099"/>
        <w:jc w:val="left"/>
        <w:rPr>
          <w:b/>
          <w:sz w:val="28"/>
        </w:rPr>
      </w:pPr>
      <w:r>
        <w:rPr>
          <w:b/>
          <w:color w:val="009391"/>
          <w:sz w:val="28"/>
          <w:u w:val="thick" w:color="0092C7"/>
        </w:rPr>
        <w:t>Summary</w:t>
        <w:tab/>
      </w:r>
    </w:p>
    <w:p>
      <w:pPr>
        <w:spacing w:line="242" w:lineRule="auto" w:before="264"/>
        <w:ind w:left="567" w:right="14" w:firstLine="0"/>
        <w:jc w:val="left"/>
        <w:rPr>
          <w:sz w:val="24"/>
        </w:rPr>
      </w:pPr>
      <w:r>
        <w:rPr>
          <w:sz w:val="24"/>
        </w:rPr>
        <w:t>World commodity prices, notably for oil, rose in Q2 by more than expected at the time of the May </w:t>
      </w:r>
      <w:r>
        <w:rPr>
          <w:i/>
          <w:sz w:val="24"/>
        </w:rPr>
        <w:t>Report</w:t>
      </w:r>
      <w:r>
        <w:rPr>
          <w:sz w:val="24"/>
        </w:rPr>
        <w:t>. That has put further upward pressure on UK manufacturers’ input prices, and manufacturers’ unit labour costs have also risen in recent months. Manufacturers’ output price inflation has picked up, although the CBI monthly industrial trends survey shows that the balance of firms expecting to reduce prices remains relatively high.</w:t>
      </w:r>
    </w:p>
    <w:p>
      <w:pPr>
        <w:spacing w:before="10"/>
        <w:ind w:left="567" w:right="0" w:firstLine="0"/>
        <w:jc w:val="left"/>
        <w:rPr>
          <w:sz w:val="24"/>
        </w:rPr>
      </w:pPr>
      <w:r>
        <w:rPr>
          <w:sz w:val="24"/>
        </w:rPr>
        <w:t>Manufacturers’ margins are likely to have fallen further.</w:t>
      </w:r>
    </w:p>
    <w:p>
      <w:pPr>
        <w:spacing w:after="0"/>
        <w:jc w:val="left"/>
        <w:rPr>
          <w:sz w:val="24"/>
        </w:rPr>
        <w:sectPr>
          <w:type w:val="continuous"/>
          <w:pgSz w:w="11900" w:h="16840"/>
          <w:pgMar w:top="1260" w:bottom="280" w:left="640" w:right="640"/>
          <w:cols w:num="4" w:equalWidth="0">
            <w:col w:w="2725" w:space="40"/>
            <w:col w:w="503" w:space="39"/>
            <w:col w:w="374" w:space="726"/>
            <w:col w:w="6213"/>
          </w:cols>
        </w:sectPr>
      </w:pPr>
    </w:p>
    <w:p>
      <w:pPr>
        <w:pStyle w:val="BodyText"/>
        <w:spacing w:line="20" w:lineRule="exact"/>
        <w:ind w:left="143"/>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rPr>
          <w:sz w:val="20"/>
        </w:rPr>
      </w:pPr>
    </w:p>
    <w:p>
      <w:pPr>
        <w:spacing w:line="242" w:lineRule="auto" w:before="207"/>
        <w:ind w:left="4960" w:right="214" w:firstLine="0"/>
        <w:jc w:val="left"/>
        <w:rPr>
          <w:sz w:val="24"/>
        </w:rPr>
      </w:pPr>
      <w:r>
        <w:rPr>
          <w:sz w:val="24"/>
        </w:rPr>
        <w:t>Surveys suggest that service sector input and output prices have increased. The gap between retail goods and services price inflation has narrowed, but it remains relatively high by historical standards. Measures of domestically generated inflation remain at around 3%.</w:t>
      </w:r>
    </w:p>
    <w:p>
      <w:pPr>
        <w:spacing w:line="242" w:lineRule="auto" w:before="6"/>
        <w:ind w:left="4959" w:right="242" w:firstLine="0"/>
        <w:jc w:val="left"/>
        <w:rPr>
          <w:sz w:val="24"/>
        </w:rPr>
      </w:pPr>
      <w:r>
        <w:rPr>
          <w:sz w:val="24"/>
        </w:rPr>
        <w:t>RPIX inflation has risen slightly since the May </w:t>
      </w:r>
      <w:r>
        <w:rPr>
          <w:i/>
          <w:sz w:val="24"/>
        </w:rPr>
        <w:t>Report</w:t>
      </w:r>
      <w:r>
        <w:rPr>
          <w:sz w:val="24"/>
        </w:rPr>
        <w:t>, mainly reflecting the recent rise in oil prices, although it remains below the Government’s 2</w:t>
      </w:r>
      <w:r>
        <w:rPr>
          <w:position w:val="8"/>
          <w:sz w:val="12"/>
        </w:rPr>
        <w:t>1</w:t>
      </w:r>
      <w:r>
        <w:rPr>
          <w:sz w:val="24"/>
        </w:rPr>
        <w:t>/</w:t>
      </w:r>
      <w:r>
        <w:rPr>
          <w:sz w:val="12"/>
        </w:rPr>
        <w:t>2</w:t>
      </w:r>
      <w:r>
        <w:rPr>
          <w:sz w:val="24"/>
        </w:rPr>
        <w:t>% target.</w:t>
      </w:r>
    </w:p>
    <w:p>
      <w:pPr>
        <w:spacing w:after="0" w:line="242" w:lineRule="auto"/>
        <w:jc w:val="left"/>
        <w:rPr>
          <w:sz w:val="24"/>
        </w:rPr>
        <w:sectPr>
          <w:pgSz w:w="11900" w:h="16840"/>
          <w:pgMar w:header="586" w:footer="612" w:top="780" w:bottom="800" w:left="640" w:right="640"/>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000000">
              <v:stroke dashstyle="solid"/>
            </v:line>
          </v:group>
        </w:pict>
      </w:r>
      <w:r>
        <w:rPr>
          <w:sz w:val="2"/>
        </w:rPr>
      </w:r>
    </w:p>
    <w:p>
      <w:pPr>
        <w:pStyle w:val="BodyText"/>
        <w:rPr>
          <w:sz w:val="20"/>
        </w:rPr>
      </w:pPr>
    </w:p>
    <w:p>
      <w:pPr>
        <w:pStyle w:val="BodyText"/>
        <w:spacing w:before="9"/>
      </w:pPr>
      <w:r>
        <w:rPr/>
        <w:pict>
          <v:shape style="position:absolute;margin-left:40pt;margin-top:12.000977pt;width:516pt;height:48pt;mso-position-horizontal-relative:page;mso-position-vertical-relative:paragraph;z-index:-15147520;mso-wrap-distance-left:0;mso-wrap-distance-right:0" type="#_x0000_t202" filled="true" fillcolor="#cee2e0" stroked="false">
            <v:textbox inset="0,0,0,0">
              <w:txbxContent>
                <w:p>
                  <w:pPr>
                    <w:tabs>
                      <w:tab w:pos="2328" w:val="left" w:leader="none"/>
                    </w:tabs>
                    <w:spacing w:before="51"/>
                    <w:ind w:left="260" w:right="0" w:firstLine="0"/>
                    <w:jc w:val="left"/>
                    <w:rPr>
                      <w:b/>
                      <w:i/>
                      <w:sz w:val="48"/>
                    </w:rPr>
                  </w:pPr>
                  <w:bookmarkStart w:name="Monetary policy since the May Report" w:id="71"/>
                  <w:bookmarkEnd w:id="71"/>
                  <w:r>
                    <w:rPr/>
                  </w:r>
                  <w:bookmarkStart w:name="_bookmark29" w:id="72"/>
                  <w:bookmarkEnd w:id="72"/>
                  <w:r>
                    <w:rPr/>
                  </w:r>
                  <w:r>
                    <w:rPr>
                      <w:b/>
                      <w:color w:val="009391"/>
                      <w:sz w:val="72"/>
                    </w:rPr>
                    <w:t>5</w:t>
                    <w:tab/>
                  </w:r>
                  <w:r>
                    <w:rPr>
                      <w:b/>
                      <w:color w:val="009391"/>
                      <w:sz w:val="48"/>
                    </w:rPr>
                    <w:t>Monetary policy since the May</w:t>
                  </w:r>
                  <w:r>
                    <w:rPr>
                      <w:b/>
                      <w:color w:val="009391"/>
                      <w:spacing w:val="-19"/>
                      <w:sz w:val="48"/>
                    </w:rPr>
                    <w:t> </w:t>
                  </w:r>
                  <w:r>
                    <w:rPr>
                      <w:b/>
                      <w:i/>
                      <w:color w:val="009391"/>
                      <w:sz w:val="48"/>
                    </w:rPr>
                    <w:t>Report</w:t>
                  </w:r>
                </w:p>
              </w:txbxContent>
            </v:textbox>
            <v:fill type="solid"/>
            <w10:wrap type="topAndBottom"/>
          </v:shape>
        </w:pict>
      </w:r>
    </w:p>
    <w:p>
      <w:pPr>
        <w:pStyle w:val="BodyText"/>
        <w:rPr>
          <w:sz w:val="20"/>
        </w:rPr>
      </w:pPr>
    </w:p>
    <w:p>
      <w:pPr>
        <w:pStyle w:val="BodyText"/>
        <w:rPr>
          <w:sz w:val="20"/>
        </w:rPr>
      </w:pPr>
    </w:p>
    <w:p>
      <w:pPr>
        <w:spacing w:line="242" w:lineRule="auto" w:before="208"/>
        <w:ind w:left="4980" w:right="214" w:firstLine="0"/>
        <w:jc w:val="left"/>
        <w:rPr>
          <w:sz w:val="24"/>
        </w:rPr>
      </w:pPr>
      <w:r>
        <w:rPr>
          <w:sz w:val="24"/>
        </w:rPr>
        <w:t>This section summarises the economic developments and monetary policy decisions taken by the MPC since the May </w:t>
      </w:r>
      <w:r>
        <w:rPr>
          <w:i/>
          <w:sz w:val="24"/>
        </w:rPr>
        <w:t>Report</w:t>
      </w:r>
      <w:r>
        <w:rPr>
          <w:sz w:val="24"/>
        </w:rPr>
        <w:t>. The minutes of the </w:t>
      </w:r>
      <w:hyperlink w:history="true" w:anchor="_bookmark39">
        <w:r>
          <w:rPr>
            <w:color w:val="FF0000"/>
            <w:sz w:val="24"/>
          </w:rPr>
          <w:t>May</w:t>
        </w:r>
        <w:r>
          <w:rPr>
            <w:sz w:val="24"/>
          </w:rPr>
          <w:t>,</w:t>
        </w:r>
      </w:hyperlink>
      <w:r>
        <w:rPr>
          <w:sz w:val="24"/>
        </w:rPr>
        <w:t> </w:t>
      </w:r>
      <w:hyperlink w:history="true" w:anchor="_bookmark40">
        <w:r>
          <w:rPr>
            <w:color w:val="FF0000"/>
            <w:sz w:val="24"/>
          </w:rPr>
          <w:t>June </w:t>
        </w:r>
      </w:hyperlink>
      <w:r>
        <w:rPr>
          <w:sz w:val="24"/>
        </w:rPr>
        <w:t>and </w:t>
      </w:r>
      <w:hyperlink w:history="true" w:anchor="_bookmark42">
        <w:r>
          <w:rPr>
            <w:color w:val="FF0000"/>
            <w:sz w:val="24"/>
          </w:rPr>
          <w:t>July</w:t>
        </w:r>
      </w:hyperlink>
      <w:r>
        <w:rPr>
          <w:color w:val="FF0000"/>
          <w:sz w:val="24"/>
        </w:rPr>
        <w:t> </w:t>
      </w:r>
      <w:r>
        <w:rPr>
          <w:sz w:val="24"/>
        </w:rPr>
        <w:t>meetings are attached as an Annex to this </w:t>
      </w:r>
      <w:r>
        <w:rPr>
          <w:i/>
          <w:sz w:val="24"/>
        </w:rPr>
        <w:t>Report</w:t>
      </w:r>
      <w:r>
        <w:rPr>
          <w:sz w:val="24"/>
        </w:rPr>
        <w:t>. The Bank of England’s repo rate was maintained at 6% in June, July and August.</w:t>
      </w:r>
    </w:p>
    <w:p>
      <w:pPr>
        <w:pStyle w:val="BodyText"/>
        <w:spacing w:before="6"/>
        <w:rPr>
          <w:sz w:val="28"/>
        </w:rPr>
      </w:pPr>
    </w:p>
    <w:p>
      <w:pPr>
        <w:spacing w:line="242" w:lineRule="auto" w:before="0"/>
        <w:ind w:left="4979" w:right="172" w:firstLine="0"/>
        <w:jc w:val="left"/>
        <w:rPr>
          <w:sz w:val="24"/>
        </w:rPr>
      </w:pPr>
      <w:r>
        <w:rPr>
          <w:sz w:val="24"/>
        </w:rPr>
        <w:t>In the May </w:t>
      </w:r>
      <w:r>
        <w:rPr>
          <w:i/>
          <w:sz w:val="24"/>
        </w:rPr>
        <w:t>Report</w:t>
      </w:r>
      <w:r>
        <w:rPr>
          <w:sz w:val="24"/>
        </w:rPr>
        <w:t>, the </w:t>
      </w:r>
      <w:r>
        <w:rPr>
          <w:spacing w:val="-4"/>
          <w:sz w:val="24"/>
        </w:rPr>
        <w:t>MPC’s </w:t>
      </w:r>
      <w:r>
        <w:rPr>
          <w:sz w:val="24"/>
        </w:rPr>
        <w:t>central projection was for RPIX inflation to remain below target for the next </w:t>
      </w:r>
      <w:r>
        <w:rPr>
          <w:spacing w:val="-3"/>
          <w:sz w:val="24"/>
        </w:rPr>
        <w:t>year, </w:t>
      </w:r>
      <w:r>
        <w:rPr>
          <w:sz w:val="24"/>
        </w:rPr>
        <w:t>before rising to around the 2</w:t>
      </w:r>
      <w:r>
        <w:rPr>
          <w:position w:val="8"/>
          <w:sz w:val="12"/>
        </w:rPr>
        <w:t>1</w:t>
      </w:r>
      <w:r>
        <w:rPr>
          <w:sz w:val="24"/>
        </w:rPr>
        <w:t>/</w:t>
      </w:r>
      <w:r>
        <w:rPr>
          <w:sz w:val="12"/>
        </w:rPr>
        <w:t>2</w:t>
      </w:r>
      <w:r>
        <w:rPr>
          <w:sz w:val="24"/>
        </w:rPr>
        <w:t>% target in the second year of the forecast. Annual real GDP growth was judged most likely to ease from around 3% to the 2</w:t>
      </w:r>
      <w:r>
        <w:rPr>
          <w:position w:val="8"/>
          <w:sz w:val="12"/>
        </w:rPr>
        <w:t>1</w:t>
      </w:r>
      <w:r>
        <w:rPr>
          <w:sz w:val="24"/>
        </w:rPr>
        <w:t>/</w:t>
      </w:r>
      <w:r>
        <w:rPr>
          <w:sz w:val="12"/>
        </w:rPr>
        <w:t>2</w:t>
      </w:r>
      <w:r>
        <w:rPr>
          <w:sz w:val="24"/>
        </w:rPr>
        <w:t>%–2</w:t>
      </w:r>
      <w:r>
        <w:rPr>
          <w:position w:val="8"/>
          <w:sz w:val="12"/>
        </w:rPr>
        <w:t>3</w:t>
      </w:r>
      <w:r>
        <w:rPr>
          <w:sz w:val="24"/>
        </w:rPr>
        <w:t>/</w:t>
      </w:r>
      <w:r>
        <w:rPr>
          <w:sz w:val="12"/>
        </w:rPr>
        <w:t>4</w:t>
      </w:r>
      <w:r>
        <w:rPr>
          <w:sz w:val="24"/>
        </w:rPr>
        <w:t>% range. Relative to the central projection, some members would </w:t>
      </w:r>
      <w:r>
        <w:rPr>
          <w:spacing w:val="-3"/>
          <w:sz w:val="24"/>
        </w:rPr>
        <w:t>have </w:t>
      </w:r>
      <w:r>
        <w:rPr>
          <w:sz w:val="24"/>
        </w:rPr>
        <w:t>preferred to assume a steeper decline in the exchange rate and less structural compression of margins, while others would </w:t>
      </w:r>
      <w:r>
        <w:rPr>
          <w:spacing w:val="-3"/>
          <w:sz w:val="24"/>
        </w:rPr>
        <w:t>have </w:t>
      </w:r>
      <w:r>
        <w:rPr>
          <w:sz w:val="24"/>
        </w:rPr>
        <w:t>preferred to assume a constant nominal exchange rate and more downward pressure on prices on account of greater competition and higher productivity</w:t>
      </w:r>
      <w:r>
        <w:rPr>
          <w:spacing w:val="-24"/>
          <w:sz w:val="24"/>
        </w:rPr>
        <w:t> </w:t>
      </w:r>
      <w:r>
        <w:rPr>
          <w:sz w:val="24"/>
        </w:rPr>
        <w:t>growth.</w:t>
      </w:r>
    </w:p>
    <w:p>
      <w:pPr>
        <w:spacing w:line="242" w:lineRule="auto" w:before="15"/>
        <w:ind w:left="4979" w:right="230" w:firstLine="0"/>
        <w:jc w:val="left"/>
        <w:rPr>
          <w:sz w:val="24"/>
        </w:rPr>
      </w:pPr>
      <w:r>
        <w:rPr>
          <w:sz w:val="24"/>
        </w:rPr>
        <w:t>Alternative combinations of assumptions could have raised or lowered projected inflation by up to </w:t>
      </w:r>
      <w:r>
        <w:rPr>
          <w:position w:val="8"/>
          <w:sz w:val="12"/>
        </w:rPr>
        <w:t>1</w:t>
      </w:r>
      <w:r>
        <w:rPr>
          <w:sz w:val="24"/>
        </w:rPr>
        <w:t>/</w:t>
      </w:r>
      <w:r>
        <w:rPr>
          <w:sz w:val="12"/>
        </w:rPr>
        <w:t>2</w:t>
      </w:r>
      <w:r>
        <w:rPr>
          <w:sz w:val="24"/>
        </w:rPr>
        <w:t>% at the two-year forecast horizon.</w:t>
      </w:r>
    </w:p>
    <w:p>
      <w:pPr>
        <w:pStyle w:val="BodyText"/>
        <w:spacing w:before="2"/>
        <w:rPr>
          <w:sz w:val="28"/>
        </w:rPr>
      </w:pPr>
    </w:p>
    <w:p>
      <w:pPr>
        <w:spacing w:line="242" w:lineRule="auto" w:before="0"/>
        <w:ind w:left="4979" w:right="214" w:firstLine="0"/>
        <w:jc w:val="left"/>
        <w:rPr>
          <w:sz w:val="24"/>
        </w:rPr>
      </w:pPr>
      <w:r>
        <w:rPr>
          <w:sz w:val="24"/>
        </w:rPr>
        <w:t>At its meeting on </w:t>
      </w:r>
      <w:hyperlink w:history="true" w:anchor="_bookmark40">
        <w:r>
          <w:rPr>
            <w:color w:val="FF0000"/>
            <w:sz w:val="24"/>
          </w:rPr>
          <w:t>6–7 June</w:t>
        </w:r>
        <w:r>
          <w:rPr>
            <w:sz w:val="24"/>
          </w:rPr>
          <w:t>,</w:t>
        </w:r>
      </w:hyperlink>
      <w:r>
        <w:rPr>
          <w:sz w:val="24"/>
        </w:rPr>
        <w:t> the Committee discussed prospects for the world economy. Growth prospects for the euro area seemed little changed since the previous meeting. For the United States the signs were mixed.</w:t>
      </w:r>
    </w:p>
    <w:p>
      <w:pPr>
        <w:spacing w:line="242" w:lineRule="auto" w:before="5"/>
        <w:ind w:left="4979" w:right="0" w:firstLine="0"/>
        <w:jc w:val="left"/>
        <w:rPr>
          <w:sz w:val="24"/>
        </w:rPr>
      </w:pPr>
      <w:r>
        <w:rPr>
          <w:sz w:val="24"/>
        </w:rPr>
        <w:t>Markets seemed to be expecting a moderate slowdown without much further monetary policy tightening.</w:t>
      </w:r>
    </w:p>
    <w:p>
      <w:pPr>
        <w:spacing w:line="242" w:lineRule="auto" w:before="3"/>
        <w:ind w:left="4979" w:right="172" w:firstLine="0"/>
        <w:jc w:val="left"/>
        <w:rPr>
          <w:sz w:val="24"/>
        </w:rPr>
      </w:pPr>
      <w:r>
        <w:rPr>
          <w:sz w:val="24"/>
        </w:rPr>
        <w:t>However, there were some indications that growth remained buoyant, and it remained unclear whether a ‘soft landing’ would be achieved. OECD projections for G7 growth were slightly stronger for 2000 and slightly weaker for 2001. There were signs that growth was slowing in Asia, and any further tightening of monetary policy in the United States could affect developing countries, especially in Latin America.</w:t>
      </w:r>
    </w:p>
    <w:p>
      <w:pPr>
        <w:pStyle w:val="BodyText"/>
        <w:spacing w:before="8"/>
        <w:rPr>
          <w:sz w:val="28"/>
        </w:rPr>
      </w:pPr>
    </w:p>
    <w:p>
      <w:pPr>
        <w:spacing w:line="242" w:lineRule="auto" w:before="0"/>
        <w:ind w:left="4979" w:right="0" w:firstLine="0"/>
        <w:jc w:val="left"/>
        <w:rPr>
          <w:sz w:val="24"/>
        </w:rPr>
      </w:pPr>
      <w:r>
        <w:rPr>
          <w:sz w:val="24"/>
        </w:rPr>
        <w:t>The exchange rate had depreciated significantly since the previous meeting. The sterling ERI had fallen about 5% below the May </w:t>
      </w:r>
      <w:r>
        <w:rPr>
          <w:i/>
          <w:sz w:val="24"/>
        </w:rPr>
        <w:t>Report </w:t>
      </w:r>
      <w:r>
        <w:rPr>
          <w:sz w:val="24"/>
        </w:rPr>
        <w:t>profile and about 7</w:t>
      </w:r>
      <w:r>
        <w:rPr>
          <w:position w:val="8"/>
          <w:sz w:val="12"/>
        </w:rPr>
        <w:t>1</w:t>
      </w:r>
      <w:r>
        <w:rPr>
          <w:sz w:val="24"/>
        </w:rPr>
        <w:t>/</w:t>
      </w:r>
      <w:r>
        <w:rPr>
          <w:sz w:val="12"/>
        </w:rPr>
        <w:t>2</w:t>
      </w:r>
      <w:r>
        <w:rPr>
          <w:sz w:val="24"/>
        </w:rPr>
        <w:t>% below the level at the time of the May meeting. The Committee agreed that there could be no mechanical link between exchange rate changes and interest rate decisions, but the impact of the exchange rate on inflation prospects had to</w:t>
      </w:r>
    </w:p>
    <w:p>
      <w:pPr>
        <w:spacing w:after="0" w:line="242" w:lineRule="auto"/>
        <w:jc w:val="left"/>
        <w:rPr>
          <w:sz w:val="24"/>
        </w:rPr>
        <w:sectPr>
          <w:headerReference w:type="even" r:id="rId159"/>
          <w:footerReference w:type="even" r:id="rId160"/>
          <w:footerReference w:type="default" r:id="rId161"/>
          <w:pgSz w:w="11900" w:h="16840"/>
          <w:pgMar w:header="0" w:footer="592" w:top="800" w:bottom="780" w:left="640" w:right="640"/>
          <w:pgNumType w:start="40"/>
        </w:sectPr>
      </w:pPr>
    </w:p>
    <w:p>
      <w:pPr>
        <w:pStyle w:val="BodyText"/>
        <w:rPr>
          <w:sz w:val="20"/>
        </w:rPr>
      </w:pPr>
    </w:p>
    <w:p>
      <w:pPr>
        <w:spacing w:line="242" w:lineRule="auto" w:before="222"/>
        <w:ind w:left="4975" w:right="0" w:firstLine="0"/>
        <w:jc w:val="left"/>
        <w:rPr>
          <w:sz w:val="24"/>
        </w:rPr>
      </w:pPr>
      <w:r>
        <w:rPr>
          <w:sz w:val="24"/>
        </w:rPr>
        <w:t>be assessed carefully, as a lower exchange rate would inevitably put some upward pressure on prices. It was agreed that a more thorough assessment of this impact should be conducted during the August forecast round.</w:t>
      </w:r>
    </w:p>
    <w:p>
      <w:pPr>
        <w:pStyle w:val="BodyText"/>
        <w:spacing w:before="6"/>
        <w:rPr>
          <w:sz w:val="26"/>
        </w:rPr>
      </w:pPr>
    </w:p>
    <w:p>
      <w:pPr>
        <w:spacing w:line="242" w:lineRule="auto" w:before="0"/>
        <w:ind w:left="4975" w:right="448" w:firstLine="0"/>
        <w:jc w:val="both"/>
        <w:rPr>
          <w:sz w:val="24"/>
        </w:rPr>
      </w:pPr>
      <w:r>
        <w:rPr>
          <w:sz w:val="24"/>
        </w:rPr>
        <w:t>There</w:t>
      </w:r>
      <w:r>
        <w:rPr>
          <w:spacing w:val="-6"/>
          <w:sz w:val="24"/>
        </w:rPr>
        <w:t> </w:t>
      </w:r>
      <w:r>
        <w:rPr>
          <w:sz w:val="24"/>
        </w:rPr>
        <w:t>were</w:t>
      </w:r>
      <w:r>
        <w:rPr>
          <w:spacing w:val="-6"/>
          <w:sz w:val="24"/>
        </w:rPr>
        <w:t> </w:t>
      </w:r>
      <w:r>
        <w:rPr>
          <w:sz w:val="24"/>
        </w:rPr>
        <w:t>signs</w:t>
      </w:r>
      <w:r>
        <w:rPr>
          <w:spacing w:val="-5"/>
          <w:sz w:val="24"/>
        </w:rPr>
        <w:t> </w:t>
      </w:r>
      <w:r>
        <w:rPr>
          <w:sz w:val="24"/>
        </w:rPr>
        <w:t>that</w:t>
      </w:r>
      <w:r>
        <w:rPr>
          <w:spacing w:val="-6"/>
          <w:sz w:val="24"/>
        </w:rPr>
        <w:t> </w:t>
      </w:r>
      <w:r>
        <w:rPr>
          <w:sz w:val="24"/>
        </w:rPr>
        <w:t>house</w:t>
      </w:r>
      <w:r>
        <w:rPr>
          <w:spacing w:val="-5"/>
          <w:sz w:val="24"/>
        </w:rPr>
        <w:t> </w:t>
      </w:r>
      <w:r>
        <w:rPr>
          <w:sz w:val="24"/>
        </w:rPr>
        <w:t>price</w:t>
      </w:r>
      <w:r>
        <w:rPr>
          <w:spacing w:val="-6"/>
          <w:sz w:val="24"/>
        </w:rPr>
        <w:t> </w:t>
      </w:r>
      <w:r>
        <w:rPr>
          <w:sz w:val="24"/>
        </w:rPr>
        <w:t>inflation</w:t>
      </w:r>
      <w:r>
        <w:rPr>
          <w:spacing w:val="-5"/>
          <w:sz w:val="24"/>
        </w:rPr>
        <w:t> </w:t>
      </w:r>
      <w:r>
        <w:rPr>
          <w:sz w:val="24"/>
        </w:rPr>
        <w:t>was</w:t>
      </w:r>
      <w:r>
        <w:rPr>
          <w:spacing w:val="-6"/>
          <w:sz w:val="24"/>
        </w:rPr>
        <w:t> </w:t>
      </w:r>
      <w:r>
        <w:rPr>
          <w:sz w:val="24"/>
        </w:rPr>
        <w:t>easing and that housing market activity was</w:t>
      </w:r>
      <w:r>
        <w:rPr>
          <w:spacing w:val="-24"/>
          <w:sz w:val="24"/>
        </w:rPr>
        <w:t> </w:t>
      </w:r>
      <w:r>
        <w:rPr>
          <w:sz w:val="24"/>
        </w:rPr>
        <w:t>weakening.</w:t>
      </w:r>
    </w:p>
    <w:p>
      <w:pPr>
        <w:spacing w:line="242" w:lineRule="auto" w:before="3"/>
        <w:ind w:left="4975" w:right="415" w:firstLine="0"/>
        <w:jc w:val="both"/>
        <w:rPr>
          <w:sz w:val="24"/>
        </w:rPr>
      </w:pPr>
      <w:r>
        <w:rPr>
          <w:sz w:val="24"/>
        </w:rPr>
        <w:t>Mortgage</w:t>
      </w:r>
      <w:r>
        <w:rPr>
          <w:spacing w:val="-8"/>
          <w:sz w:val="24"/>
        </w:rPr>
        <w:t> </w:t>
      </w:r>
      <w:r>
        <w:rPr>
          <w:sz w:val="24"/>
        </w:rPr>
        <w:t>approvals</w:t>
      </w:r>
      <w:r>
        <w:rPr>
          <w:spacing w:val="-8"/>
          <w:sz w:val="24"/>
        </w:rPr>
        <w:t> </w:t>
      </w:r>
      <w:r>
        <w:rPr>
          <w:sz w:val="24"/>
        </w:rPr>
        <w:t>had</w:t>
      </w:r>
      <w:r>
        <w:rPr>
          <w:spacing w:val="-8"/>
          <w:sz w:val="24"/>
        </w:rPr>
        <w:t> </w:t>
      </w:r>
      <w:r>
        <w:rPr>
          <w:sz w:val="24"/>
        </w:rPr>
        <w:t>slowed</w:t>
      </w:r>
      <w:r>
        <w:rPr>
          <w:spacing w:val="-7"/>
          <w:sz w:val="24"/>
        </w:rPr>
        <w:t> </w:t>
      </w:r>
      <w:r>
        <w:rPr>
          <w:sz w:val="24"/>
        </w:rPr>
        <w:t>in</w:t>
      </w:r>
      <w:r>
        <w:rPr>
          <w:spacing w:val="-19"/>
          <w:sz w:val="24"/>
        </w:rPr>
        <w:t> </w:t>
      </w:r>
      <w:r>
        <w:rPr>
          <w:sz w:val="24"/>
        </w:rPr>
        <w:t>April</w:t>
      </w:r>
      <w:r>
        <w:rPr>
          <w:spacing w:val="-8"/>
          <w:sz w:val="24"/>
        </w:rPr>
        <w:t> </w:t>
      </w:r>
      <w:r>
        <w:rPr>
          <w:sz w:val="24"/>
        </w:rPr>
        <w:t>and</w:t>
      </w:r>
      <w:r>
        <w:rPr>
          <w:spacing w:val="-8"/>
          <w:sz w:val="24"/>
        </w:rPr>
        <w:t> </w:t>
      </w:r>
      <w:r>
        <w:rPr>
          <w:sz w:val="24"/>
        </w:rPr>
        <w:t>mortgage equity withdrawal was lower in 2000 Q1 than</w:t>
      </w:r>
      <w:r>
        <w:rPr>
          <w:spacing w:val="-26"/>
          <w:sz w:val="24"/>
        </w:rPr>
        <w:t> </w:t>
      </w:r>
      <w:r>
        <w:rPr>
          <w:sz w:val="24"/>
        </w:rPr>
        <w:t>in</w:t>
      </w:r>
    </w:p>
    <w:p>
      <w:pPr>
        <w:spacing w:line="242" w:lineRule="auto" w:before="2"/>
        <w:ind w:left="4975" w:right="224" w:firstLine="0"/>
        <w:jc w:val="both"/>
        <w:rPr>
          <w:sz w:val="24"/>
        </w:rPr>
      </w:pPr>
      <w:r>
        <w:rPr>
          <w:sz w:val="24"/>
        </w:rPr>
        <w:t>1999 Q4. These data were consistent with a prospective slowdown in consumption growth. Company borrowing appeared strong, but it was not clear how much this was to finance investment or to cover weaker cash flow.</w:t>
      </w:r>
    </w:p>
    <w:p>
      <w:pPr>
        <w:spacing w:line="242" w:lineRule="auto" w:before="5"/>
        <w:ind w:left="4975" w:right="289" w:firstLine="0"/>
        <w:jc w:val="both"/>
        <w:rPr>
          <w:sz w:val="24"/>
        </w:rPr>
      </w:pPr>
      <w:r>
        <w:rPr>
          <w:spacing w:val="-5"/>
          <w:sz w:val="24"/>
        </w:rPr>
        <w:t>Total </w:t>
      </w:r>
      <w:r>
        <w:rPr>
          <w:spacing w:val="-3"/>
          <w:sz w:val="24"/>
        </w:rPr>
        <w:t>investment </w:t>
      </w:r>
      <w:r>
        <w:rPr>
          <w:sz w:val="24"/>
        </w:rPr>
        <w:t>had been weaker than expected in Q1, but business </w:t>
      </w:r>
      <w:r>
        <w:rPr>
          <w:spacing w:val="-3"/>
          <w:sz w:val="24"/>
        </w:rPr>
        <w:t>investment </w:t>
      </w:r>
      <w:r>
        <w:rPr>
          <w:sz w:val="24"/>
        </w:rPr>
        <w:t>appeared to </w:t>
      </w:r>
      <w:r>
        <w:rPr>
          <w:spacing w:val="-3"/>
          <w:sz w:val="24"/>
        </w:rPr>
        <w:t>have </w:t>
      </w:r>
      <w:r>
        <w:rPr>
          <w:sz w:val="24"/>
        </w:rPr>
        <w:t>been resilient.</w:t>
      </w:r>
    </w:p>
    <w:p>
      <w:pPr>
        <w:pStyle w:val="BodyText"/>
        <w:spacing w:before="1"/>
        <w:rPr>
          <w:sz w:val="28"/>
        </w:rPr>
      </w:pPr>
    </w:p>
    <w:p>
      <w:pPr>
        <w:spacing w:line="242" w:lineRule="auto" w:before="0"/>
        <w:ind w:left="4975" w:right="0" w:firstLine="0"/>
        <w:jc w:val="left"/>
        <w:rPr>
          <w:sz w:val="24"/>
        </w:rPr>
      </w:pPr>
      <w:r>
        <w:rPr>
          <w:sz w:val="24"/>
        </w:rPr>
        <w:t>Final domestic demand appeared weaker in Q1 than had been expected at the time of the May </w:t>
      </w:r>
      <w:r>
        <w:rPr>
          <w:i/>
          <w:sz w:val="24"/>
        </w:rPr>
        <w:t>Report</w:t>
      </w:r>
      <w:r>
        <w:rPr>
          <w:sz w:val="24"/>
        </w:rPr>
        <w:t>, and a key question was how persistent this slowdown would be.</w:t>
      </w:r>
    </w:p>
    <w:p>
      <w:pPr>
        <w:spacing w:line="242" w:lineRule="auto" w:before="4"/>
        <w:ind w:left="4975" w:right="214" w:firstLine="0"/>
        <w:jc w:val="left"/>
        <w:rPr>
          <w:sz w:val="24"/>
        </w:rPr>
      </w:pPr>
      <w:r>
        <w:rPr>
          <w:sz w:val="24"/>
        </w:rPr>
        <w:t>Consumption growth data might have been erratically low, in the light of retail sales data and other indicators. Growth in wealth had been lower but real earnings growth continued to support household spending.</w:t>
      </w:r>
    </w:p>
    <w:p>
      <w:pPr>
        <w:spacing w:before="5"/>
        <w:ind w:left="4975" w:right="0" w:firstLine="0"/>
        <w:jc w:val="left"/>
        <w:rPr>
          <w:sz w:val="24"/>
        </w:rPr>
      </w:pPr>
      <w:r>
        <w:rPr>
          <w:sz w:val="24"/>
        </w:rPr>
        <w:t>Recent data showed that government spending in Q1</w:t>
      </w:r>
    </w:p>
    <w:p>
      <w:pPr>
        <w:spacing w:line="242" w:lineRule="auto" w:before="4"/>
        <w:ind w:left="4975" w:right="0" w:firstLine="0"/>
        <w:jc w:val="left"/>
        <w:rPr>
          <w:sz w:val="24"/>
        </w:rPr>
      </w:pPr>
      <w:r>
        <w:rPr>
          <w:sz w:val="24"/>
        </w:rPr>
        <w:t>had undershot (and revenue had overshot) the projections made in the March Budget; prospects for future government spending would be updated in the</w:t>
      </w:r>
    </w:p>
    <w:p>
      <w:pPr>
        <w:spacing w:line="242" w:lineRule="auto" w:before="4"/>
        <w:ind w:left="4975" w:right="395" w:firstLine="0"/>
        <w:jc w:val="left"/>
        <w:rPr>
          <w:sz w:val="24"/>
        </w:rPr>
      </w:pPr>
      <w:r>
        <w:rPr>
          <w:sz w:val="24"/>
        </w:rPr>
        <w:t>August forecast round. Inventories had made a stronger-than-expected contribution to GDP growth in</w:t>
      </w:r>
    </w:p>
    <w:p>
      <w:pPr>
        <w:spacing w:line="242" w:lineRule="auto" w:before="2"/>
        <w:ind w:left="4975" w:right="0" w:firstLine="0"/>
        <w:jc w:val="left"/>
        <w:rPr>
          <w:sz w:val="24"/>
        </w:rPr>
      </w:pPr>
      <w:r>
        <w:rPr>
          <w:sz w:val="24"/>
        </w:rPr>
        <w:t>Q1, but it was possible that this would be reversed in Q2. There had been a slightly weaker-than-expected contribution to GDP growth from net trade in Q1, though both export and import volumes were unexpectedly high. The output, expenditure and income-based measures of GDP were hard to reconcile, so the picture would only become clear as more information became available.</w:t>
      </w:r>
    </w:p>
    <w:p>
      <w:pPr>
        <w:pStyle w:val="BodyText"/>
        <w:spacing w:before="7"/>
        <w:rPr>
          <w:sz w:val="28"/>
        </w:rPr>
      </w:pPr>
    </w:p>
    <w:p>
      <w:pPr>
        <w:spacing w:line="242" w:lineRule="auto" w:before="0"/>
        <w:ind w:left="4975" w:right="305" w:firstLine="0"/>
        <w:jc w:val="left"/>
        <w:rPr>
          <w:sz w:val="24"/>
        </w:rPr>
      </w:pPr>
      <w:r>
        <w:rPr>
          <w:sz w:val="24"/>
        </w:rPr>
        <w:t>Employment growth had moderated and hours worked had probably fallen in Q1, but a further fall in unemployment pointed to a slight tightening of the labour market. Settlements had picked up slightly but headline earnings growth had fallen more sharply than expected. Productivity growth had been rising, but whole-economy unit labour costs were some 4% higher than a year earlier and had been rising in real terms.</w:t>
      </w:r>
    </w:p>
    <w:p>
      <w:pPr>
        <w:spacing w:line="242" w:lineRule="auto" w:before="10"/>
        <w:ind w:left="4975" w:right="0" w:firstLine="0"/>
        <w:jc w:val="left"/>
        <w:rPr>
          <w:sz w:val="24"/>
        </w:rPr>
      </w:pPr>
      <w:r>
        <w:rPr>
          <w:sz w:val="24"/>
        </w:rPr>
        <w:t>This entailed a squeeze in the share of profits in national income. On this evidence the labour market continued to look tight.</w:t>
      </w:r>
    </w:p>
    <w:p>
      <w:pPr>
        <w:pStyle w:val="BodyText"/>
        <w:spacing w:before="5"/>
        <w:rPr>
          <w:sz w:val="26"/>
        </w:rPr>
      </w:pPr>
    </w:p>
    <w:p>
      <w:pPr>
        <w:spacing w:line="242" w:lineRule="auto" w:before="0"/>
        <w:ind w:left="4975" w:right="182" w:firstLine="0"/>
        <w:jc w:val="both"/>
        <w:rPr>
          <w:sz w:val="24"/>
        </w:rPr>
      </w:pPr>
      <w:r>
        <w:rPr>
          <w:sz w:val="24"/>
        </w:rPr>
        <w:t>RPIX inflation had fallen to 1.9% in April, and the gap between goods and services inflation had narrowed. The</w:t>
      </w:r>
    </w:p>
    <w:p>
      <w:pPr>
        <w:spacing w:after="0" w:line="242" w:lineRule="auto"/>
        <w:jc w:val="both"/>
        <w:rPr>
          <w:sz w:val="24"/>
        </w:rPr>
        <w:sectPr>
          <w:headerReference w:type="even" r:id="rId162"/>
          <w:headerReference w:type="default" r:id="rId163"/>
          <w:pgSz w:w="11900" w:h="16840"/>
          <w:pgMar w:header="601" w:footer="592" w:top="800" w:bottom="800" w:left="640" w:right="640"/>
        </w:sectPr>
      </w:pPr>
    </w:p>
    <w:p>
      <w:pPr>
        <w:pStyle w:val="BodyText"/>
        <w:rPr>
          <w:sz w:val="20"/>
        </w:rPr>
      </w:pPr>
    </w:p>
    <w:p>
      <w:pPr>
        <w:pStyle w:val="BodyText"/>
        <w:spacing w:before="10"/>
        <w:rPr>
          <w:sz w:val="20"/>
        </w:rPr>
      </w:pPr>
    </w:p>
    <w:p>
      <w:pPr>
        <w:spacing w:line="242" w:lineRule="auto" w:before="0"/>
        <w:ind w:left="4973" w:right="182" w:firstLine="0"/>
        <w:jc w:val="left"/>
        <w:rPr>
          <w:sz w:val="24"/>
        </w:rPr>
      </w:pPr>
      <w:r>
        <w:rPr>
          <w:sz w:val="24"/>
        </w:rPr>
        <w:t>short-term prospects were for higher RPIX inflation than expected at the time of the May </w:t>
      </w:r>
      <w:r>
        <w:rPr>
          <w:i/>
          <w:sz w:val="24"/>
        </w:rPr>
        <w:t>Report</w:t>
      </w:r>
      <w:r>
        <w:rPr>
          <w:sz w:val="24"/>
        </w:rPr>
        <w:t>, mainly due to higher oil prices. But the main news on the month was the marked fall in the exchange rate, which would tend to push inflation higher. But inflation was currently below target and the fall in sterling to date was welcome as it might help to rebalance the economy.</w:t>
      </w:r>
    </w:p>
    <w:p>
      <w:pPr>
        <w:pStyle w:val="BodyText"/>
        <w:spacing w:before="7"/>
        <w:rPr>
          <w:sz w:val="28"/>
        </w:rPr>
      </w:pPr>
    </w:p>
    <w:p>
      <w:pPr>
        <w:spacing w:line="242" w:lineRule="auto" w:before="0"/>
        <w:ind w:left="4973" w:right="172" w:firstLine="0"/>
        <w:jc w:val="left"/>
        <w:rPr>
          <w:sz w:val="24"/>
        </w:rPr>
      </w:pPr>
      <w:r>
        <w:rPr>
          <w:sz w:val="24"/>
        </w:rPr>
        <w:t>On the immediate policy decision, there were two broad views. One was that there was no reason to change the official rate from 6%. While the lower exchange rate would put upward pressure on inflation, pass-through could be weak and was highly uncertain. Other indicators, such as demand growth, house prices and earnings growth, were all pointing to softer inflation prospects. The rebalancing of the economy likely to result from a lower exchange rate was welcome. The costs of waiting for more information were low compared with those likely to follow from higher rates and a potential renewed overvaluation of sterling. The alternative view was that the lower exchange rate had raised medium-term inflation prospects significantly and this was not offset sufficiently by any other forces. On this view an immediate rise in the official rate by</w:t>
      </w:r>
    </w:p>
    <w:p>
      <w:pPr>
        <w:spacing w:line="242" w:lineRule="auto" w:before="21"/>
        <w:ind w:left="4973" w:right="214" w:firstLine="0"/>
        <w:jc w:val="left"/>
        <w:rPr>
          <w:sz w:val="24"/>
        </w:rPr>
      </w:pPr>
      <w:r>
        <w:rPr>
          <w:sz w:val="24"/>
        </w:rPr>
        <w:t>25 basis points was necessary. The Committee voted by a majority of 6 to 3 to leave the official rate unchanged.</w:t>
      </w:r>
    </w:p>
    <w:p>
      <w:pPr>
        <w:pStyle w:val="BodyText"/>
        <w:rPr>
          <w:sz w:val="28"/>
        </w:rPr>
      </w:pPr>
    </w:p>
    <w:p>
      <w:pPr>
        <w:spacing w:line="242" w:lineRule="auto" w:before="0"/>
        <w:ind w:left="4973" w:right="228" w:hanging="1"/>
        <w:jc w:val="left"/>
        <w:rPr>
          <w:sz w:val="24"/>
        </w:rPr>
      </w:pPr>
      <w:r>
        <w:rPr>
          <w:sz w:val="24"/>
        </w:rPr>
        <w:t>At its meeting on </w:t>
      </w:r>
      <w:hyperlink w:history="true" w:anchor="_bookmark42">
        <w:r>
          <w:rPr>
            <w:color w:val="FF0000"/>
            <w:sz w:val="24"/>
          </w:rPr>
          <w:t>5–6 July </w:t>
        </w:r>
      </w:hyperlink>
      <w:r>
        <w:rPr>
          <w:sz w:val="24"/>
        </w:rPr>
        <w:t>the Committee started by discussing UK demand and output. The </w:t>
      </w:r>
      <w:r>
        <w:rPr>
          <w:spacing w:val="-3"/>
          <w:sz w:val="24"/>
        </w:rPr>
        <w:t>level </w:t>
      </w:r>
      <w:r>
        <w:rPr>
          <w:sz w:val="24"/>
        </w:rPr>
        <w:t>of GDP had been revised up, but most of the revisions to growth rates related to 1998. The estimated growth rate for 2000 Q1 remained 0.5%. Domestic demand growth had weakened in Q1, with consumption, </w:t>
      </w:r>
      <w:r>
        <w:rPr>
          <w:spacing w:val="-3"/>
          <w:sz w:val="24"/>
        </w:rPr>
        <w:t>investment </w:t>
      </w:r>
      <w:r>
        <w:rPr>
          <w:sz w:val="24"/>
        </w:rPr>
        <w:t>and government spending all slowing, while net trade had made a positive contribution to growth. The weakness of </w:t>
      </w:r>
      <w:r>
        <w:rPr>
          <w:spacing w:val="-3"/>
          <w:sz w:val="24"/>
        </w:rPr>
        <w:t>investment </w:t>
      </w:r>
      <w:r>
        <w:rPr>
          <w:sz w:val="24"/>
        </w:rPr>
        <w:t>and the strength of net trade were both somewhat puzzling. Preliminary estimates of demand growth</w:t>
      </w:r>
      <w:r>
        <w:rPr>
          <w:spacing w:val="-7"/>
          <w:sz w:val="24"/>
        </w:rPr>
        <w:t> </w:t>
      </w:r>
      <w:r>
        <w:rPr>
          <w:sz w:val="24"/>
        </w:rPr>
        <w:t>in</w:t>
      </w:r>
      <w:r>
        <w:rPr>
          <w:spacing w:val="-7"/>
          <w:sz w:val="24"/>
        </w:rPr>
        <w:t> </w:t>
      </w:r>
      <w:r>
        <w:rPr>
          <w:sz w:val="24"/>
        </w:rPr>
        <w:t>Q2</w:t>
      </w:r>
      <w:r>
        <w:rPr>
          <w:spacing w:val="-6"/>
          <w:sz w:val="24"/>
        </w:rPr>
        <w:t> </w:t>
      </w:r>
      <w:r>
        <w:rPr>
          <w:sz w:val="24"/>
        </w:rPr>
        <w:t>indicated</w:t>
      </w:r>
      <w:r>
        <w:rPr>
          <w:spacing w:val="-7"/>
          <w:sz w:val="24"/>
        </w:rPr>
        <w:t> </w:t>
      </w:r>
      <w:r>
        <w:rPr>
          <w:sz w:val="24"/>
        </w:rPr>
        <w:t>growth</w:t>
      </w:r>
      <w:r>
        <w:rPr>
          <w:spacing w:val="-6"/>
          <w:sz w:val="24"/>
        </w:rPr>
        <w:t> </w:t>
      </w:r>
      <w:r>
        <w:rPr>
          <w:sz w:val="24"/>
        </w:rPr>
        <w:t>slightly</w:t>
      </w:r>
      <w:r>
        <w:rPr>
          <w:spacing w:val="-7"/>
          <w:sz w:val="24"/>
        </w:rPr>
        <w:t> </w:t>
      </w:r>
      <w:r>
        <w:rPr>
          <w:sz w:val="24"/>
        </w:rPr>
        <w:t>above</w:t>
      </w:r>
      <w:r>
        <w:rPr>
          <w:spacing w:val="-6"/>
          <w:sz w:val="24"/>
        </w:rPr>
        <w:t> </w:t>
      </w:r>
      <w:r>
        <w:rPr>
          <w:sz w:val="24"/>
        </w:rPr>
        <w:t>that</w:t>
      </w:r>
      <w:r>
        <w:rPr>
          <w:spacing w:val="-7"/>
          <w:sz w:val="24"/>
        </w:rPr>
        <w:t> </w:t>
      </w:r>
      <w:r>
        <w:rPr>
          <w:sz w:val="24"/>
        </w:rPr>
        <w:t>in</w:t>
      </w:r>
      <w:r>
        <w:rPr>
          <w:spacing w:val="-6"/>
          <w:sz w:val="24"/>
        </w:rPr>
        <w:t> </w:t>
      </w:r>
      <w:r>
        <w:rPr>
          <w:sz w:val="24"/>
        </w:rPr>
        <w:t>Q1. </w:t>
      </w:r>
      <w:r>
        <w:rPr>
          <w:spacing w:val="-4"/>
          <w:sz w:val="24"/>
        </w:rPr>
        <w:t>However, </w:t>
      </w:r>
      <w:r>
        <w:rPr>
          <w:sz w:val="24"/>
        </w:rPr>
        <w:t>lower house price growth might signal slower consumption growth in future. Survey and production data suggested that output growth in some parts of the economy was moderating, though there remained some buoyant sectors, including energy production. Measures of optimism in financial services were sharply</w:t>
      </w:r>
      <w:r>
        <w:rPr>
          <w:spacing w:val="-31"/>
          <w:sz w:val="24"/>
        </w:rPr>
        <w:t> </w:t>
      </w:r>
      <w:r>
        <w:rPr>
          <w:sz w:val="24"/>
        </w:rPr>
        <w:t>down.</w:t>
      </w:r>
    </w:p>
    <w:p>
      <w:pPr>
        <w:spacing w:line="242" w:lineRule="auto" w:before="22"/>
        <w:ind w:left="4973" w:right="214" w:firstLine="0"/>
        <w:jc w:val="left"/>
        <w:rPr>
          <w:sz w:val="24"/>
        </w:rPr>
      </w:pPr>
      <w:r>
        <w:rPr>
          <w:sz w:val="24"/>
        </w:rPr>
        <w:t>Public spending seemed likely to support growth in the medium term, with the government’s three-year spending review due to be announced in mid-July.</w:t>
      </w:r>
    </w:p>
    <w:p>
      <w:pPr>
        <w:pStyle w:val="BodyText"/>
        <w:spacing w:before="1"/>
        <w:rPr>
          <w:sz w:val="28"/>
        </w:rPr>
      </w:pPr>
    </w:p>
    <w:p>
      <w:pPr>
        <w:spacing w:line="242" w:lineRule="auto" w:before="1"/>
        <w:ind w:left="4973" w:right="0" w:firstLine="0"/>
        <w:jc w:val="left"/>
        <w:rPr>
          <w:sz w:val="24"/>
        </w:rPr>
      </w:pPr>
      <w:r>
        <w:rPr>
          <w:sz w:val="24"/>
        </w:rPr>
        <w:t>The labour market seemed surprisingly benign. While employment had risen and unemployment had fallen further, the rate of increase of earnings as measured by</w:t>
      </w:r>
    </w:p>
    <w:p>
      <w:pPr>
        <w:spacing w:after="0" w:line="242" w:lineRule="auto"/>
        <w:jc w:val="left"/>
        <w:rPr>
          <w:sz w:val="24"/>
        </w:rPr>
        <w:sectPr>
          <w:footerReference w:type="even" r:id="rId164"/>
          <w:footerReference w:type="default" r:id="rId165"/>
          <w:pgSz w:w="11900" w:h="16840"/>
          <w:pgMar w:footer="592" w:header="601" w:top="780" w:bottom="780" w:left="640" w:right="640"/>
          <w:pgNumType w:start="42"/>
        </w:sectPr>
      </w:pPr>
    </w:p>
    <w:p>
      <w:pPr>
        <w:pStyle w:val="BodyText"/>
        <w:rPr>
          <w:sz w:val="20"/>
        </w:rPr>
      </w:pPr>
    </w:p>
    <w:p>
      <w:pPr>
        <w:spacing w:line="242" w:lineRule="auto" w:before="225"/>
        <w:ind w:left="4970" w:right="0" w:firstLine="0"/>
        <w:jc w:val="left"/>
        <w:rPr>
          <w:sz w:val="24"/>
        </w:rPr>
      </w:pPr>
      <w:r>
        <w:rPr>
          <w:sz w:val="24"/>
        </w:rPr>
        <w:t>the AEI had fallen sharply. Much of the rise in employment was accounted for by a reduction in</w:t>
      </w:r>
    </w:p>
    <w:p>
      <w:pPr>
        <w:spacing w:line="242" w:lineRule="auto" w:before="3"/>
        <w:ind w:left="4970" w:right="185" w:firstLine="0"/>
        <w:jc w:val="left"/>
        <w:rPr>
          <w:sz w:val="24"/>
        </w:rPr>
      </w:pPr>
      <w:r>
        <w:rPr>
          <w:sz w:val="24"/>
        </w:rPr>
        <w:t>long-term unemployment and a decline in the inactivity rate, suggesting an increase in supply of those available for work. The present strength of employment growth did not suggest that employers expected a sharp slowdown in activity. The Bank’s Agents had reported little change in skill shortages, and these continued to concern many employers. The sharp drop in AEI growth was partly due to the passing of the bonus season and millennium-related payments, but was larger than expected in the May projection. Settlements might rise, for example because of the pick-up in RPI inflation, but there had not been much sign of this so far. The share of employment earnings in national income had continued to rise, but had flattened off slightly and had not reached its early 1990s peak.</w:t>
      </w:r>
    </w:p>
    <w:p>
      <w:pPr>
        <w:pStyle w:val="BodyText"/>
        <w:spacing w:before="5"/>
        <w:rPr>
          <w:sz w:val="29"/>
        </w:rPr>
      </w:pPr>
    </w:p>
    <w:p>
      <w:pPr>
        <w:spacing w:line="242" w:lineRule="auto" w:before="1"/>
        <w:ind w:left="4970" w:right="155" w:firstLine="0"/>
        <w:jc w:val="left"/>
        <w:rPr>
          <w:sz w:val="24"/>
        </w:rPr>
      </w:pPr>
      <w:r>
        <w:rPr>
          <w:sz w:val="24"/>
        </w:rPr>
        <w:t>Growth in monetary aggregates was modest but M4 lending was buoyant. Lending to households was growing at about 10% per annum, though estimates of lending for consumption appeared to have slowed since the second half of 1999. M4 lending to PNFCs had also picked up in May, though this was partly to finance mobile phone spectrum auction payments. Some of this borrowing could have reflected financial difficulty in parts of the corporate sector, and, while there were few signs of this as yet, the combination of heavy borrowing with lower investment remained a puzzle. The sterling ERI had moved little over the past month since its sharp fall in May. At around 105, the index was close to its average for the past three years. The Committee discussed the extent to which the previous fall in sterling might affect its inflation projections.</w:t>
      </w:r>
    </w:p>
    <w:p>
      <w:pPr>
        <w:pStyle w:val="BodyText"/>
        <w:spacing w:before="6"/>
        <w:rPr>
          <w:sz w:val="29"/>
        </w:rPr>
      </w:pPr>
    </w:p>
    <w:p>
      <w:pPr>
        <w:spacing w:line="242" w:lineRule="auto" w:before="0"/>
        <w:ind w:left="4970" w:right="208" w:firstLine="0"/>
        <w:jc w:val="left"/>
        <w:rPr>
          <w:sz w:val="24"/>
        </w:rPr>
      </w:pPr>
      <w:r>
        <w:rPr>
          <w:sz w:val="24"/>
        </w:rPr>
        <w:t>There were more signs of a slowdown in the US economy in recent months, whereas the recovery in the euro area seemed to be strengthening, with inflation close to 2%. Japanese activity seemed to be a little stronger than previously expected, which might affect the timing of the end of the zero interest rate policy. But any change in Japanese monetary policy was unlikely to have much effect on the United Kingdom. The annual growth rate of output in many emerging economies seemed to have peaked, but activity was generally stronger than a year earlier.</w:t>
      </w:r>
    </w:p>
    <w:p>
      <w:pPr>
        <w:pStyle w:val="BodyText"/>
        <w:spacing w:before="1"/>
        <w:rPr>
          <w:sz w:val="29"/>
        </w:rPr>
      </w:pPr>
    </w:p>
    <w:p>
      <w:pPr>
        <w:spacing w:line="242" w:lineRule="auto" w:before="0"/>
        <w:ind w:left="4970" w:right="252" w:firstLine="0"/>
        <w:jc w:val="left"/>
        <w:rPr>
          <w:sz w:val="24"/>
        </w:rPr>
      </w:pPr>
      <w:r>
        <w:rPr>
          <w:sz w:val="24"/>
        </w:rPr>
        <w:t>The oil price was higher than had been assumed in the May </w:t>
      </w:r>
      <w:r>
        <w:rPr>
          <w:i/>
          <w:sz w:val="24"/>
        </w:rPr>
        <w:t>Report</w:t>
      </w:r>
      <w:r>
        <w:rPr>
          <w:sz w:val="24"/>
        </w:rPr>
        <w:t>, so there could be a higher short-term impact on RPIX. But some of this was already in the data and there were some prospects that the price would</w:t>
      </w:r>
    </w:p>
    <w:p>
      <w:pPr>
        <w:spacing w:after="0" w:line="242" w:lineRule="auto"/>
        <w:jc w:val="left"/>
        <w:rPr>
          <w:sz w:val="24"/>
        </w:rPr>
        <w:sectPr>
          <w:pgSz w:w="11900" w:h="16840"/>
          <w:pgMar w:header="586" w:footer="612" w:top="800" w:bottom="800" w:left="640" w:right="640"/>
        </w:sectPr>
      </w:pPr>
    </w:p>
    <w:p>
      <w:pPr>
        <w:pStyle w:val="BodyText"/>
        <w:rPr>
          <w:sz w:val="20"/>
        </w:rPr>
      </w:pPr>
    </w:p>
    <w:p>
      <w:pPr>
        <w:pStyle w:val="BodyText"/>
        <w:spacing w:before="10"/>
        <w:rPr>
          <w:sz w:val="20"/>
        </w:rPr>
      </w:pPr>
    </w:p>
    <w:p>
      <w:pPr>
        <w:spacing w:line="242" w:lineRule="auto" w:before="0"/>
        <w:ind w:left="4969" w:right="0" w:firstLine="0"/>
        <w:jc w:val="left"/>
        <w:rPr>
          <w:sz w:val="24"/>
        </w:rPr>
      </w:pPr>
      <w:r>
        <w:rPr>
          <w:sz w:val="24"/>
        </w:rPr>
        <w:t>fall or stabilise in coming months, though second-round effects of past rises were possible.</w:t>
      </w:r>
    </w:p>
    <w:p>
      <w:pPr>
        <w:pStyle w:val="BodyText"/>
        <w:spacing w:before="7"/>
        <w:rPr>
          <w:sz w:val="24"/>
        </w:rPr>
      </w:pPr>
    </w:p>
    <w:p>
      <w:pPr>
        <w:spacing w:line="242" w:lineRule="auto" w:before="0"/>
        <w:ind w:left="4969" w:right="175" w:firstLine="0"/>
        <w:jc w:val="left"/>
        <w:rPr>
          <w:sz w:val="24"/>
        </w:rPr>
      </w:pPr>
      <w:r>
        <w:rPr>
          <w:sz w:val="24"/>
        </w:rPr>
        <w:t>RPIX inflation had been 2.0% in the year to </w:t>
      </w:r>
      <w:r>
        <w:rPr>
          <w:spacing w:val="-5"/>
          <w:sz w:val="24"/>
        </w:rPr>
        <w:t>May. </w:t>
      </w:r>
      <w:r>
        <w:rPr>
          <w:sz w:val="24"/>
        </w:rPr>
        <w:t>Inflation excluding erratic items such as food, tobacco and oil was </w:t>
      </w:r>
      <w:r>
        <w:rPr>
          <w:spacing w:val="-4"/>
          <w:sz w:val="24"/>
        </w:rPr>
        <w:t>lower, </w:t>
      </w:r>
      <w:r>
        <w:rPr>
          <w:sz w:val="24"/>
        </w:rPr>
        <w:t>but it was not clear what message this </w:t>
      </w:r>
      <w:r>
        <w:rPr>
          <w:spacing w:val="-3"/>
          <w:sz w:val="24"/>
        </w:rPr>
        <w:t>conveyed </w:t>
      </w:r>
      <w:r>
        <w:rPr>
          <w:sz w:val="24"/>
        </w:rPr>
        <w:t>for future inflation. Surveys indicated both downward pressures on retail prices and upward pressures on costs, but it was unclear whether the implied squeeze on margins could be sustained. </w:t>
      </w:r>
      <w:r>
        <w:rPr>
          <w:spacing w:val="-3"/>
          <w:sz w:val="24"/>
        </w:rPr>
        <w:t>Given </w:t>
      </w:r>
      <w:r>
        <w:rPr>
          <w:sz w:val="24"/>
        </w:rPr>
        <w:t>higher oil prices, inflation seemed likely to </w:t>
      </w:r>
      <w:r>
        <w:rPr>
          <w:spacing w:val="-3"/>
          <w:sz w:val="24"/>
        </w:rPr>
        <w:t>move </w:t>
      </w:r>
      <w:r>
        <w:rPr>
          <w:sz w:val="24"/>
        </w:rPr>
        <w:t>closer to</w:t>
      </w:r>
      <w:r>
        <w:rPr>
          <w:spacing w:val="-5"/>
          <w:sz w:val="24"/>
        </w:rPr>
        <w:t> </w:t>
      </w:r>
      <w:r>
        <w:rPr>
          <w:sz w:val="24"/>
        </w:rPr>
        <w:t>the</w:t>
      </w:r>
      <w:r>
        <w:rPr>
          <w:spacing w:val="-4"/>
          <w:sz w:val="24"/>
        </w:rPr>
        <w:t> </w:t>
      </w:r>
      <w:r>
        <w:rPr>
          <w:sz w:val="24"/>
        </w:rPr>
        <w:t>2</w:t>
      </w:r>
      <w:r>
        <w:rPr>
          <w:position w:val="8"/>
          <w:sz w:val="12"/>
        </w:rPr>
        <w:t>1</w:t>
      </w:r>
      <w:r>
        <w:rPr>
          <w:sz w:val="24"/>
        </w:rPr>
        <w:t>/</w:t>
      </w:r>
      <w:r>
        <w:rPr>
          <w:sz w:val="12"/>
        </w:rPr>
        <w:t>2</w:t>
      </w:r>
      <w:r>
        <w:rPr>
          <w:sz w:val="24"/>
        </w:rPr>
        <w:t>%</w:t>
      </w:r>
      <w:r>
        <w:rPr>
          <w:spacing w:val="-5"/>
          <w:sz w:val="24"/>
        </w:rPr>
        <w:t> </w:t>
      </w:r>
      <w:r>
        <w:rPr>
          <w:sz w:val="24"/>
        </w:rPr>
        <w:t>target</w:t>
      </w:r>
      <w:r>
        <w:rPr>
          <w:spacing w:val="-4"/>
          <w:sz w:val="24"/>
        </w:rPr>
        <w:t> </w:t>
      </w:r>
      <w:r>
        <w:rPr>
          <w:sz w:val="24"/>
        </w:rPr>
        <w:t>sooner</w:t>
      </w:r>
      <w:r>
        <w:rPr>
          <w:spacing w:val="-4"/>
          <w:sz w:val="24"/>
        </w:rPr>
        <w:t> </w:t>
      </w:r>
      <w:r>
        <w:rPr>
          <w:sz w:val="24"/>
        </w:rPr>
        <w:t>than</w:t>
      </w:r>
      <w:r>
        <w:rPr>
          <w:spacing w:val="-5"/>
          <w:sz w:val="24"/>
        </w:rPr>
        <w:t> </w:t>
      </w:r>
      <w:r>
        <w:rPr>
          <w:sz w:val="24"/>
        </w:rPr>
        <w:t>expected</w:t>
      </w:r>
      <w:r>
        <w:rPr>
          <w:spacing w:val="-4"/>
          <w:sz w:val="24"/>
        </w:rPr>
        <w:t> </w:t>
      </w:r>
      <w:r>
        <w:rPr>
          <w:sz w:val="24"/>
        </w:rPr>
        <w:t>at</w:t>
      </w:r>
      <w:r>
        <w:rPr>
          <w:spacing w:val="-5"/>
          <w:sz w:val="24"/>
        </w:rPr>
        <w:t> </w:t>
      </w:r>
      <w:r>
        <w:rPr>
          <w:sz w:val="24"/>
        </w:rPr>
        <w:t>the</w:t>
      </w:r>
      <w:r>
        <w:rPr>
          <w:spacing w:val="-4"/>
          <w:sz w:val="24"/>
        </w:rPr>
        <w:t> </w:t>
      </w:r>
      <w:r>
        <w:rPr>
          <w:sz w:val="24"/>
        </w:rPr>
        <w:t>time</w:t>
      </w:r>
      <w:r>
        <w:rPr>
          <w:spacing w:val="-4"/>
          <w:sz w:val="24"/>
        </w:rPr>
        <w:t> </w:t>
      </w:r>
      <w:r>
        <w:rPr>
          <w:sz w:val="24"/>
        </w:rPr>
        <w:t>of</w:t>
      </w:r>
      <w:r>
        <w:rPr>
          <w:spacing w:val="-5"/>
          <w:sz w:val="24"/>
        </w:rPr>
        <w:t> </w:t>
      </w:r>
      <w:r>
        <w:rPr>
          <w:sz w:val="24"/>
        </w:rPr>
        <w:t>the May </w:t>
      </w:r>
      <w:r>
        <w:rPr>
          <w:i/>
          <w:sz w:val="24"/>
        </w:rPr>
        <w:t>Report</w:t>
      </w:r>
      <w:r>
        <w:rPr>
          <w:sz w:val="24"/>
        </w:rPr>
        <w:t>, but it was unclear what implications this slightly higher inflation </w:t>
      </w:r>
      <w:r>
        <w:rPr>
          <w:spacing w:val="-3"/>
          <w:sz w:val="24"/>
        </w:rPr>
        <w:t>level </w:t>
      </w:r>
      <w:r>
        <w:rPr>
          <w:sz w:val="24"/>
        </w:rPr>
        <w:t>in the short term had for inflation further out. There was little expectation of a rate change this month, and neither the FOMC nor the ECB were expected to raise rates this</w:t>
      </w:r>
      <w:r>
        <w:rPr>
          <w:spacing w:val="-16"/>
          <w:sz w:val="24"/>
        </w:rPr>
        <w:t> </w:t>
      </w:r>
      <w:r>
        <w:rPr>
          <w:sz w:val="24"/>
        </w:rPr>
        <w:t>month.</w:t>
      </w:r>
    </w:p>
    <w:p>
      <w:pPr>
        <w:pStyle w:val="BodyText"/>
        <w:spacing w:before="10"/>
        <w:rPr>
          <w:sz w:val="25"/>
        </w:rPr>
      </w:pPr>
    </w:p>
    <w:p>
      <w:pPr>
        <w:spacing w:line="242" w:lineRule="auto" w:before="0"/>
        <w:ind w:left="4969" w:right="242" w:firstLine="0"/>
        <w:jc w:val="left"/>
        <w:rPr>
          <w:sz w:val="24"/>
        </w:rPr>
      </w:pPr>
      <w:r>
        <w:rPr>
          <w:spacing w:val="-3"/>
          <w:sz w:val="24"/>
        </w:rPr>
        <w:t>With </w:t>
      </w:r>
      <w:r>
        <w:rPr>
          <w:sz w:val="24"/>
        </w:rPr>
        <w:t>regard to the immediate policy decision, the </w:t>
      </w:r>
      <w:r>
        <w:rPr>
          <w:spacing w:val="-3"/>
          <w:sz w:val="24"/>
        </w:rPr>
        <w:t>news </w:t>
      </w:r>
      <w:r>
        <w:rPr>
          <w:sz w:val="24"/>
        </w:rPr>
        <w:t>on the month had mainly been on the downside for prospective inflation with weaker demand and lower earnings growth. Members who had previously voted for no change in rates saw nothing in the data to suggest that a rise was </w:t>
      </w:r>
      <w:r>
        <w:rPr>
          <w:spacing w:val="-3"/>
          <w:sz w:val="24"/>
        </w:rPr>
        <w:t>now </w:t>
      </w:r>
      <w:r>
        <w:rPr>
          <w:sz w:val="24"/>
        </w:rPr>
        <w:t>needed, but neither was there evidence of a sufficient </w:t>
      </w:r>
      <w:r>
        <w:rPr>
          <w:spacing w:val="-3"/>
          <w:sz w:val="24"/>
        </w:rPr>
        <w:t>slowdown </w:t>
      </w:r>
      <w:r>
        <w:rPr>
          <w:sz w:val="24"/>
        </w:rPr>
        <w:t>that a cut in rates was yet warranted. Those members who had voted for a rate rise at the June meeting were persuaded by the softer data that it was safe to wait for the August </w:t>
      </w:r>
      <w:r>
        <w:rPr>
          <w:i/>
          <w:sz w:val="24"/>
        </w:rPr>
        <w:t>Inflation </w:t>
      </w:r>
      <w:r>
        <w:rPr>
          <w:i/>
          <w:sz w:val="24"/>
        </w:rPr>
        <w:t>Report </w:t>
      </w:r>
      <w:r>
        <w:rPr>
          <w:sz w:val="24"/>
        </w:rPr>
        <w:t>round in order to reassess inflation</w:t>
      </w:r>
      <w:r>
        <w:rPr>
          <w:spacing w:val="-27"/>
          <w:sz w:val="24"/>
        </w:rPr>
        <w:t> </w:t>
      </w:r>
      <w:r>
        <w:rPr>
          <w:sz w:val="24"/>
        </w:rPr>
        <w:t>prospects.</w:t>
      </w:r>
    </w:p>
    <w:p>
      <w:pPr>
        <w:spacing w:line="242" w:lineRule="auto" w:before="14"/>
        <w:ind w:left="4969" w:right="214" w:firstLine="0"/>
        <w:jc w:val="left"/>
        <w:rPr>
          <w:sz w:val="24"/>
        </w:rPr>
      </w:pPr>
      <w:r>
        <w:rPr>
          <w:sz w:val="24"/>
        </w:rPr>
        <w:t>The Committee voted unanimously in favour of leaving the Bank’s repo rate unchanged at 6%.</w:t>
      </w:r>
    </w:p>
    <w:p>
      <w:pPr>
        <w:pStyle w:val="BodyText"/>
        <w:spacing w:before="6"/>
        <w:rPr>
          <w:sz w:val="24"/>
        </w:rPr>
      </w:pPr>
    </w:p>
    <w:p>
      <w:pPr>
        <w:spacing w:line="242" w:lineRule="auto" w:before="1"/>
        <w:ind w:left="4969" w:right="0" w:hanging="1"/>
        <w:jc w:val="left"/>
        <w:rPr>
          <w:sz w:val="24"/>
        </w:rPr>
      </w:pPr>
      <w:r>
        <w:rPr>
          <w:sz w:val="24"/>
        </w:rPr>
        <w:t>At its meeting on </w:t>
      </w:r>
      <w:hyperlink w:history="true" w:anchor="_bookmark44">
        <w:r>
          <w:rPr>
            <w:color w:val="FF0000"/>
            <w:sz w:val="24"/>
          </w:rPr>
          <w:t>2–3 August</w:t>
        </w:r>
        <w:r>
          <w:rPr>
            <w:sz w:val="24"/>
          </w:rPr>
          <w:t>,</w:t>
        </w:r>
      </w:hyperlink>
      <w:r>
        <w:rPr>
          <w:sz w:val="24"/>
        </w:rPr>
        <w:t> the Committee voted to leave the Bank’s repo rate unchanged at 6%.</w:t>
      </w:r>
    </w:p>
    <w:p>
      <w:pPr>
        <w:spacing w:after="0" w:line="242" w:lineRule="auto"/>
        <w:jc w:val="left"/>
        <w:rPr>
          <w:sz w:val="24"/>
        </w:rPr>
        <w:sectPr>
          <w:pgSz w:w="11900" w:h="16840"/>
          <w:pgMar w:header="601" w:footer="592" w:top="780" w:bottom="780" w:left="640" w:right="64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rPr>
          <w:sz w:val="20"/>
        </w:rPr>
      </w:pPr>
    </w:p>
    <w:p>
      <w:pPr>
        <w:pStyle w:val="BodyText"/>
        <w:spacing w:before="9"/>
      </w:pPr>
      <w:r>
        <w:rPr/>
        <w:pict>
          <v:shape style="position:absolute;margin-left:40pt;margin-top:12.000977pt;width:516pt;height:48pt;mso-position-horizontal-relative:page;mso-position-vertical-relative:paragraph;z-index:-15146496;mso-wrap-distance-left:0;mso-wrap-distance-right:0" type="#_x0000_t202" filled="true" fillcolor="#cee2e0" stroked="false">
            <v:textbox inset="0,0,0,0">
              <w:txbxContent>
                <w:p>
                  <w:pPr>
                    <w:tabs>
                      <w:tab w:pos="10099" w:val="right" w:leader="none"/>
                    </w:tabs>
                    <w:spacing w:before="51"/>
                    <w:ind w:left="260" w:right="0" w:firstLine="0"/>
                    <w:jc w:val="left"/>
                    <w:rPr>
                      <w:b/>
                      <w:sz w:val="72"/>
                    </w:rPr>
                  </w:pPr>
                  <w:bookmarkStart w:name="Prospects for inflation" w:id="73"/>
                  <w:bookmarkEnd w:id="73"/>
                  <w:r>
                    <w:rPr/>
                  </w:r>
                  <w:bookmarkStart w:name="The inflation projection assumptions" w:id="74"/>
                  <w:bookmarkEnd w:id="74"/>
                  <w:r>
                    <w:rPr/>
                  </w:r>
                  <w:bookmarkStart w:name="_bookmark30" w:id="75"/>
                  <w:bookmarkEnd w:id="75"/>
                  <w:r>
                    <w:rPr/>
                  </w:r>
                  <w:r>
                    <w:rPr>
                      <w:b/>
                      <w:color w:val="009391"/>
                      <w:sz w:val="48"/>
                    </w:rPr>
                    <w:t>Prospects</w:t>
                  </w:r>
                  <w:r>
                    <w:rPr>
                      <w:b/>
                      <w:color w:val="009391"/>
                      <w:spacing w:val="-2"/>
                      <w:sz w:val="48"/>
                    </w:rPr>
                    <w:t> </w:t>
                  </w:r>
                  <w:r>
                    <w:rPr>
                      <w:b/>
                      <w:color w:val="009391"/>
                      <w:spacing w:val="-5"/>
                      <w:sz w:val="48"/>
                    </w:rPr>
                    <w:t>for</w:t>
                  </w:r>
                  <w:r>
                    <w:rPr>
                      <w:b/>
                      <w:color w:val="009391"/>
                      <w:spacing w:val="-2"/>
                      <w:sz w:val="48"/>
                    </w:rPr>
                    <w:t> </w:t>
                  </w:r>
                  <w:r>
                    <w:rPr>
                      <w:b/>
                      <w:color w:val="009391"/>
                      <w:sz w:val="48"/>
                    </w:rPr>
                    <w:t>inflation</w:t>
                    <w:tab/>
                  </w:r>
                  <w:r>
                    <w:rPr>
                      <w:b/>
                      <w:color w:val="009391"/>
                      <w:sz w:val="72"/>
                    </w:rPr>
                    <w:t>6</w:t>
                  </w:r>
                </w:p>
              </w:txbxContent>
            </v:textbox>
            <v:fill type="solid"/>
            <w10:wrap type="topAndBottom"/>
          </v:shape>
        </w:pict>
      </w:r>
    </w:p>
    <w:p>
      <w:pPr>
        <w:pStyle w:val="BodyText"/>
        <w:rPr>
          <w:sz w:val="20"/>
        </w:rPr>
      </w:pPr>
    </w:p>
    <w:p>
      <w:pPr>
        <w:pStyle w:val="BodyText"/>
        <w:rPr>
          <w:sz w:val="20"/>
        </w:rPr>
      </w:pPr>
    </w:p>
    <w:p>
      <w:pPr>
        <w:pStyle w:val="ListParagraph"/>
        <w:numPr>
          <w:ilvl w:val="1"/>
          <w:numId w:val="39"/>
        </w:numPr>
        <w:tabs>
          <w:tab w:pos="5871" w:val="left" w:leader="none"/>
          <w:tab w:pos="5872" w:val="left" w:leader="none"/>
        </w:tabs>
        <w:spacing w:line="240" w:lineRule="auto" w:before="229" w:after="0"/>
        <w:ind w:left="5871" w:right="0" w:hanging="892"/>
        <w:jc w:val="left"/>
        <w:rPr>
          <w:b/>
          <w:color w:val="009391"/>
          <w:sz w:val="28"/>
        </w:rPr>
      </w:pPr>
      <w:r>
        <w:rPr>
          <w:b/>
          <w:color w:val="009391"/>
          <w:sz w:val="28"/>
          <w:u w:val="thick" w:color="0092C7"/>
        </w:rPr>
        <w:t>The inflation projection</w:t>
      </w:r>
      <w:r>
        <w:rPr>
          <w:b/>
          <w:color w:val="009391"/>
          <w:spacing w:val="-15"/>
          <w:sz w:val="28"/>
          <w:u w:val="thick" w:color="0092C7"/>
        </w:rPr>
        <w:t> </w:t>
      </w:r>
      <w:r>
        <w:rPr>
          <w:b/>
          <w:color w:val="009391"/>
          <w:sz w:val="28"/>
          <w:u w:val="thick" w:color="0092C7"/>
        </w:rPr>
        <w:t>assumptions</w:t>
      </w:r>
      <w:r>
        <w:rPr>
          <w:b/>
          <w:color w:val="009391"/>
          <w:spacing w:val="-11"/>
          <w:sz w:val="28"/>
          <w:u w:val="thick" w:color="0092C7"/>
        </w:rPr>
        <w:t> </w:t>
      </w:r>
    </w:p>
    <w:p>
      <w:pPr>
        <w:spacing w:line="242" w:lineRule="auto" w:before="264"/>
        <w:ind w:left="4980" w:right="214" w:firstLine="0"/>
        <w:jc w:val="left"/>
        <w:rPr>
          <w:sz w:val="24"/>
        </w:rPr>
      </w:pPr>
      <w:r>
        <w:rPr>
          <w:sz w:val="24"/>
        </w:rPr>
        <w:t>This </w:t>
      </w:r>
      <w:r>
        <w:rPr>
          <w:i/>
          <w:sz w:val="24"/>
        </w:rPr>
        <w:t>Report </w:t>
      </w:r>
      <w:r>
        <w:rPr>
          <w:sz w:val="24"/>
        </w:rPr>
        <w:t>was approved by the Monetary Policy Committee on 4 August. It contains the Committee’s assessment of developments in the economy since May and prospects for the medium term. Projections of GDP growth and RPIX inflation over the next two years are presented below in Charts 6.1 and 6.2, together with the uncertainties surrounding them. These projections are based on the assumption that the Bank’s repo rate remains unchanged at 6% during the next two years.</w:t>
      </w:r>
    </w:p>
    <w:p>
      <w:pPr>
        <w:spacing w:line="242" w:lineRule="auto" w:before="11"/>
        <w:ind w:left="4980" w:right="214" w:firstLine="0"/>
        <w:jc w:val="left"/>
        <w:rPr>
          <w:sz w:val="24"/>
        </w:rPr>
      </w:pPr>
      <w:r>
        <w:rPr>
          <w:sz w:val="24"/>
        </w:rPr>
        <w:t>Alternative projections conditioned on market interest rate expectations are shown in Charts 6.6 and 6.7. The key assumptions on which the projections are based are described below.</w:t>
      </w:r>
    </w:p>
    <w:p>
      <w:pPr>
        <w:pStyle w:val="BodyText"/>
        <w:spacing w:before="9"/>
        <w:rPr>
          <w:sz w:val="24"/>
        </w:rPr>
      </w:pPr>
    </w:p>
    <w:p>
      <w:pPr>
        <w:spacing w:line="242" w:lineRule="auto" w:before="0"/>
        <w:ind w:left="4980" w:right="174" w:firstLine="0"/>
        <w:jc w:val="left"/>
        <w:rPr>
          <w:sz w:val="24"/>
        </w:rPr>
      </w:pPr>
      <w:r>
        <w:rPr>
          <w:sz w:val="24"/>
        </w:rPr>
        <w:t>Prospects</w:t>
      </w:r>
      <w:r>
        <w:rPr>
          <w:spacing w:val="-10"/>
          <w:sz w:val="24"/>
        </w:rPr>
        <w:t> </w:t>
      </w:r>
      <w:r>
        <w:rPr>
          <w:sz w:val="24"/>
        </w:rPr>
        <w:t>for</w:t>
      </w:r>
      <w:r>
        <w:rPr>
          <w:spacing w:val="-10"/>
          <w:sz w:val="24"/>
        </w:rPr>
        <w:t> </w:t>
      </w:r>
      <w:r>
        <w:rPr>
          <w:sz w:val="24"/>
        </w:rPr>
        <w:t>world</w:t>
      </w:r>
      <w:r>
        <w:rPr>
          <w:spacing w:val="-10"/>
          <w:sz w:val="24"/>
        </w:rPr>
        <w:t> </w:t>
      </w:r>
      <w:r>
        <w:rPr>
          <w:sz w:val="24"/>
        </w:rPr>
        <w:t>economic</w:t>
      </w:r>
      <w:r>
        <w:rPr>
          <w:spacing w:val="-9"/>
          <w:sz w:val="24"/>
        </w:rPr>
        <w:t> </w:t>
      </w:r>
      <w:r>
        <w:rPr>
          <w:sz w:val="24"/>
        </w:rPr>
        <w:t>growth</w:t>
      </w:r>
      <w:r>
        <w:rPr>
          <w:spacing w:val="-10"/>
          <w:sz w:val="24"/>
        </w:rPr>
        <w:t> </w:t>
      </w:r>
      <w:r>
        <w:rPr>
          <w:sz w:val="24"/>
        </w:rPr>
        <w:t>remain</w:t>
      </w:r>
      <w:r>
        <w:rPr>
          <w:spacing w:val="-10"/>
          <w:sz w:val="24"/>
        </w:rPr>
        <w:t> </w:t>
      </w:r>
      <w:r>
        <w:rPr>
          <w:sz w:val="24"/>
        </w:rPr>
        <w:t>favourable. Output growth in the United States once again outstripped expectations in the first half of the </w:t>
      </w:r>
      <w:r>
        <w:rPr>
          <w:spacing w:val="-3"/>
          <w:sz w:val="24"/>
        </w:rPr>
        <w:t>year, but </w:t>
      </w:r>
      <w:r>
        <w:rPr>
          <w:sz w:val="24"/>
        </w:rPr>
        <w:t>there are some signs that the economy may be slowing towards a more sustainable pace. Growth in the United States is expected to moderate, as tighter monetary policy dampens demand and the stimulus from earlier increases in equity wealth diminishes, and the central assumption remains a </w:t>
      </w:r>
      <w:r>
        <w:rPr>
          <w:spacing w:val="-3"/>
          <w:sz w:val="24"/>
        </w:rPr>
        <w:t>slowdown </w:t>
      </w:r>
      <w:r>
        <w:rPr>
          <w:sz w:val="24"/>
        </w:rPr>
        <w:t>in output growth to a little below the likely trend growth in supply capacity </w:t>
      </w:r>
      <w:r>
        <w:rPr>
          <w:spacing w:val="-3"/>
          <w:sz w:val="24"/>
        </w:rPr>
        <w:t>over </w:t>
      </w:r>
      <w:r>
        <w:rPr>
          <w:sz w:val="24"/>
        </w:rPr>
        <w:t>the next two years. Recent indicators suggest that the recovery in the euro area has gained further momentum: the euro area is likely to see the strongest growth for a decade. Rising employment</w:t>
      </w:r>
      <w:r>
        <w:rPr>
          <w:spacing w:val="-16"/>
          <w:sz w:val="24"/>
        </w:rPr>
        <w:t> </w:t>
      </w:r>
      <w:r>
        <w:rPr>
          <w:sz w:val="24"/>
        </w:rPr>
        <w:t>and</w:t>
      </w:r>
    </w:p>
    <w:p>
      <w:pPr>
        <w:spacing w:line="242" w:lineRule="auto" w:before="18"/>
        <w:ind w:left="4980" w:right="208" w:firstLine="0"/>
        <w:jc w:val="left"/>
        <w:rPr>
          <w:sz w:val="24"/>
        </w:rPr>
      </w:pPr>
      <w:r>
        <w:rPr>
          <w:sz w:val="24"/>
        </w:rPr>
        <w:t>household incomes should encourage further increases in consumer spending, while net trade is also likely to support</w:t>
      </w:r>
      <w:r>
        <w:rPr>
          <w:spacing w:val="-8"/>
          <w:sz w:val="24"/>
        </w:rPr>
        <w:t> </w:t>
      </w:r>
      <w:r>
        <w:rPr>
          <w:sz w:val="24"/>
        </w:rPr>
        <w:t>growth</w:t>
      </w:r>
      <w:r>
        <w:rPr>
          <w:spacing w:val="-8"/>
          <w:sz w:val="24"/>
        </w:rPr>
        <w:t> </w:t>
      </w:r>
      <w:r>
        <w:rPr>
          <w:sz w:val="24"/>
        </w:rPr>
        <w:t>following</w:t>
      </w:r>
      <w:r>
        <w:rPr>
          <w:spacing w:val="-8"/>
          <w:sz w:val="24"/>
        </w:rPr>
        <w:t> </w:t>
      </w:r>
      <w:r>
        <w:rPr>
          <w:sz w:val="24"/>
        </w:rPr>
        <w:t>the</w:t>
      </w:r>
      <w:r>
        <w:rPr>
          <w:spacing w:val="-8"/>
          <w:sz w:val="24"/>
        </w:rPr>
        <w:t> </w:t>
      </w:r>
      <w:r>
        <w:rPr>
          <w:sz w:val="24"/>
        </w:rPr>
        <w:t>marked</w:t>
      </w:r>
      <w:r>
        <w:rPr>
          <w:spacing w:val="-7"/>
          <w:sz w:val="24"/>
        </w:rPr>
        <w:t> </w:t>
      </w:r>
      <w:r>
        <w:rPr>
          <w:sz w:val="24"/>
        </w:rPr>
        <w:t>depreciation</w:t>
      </w:r>
      <w:r>
        <w:rPr>
          <w:spacing w:val="-8"/>
          <w:sz w:val="24"/>
        </w:rPr>
        <w:t> </w:t>
      </w:r>
      <w:r>
        <w:rPr>
          <w:sz w:val="24"/>
        </w:rPr>
        <w:t>of</w:t>
      </w:r>
      <w:r>
        <w:rPr>
          <w:spacing w:val="-8"/>
          <w:sz w:val="24"/>
        </w:rPr>
        <w:t> </w:t>
      </w:r>
      <w:r>
        <w:rPr>
          <w:sz w:val="24"/>
        </w:rPr>
        <w:t>the euro </w:t>
      </w:r>
      <w:r>
        <w:rPr>
          <w:spacing w:val="-3"/>
          <w:sz w:val="24"/>
        </w:rPr>
        <w:t>over </w:t>
      </w:r>
      <w:r>
        <w:rPr>
          <w:sz w:val="24"/>
        </w:rPr>
        <w:t>the past </w:t>
      </w:r>
      <w:r>
        <w:rPr>
          <w:spacing w:val="-4"/>
          <w:sz w:val="24"/>
        </w:rPr>
        <w:t>year. </w:t>
      </w:r>
      <w:r>
        <w:rPr>
          <w:sz w:val="24"/>
        </w:rPr>
        <w:t>There are further signs of recovery in Japan, underpinned by an improvement in corporate profits, </w:t>
      </w:r>
      <w:r>
        <w:rPr>
          <w:spacing w:val="-3"/>
          <w:sz w:val="24"/>
        </w:rPr>
        <w:t>private investment </w:t>
      </w:r>
      <w:r>
        <w:rPr>
          <w:sz w:val="24"/>
        </w:rPr>
        <w:t>and business confidence. Consumer spending prospects remain subdued, </w:t>
      </w:r>
      <w:r>
        <w:rPr>
          <w:spacing w:val="-4"/>
          <w:sz w:val="24"/>
        </w:rPr>
        <w:t>however, </w:t>
      </w:r>
      <w:r>
        <w:rPr>
          <w:sz w:val="24"/>
        </w:rPr>
        <w:t>and a moderate cyclical recovery in the Japanese economy remains the most likely prospect </w:t>
      </w:r>
      <w:r>
        <w:rPr>
          <w:spacing w:val="-3"/>
          <w:sz w:val="24"/>
        </w:rPr>
        <w:t>over </w:t>
      </w:r>
      <w:r>
        <w:rPr>
          <w:sz w:val="24"/>
        </w:rPr>
        <w:t>the next two years. Emerging market economies continue to benefit from growth in North American and European markets, although output growth in some Asian economies has slowed from the exceptional rates recorded as they recovered from the period of financial turbulence.</w:t>
      </w:r>
    </w:p>
    <w:p>
      <w:pPr>
        <w:spacing w:after="0" w:line="242" w:lineRule="auto"/>
        <w:jc w:val="left"/>
        <w:rPr>
          <w:sz w:val="24"/>
        </w:rPr>
        <w:sectPr>
          <w:headerReference w:type="default" r:id="rId166"/>
          <w:footerReference w:type="default" r:id="rId167"/>
          <w:footerReference w:type="even" r:id="rId168"/>
          <w:pgSz w:w="11900" w:h="16840"/>
          <w:pgMar w:header="0" w:footer="612" w:top="800" w:bottom="800" w:left="640" w:right="640"/>
          <w:pgNumType w:start="45"/>
        </w:sectPr>
      </w:pPr>
    </w:p>
    <w:p>
      <w:pPr>
        <w:pStyle w:val="BodyText"/>
        <w:rPr>
          <w:sz w:val="20"/>
        </w:rPr>
      </w:pPr>
    </w:p>
    <w:p>
      <w:pPr>
        <w:spacing w:line="242" w:lineRule="auto" w:before="217"/>
        <w:ind w:left="4954" w:right="214" w:firstLine="0"/>
        <w:jc w:val="left"/>
        <w:rPr>
          <w:sz w:val="24"/>
        </w:rPr>
      </w:pPr>
      <w:r>
        <w:rPr>
          <w:sz w:val="24"/>
        </w:rPr>
        <w:t>The central projection for the level of overall world activity is slightly firmer than in May, primarily reflecting higher-than-expected growth in the United States and Asia in the early part of this year and a slight upward revision to expected growth in the euro area.</w:t>
      </w:r>
    </w:p>
    <w:p>
      <w:pPr>
        <w:spacing w:line="242" w:lineRule="auto" w:before="6"/>
        <w:ind w:left="4954" w:right="127" w:firstLine="0"/>
        <w:jc w:val="left"/>
        <w:rPr>
          <w:sz w:val="24"/>
        </w:rPr>
      </w:pPr>
      <w:r>
        <w:rPr>
          <w:spacing w:val="-5"/>
          <w:sz w:val="24"/>
        </w:rPr>
        <w:t>World </w:t>
      </w:r>
      <w:r>
        <w:rPr>
          <w:sz w:val="24"/>
        </w:rPr>
        <w:t>GDP growth is likely to peak in 2000, slowing gradually </w:t>
      </w:r>
      <w:r>
        <w:rPr>
          <w:spacing w:val="-3"/>
          <w:sz w:val="24"/>
        </w:rPr>
        <w:t>over </w:t>
      </w:r>
      <w:r>
        <w:rPr>
          <w:sz w:val="24"/>
        </w:rPr>
        <w:t>the next two years in response to tighter monetary policy in the United States and the euro area. </w:t>
      </w:r>
      <w:r>
        <w:rPr>
          <w:spacing w:val="-5"/>
          <w:sz w:val="24"/>
        </w:rPr>
        <w:t>World </w:t>
      </w:r>
      <w:r>
        <w:rPr>
          <w:sz w:val="24"/>
        </w:rPr>
        <w:t>trade has been particularly strong in recent months,</w:t>
      </w:r>
      <w:r>
        <w:rPr>
          <w:spacing w:val="-7"/>
          <w:sz w:val="24"/>
        </w:rPr>
        <w:t> </w:t>
      </w:r>
      <w:r>
        <w:rPr>
          <w:sz w:val="24"/>
        </w:rPr>
        <w:t>and</w:t>
      </w:r>
      <w:r>
        <w:rPr>
          <w:spacing w:val="-6"/>
          <w:sz w:val="24"/>
        </w:rPr>
        <w:t> </w:t>
      </w:r>
      <w:r>
        <w:rPr>
          <w:sz w:val="24"/>
        </w:rPr>
        <w:t>annual</w:t>
      </w:r>
      <w:r>
        <w:rPr>
          <w:spacing w:val="-7"/>
          <w:sz w:val="24"/>
        </w:rPr>
        <w:t> </w:t>
      </w:r>
      <w:r>
        <w:rPr>
          <w:sz w:val="24"/>
        </w:rPr>
        <w:t>growth</w:t>
      </w:r>
      <w:r>
        <w:rPr>
          <w:spacing w:val="-7"/>
          <w:sz w:val="24"/>
        </w:rPr>
        <w:t> </w:t>
      </w:r>
      <w:r>
        <w:rPr>
          <w:sz w:val="24"/>
        </w:rPr>
        <w:t>in</w:t>
      </w:r>
      <w:r>
        <w:rPr>
          <w:spacing w:val="-7"/>
          <w:sz w:val="24"/>
        </w:rPr>
        <w:t> </w:t>
      </w:r>
      <w:r>
        <w:rPr>
          <w:sz w:val="24"/>
        </w:rPr>
        <w:t>UK-weighted</w:t>
      </w:r>
      <w:r>
        <w:rPr>
          <w:spacing w:val="-7"/>
          <w:sz w:val="24"/>
        </w:rPr>
        <w:t> </w:t>
      </w:r>
      <w:r>
        <w:rPr>
          <w:sz w:val="24"/>
        </w:rPr>
        <w:t>world</w:t>
      </w:r>
      <w:r>
        <w:rPr>
          <w:spacing w:val="-7"/>
          <w:sz w:val="24"/>
        </w:rPr>
        <w:t> </w:t>
      </w:r>
      <w:r>
        <w:rPr>
          <w:sz w:val="24"/>
        </w:rPr>
        <w:t>import volumes may </w:t>
      </w:r>
      <w:r>
        <w:rPr>
          <w:spacing w:val="-3"/>
          <w:sz w:val="24"/>
        </w:rPr>
        <w:t>now </w:t>
      </w:r>
      <w:r>
        <w:rPr>
          <w:sz w:val="24"/>
        </w:rPr>
        <w:t>peak at close to 10% this </w:t>
      </w:r>
      <w:r>
        <w:rPr>
          <w:spacing w:val="-3"/>
          <w:sz w:val="24"/>
        </w:rPr>
        <w:t>year, </w:t>
      </w:r>
      <w:r>
        <w:rPr>
          <w:sz w:val="24"/>
        </w:rPr>
        <w:t>up from 6</w:t>
      </w:r>
      <w:r>
        <w:rPr>
          <w:position w:val="8"/>
          <w:sz w:val="12"/>
        </w:rPr>
        <w:t>1</w:t>
      </w:r>
      <w:r>
        <w:rPr>
          <w:sz w:val="24"/>
        </w:rPr>
        <w:t>/</w:t>
      </w:r>
      <w:r>
        <w:rPr>
          <w:sz w:val="12"/>
        </w:rPr>
        <w:t>2</w:t>
      </w:r>
      <w:r>
        <w:rPr>
          <w:sz w:val="24"/>
        </w:rPr>
        <w:t>% in 1999, and around 1 percentage point higher than projected three months</w:t>
      </w:r>
      <w:r>
        <w:rPr>
          <w:spacing w:val="-7"/>
          <w:sz w:val="24"/>
        </w:rPr>
        <w:t> </w:t>
      </w:r>
      <w:r>
        <w:rPr>
          <w:sz w:val="24"/>
        </w:rPr>
        <w:t>ago.</w:t>
      </w:r>
    </w:p>
    <w:p>
      <w:pPr>
        <w:pStyle w:val="BodyText"/>
        <w:spacing w:before="3"/>
        <w:rPr>
          <w:sz w:val="25"/>
        </w:rPr>
      </w:pPr>
    </w:p>
    <w:p>
      <w:pPr>
        <w:spacing w:line="242" w:lineRule="auto" w:before="0"/>
        <w:ind w:left="4954" w:right="341" w:firstLine="0"/>
        <w:jc w:val="left"/>
        <w:rPr>
          <w:sz w:val="24"/>
        </w:rPr>
      </w:pPr>
      <w:r>
        <w:rPr>
          <w:sz w:val="24"/>
        </w:rPr>
        <w:t>The Committee continues to judge that the balance of risks to the central projection for world activity is weighted to the downside. The US equity market remains one such source of risk. Although share prices are down from peak levels, valuations remain stretched by historical standards. A sharp fall in equity prices could be associated with a faster-than-expected slowdown in the United States. Under such a scenario, world growth could also be affected by falls in asset prices in other financial markets, including the United Kingdom.</w:t>
      </w:r>
    </w:p>
    <w:p>
      <w:pPr>
        <w:pStyle w:val="BodyText"/>
        <w:spacing w:before="6"/>
        <w:rPr>
          <w:sz w:val="25"/>
        </w:rPr>
      </w:pPr>
    </w:p>
    <w:p>
      <w:pPr>
        <w:spacing w:line="242" w:lineRule="auto" w:before="0"/>
        <w:ind w:left="4954" w:right="249" w:firstLine="0"/>
        <w:jc w:val="left"/>
        <w:rPr>
          <w:sz w:val="24"/>
        </w:rPr>
      </w:pPr>
      <w:r>
        <w:rPr>
          <w:sz w:val="24"/>
        </w:rPr>
        <w:t>World prices have been stronger than expected three months ago. Oil prices in the second quarter were around $4 per barrel above the central projection in the May </w:t>
      </w:r>
      <w:r>
        <w:rPr>
          <w:i/>
          <w:sz w:val="24"/>
        </w:rPr>
        <w:t>Report</w:t>
      </w:r>
      <w:r>
        <w:rPr>
          <w:sz w:val="24"/>
        </w:rPr>
        <w:t>, supported by a combination of stronger world demand, low inventory levels and OPEC production restraints. Higher oil prices have put upward pressure on producer and consumer prices, which have risen more quickly than previously projected.</w:t>
      </w:r>
    </w:p>
    <w:p>
      <w:pPr>
        <w:pStyle w:val="BodyText"/>
        <w:spacing w:before="3"/>
        <w:rPr>
          <w:sz w:val="25"/>
        </w:rPr>
      </w:pPr>
    </w:p>
    <w:p>
      <w:pPr>
        <w:spacing w:line="242" w:lineRule="auto" w:before="0"/>
        <w:ind w:left="4954" w:right="188" w:firstLine="0"/>
        <w:jc w:val="left"/>
        <w:rPr>
          <w:sz w:val="24"/>
        </w:rPr>
      </w:pPr>
      <w:r>
        <w:rPr>
          <w:sz w:val="24"/>
        </w:rPr>
        <w:t>Although near-term pressures on world prices are rather stronger than envisaged in the May </w:t>
      </w:r>
      <w:r>
        <w:rPr>
          <w:i/>
          <w:sz w:val="24"/>
        </w:rPr>
        <w:t>Report</w:t>
      </w:r>
      <w:r>
        <w:rPr>
          <w:sz w:val="24"/>
        </w:rPr>
        <w:t>, the Committee judges that the most likely change in global inflation prospects </w:t>
      </w:r>
      <w:r>
        <w:rPr>
          <w:spacing w:val="-3"/>
          <w:sz w:val="24"/>
        </w:rPr>
        <w:t>over </w:t>
      </w:r>
      <w:r>
        <w:rPr>
          <w:sz w:val="24"/>
        </w:rPr>
        <w:t>the next two years is relatively small. OPEC agreed to raise production in June and oil prices </w:t>
      </w:r>
      <w:r>
        <w:rPr>
          <w:spacing w:val="-3"/>
          <w:sz w:val="24"/>
        </w:rPr>
        <w:t>have </w:t>
      </w:r>
      <w:r>
        <w:rPr>
          <w:sz w:val="24"/>
        </w:rPr>
        <w:t>fallen back from peak </w:t>
      </w:r>
      <w:r>
        <w:rPr>
          <w:spacing w:val="-3"/>
          <w:sz w:val="24"/>
        </w:rPr>
        <w:t>levels </w:t>
      </w:r>
      <w:r>
        <w:rPr>
          <w:sz w:val="24"/>
        </w:rPr>
        <w:t>in recent weeks. The central projection assumes that the Brent price falls to around $21 per barrel </w:t>
      </w:r>
      <w:r>
        <w:rPr>
          <w:spacing w:val="-3"/>
          <w:sz w:val="24"/>
        </w:rPr>
        <w:t>over </w:t>
      </w:r>
      <w:r>
        <w:rPr>
          <w:sz w:val="24"/>
        </w:rPr>
        <w:t>the next two years, broadly in line with futures prices. The path of oil prices projected </w:t>
      </w:r>
      <w:r>
        <w:rPr>
          <w:spacing w:val="-3"/>
          <w:sz w:val="24"/>
        </w:rPr>
        <w:t>now </w:t>
      </w:r>
      <w:r>
        <w:rPr>
          <w:sz w:val="24"/>
        </w:rPr>
        <w:t>is rather higher than in the May </w:t>
      </w:r>
      <w:r>
        <w:rPr>
          <w:i/>
          <w:sz w:val="24"/>
        </w:rPr>
        <w:t>Report</w:t>
      </w:r>
      <w:r>
        <w:rPr>
          <w:sz w:val="24"/>
        </w:rPr>
        <w:t>, but the difference is less in the medium term than in the near term. Hence, oil prices are assumed to fall at a faster pace than expected in </w:t>
      </w:r>
      <w:r>
        <w:rPr>
          <w:spacing w:val="-5"/>
          <w:sz w:val="24"/>
        </w:rPr>
        <w:t>May, </w:t>
      </w:r>
      <w:r>
        <w:rPr>
          <w:sz w:val="24"/>
        </w:rPr>
        <w:t>which limits the inflationary impact at a two-year horizon. </w:t>
      </w:r>
      <w:r>
        <w:rPr>
          <w:spacing w:val="-3"/>
          <w:sz w:val="24"/>
        </w:rPr>
        <w:t>Moreover, </w:t>
      </w:r>
      <w:r>
        <w:rPr>
          <w:sz w:val="24"/>
        </w:rPr>
        <w:t>non-oil commodity prices in dollar terms rose less quickly</w:t>
      </w:r>
      <w:r>
        <w:rPr>
          <w:spacing w:val="-5"/>
          <w:sz w:val="24"/>
        </w:rPr>
        <w:t> </w:t>
      </w:r>
      <w:r>
        <w:rPr>
          <w:sz w:val="24"/>
        </w:rPr>
        <w:t>than</w:t>
      </w:r>
      <w:r>
        <w:rPr>
          <w:spacing w:val="-5"/>
          <w:sz w:val="24"/>
        </w:rPr>
        <w:t> </w:t>
      </w:r>
      <w:r>
        <w:rPr>
          <w:sz w:val="24"/>
        </w:rPr>
        <w:t>expected</w:t>
      </w:r>
      <w:r>
        <w:rPr>
          <w:spacing w:val="-5"/>
          <w:sz w:val="24"/>
        </w:rPr>
        <w:t> </w:t>
      </w:r>
      <w:r>
        <w:rPr>
          <w:sz w:val="24"/>
        </w:rPr>
        <w:t>in</w:t>
      </w:r>
      <w:r>
        <w:rPr>
          <w:spacing w:val="-5"/>
          <w:sz w:val="24"/>
        </w:rPr>
        <w:t> </w:t>
      </w:r>
      <w:r>
        <w:rPr>
          <w:sz w:val="24"/>
        </w:rPr>
        <w:t>the</w:t>
      </w:r>
      <w:r>
        <w:rPr>
          <w:spacing w:val="-5"/>
          <w:sz w:val="24"/>
        </w:rPr>
        <w:t> </w:t>
      </w:r>
      <w:r>
        <w:rPr>
          <w:sz w:val="24"/>
        </w:rPr>
        <w:t>first</w:t>
      </w:r>
      <w:r>
        <w:rPr>
          <w:spacing w:val="-4"/>
          <w:sz w:val="24"/>
        </w:rPr>
        <w:t> </w:t>
      </w:r>
      <w:r>
        <w:rPr>
          <w:sz w:val="24"/>
        </w:rPr>
        <w:t>half</w:t>
      </w:r>
      <w:r>
        <w:rPr>
          <w:spacing w:val="-5"/>
          <w:sz w:val="24"/>
        </w:rPr>
        <w:t> </w:t>
      </w:r>
      <w:r>
        <w:rPr>
          <w:sz w:val="24"/>
        </w:rPr>
        <w:t>of</w:t>
      </w:r>
      <w:r>
        <w:rPr>
          <w:spacing w:val="-5"/>
          <w:sz w:val="24"/>
        </w:rPr>
        <w:t> </w:t>
      </w:r>
      <w:r>
        <w:rPr>
          <w:sz w:val="24"/>
        </w:rPr>
        <w:t>this</w:t>
      </w:r>
      <w:r>
        <w:rPr>
          <w:spacing w:val="-5"/>
          <w:sz w:val="24"/>
        </w:rPr>
        <w:t> </w:t>
      </w:r>
      <w:r>
        <w:rPr>
          <w:sz w:val="24"/>
        </w:rPr>
        <w:t>year</w:t>
      </w:r>
      <w:r>
        <w:rPr>
          <w:spacing w:val="-5"/>
          <w:sz w:val="24"/>
        </w:rPr>
        <w:t> </w:t>
      </w:r>
      <w:r>
        <w:rPr>
          <w:sz w:val="24"/>
        </w:rPr>
        <w:t>and</w:t>
      </w:r>
      <w:r>
        <w:rPr>
          <w:spacing w:val="-4"/>
          <w:sz w:val="24"/>
        </w:rPr>
        <w:t> </w:t>
      </w:r>
      <w:r>
        <w:rPr>
          <w:sz w:val="24"/>
        </w:rPr>
        <w:t>the</w:t>
      </w:r>
    </w:p>
    <w:p>
      <w:pPr>
        <w:spacing w:after="0" w:line="242" w:lineRule="auto"/>
        <w:jc w:val="left"/>
        <w:rPr>
          <w:sz w:val="24"/>
        </w:rPr>
        <w:sectPr>
          <w:headerReference w:type="default" r:id="rId169"/>
          <w:headerReference w:type="even" r:id="rId170"/>
          <w:pgSz w:w="11900" w:h="16840"/>
          <w:pgMar w:header="586" w:footer="612" w:top="780" w:bottom="780" w:left="640" w:right="640"/>
        </w:sectPr>
      </w:pPr>
    </w:p>
    <w:p>
      <w:pPr>
        <w:pStyle w:val="BodyText"/>
        <w:spacing w:line="20" w:lineRule="exact"/>
        <w:ind w:left="143"/>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spacing w:before="4"/>
        <w:rPr>
          <w:sz w:val="29"/>
        </w:rPr>
      </w:pPr>
    </w:p>
    <w:p>
      <w:pPr>
        <w:spacing w:line="242" w:lineRule="auto" w:before="89"/>
        <w:ind w:left="4965" w:right="214" w:firstLine="0"/>
        <w:jc w:val="left"/>
        <w:rPr>
          <w:sz w:val="24"/>
        </w:rPr>
      </w:pPr>
      <w:r>
        <w:rPr>
          <w:sz w:val="24"/>
        </w:rPr>
        <w:t>outlook is rather weaker than assumed in May. Central banks have responded to counteract emerging inflationary pressure by raising interest rates further, with increases of 50 basis points in both the United States and the euro area over the past three months.</w:t>
      </w:r>
    </w:p>
    <w:p>
      <w:pPr>
        <w:spacing w:line="242" w:lineRule="auto" w:before="7"/>
        <w:ind w:left="4965" w:right="127" w:firstLine="0"/>
        <w:jc w:val="left"/>
        <w:rPr>
          <w:sz w:val="24"/>
        </w:rPr>
      </w:pPr>
      <w:r>
        <w:rPr>
          <w:sz w:val="24"/>
        </w:rPr>
        <w:t>Monetary tightening should slow demand growth, and as the impulse from higher oil prices fades and then reverses, inflation in the major overseas economies is likely to remain low over the next two years. In sum, relative to expectations in May, short-term pressures on world inflation are rather stronger, but these additional pressures should soon dissipate.</w:t>
      </w:r>
    </w:p>
    <w:p>
      <w:pPr>
        <w:pStyle w:val="BodyText"/>
        <w:spacing w:before="1"/>
        <w:rPr>
          <w:sz w:val="25"/>
        </w:rPr>
      </w:pPr>
    </w:p>
    <w:p>
      <w:pPr>
        <w:spacing w:line="242" w:lineRule="auto" w:before="0"/>
        <w:ind w:left="4965" w:right="130" w:firstLine="0"/>
        <w:jc w:val="left"/>
        <w:rPr>
          <w:sz w:val="24"/>
        </w:rPr>
      </w:pPr>
      <w:r>
        <w:rPr>
          <w:sz w:val="24"/>
        </w:rPr>
        <w:t>In the medium term, sterling import prices will tend to match movements in the prices of traded goods set in global markets, converted into sterling at the prevailing exchange rate. But this relationship is not precise in the short run. For example, the currency of invoicing may affect the response of import prices to a change in exchange rates, or there may be costs to entering or switching markets that may also slow the responsiveness of prices. As noted in the May </w:t>
      </w:r>
      <w:r>
        <w:rPr>
          <w:i/>
          <w:sz w:val="24"/>
        </w:rPr>
        <w:t>Report</w:t>
      </w:r>
      <w:r>
        <w:rPr>
          <w:sz w:val="24"/>
        </w:rPr>
        <w:t>, sterling import prices have been rather higher in recent quarters than a measure based on average world export prices translated into sterling. That is consistent with a view that foreign firms’ profit margins on UK sales may have widened as sterling appreciated. Such a widening is unlikely to persist in the medium term, as competition from new suppliers will gradually erode any abnormal profit. The Committee, having re-examined the empirical evidence, judges that margins on sales to the United Kingdom are likely to be squeezed more quickly than assumed in the May </w:t>
      </w:r>
      <w:r>
        <w:rPr>
          <w:i/>
          <w:sz w:val="24"/>
        </w:rPr>
        <w:t>Report</w:t>
      </w:r>
      <w:r>
        <w:rPr>
          <w:sz w:val="24"/>
        </w:rPr>
        <w:t>. This will offset some of the near-term upward pressure on UK import prices from higher world prices and from the fall in the sterling exchange rate over the past three months.</w:t>
      </w:r>
    </w:p>
    <w:p>
      <w:pPr>
        <w:pStyle w:val="BodyText"/>
        <w:spacing w:before="10"/>
        <w:rPr>
          <w:sz w:val="26"/>
        </w:rPr>
      </w:pPr>
    </w:p>
    <w:p>
      <w:pPr>
        <w:spacing w:line="242" w:lineRule="auto" w:before="1"/>
        <w:ind w:left="4965" w:right="155" w:firstLine="0"/>
        <w:jc w:val="left"/>
        <w:rPr>
          <w:sz w:val="24"/>
        </w:rPr>
      </w:pPr>
      <w:r>
        <w:rPr>
          <w:sz w:val="24"/>
        </w:rPr>
        <w:t>There was a sharp depreciation of sterling in the second half of May. By the June MPC meeting, the effective exchange rate index (ERI) was some 5% below the profile assumed in the May </w:t>
      </w:r>
      <w:r>
        <w:rPr>
          <w:i/>
          <w:sz w:val="24"/>
        </w:rPr>
        <w:t>Report</w:t>
      </w:r>
      <w:r>
        <w:rPr>
          <w:sz w:val="24"/>
        </w:rPr>
        <w:t>, as the rise in sterling over the previous six months was reversed. Sterling was broadly stable around the lower level during June and early July, but has edged up slightly in recent weeks reflecting renewed weakness of the euro. The ERI averaged 106.1 in the 15 working days up to and including 2 August, consistent with bilateral sterling exchange rates of $1.50 and 62 pence against the euro.</w:t>
      </w:r>
    </w:p>
    <w:p>
      <w:pPr>
        <w:spacing w:line="242" w:lineRule="auto" w:before="14"/>
        <w:ind w:left="4965" w:right="214" w:firstLine="0"/>
        <w:jc w:val="left"/>
        <w:rPr>
          <w:i/>
          <w:sz w:val="24"/>
        </w:rPr>
      </w:pPr>
      <w:r>
        <w:rPr>
          <w:sz w:val="24"/>
        </w:rPr>
        <w:t>This is the starting point for the exchange rate profile assumed in the current projection. It is significantly lower than the starting point of 110.7 in the May </w:t>
      </w:r>
      <w:r>
        <w:rPr>
          <w:i/>
          <w:sz w:val="24"/>
        </w:rPr>
        <w:t>Report</w:t>
      </w:r>
    </w:p>
    <w:p>
      <w:pPr>
        <w:spacing w:after="0" w:line="242" w:lineRule="auto"/>
        <w:jc w:val="left"/>
        <w:rPr>
          <w:sz w:val="24"/>
        </w:rPr>
        <w:sectPr>
          <w:footerReference w:type="default" r:id="rId171"/>
          <w:footerReference w:type="even" r:id="rId172"/>
          <w:pgSz w:w="11900" w:h="16840"/>
          <w:pgMar w:footer="612" w:header="586" w:top="780" w:bottom="800" w:left="640" w:right="640"/>
          <w:pgNumType w:start="47"/>
        </w:sectPr>
      </w:pPr>
    </w:p>
    <w:p>
      <w:pPr>
        <w:pStyle w:val="BodyText"/>
        <w:rPr>
          <w:i/>
          <w:sz w:val="20"/>
        </w:rPr>
      </w:pPr>
    </w:p>
    <w:p>
      <w:pPr>
        <w:spacing w:line="242" w:lineRule="auto" w:before="217"/>
        <w:ind w:left="4954" w:right="214" w:firstLine="0"/>
        <w:jc w:val="left"/>
        <w:rPr>
          <w:sz w:val="24"/>
        </w:rPr>
      </w:pPr>
      <w:r>
        <w:rPr>
          <w:sz w:val="24"/>
        </w:rPr>
        <w:t>and an implied level of 110.4 for August in the May central projection.</w:t>
      </w:r>
    </w:p>
    <w:p>
      <w:pPr>
        <w:pStyle w:val="BodyText"/>
        <w:spacing w:before="1"/>
        <w:rPr>
          <w:sz w:val="21"/>
        </w:rPr>
      </w:pPr>
    </w:p>
    <w:p>
      <w:pPr>
        <w:spacing w:line="242" w:lineRule="auto" w:before="0"/>
        <w:ind w:left="4954" w:right="191" w:firstLine="0"/>
        <w:jc w:val="left"/>
        <w:rPr>
          <w:sz w:val="24"/>
        </w:rPr>
      </w:pPr>
      <w:r>
        <w:rPr>
          <w:sz w:val="24"/>
        </w:rPr>
        <w:t>In line with recent </w:t>
      </w:r>
      <w:r>
        <w:rPr>
          <w:i/>
          <w:sz w:val="24"/>
        </w:rPr>
        <w:t>Reports</w:t>
      </w:r>
      <w:r>
        <w:rPr>
          <w:sz w:val="24"/>
        </w:rPr>
        <w:t>, the Committee agreed to base the central projection on the average of a constant nominal exchange rate and a path implied by the pattern of market interest rate differentials, with the latter adjusted for the conditioning assumption of constant UK interest rates. Following this approach, the sterling ERI declines to 104.6 by 2002 Q3, consistent with bilateral sterling</w:t>
      </w:r>
      <w:r>
        <w:rPr>
          <w:spacing w:val="-6"/>
          <w:sz w:val="24"/>
        </w:rPr>
        <w:t> </w:t>
      </w:r>
      <w:r>
        <w:rPr>
          <w:sz w:val="24"/>
        </w:rPr>
        <w:t>exchange</w:t>
      </w:r>
      <w:r>
        <w:rPr>
          <w:spacing w:val="-5"/>
          <w:sz w:val="24"/>
        </w:rPr>
        <w:t> </w:t>
      </w:r>
      <w:r>
        <w:rPr>
          <w:sz w:val="24"/>
        </w:rPr>
        <w:t>rates</w:t>
      </w:r>
      <w:r>
        <w:rPr>
          <w:spacing w:val="-5"/>
          <w:sz w:val="24"/>
        </w:rPr>
        <w:t> </w:t>
      </w:r>
      <w:r>
        <w:rPr>
          <w:sz w:val="24"/>
        </w:rPr>
        <w:t>of</w:t>
      </w:r>
      <w:r>
        <w:rPr>
          <w:spacing w:val="-6"/>
          <w:sz w:val="24"/>
        </w:rPr>
        <w:t> </w:t>
      </w:r>
      <w:r>
        <w:rPr>
          <w:sz w:val="24"/>
        </w:rPr>
        <w:t>$1.51</w:t>
      </w:r>
      <w:r>
        <w:rPr>
          <w:spacing w:val="-5"/>
          <w:sz w:val="24"/>
        </w:rPr>
        <w:t> </w:t>
      </w:r>
      <w:r>
        <w:rPr>
          <w:sz w:val="24"/>
        </w:rPr>
        <w:t>and</w:t>
      </w:r>
      <w:r>
        <w:rPr>
          <w:spacing w:val="-5"/>
          <w:sz w:val="24"/>
        </w:rPr>
        <w:t> </w:t>
      </w:r>
      <w:r>
        <w:rPr>
          <w:sz w:val="24"/>
        </w:rPr>
        <w:t>63</w:t>
      </w:r>
      <w:r>
        <w:rPr>
          <w:spacing w:val="-5"/>
          <w:sz w:val="24"/>
        </w:rPr>
        <w:t> </w:t>
      </w:r>
      <w:r>
        <w:rPr>
          <w:sz w:val="24"/>
        </w:rPr>
        <w:t>pence</w:t>
      </w:r>
      <w:r>
        <w:rPr>
          <w:spacing w:val="-6"/>
          <w:sz w:val="24"/>
        </w:rPr>
        <w:t> </w:t>
      </w:r>
      <w:r>
        <w:rPr>
          <w:sz w:val="24"/>
        </w:rPr>
        <w:t>against</w:t>
      </w:r>
      <w:r>
        <w:rPr>
          <w:spacing w:val="-5"/>
          <w:sz w:val="24"/>
        </w:rPr>
        <w:t> </w:t>
      </w:r>
      <w:r>
        <w:rPr>
          <w:sz w:val="24"/>
        </w:rPr>
        <w:t>the euro (equivalent to DM3.08). The decline is more gradual than in </w:t>
      </w:r>
      <w:r>
        <w:rPr>
          <w:spacing w:val="-5"/>
          <w:sz w:val="24"/>
        </w:rPr>
        <w:t>May, </w:t>
      </w:r>
      <w:r>
        <w:rPr>
          <w:sz w:val="24"/>
        </w:rPr>
        <w:t>as market interest rate differentials </w:t>
      </w:r>
      <w:r>
        <w:rPr>
          <w:spacing w:val="-3"/>
          <w:sz w:val="24"/>
        </w:rPr>
        <w:t>have </w:t>
      </w:r>
      <w:r>
        <w:rPr>
          <w:sz w:val="24"/>
        </w:rPr>
        <w:t>narrowed </w:t>
      </w:r>
      <w:r>
        <w:rPr>
          <w:spacing w:val="-3"/>
          <w:sz w:val="24"/>
        </w:rPr>
        <w:t>over </w:t>
      </w:r>
      <w:r>
        <w:rPr>
          <w:sz w:val="24"/>
        </w:rPr>
        <w:t>the past three months. If the central projection were based on the assumption that the exchange rate moves fully in line with interest rate differentials, and again adjusting for the assumption of constant UK interest rates, the inflation projection at the two-year horizon would be some 0.1 percentage points higher than in the central case. </w:t>
      </w:r>
      <w:r>
        <w:rPr>
          <w:spacing w:val="-3"/>
          <w:sz w:val="24"/>
        </w:rPr>
        <w:t>Alternatively, </w:t>
      </w:r>
      <w:r>
        <w:rPr>
          <w:sz w:val="24"/>
        </w:rPr>
        <w:t>assuming a constant nominal exchange rate would lower inflation by a similar amount. Some Committee members prefer different benchmarks from that in the central projection when assessing exchange rate prospects. But these differences are currently relatively small, especially in the context of the large uncertainty surrounding the outlook for the exchange</w:t>
      </w:r>
      <w:r>
        <w:rPr>
          <w:spacing w:val="-7"/>
          <w:sz w:val="24"/>
        </w:rPr>
        <w:t> </w:t>
      </w:r>
      <w:r>
        <w:rPr>
          <w:sz w:val="24"/>
        </w:rPr>
        <w:t>rate.</w:t>
      </w:r>
    </w:p>
    <w:p>
      <w:pPr>
        <w:pStyle w:val="BodyText"/>
        <w:spacing w:before="6"/>
        <w:rPr>
          <w:sz w:val="23"/>
        </w:rPr>
      </w:pPr>
    </w:p>
    <w:p>
      <w:pPr>
        <w:spacing w:line="242" w:lineRule="auto" w:before="0"/>
        <w:ind w:left="4954" w:right="180" w:firstLine="0"/>
        <w:jc w:val="left"/>
        <w:rPr>
          <w:sz w:val="24"/>
        </w:rPr>
      </w:pPr>
      <w:r>
        <w:rPr>
          <w:sz w:val="24"/>
        </w:rPr>
        <w:t>The Committee noted in the May </w:t>
      </w:r>
      <w:r>
        <w:rPr>
          <w:i/>
          <w:sz w:val="24"/>
        </w:rPr>
        <w:t>Report </w:t>
      </w:r>
      <w:r>
        <w:rPr>
          <w:sz w:val="24"/>
        </w:rPr>
        <w:t>that there was a risk of a sharp correction in the sterling-euro exchange rate but that it was very difficult to anticipate both the timing and extent of such a correction. This risk was not reflected in the fan charts in the May </w:t>
      </w:r>
      <w:r>
        <w:rPr>
          <w:i/>
          <w:sz w:val="24"/>
        </w:rPr>
        <w:t>Report</w:t>
      </w:r>
      <w:r>
        <w:rPr>
          <w:sz w:val="24"/>
        </w:rPr>
        <w:t>. The Committee has reviewed this decision and has agreed that all major risks should in principle be included in the projections (see the box on page 49 for a description of the forecast process). Although the depreciation of sterling since the May </w:t>
      </w:r>
      <w:r>
        <w:rPr>
          <w:i/>
          <w:sz w:val="24"/>
        </w:rPr>
        <w:t>Report </w:t>
      </w:r>
      <w:r>
        <w:rPr>
          <w:sz w:val="24"/>
        </w:rPr>
        <w:t>has reduced the risk of a further sharp fall in the exchange rate, the Committee continues to judge that the balance of risks to the exchange rate profile is weighted to the downside. This balance has been reflected in the current projection shown in the fan charts. In the view of some Committee members, such a risk was most likely to materialise in the event of a major correction to global equity prices and might therefore not be associated with higher inflation.</w:t>
      </w:r>
    </w:p>
    <w:p>
      <w:pPr>
        <w:pStyle w:val="BodyText"/>
        <w:rPr>
          <w:sz w:val="23"/>
        </w:rPr>
      </w:pPr>
    </w:p>
    <w:p>
      <w:pPr>
        <w:spacing w:line="242" w:lineRule="auto" w:before="0"/>
        <w:ind w:left="4954" w:right="327" w:firstLine="0"/>
        <w:jc w:val="left"/>
        <w:rPr>
          <w:sz w:val="24"/>
        </w:rPr>
      </w:pPr>
      <w:r>
        <w:rPr>
          <w:sz w:val="24"/>
        </w:rPr>
        <w:t>Developments in household wealth have an important influence on the prospects for consumer spending. The central assumption for financial wealth is a little higher than in the May projection, largely reflecting the rise in</w:t>
      </w:r>
    </w:p>
    <w:p>
      <w:pPr>
        <w:spacing w:after="0" w:line="242" w:lineRule="auto"/>
        <w:jc w:val="left"/>
        <w:rPr>
          <w:sz w:val="24"/>
        </w:rPr>
        <w:sectPr>
          <w:pgSz w:w="11900" w:h="16840"/>
          <w:pgMar w:header="586" w:footer="592" w:top="780" w:bottom="780" w:left="640" w:right="640"/>
        </w:sectPr>
      </w:pPr>
    </w:p>
    <w:p>
      <w:pPr>
        <w:pStyle w:val="BodyText"/>
        <w:rPr>
          <w:sz w:val="20"/>
        </w:rPr>
      </w:pPr>
    </w:p>
    <w:p>
      <w:pPr>
        <w:spacing w:before="258"/>
        <w:ind w:left="1975" w:right="1975" w:firstLine="0"/>
        <w:jc w:val="center"/>
        <w:rPr>
          <w:b/>
          <w:sz w:val="28"/>
        </w:rPr>
      </w:pPr>
      <w:bookmarkStart w:name="The forecast process" w:id="76"/>
      <w:bookmarkEnd w:id="76"/>
      <w:r>
        <w:rPr/>
      </w:r>
      <w:bookmarkStart w:name="_bookmark31" w:id="77"/>
      <w:bookmarkEnd w:id="77"/>
      <w:r>
        <w:rPr/>
      </w:r>
      <w:bookmarkStart w:name="_bookmark32" w:id="78"/>
      <w:bookmarkEnd w:id="78"/>
      <w:r>
        <w:rPr/>
      </w:r>
      <w:r>
        <w:rPr>
          <w:b/>
          <w:color w:val="009391"/>
          <w:sz w:val="28"/>
        </w:rPr>
        <w:t>The forecast process</w:t>
      </w:r>
    </w:p>
    <w:p>
      <w:pPr>
        <w:pStyle w:val="BodyText"/>
        <w:rPr>
          <w:b/>
          <w:sz w:val="20"/>
        </w:rPr>
      </w:pPr>
    </w:p>
    <w:p>
      <w:pPr>
        <w:spacing w:after="0"/>
        <w:rPr>
          <w:sz w:val="20"/>
        </w:rPr>
        <w:sectPr>
          <w:pgSz w:w="11900" w:h="16840"/>
          <w:pgMar w:header="586" w:footer="612" w:top="780" w:bottom="800" w:left="640" w:right="640"/>
        </w:sectPr>
      </w:pPr>
    </w:p>
    <w:p>
      <w:pPr>
        <w:pStyle w:val="BodyText"/>
        <w:spacing w:before="6"/>
        <w:rPr>
          <w:b/>
          <w:sz w:val="22"/>
        </w:rPr>
      </w:pPr>
    </w:p>
    <w:p>
      <w:pPr>
        <w:pStyle w:val="Heading3"/>
        <w:spacing w:line="244" w:lineRule="auto"/>
      </w:pPr>
      <w:r>
        <w:rPr/>
        <w:t>Fan charts represent a convenient visual summary of the inflation and GDP projections that are produced for each quarterly </w:t>
      </w:r>
      <w:r>
        <w:rPr>
          <w:i/>
        </w:rPr>
        <w:t>Inflation Report</w:t>
      </w:r>
      <w:r>
        <w:rPr/>
        <w:t>. This box describes the forecast process and how the fan charts are generated from this process.</w:t>
      </w:r>
    </w:p>
    <w:p>
      <w:pPr>
        <w:pStyle w:val="BodyText"/>
        <w:spacing w:before="5"/>
        <w:rPr>
          <w:sz w:val="24"/>
        </w:rPr>
      </w:pPr>
    </w:p>
    <w:p>
      <w:pPr>
        <w:pStyle w:val="Heading3"/>
        <w:spacing w:line="244" w:lineRule="auto" w:before="1"/>
        <w:ind w:right="39"/>
      </w:pPr>
      <w:r>
        <w:rPr/>
        <w:t>The projections are based on a number of uncertain assumptions and relationships. After identifying the main economic developments since the previous </w:t>
      </w:r>
      <w:r>
        <w:rPr>
          <w:i/>
        </w:rPr>
        <w:t>Report</w:t>
      </w:r>
      <w:r>
        <w:rPr/>
        <w:t>, the Committee </w:t>
      </w:r>
      <w:r>
        <w:rPr>
          <w:spacing w:val="-3"/>
        </w:rPr>
        <w:t>reviews </w:t>
      </w:r>
      <w:r>
        <w:rPr/>
        <w:t>the individual assumptions in turn, drawing on information from its suite of models, official data, financial</w:t>
      </w:r>
      <w:r>
        <w:rPr>
          <w:spacing w:val="-11"/>
        </w:rPr>
        <w:t> </w:t>
      </w:r>
      <w:r>
        <w:rPr/>
        <w:t>market</w:t>
      </w:r>
      <w:r>
        <w:rPr>
          <w:spacing w:val="-11"/>
        </w:rPr>
        <w:t> </w:t>
      </w:r>
      <w:r>
        <w:rPr/>
        <w:t>intelligence,</w:t>
      </w:r>
      <w:r>
        <w:rPr>
          <w:spacing w:val="-10"/>
        </w:rPr>
        <w:t> </w:t>
      </w:r>
      <w:r>
        <w:rPr/>
        <w:t>business</w:t>
      </w:r>
      <w:r>
        <w:rPr>
          <w:spacing w:val="-11"/>
        </w:rPr>
        <w:t> </w:t>
      </w:r>
      <w:r>
        <w:rPr/>
        <w:t>surveys</w:t>
      </w:r>
      <w:r>
        <w:rPr>
          <w:spacing w:val="-11"/>
        </w:rPr>
        <w:t> </w:t>
      </w:r>
      <w:r>
        <w:rPr/>
        <w:t>and Agents’ reports, and by applying economic judgment. The central projections are built up, as an iterative process, from the decisions reached on the individual assumptions, with </w:t>
      </w:r>
      <w:r>
        <w:rPr>
          <w:spacing w:val="-3"/>
        </w:rPr>
        <w:t>review </w:t>
      </w:r>
      <w:r>
        <w:rPr/>
        <w:t>in the light of the provisional outcomes for output growth and</w:t>
      </w:r>
      <w:r>
        <w:rPr>
          <w:spacing w:val="-3"/>
        </w:rPr>
        <w:t> </w:t>
      </w:r>
      <w:r>
        <w:rPr/>
        <w:t>inflation.</w:t>
      </w:r>
    </w:p>
    <w:p>
      <w:pPr>
        <w:pStyle w:val="BodyText"/>
        <w:spacing w:before="8"/>
        <w:rPr>
          <w:sz w:val="23"/>
        </w:rPr>
      </w:pPr>
    </w:p>
    <w:p>
      <w:pPr>
        <w:pStyle w:val="Heading3"/>
        <w:spacing w:line="244" w:lineRule="auto"/>
        <w:ind w:right="50"/>
      </w:pPr>
      <w:r>
        <w:rPr/>
        <w:t>On some assumptions members may hold different views. In some cases, these differences are not material in the context of the general uncertainty attached to the projections, which is reflected in the variance of the fan charts. But for other judgments, differences of views may be significant. In such cases, the assumptions incorporated in the central projection represent</w:t>
      </w:r>
      <w:r>
        <w:rPr>
          <w:spacing w:val="-42"/>
        </w:rPr>
        <w:t> </w:t>
      </w:r>
      <w:r>
        <w:rPr/>
        <w:t>the best collective judgment—the centre of gravity of opinion on the Committee—and illustrative calibrations of the possible effects of alternative assumptions preferred by some Committee members are shown in </w:t>
      </w:r>
      <w:r>
        <w:rPr>
          <w:spacing w:val="-5"/>
        </w:rPr>
        <w:t>Table </w:t>
      </w:r>
      <w:r>
        <w:rPr/>
        <w:t>6.B of the</w:t>
      </w:r>
      <w:r>
        <w:rPr>
          <w:spacing w:val="-19"/>
        </w:rPr>
        <w:t> </w:t>
      </w:r>
      <w:r>
        <w:rPr>
          <w:i/>
        </w:rPr>
        <w:t>Report</w:t>
      </w:r>
      <w:r>
        <w:rPr/>
        <w:t>.</w:t>
      </w:r>
    </w:p>
    <w:p>
      <w:pPr>
        <w:pStyle w:val="BodyText"/>
        <w:spacing w:before="8"/>
        <w:rPr>
          <w:sz w:val="23"/>
        </w:rPr>
      </w:pPr>
    </w:p>
    <w:p>
      <w:pPr>
        <w:pStyle w:val="Heading3"/>
        <w:spacing w:line="244" w:lineRule="auto" w:before="1"/>
        <w:ind w:left="399" w:right="177"/>
      </w:pPr>
      <w:r>
        <w:rPr/>
        <w:t>As well as incorporating judgments on the most likely outcome or modal projection, the fan charts also illustrate the Committee’s collective assessment of the degree of uncertainty—the variance</w:t>
      </w:r>
      <w:r>
        <w:rPr>
          <w:spacing w:val="-8"/>
        </w:rPr>
        <w:t> </w:t>
      </w:r>
      <w:r>
        <w:rPr/>
        <w:t>of</w:t>
      </w:r>
      <w:r>
        <w:rPr>
          <w:spacing w:val="-8"/>
        </w:rPr>
        <w:t> </w:t>
      </w:r>
      <w:r>
        <w:rPr/>
        <w:t>the</w:t>
      </w:r>
      <w:r>
        <w:rPr>
          <w:spacing w:val="-8"/>
        </w:rPr>
        <w:t> </w:t>
      </w:r>
      <w:r>
        <w:rPr/>
        <w:t>distribution</w:t>
      </w:r>
      <w:r>
        <w:rPr>
          <w:spacing w:val="-8"/>
        </w:rPr>
        <w:t> </w:t>
      </w:r>
      <w:r>
        <w:rPr/>
        <w:t>of</w:t>
      </w:r>
      <w:r>
        <w:rPr>
          <w:spacing w:val="-8"/>
        </w:rPr>
        <w:t> </w:t>
      </w:r>
      <w:r>
        <w:rPr/>
        <w:t>likely</w:t>
      </w:r>
      <w:r>
        <w:rPr>
          <w:spacing w:val="-8"/>
        </w:rPr>
        <w:t> </w:t>
      </w:r>
      <w:r>
        <w:rPr/>
        <w:t>outcomes— and the balance of risks or </w:t>
      </w:r>
      <w:r>
        <w:rPr>
          <w:spacing w:val="-5"/>
        </w:rPr>
        <w:t>skew. </w:t>
      </w:r>
      <w:r>
        <w:rPr/>
        <w:t>Where the balance of risks around the most likely</w:t>
      </w:r>
      <w:r>
        <w:rPr>
          <w:spacing w:val="-35"/>
        </w:rPr>
        <w:t> </w:t>
      </w:r>
      <w:r>
        <w:rPr/>
        <w:t>outcome</w:t>
      </w:r>
    </w:p>
    <w:p>
      <w:pPr>
        <w:pStyle w:val="Heading3"/>
        <w:spacing w:line="244" w:lineRule="auto" w:before="1"/>
        <w:ind w:left="399" w:right="53"/>
      </w:pPr>
      <w:r>
        <w:rPr/>
        <w:t>is judged to lie on the upside, a greater probability is </w:t>
      </w:r>
      <w:r>
        <w:rPr>
          <w:spacing w:val="-3"/>
        </w:rPr>
        <w:t>given </w:t>
      </w:r>
      <w:r>
        <w:rPr/>
        <w:t>to outcomes above the mode than to those </w:t>
      </w:r>
      <w:r>
        <w:rPr>
          <w:spacing w:val="-4"/>
        </w:rPr>
        <w:t>below. </w:t>
      </w:r>
      <w:r>
        <w:rPr/>
        <w:t>The variance is currently estimated on the basis of the past ten years of forecast errors. The Committee could choose to increase or lower its assumed variance but does not often do so.</w:t>
      </w:r>
      <w:r>
        <w:rPr>
          <w:spacing w:val="20"/>
        </w:rPr>
        <w:t> </w:t>
      </w:r>
      <w:r>
        <w:rPr/>
        <w:t>The</w:t>
      </w:r>
    </w:p>
    <w:p>
      <w:pPr>
        <w:pStyle w:val="BodyText"/>
        <w:spacing w:before="6"/>
        <w:rPr>
          <w:sz w:val="22"/>
        </w:rPr>
      </w:pPr>
      <w:r>
        <w:rPr/>
        <w:br w:type="column"/>
      </w:r>
      <w:r>
        <w:rPr>
          <w:sz w:val="22"/>
        </w:rPr>
      </w:r>
    </w:p>
    <w:p>
      <w:pPr>
        <w:pStyle w:val="Heading3"/>
        <w:spacing w:line="244" w:lineRule="auto"/>
        <w:ind w:left="399" w:right="404"/>
        <w:rPr>
          <w:sz w:val="16"/>
        </w:rPr>
      </w:pPr>
      <w:r>
        <w:rPr/>
        <w:t>forecast round accordingly focuses on establishing a central projection and the skew.</w:t>
      </w:r>
      <w:r>
        <w:rPr>
          <w:position w:val="5"/>
          <w:sz w:val="16"/>
        </w:rPr>
        <w:t>(1)</w:t>
      </w:r>
    </w:p>
    <w:p>
      <w:pPr>
        <w:pStyle w:val="BodyText"/>
        <w:spacing w:before="5"/>
        <w:rPr>
          <w:sz w:val="24"/>
        </w:rPr>
      </w:pPr>
    </w:p>
    <w:p>
      <w:pPr>
        <w:pStyle w:val="Heading3"/>
        <w:spacing w:line="244" w:lineRule="auto"/>
        <w:ind w:right="526"/>
      </w:pPr>
      <w:r>
        <w:rPr/>
        <w:t>There are two broad kinds of </w:t>
      </w:r>
      <w:r>
        <w:rPr>
          <w:spacing w:val="-3"/>
        </w:rPr>
        <w:t>event </w:t>
      </w:r>
      <w:r>
        <w:rPr/>
        <w:t>that might be incorporated into the </w:t>
      </w:r>
      <w:r>
        <w:rPr>
          <w:spacing w:val="-5"/>
        </w:rPr>
        <w:t>skew. </w:t>
      </w:r>
      <w:r>
        <w:rPr/>
        <w:t>First, there are </w:t>
      </w:r>
      <w:r>
        <w:rPr>
          <w:spacing w:val="-3"/>
        </w:rPr>
        <w:t>events </w:t>
      </w:r>
      <w:r>
        <w:rPr/>
        <w:t>that </w:t>
      </w:r>
      <w:r>
        <w:rPr>
          <w:spacing w:val="-3"/>
        </w:rPr>
        <w:t>have </w:t>
      </w:r>
      <w:r>
        <w:rPr/>
        <w:t>occurred, or that may be in train, which are judged to affect the balance of risks to prospective inflation or growth. An example is the 1997 windfall payments from building society conversions. The uncertainty related to </w:t>
      </w:r>
      <w:r>
        <w:rPr>
          <w:spacing w:val="-3"/>
        </w:rPr>
        <w:t>how </w:t>
      </w:r>
      <w:r>
        <w:rPr/>
        <w:t>much of the windfall would be spent.</w:t>
      </w:r>
      <w:r>
        <w:rPr>
          <w:spacing w:val="30"/>
        </w:rPr>
        <w:t> </w:t>
      </w:r>
      <w:r>
        <w:rPr/>
        <w:t>The</w:t>
      </w:r>
    </w:p>
    <w:p>
      <w:pPr>
        <w:pStyle w:val="Heading3"/>
        <w:spacing w:line="244" w:lineRule="auto" w:before="2"/>
        <w:ind w:right="455"/>
      </w:pPr>
      <w:r>
        <w:rPr/>
        <w:t>MPC incorporated an upside </w:t>
      </w:r>
      <w:r>
        <w:rPr>
          <w:spacing w:val="-3"/>
        </w:rPr>
        <w:t>skew </w:t>
      </w:r>
      <w:r>
        <w:rPr/>
        <w:t>to allow for the possibility that spending would be greater than the annuity value of the windfall which was assumed in the modal projection.</w:t>
      </w:r>
      <w:r>
        <w:rPr>
          <w:spacing w:val="43"/>
        </w:rPr>
        <w:t> </w:t>
      </w:r>
      <w:r>
        <w:rPr/>
        <w:t>Second,</w:t>
      </w:r>
    </w:p>
    <w:p>
      <w:pPr>
        <w:pStyle w:val="Heading3"/>
        <w:spacing w:line="244" w:lineRule="auto" w:before="1"/>
        <w:ind w:right="610"/>
      </w:pPr>
      <w:r>
        <w:rPr/>
        <w:t>there are contingencies that have not occurred, and are not incorporated in the central projection, but whose occurrence would shift inflation prospects. Examples include the possibilities of sharp falls in equity prices or the exchange rate.</w:t>
      </w:r>
    </w:p>
    <w:p>
      <w:pPr>
        <w:pStyle w:val="BodyText"/>
        <w:spacing w:before="6"/>
        <w:rPr>
          <w:sz w:val="23"/>
        </w:rPr>
      </w:pPr>
    </w:p>
    <w:p>
      <w:pPr>
        <w:pStyle w:val="Heading3"/>
        <w:spacing w:line="244" w:lineRule="auto" w:before="1"/>
        <w:ind w:right="461"/>
      </w:pPr>
      <w:r>
        <w:rPr/>
        <w:t>The latter kind of contingency has sometimes, but not always, been incorporated into the skew shown in </w:t>
      </w:r>
      <w:r>
        <w:rPr>
          <w:i/>
        </w:rPr>
        <w:t>Inflation Report </w:t>
      </w:r>
      <w:r>
        <w:rPr/>
        <w:t>fan charts. Having discussed the matter, the MPC has decided that such contingencies, where material, should in principle be incorporated in the fan charts.</w:t>
      </w:r>
    </w:p>
    <w:p>
      <w:pPr>
        <w:pStyle w:val="BodyText"/>
        <w:spacing w:before="6"/>
        <w:rPr>
          <w:sz w:val="23"/>
        </w:rPr>
      </w:pPr>
    </w:p>
    <w:p>
      <w:pPr>
        <w:pStyle w:val="Heading3"/>
        <w:spacing w:line="244" w:lineRule="auto"/>
        <w:ind w:right="809"/>
      </w:pPr>
      <w:r>
        <w:rPr/>
        <w:t>It is important to note, however, that some contingencies, though reflected in the fan charts, need not affect the appropriate current setting of monetary policy. It may be more appropriate to react to them if and when they occur, for example, where they would not</w:t>
      </w:r>
    </w:p>
    <w:p>
      <w:pPr>
        <w:pStyle w:val="Heading3"/>
        <w:spacing w:line="244" w:lineRule="auto" w:before="2"/>
        <w:ind w:right="468"/>
        <w:jc w:val="both"/>
      </w:pPr>
      <w:r>
        <w:rPr/>
        <w:t>materially affect inflation within the period that it takes for monetary policy to </w:t>
      </w:r>
      <w:r>
        <w:rPr>
          <w:spacing w:val="-3"/>
        </w:rPr>
        <w:t>have </w:t>
      </w:r>
      <w:r>
        <w:rPr/>
        <w:t>a</w:t>
      </w:r>
      <w:r>
        <w:rPr>
          <w:spacing w:val="-42"/>
        </w:rPr>
        <w:t> </w:t>
      </w:r>
      <w:r>
        <w:rPr/>
        <w:t>countervailing impact.</w:t>
      </w:r>
    </w:p>
    <w:p>
      <w:pPr>
        <w:pStyle w:val="BodyText"/>
        <w:spacing w:before="6"/>
        <w:rPr>
          <w:sz w:val="23"/>
        </w:rPr>
      </w:pPr>
    </w:p>
    <w:p>
      <w:pPr>
        <w:pStyle w:val="Heading3"/>
        <w:spacing w:line="244" w:lineRule="auto"/>
        <w:ind w:right="460"/>
      </w:pPr>
      <w:r>
        <w:rPr/>
        <w:t>In short, the fan charts show the best judgment of the Committee as a whole about inflation and growth prospects, conditional on assumed interest rates, but this may not be the best judgment of each individual member of the Committee. While the link between the fan chart and policy is not mechanical, the inflation projection is a key input to policy decisions.</w:t>
      </w:r>
    </w:p>
    <w:p>
      <w:pPr>
        <w:spacing w:after="0" w:line="244" w:lineRule="auto"/>
        <w:sectPr>
          <w:type w:val="continuous"/>
          <w:pgSz w:w="11900" w:h="16840"/>
          <w:pgMar w:top="1260" w:bottom="280" w:left="640" w:right="640"/>
          <w:cols w:num="2" w:equalWidth="0">
            <w:col w:w="5098" w:space="42"/>
            <w:col w:w="5480"/>
          </w:cols>
        </w:sectPr>
      </w:pPr>
    </w:p>
    <w:p>
      <w:pPr>
        <w:pStyle w:val="BodyText"/>
        <w:spacing w:before="6"/>
        <w:rPr>
          <w:sz w:val="26"/>
        </w:rPr>
      </w:pPr>
      <w:r>
        <w:rPr/>
        <w:pict>
          <v:group style="position:absolute;margin-left:39pt;margin-top:42pt;width:518pt;height:741pt;mso-position-horizontal-relative:page;mso-position-vertical-relative:page;z-index:-22986240" coordorigin="780,840" coordsize="10360,14820">
            <v:shape style="position:absolute;left:790;top:850;width:10340;height:14800" coordorigin="790,850" coordsize="10340,14800" path="m11130,850l5967,850,5953,850,790,850,790,8236,790,8264,790,15650,5953,15650,5967,15650,11130,15650,11130,850xe" filled="true" fillcolor="#d7e8e7" stroked="false">
              <v:path arrowok="t"/>
              <v:fill type="solid"/>
            </v:shape>
            <v:shape style="position:absolute;left:879;top:982;width:10161;height:14535" coordorigin="880,983" coordsize="10161,14535" path="m5960,983l880,8250,5960,15517,11040,8250,5960,983xe" filled="true" fillcolor="#d9e8e7" stroked="false">
              <v:path arrowok="t"/>
              <v:fill type="solid"/>
            </v:shape>
            <v:shape style="position:absolute;left:979;top:1125;width:9962;height:14250" coordorigin="979,1125" coordsize="9962,14250" path="m5960,1125l979,8250,5960,15375,10941,8250,5960,1125xe" filled="true" fillcolor="#dae9e8" stroked="false">
              <v:path arrowok="t"/>
              <v:fill type="solid"/>
            </v:shape>
            <v:shape style="position:absolute;left:1078;top:1267;width:9763;height:13965" coordorigin="1079,1268" coordsize="9763,13965" path="m5960,1268l1079,8250,5960,15232,10841,8250,5960,1268xe" filled="true" fillcolor="#daeae8" stroked="false">
              <v:path arrowok="t"/>
              <v:fill type="solid"/>
            </v:shape>
            <v:shape style="position:absolute;left:1178;top:1410;width:9563;height:13680" coordorigin="1178,1410" coordsize="9563,13680" path="m5960,1410l1178,8250,5960,15090,10741,8250,5960,1410xe" filled="true" fillcolor="#dbeae8" stroked="false">
              <v:path arrowok="t"/>
              <v:fill type="solid"/>
            </v:shape>
            <v:shape style="position:absolute;left:1278;top:1552;width:9364;height:13395" coordorigin="1278,1553" coordsize="9364,13395" path="m5960,1553l1278,8250,5960,14947,10642,8250,5960,1553xe" filled="true" fillcolor="#dcebe9" stroked="false">
              <v:path arrowok="t"/>
              <v:fill type="solid"/>
            </v:shape>
            <v:shape style="position:absolute;left:1377;top:1695;width:9165;height:13110" coordorigin="1378,1695" coordsize="9165,13110" path="m5960,1695l1378,8250,5960,14805,10542,8250,5960,1695xe" filled="true" fillcolor="#ddebe9" stroked="false">
              <v:path arrowok="t"/>
              <v:fill type="solid"/>
            </v:shape>
            <v:shape style="position:absolute;left:1477;top:1837;width:8966;height:12825" coordorigin="1477,1838" coordsize="8966,12825" path="m5960,1838l1477,8250,5960,14663,10443,8250,5960,1838xe" filled="true" fillcolor="#ddebea" stroked="false">
              <v:path arrowok="t"/>
              <v:fill type="solid"/>
            </v:shape>
            <v:shape style="position:absolute;left:1576;top:1980;width:8766;height:12540" coordorigin="1577,1980" coordsize="8766,12540" path="m5960,1980l1577,8250,5960,14520,10343,8250,5960,1980xe" filled="true" fillcolor="#dfebea" stroked="false">
              <v:path arrowok="t"/>
              <v:fill type="solid"/>
            </v:shape>
            <v:shape style="position:absolute;left:1676;top:2122;width:8567;height:12255" coordorigin="1677,2123" coordsize="8567,12255" path="m10243,8250l5960,2123,1677,8250,5960,14378,10243,8250xe" filled="true" fillcolor="#dfeceb" stroked="false">
              <v:path arrowok="t"/>
              <v:fill type="solid"/>
            </v:shape>
            <v:shape style="position:absolute;left:1875;top:2407;width:8169;height:11685" coordorigin="1876,2408" coordsize="8169,11685" path="m5960,2408l1876,8250,5960,14093,10044,8250,5960,2408xe" filled="true" fillcolor="#e0eceb" stroked="false">
              <v:path arrowok="t"/>
              <v:fill type="solid"/>
            </v:shape>
            <v:shape style="position:absolute;left:1975;top:2550;width:7970;height:11400" coordorigin="1975,2550" coordsize="7970,11400" path="m5960,2550l1975,8250,5960,13950,9944,8250,5960,2550xe" filled="true" fillcolor="#e0edeb" stroked="false">
              <v:path arrowok="t"/>
              <v:fill type="solid"/>
            </v:shape>
            <v:shape style="position:absolute;left:2074;top:2692;width:7770;height:11115" coordorigin="2075,2693" coordsize="7770,11115" path="m5960,2693l2075,8250,5960,13808,9845,8250,5960,2693xe" filled="true" fillcolor="#e1edeb" stroked="false">
              <v:path arrowok="t"/>
              <v:fill type="solid"/>
            </v:shape>
            <v:shape style="position:absolute;left:2174;top:2835;width:7571;height:10830" coordorigin="2175,2835" coordsize="7571,10830" path="m5960,2835l2175,8250,5960,13665,9745,8250,5960,2835xe" filled="true" fillcolor="#e2edec" stroked="false">
              <v:path arrowok="t"/>
              <v:fill type="solid"/>
            </v:shape>
            <v:shape style="position:absolute;left:2274;top:2977;width:7372;height:10545" coordorigin="2274,2978" coordsize="7372,10545" path="m5960,2978l2274,8250,5960,13523,9646,8250,5960,2978xe" filled="true" fillcolor="#e3eeec" stroked="false">
              <v:path arrowok="t"/>
              <v:fill type="solid"/>
            </v:shape>
            <v:shape style="position:absolute;left:2373;top:3120;width:7173;height:10260" coordorigin="2374,3120" coordsize="7173,10260" path="m5960,3120l2374,8250,5960,13380,9546,8250,5960,3120xe" filled="true" fillcolor="#e4efed" stroked="false">
              <v:path arrowok="t"/>
              <v:fill type="solid"/>
            </v:shape>
            <v:shape style="position:absolute;left:2473;top:3262;width:6973;height:9975" coordorigin="2473,3263" coordsize="6973,9975" path="m5960,3263l2473,8250,5960,13238,9446,8250,5960,3263xe" filled="true" fillcolor="#e6efed" stroked="false">
              <v:path arrowok="t"/>
              <v:fill type="solid"/>
            </v:shape>
            <v:shape style="position:absolute;left:2573;top:3405;width:6774;height:9690" coordorigin="2573,3405" coordsize="6774,9690" path="m5960,3405l2573,8250,5960,13095,9347,8250,5960,3405xe" filled="true" fillcolor="#e6efee" stroked="false">
              <v:path arrowok="t"/>
              <v:fill type="solid"/>
            </v:shape>
            <v:shape style="position:absolute;left:2672;top:3547;width:6575;height:9405" coordorigin="2673,3548" coordsize="6575,9405" path="m5960,3548l2673,8250,5960,12953,9247,8250,5960,3548xe" filled="true" fillcolor="#e7f0ee" stroked="false">
              <v:path arrowok="t"/>
              <v:fill type="solid"/>
            </v:shape>
            <v:shape style="position:absolute;left:2772;top:3690;width:6376;height:9120" coordorigin="2772,3690" coordsize="6376,9120" path="m9148,8250l5960,3690,2772,8250,5960,12810,9148,8250xe" filled="true" fillcolor="#e8f0ee" stroked="false">
              <v:path arrowok="t"/>
              <v:fill type="solid"/>
            </v:shape>
            <v:shape style="position:absolute;left:2971;top:3975;width:5977;height:8550" coordorigin="2971,3975" coordsize="5977,8550" path="m5960,3975l2971,8250,5960,12525,8948,8250,5960,3975xe" filled="true" fillcolor="#eaf1f0" stroked="false">
              <v:path arrowok="t"/>
              <v:fill type="solid"/>
            </v:shape>
            <v:shape style="position:absolute;left:3071;top:4117;width:5778;height:8265" coordorigin="3071,4118" coordsize="5778,8265" path="m8849,8250l5960,4118,3071,8250,5960,12383,8849,8250xe" filled="true" fillcolor="#ebf3f0" stroked="false">
              <v:path arrowok="t"/>
              <v:fill type="solid"/>
            </v:shape>
            <v:shape style="position:absolute;left:3270;top:4402;width:5380;height:7695" coordorigin="3270,4403" coordsize="5380,7695" path="m5960,4403l3270,8250,5960,12098,8649,8250,5960,4403xe" filled="true" fillcolor="#ebf4f1" stroked="false">
              <v:path arrowok="t"/>
              <v:fill type="solid"/>
            </v:shape>
            <v:shape style="position:absolute;left:3369;top:4545;width:5180;height:7410" coordorigin="3370,4545" coordsize="5180,7410" path="m5960,4545l3370,8250,5960,11955,8550,8250,5960,4545xe" filled="true" fillcolor="#ecf4f1" stroked="false">
              <v:path arrowok="t"/>
              <v:fill type="solid"/>
            </v:shape>
            <v:shape style="position:absolute;left:3469;top:4687;width:4981;height:7125" coordorigin="3470,4688" coordsize="4981,7125" path="m5960,4688l3470,8250,5960,11813,8450,8250,5960,4688xe" filled="true" fillcolor="#ecf4f3" stroked="false">
              <v:path arrowok="t"/>
              <v:fill type="solid"/>
            </v:shape>
            <v:shape style="position:absolute;left:3569;top:4830;width:4782;height:6840" coordorigin="3569,4830" coordsize="4782,6840" path="m5960,4830l3569,8250,5960,11670,8351,8250,5960,4830xe" filled="true" fillcolor="#edf5f3" stroked="false">
              <v:path arrowok="t"/>
              <v:fill type="solid"/>
            </v:shape>
            <v:shape style="position:absolute;left:3668;top:4972;width:4583;height:6555" coordorigin="3669,4973" coordsize="4583,6555" path="m5960,4973l3669,8250,5960,11528,8251,8250,5960,4973xe" filled="true" fillcolor="#eef5f4" stroked="false">
              <v:path arrowok="t"/>
              <v:fill type="solid"/>
            </v:shape>
            <v:shape style="position:absolute;left:3768;top:5115;width:4383;height:6270" coordorigin="3768,5115" coordsize="4383,6270" path="m5960,5115l3768,8250,5960,11385,8151,8250,5960,5115xe" filled="true" fillcolor="#eff6f4" stroked="false">
              <v:path arrowok="t"/>
              <v:fill type="solid"/>
            </v:shape>
            <v:shape style="position:absolute;left:3868;top:5257;width:4184;height:5985" coordorigin="3868,5258" coordsize="4184,5985" path="m5960,5258l3868,8250,5960,11243,8052,8250,5960,5258xe" filled="true" fillcolor="#eff6f5" stroked="false">
              <v:path arrowok="t"/>
              <v:fill type="solid"/>
            </v:shape>
            <v:shape style="position:absolute;left:3967;top:5400;width:3985;height:5700" coordorigin="3968,5400" coordsize="3985,5700" path="m5960,5400l3968,8250,5960,11100,7952,8250,5960,5400xe" filled="true" fillcolor="#f0f7f6" stroked="false">
              <v:path arrowok="t"/>
              <v:fill type="solid"/>
            </v:shape>
            <v:shape style="position:absolute;left:4067;top:5542;width:3786;height:5415" coordorigin="4067,5543" coordsize="3786,5415" path="m7853,8250l5960,5543,4067,8250,5960,10958,7853,8250xe" filled="true" fillcolor="#f1f7f6" stroked="false">
              <v:path arrowok="t"/>
              <v:fill type="solid"/>
            </v:shape>
            <v:shape style="position:absolute;left:4266;top:5827;width:3387;height:4845" coordorigin="4266,5828" coordsize="3387,4845" path="m5960,5828l4266,8250,5960,10673,7653,8250,5960,5828xe" filled="true" fillcolor="#f4f8f7" stroked="false">
              <v:path arrowok="t"/>
              <v:fill type="solid"/>
            </v:shape>
            <v:shape style="position:absolute;left:4366;top:5970;width:3188;height:4560" coordorigin="4366,5970" coordsize="3188,4560" path="m5960,5970l4366,8250,5960,10530,7554,8250,5960,5970xe" filled="true" fillcolor="#f4f8f8" stroked="false">
              <v:path arrowok="t"/>
              <v:fill type="solid"/>
            </v:shape>
            <v:shape style="position:absolute;left:4465;top:6112;width:2989;height:4275" coordorigin="4466,6113" coordsize="2989,4275" path="m5960,6113l4466,8250,5960,10388,7454,8250,5960,6113xe" filled="true" fillcolor="#f5f8f8" stroked="false">
              <v:path arrowok="t"/>
              <v:fill type="solid"/>
            </v:shape>
            <v:shape style="position:absolute;left:4565;top:6255;width:2790;height:3990" coordorigin="4565,6255" coordsize="2790,3990" path="m7355,8250l5960,6255,4565,8250,5960,10245,7355,8250xe" filled="true" fillcolor="#f6f8f8" stroked="false">
              <v:path arrowok="t"/>
              <v:fill type="solid"/>
            </v:shape>
            <v:shape style="position:absolute;left:4764;top:6540;width:2391;height:3420" coordorigin="4765,6540" coordsize="2391,3420" path="m5960,6540l4765,8250,5960,9960,7155,8250,5960,6540xe" filled="true" fillcolor="#f7f9f8" stroked="false">
              <v:path arrowok="t"/>
              <v:fill type="solid"/>
            </v:shape>
            <v:shape style="position:absolute;left:4864;top:6682;width:2192;height:3135" coordorigin="4864,6683" coordsize="2192,3135" path="m5960,6683l4864,8250,5960,9818,7056,8250,5960,6683xe" filled="true" fillcolor="#f8f9f8" stroked="false">
              <v:path arrowok="t"/>
              <v:fill type="solid"/>
            </v:shape>
            <v:shape style="position:absolute;left:4963;top:6825;width:1993;height:2850" coordorigin="4964,6825" coordsize="1993,2850" path="m5960,6825l4964,8250,5960,9675,6956,8250,5960,6825xe" filled="true" fillcolor="#f8fafa" stroked="false">
              <v:path arrowok="t"/>
              <v:fill type="solid"/>
            </v:shape>
            <v:shape style="position:absolute;left:5063;top:6967;width:1794;height:2565" coordorigin="5063,6968" coordsize="1794,2565" path="m5960,6968l5063,8250,5960,9533,6856,8250,5960,6968xe" filled="true" fillcolor="#f8fbfa" stroked="false">
              <v:path arrowok="t"/>
              <v:fill type="solid"/>
            </v:shape>
            <v:shape style="position:absolute;left:5163;top:7110;width:1594;height:2280" coordorigin="5163,7110" coordsize="1594,2280" path="m5960,7110l5163,8250,5960,9390,6757,8250,5960,7110xe" filled="true" fillcolor="#f9fbfa" stroked="false">
              <v:path arrowok="t"/>
              <v:fill type="solid"/>
            </v:shape>
            <v:shape style="position:absolute;left:5262;top:7252;width:1395;height:1995" coordorigin="5263,7253" coordsize="1395,1995" path="m5960,7253l5263,8250,5960,9248,6657,8250,5960,7253xe" filled="true" fillcolor="#fafbfb" stroked="false">
              <v:path arrowok="t"/>
              <v:fill type="solid"/>
            </v:shape>
            <v:shape style="position:absolute;left:5362;top:7395;width:1196;height:1710" coordorigin="5362,7395" coordsize="1196,1710" path="m5960,7395l5362,8250,5960,9105,6558,8250,5960,7395xe" filled="true" fillcolor="#fafcfb" stroked="false">
              <v:path arrowok="t"/>
              <v:fill type="solid"/>
            </v:shape>
            <v:shape style="position:absolute;left:5461;top:7537;width:997;height:1425" coordorigin="5462,7538" coordsize="997,1425" path="m5960,7538l5462,8250,5960,8963,6458,8250,5960,7538xe" filled="true" fillcolor="#fbfcfc" stroked="false">
              <v:path arrowok="t"/>
              <v:fill type="solid"/>
            </v:shape>
            <v:shape style="position:absolute;left:5561;top:7680;width:797;height:1140" coordorigin="5561,7680" coordsize="797,1140" path="m5960,7680l5561,8250,5960,8820,6358,8250,5960,7680xe" filled="true" fillcolor="#fcfdfd" stroked="false">
              <v:path arrowok="t"/>
              <v:fill type="solid"/>
            </v:shape>
            <v:shape style="position:absolute;left:5661;top:7822;width:598;height:855" coordorigin="5661,7823" coordsize="598,855" path="m5960,7823l5661,8250,5960,8678,6259,8250,5960,7823xe" filled="true" fillcolor="#fdfdfd" stroked="false">
              <v:path arrowok="t"/>
              <v:fill type="solid"/>
            </v:shape>
            <v:shape style="position:absolute;left:5760;top:7965;width:399;height:570" coordorigin="5761,7965" coordsize="399,570" path="m5960,7965l5761,8250,5960,8535,6159,8250,5960,7965xe" filled="true" fillcolor="#fdfffd" stroked="false">
              <v:path arrowok="t"/>
              <v:fill type="solid"/>
            </v:shape>
            <v:shape style="position:absolute;left:5860;top:8107;width:200;height:285" coordorigin="5860,8108" coordsize="200,285" path="m5960,8108l5860,8250,5960,8393,6060,8250,5960,8108xe" filled="true" fillcolor="#ffffff" stroked="false">
              <v:path arrowok="t"/>
              <v:fill type="solid"/>
            </v:shape>
            <v:rect style="position:absolute;left:790;top:850;width:10340;height:14800" filled="false" stroked="true" strokeweight="1pt" strokecolor="#009391">
              <v:stroke dashstyle="solid"/>
            </v:rect>
            <v:line style="position:absolute" from="1020,15140" to="10840,15140" stroked="true" strokeweight=".125pt" strokecolor="#000000">
              <v:stroke dashstyle="solid"/>
            </v:line>
            <w10:wrap type="none"/>
          </v:group>
        </w:pict>
      </w:r>
    </w:p>
    <w:p>
      <w:pPr>
        <w:pStyle w:val="ListParagraph"/>
        <w:numPr>
          <w:ilvl w:val="0"/>
          <w:numId w:val="40"/>
        </w:numPr>
        <w:tabs>
          <w:tab w:pos="646" w:val="left" w:leader="none"/>
        </w:tabs>
        <w:spacing w:line="240" w:lineRule="auto" w:before="93" w:after="0"/>
        <w:ind w:left="645" w:right="0" w:hanging="241"/>
        <w:jc w:val="left"/>
        <w:rPr>
          <w:sz w:val="16"/>
        </w:rPr>
      </w:pPr>
      <w:r>
        <w:rPr>
          <w:sz w:val="16"/>
        </w:rPr>
        <w:t>See the box on page 52 of the February 1999 </w:t>
      </w:r>
      <w:r>
        <w:rPr>
          <w:i/>
          <w:sz w:val="16"/>
        </w:rPr>
        <w:t>Inflation</w:t>
      </w:r>
      <w:r>
        <w:rPr>
          <w:i/>
          <w:spacing w:val="-13"/>
          <w:sz w:val="16"/>
        </w:rPr>
        <w:t> </w:t>
      </w:r>
      <w:r>
        <w:rPr>
          <w:i/>
          <w:sz w:val="16"/>
        </w:rPr>
        <w:t>Report</w:t>
      </w:r>
      <w:r>
        <w:rPr>
          <w:sz w:val="16"/>
        </w:rPr>
        <w:t>.</w:t>
      </w:r>
    </w:p>
    <w:p>
      <w:pPr>
        <w:spacing w:after="0" w:line="240" w:lineRule="auto"/>
        <w:jc w:val="left"/>
        <w:rPr>
          <w:sz w:val="16"/>
        </w:rPr>
        <w:sectPr>
          <w:type w:val="continuous"/>
          <w:pgSz w:w="11900" w:h="16840"/>
          <w:pgMar w:top="1260" w:bottom="280" w:left="640" w:right="640"/>
        </w:sectPr>
      </w:pPr>
    </w:p>
    <w:p>
      <w:pPr>
        <w:pStyle w:val="BodyText"/>
        <w:rPr>
          <w:sz w:val="20"/>
        </w:rPr>
      </w:pPr>
    </w:p>
    <w:p>
      <w:pPr>
        <w:spacing w:line="242" w:lineRule="auto" w:before="217"/>
        <w:ind w:left="4960" w:right="354" w:firstLine="0"/>
        <w:jc w:val="left"/>
        <w:rPr>
          <w:sz w:val="24"/>
        </w:rPr>
      </w:pPr>
      <w:r>
        <w:rPr>
          <w:sz w:val="24"/>
        </w:rPr>
        <w:t>equity prices in recent months. In the 15 working days to 2 August, the FTSE All-Share index was some 2% higher than the central path assumed three months ago. The Committee has maintained the central case assumption that equity wealth rises from the current level in line with nominal GDP.</w:t>
      </w:r>
    </w:p>
    <w:p>
      <w:pPr>
        <w:pStyle w:val="BodyText"/>
        <w:spacing w:before="6"/>
        <w:rPr>
          <w:sz w:val="21"/>
        </w:rPr>
      </w:pPr>
    </w:p>
    <w:p>
      <w:pPr>
        <w:spacing w:line="242" w:lineRule="auto" w:before="0"/>
        <w:ind w:left="4960" w:right="172" w:firstLine="0"/>
        <w:jc w:val="left"/>
        <w:rPr>
          <w:sz w:val="24"/>
        </w:rPr>
      </w:pPr>
      <w:r>
        <w:rPr>
          <w:sz w:val="24"/>
        </w:rPr>
        <w:t>There are clear signs of a moderation in the rate of increase of house prices in recent months and correspondingly in gross housing wealth. Indeed, the slowdown in house price inflation appears somewhat sharper than expected three months ago, and the Committee has lowered the projection in the light of this news. The central assumption is that annual house price inflation will fall to about 8% by the end of this year declining further to around 7% by the end of 2001 and then remaining around that level.</w:t>
      </w:r>
    </w:p>
    <w:p>
      <w:pPr>
        <w:pStyle w:val="BodyText"/>
        <w:rPr>
          <w:sz w:val="22"/>
        </w:rPr>
      </w:pPr>
    </w:p>
    <w:p>
      <w:pPr>
        <w:spacing w:line="242" w:lineRule="auto" w:before="0"/>
        <w:ind w:left="4960" w:right="214" w:firstLine="0"/>
        <w:jc w:val="left"/>
        <w:rPr>
          <w:sz w:val="24"/>
        </w:rPr>
      </w:pPr>
      <w:r>
        <w:rPr>
          <w:sz w:val="24"/>
        </w:rPr>
        <w:t>The assumptions for public spending and tax receipts in the May projection were based on the fiscal plans accompanying the March Budget statement. The Government recently provided more detail on spending plans in the 2000 Spending Review (SR). The overall envelope for public spending was unchanged from the Budget announcement. Within this envelope, the main changes were a decision to carry forward £1.5 billion of the £2 billion underspend on current spending in fiscal year 1999–2000 relative to Budget expectations, and a reallocation within total public spending from debt interest and benefit payments to expenditure by government departments. No changes were made to revenue projections at the time of the SR.</w:t>
      </w:r>
    </w:p>
    <w:p>
      <w:pPr>
        <w:pStyle w:val="BodyText"/>
        <w:spacing w:before="4"/>
        <w:rPr>
          <w:sz w:val="22"/>
        </w:rPr>
      </w:pPr>
    </w:p>
    <w:p>
      <w:pPr>
        <w:spacing w:line="242" w:lineRule="auto" w:before="1"/>
        <w:ind w:left="4960" w:right="183" w:firstLine="0"/>
        <w:jc w:val="left"/>
        <w:rPr>
          <w:sz w:val="24"/>
        </w:rPr>
      </w:pPr>
      <w:r>
        <w:rPr>
          <w:sz w:val="24"/>
        </w:rPr>
        <w:t>The Committee has incorporated the information from the SR in the current projection. The impact of the changes relative to the Budget are small. On balance, domestic demand growth over the next two years will be boosted a little following the decision to carry over a proportion of last year’s shortfall. The effects of this carry-over have been built into the forecast.</w:t>
      </w:r>
    </w:p>
    <w:p>
      <w:pPr>
        <w:pStyle w:val="BodyText"/>
        <w:spacing w:before="7"/>
        <w:rPr>
          <w:sz w:val="21"/>
        </w:rPr>
      </w:pPr>
    </w:p>
    <w:p>
      <w:pPr>
        <w:spacing w:line="242" w:lineRule="auto" w:before="0"/>
        <w:ind w:left="4960" w:right="0" w:firstLine="0"/>
        <w:jc w:val="left"/>
        <w:rPr>
          <w:sz w:val="24"/>
        </w:rPr>
      </w:pPr>
      <w:r>
        <w:rPr>
          <w:sz w:val="24"/>
        </w:rPr>
        <w:t>Other possible effects are highly uncertain and point in opposite directions. It is possible that a change in the composition of public spending from debt interest to departmental spending could have a small positive effect on aggregate demand. But it is also possible that there could be further shortfalls in spending over the next</w:t>
      </w:r>
    </w:p>
    <w:p>
      <w:pPr>
        <w:spacing w:line="242" w:lineRule="auto" w:before="8"/>
        <w:ind w:left="4960" w:right="128" w:firstLine="0"/>
        <w:jc w:val="left"/>
        <w:rPr>
          <w:sz w:val="24"/>
        </w:rPr>
      </w:pPr>
      <w:r>
        <w:rPr>
          <w:sz w:val="24"/>
        </w:rPr>
        <w:t>two years, given the rapid increase in planned investment in particular and the likelihood of delays in finalising projects and disbursing funds. Moreover, it is possible that government revenues could be stronger than previously projected. The Committee judged that the</w:t>
      </w:r>
    </w:p>
    <w:p>
      <w:pPr>
        <w:spacing w:after="0" w:line="242" w:lineRule="auto"/>
        <w:jc w:val="left"/>
        <w:rPr>
          <w:sz w:val="24"/>
        </w:rPr>
        <w:sectPr>
          <w:pgSz w:w="11900" w:h="16840"/>
          <w:pgMar w:header="586" w:footer="592" w:top="780" w:bottom="780" w:left="640" w:right="640"/>
        </w:sectPr>
      </w:pPr>
    </w:p>
    <w:p>
      <w:pPr>
        <w:pStyle w:val="BodyText"/>
        <w:rPr>
          <w:sz w:val="20"/>
        </w:rPr>
      </w:pPr>
    </w:p>
    <w:p>
      <w:pPr>
        <w:spacing w:line="242" w:lineRule="auto" w:before="222"/>
        <w:ind w:left="4980" w:right="214" w:firstLine="0"/>
        <w:jc w:val="left"/>
        <w:rPr>
          <w:sz w:val="24"/>
        </w:rPr>
      </w:pPr>
      <w:bookmarkStart w:name="The output and inflation projections" w:id="79"/>
      <w:bookmarkEnd w:id="79"/>
      <w:r>
        <w:rPr/>
      </w:r>
      <w:bookmarkStart w:name="_bookmark33" w:id="80"/>
      <w:bookmarkEnd w:id="80"/>
      <w:r>
        <w:rPr/>
      </w:r>
      <w:r>
        <w:rPr>
          <w:sz w:val="24"/>
        </w:rPr>
        <w:t>balance of these factors is highly uncertain. The Committee has not altered the central projection in respect of these factors, but will continue to monitor developments in public spending carefully. Some Committee members, however, considered that the net impact of these factors could counteract the small stimulus from the carry-over of last year’s spending shortfall.</w:t>
      </w:r>
    </w:p>
    <w:p>
      <w:pPr>
        <w:pStyle w:val="BodyText"/>
        <w:spacing w:before="8"/>
        <w:rPr>
          <w:sz w:val="23"/>
        </w:rPr>
      </w:pPr>
    </w:p>
    <w:p>
      <w:pPr>
        <w:pStyle w:val="ListParagraph"/>
        <w:numPr>
          <w:ilvl w:val="1"/>
          <w:numId w:val="39"/>
        </w:numPr>
        <w:tabs>
          <w:tab w:pos="5925" w:val="left" w:leader="none"/>
          <w:tab w:pos="5926" w:val="left" w:leader="none"/>
          <w:tab w:pos="10499" w:val="left" w:leader="none"/>
        </w:tabs>
        <w:spacing w:line="240" w:lineRule="auto" w:before="0" w:after="0"/>
        <w:ind w:left="5925" w:right="0" w:hanging="946"/>
        <w:jc w:val="left"/>
        <w:rPr>
          <w:b/>
          <w:color w:val="009391"/>
          <w:sz w:val="28"/>
        </w:rPr>
      </w:pPr>
      <w:r>
        <w:rPr>
          <w:b/>
          <w:color w:val="009391"/>
          <w:sz w:val="28"/>
          <w:u w:val="thick" w:color="0092C7"/>
        </w:rPr>
        <w:t>The output and inflation</w:t>
      </w:r>
      <w:r>
        <w:rPr>
          <w:b/>
          <w:color w:val="009391"/>
          <w:spacing w:val="-35"/>
          <w:sz w:val="28"/>
          <w:u w:val="thick" w:color="0092C7"/>
        </w:rPr>
        <w:t> </w:t>
      </w:r>
      <w:r>
        <w:rPr>
          <w:b/>
          <w:color w:val="009391"/>
          <w:sz w:val="28"/>
          <w:u w:val="thick" w:color="0092C7"/>
        </w:rPr>
        <w:t>projections</w:t>
        <w:tab/>
      </w:r>
    </w:p>
    <w:p>
      <w:pPr>
        <w:spacing w:line="242" w:lineRule="auto" w:before="264"/>
        <w:ind w:left="4979" w:right="150" w:firstLine="0"/>
        <w:jc w:val="left"/>
        <w:rPr>
          <w:sz w:val="24"/>
        </w:rPr>
      </w:pPr>
      <w:r>
        <w:rPr>
          <w:sz w:val="24"/>
        </w:rPr>
        <w:t>Recent trends in activity are hard to assess, but are consistent with some slowing in underlying GDP growth in the first half of 2000. GDP growth rose by an average of 0.7% per quarter in the first half of 2000, down from an average increase nearer to 0.9% per quarter in the second half of last </w:t>
      </w:r>
      <w:r>
        <w:rPr>
          <w:spacing w:val="-4"/>
          <w:sz w:val="24"/>
        </w:rPr>
        <w:t>year. </w:t>
      </w:r>
      <w:r>
        <w:rPr>
          <w:sz w:val="24"/>
        </w:rPr>
        <w:t>RPIX inflation has edged up to 2.2% in June. Recent outturns </w:t>
      </w:r>
      <w:r>
        <w:rPr>
          <w:spacing w:val="-3"/>
          <w:sz w:val="24"/>
        </w:rPr>
        <w:t>have </w:t>
      </w:r>
      <w:r>
        <w:rPr>
          <w:sz w:val="24"/>
        </w:rPr>
        <w:t>been above expectations in the previous </w:t>
      </w:r>
      <w:r>
        <w:rPr>
          <w:i/>
          <w:sz w:val="24"/>
        </w:rPr>
        <w:t>Report</w:t>
      </w:r>
      <w:r>
        <w:rPr>
          <w:sz w:val="24"/>
        </w:rPr>
        <w:t>, principally reflecting</w:t>
      </w:r>
      <w:r>
        <w:rPr>
          <w:spacing w:val="-8"/>
          <w:sz w:val="24"/>
        </w:rPr>
        <w:t> </w:t>
      </w:r>
      <w:r>
        <w:rPr>
          <w:sz w:val="24"/>
        </w:rPr>
        <w:t>the</w:t>
      </w:r>
      <w:r>
        <w:rPr>
          <w:spacing w:val="-7"/>
          <w:sz w:val="24"/>
        </w:rPr>
        <w:t> </w:t>
      </w:r>
      <w:r>
        <w:rPr>
          <w:sz w:val="24"/>
        </w:rPr>
        <w:t>unanticipated</w:t>
      </w:r>
      <w:r>
        <w:rPr>
          <w:spacing w:val="-7"/>
          <w:sz w:val="24"/>
        </w:rPr>
        <w:t> </w:t>
      </w:r>
      <w:r>
        <w:rPr>
          <w:sz w:val="24"/>
        </w:rPr>
        <w:t>resilience</w:t>
      </w:r>
      <w:r>
        <w:rPr>
          <w:spacing w:val="-7"/>
          <w:sz w:val="24"/>
        </w:rPr>
        <w:t> </w:t>
      </w:r>
      <w:r>
        <w:rPr>
          <w:sz w:val="24"/>
        </w:rPr>
        <w:t>of</w:t>
      </w:r>
      <w:r>
        <w:rPr>
          <w:spacing w:val="-7"/>
          <w:sz w:val="24"/>
        </w:rPr>
        <w:t> </w:t>
      </w:r>
      <w:r>
        <w:rPr>
          <w:sz w:val="24"/>
        </w:rPr>
        <w:t>world</w:t>
      </w:r>
      <w:r>
        <w:rPr>
          <w:spacing w:val="-7"/>
          <w:sz w:val="24"/>
        </w:rPr>
        <w:t> </w:t>
      </w:r>
      <w:r>
        <w:rPr>
          <w:sz w:val="24"/>
        </w:rPr>
        <w:t>oil</w:t>
      </w:r>
      <w:r>
        <w:rPr>
          <w:spacing w:val="-7"/>
          <w:sz w:val="24"/>
        </w:rPr>
        <w:t> </w:t>
      </w:r>
      <w:r>
        <w:rPr>
          <w:sz w:val="24"/>
        </w:rPr>
        <w:t>prices. The Committee </w:t>
      </w:r>
      <w:r>
        <w:rPr>
          <w:spacing w:val="-3"/>
          <w:sz w:val="24"/>
        </w:rPr>
        <w:t>reviewed </w:t>
      </w:r>
      <w:r>
        <w:rPr>
          <w:sz w:val="24"/>
        </w:rPr>
        <w:t>the prospects for output and inflation against this</w:t>
      </w:r>
      <w:r>
        <w:rPr>
          <w:spacing w:val="-5"/>
          <w:sz w:val="24"/>
        </w:rPr>
        <w:t> </w:t>
      </w:r>
      <w:r>
        <w:rPr>
          <w:sz w:val="24"/>
        </w:rPr>
        <w:t>background.</w:t>
      </w:r>
    </w:p>
    <w:p>
      <w:pPr>
        <w:spacing w:line="242" w:lineRule="auto" w:before="214"/>
        <w:ind w:left="4979" w:right="157" w:firstLine="0"/>
        <w:jc w:val="left"/>
        <w:rPr>
          <w:sz w:val="24"/>
        </w:rPr>
      </w:pPr>
      <w:r>
        <w:rPr>
          <w:sz w:val="24"/>
        </w:rPr>
        <w:t>There </w:t>
      </w:r>
      <w:r>
        <w:rPr>
          <w:spacing w:val="-3"/>
          <w:sz w:val="24"/>
        </w:rPr>
        <w:t>have </w:t>
      </w:r>
      <w:r>
        <w:rPr>
          <w:sz w:val="24"/>
        </w:rPr>
        <w:t>been </w:t>
      </w:r>
      <w:r>
        <w:rPr>
          <w:spacing w:val="-3"/>
          <w:sz w:val="24"/>
        </w:rPr>
        <w:t>extensive </w:t>
      </w:r>
      <w:r>
        <w:rPr>
          <w:sz w:val="24"/>
        </w:rPr>
        <w:t>revisions to National Accounts data since the previous </w:t>
      </w:r>
      <w:r>
        <w:rPr>
          <w:i/>
          <w:sz w:val="24"/>
        </w:rPr>
        <w:t>Report</w:t>
      </w:r>
      <w:r>
        <w:rPr>
          <w:sz w:val="24"/>
        </w:rPr>
        <w:t>. The </w:t>
      </w:r>
      <w:r>
        <w:rPr>
          <w:spacing w:val="-3"/>
          <w:sz w:val="24"/>
        </w:rPr>
        <w:t>level </w:t>
      </w:r>
      <w:r>
        <w:rPr>
          <w:sz w:val="24"/>
        </w:rPr>
        <w:t>of real GDP in the first quarter of 2000 has been revised up by 0.7%, largely reflecting </w:t>
      </w:r>
      <w:r>
        <w:rPr>
          <w:spacing w:val="-3"/>
          <w:sz w:val="24"/>
        </w:rPr>
        <w:t>new </w:t>
      </w:r>
      <w:r>
        <w:rPr>
          <w:sz w:val="24"/>
        </w:rPr>
        <w:t>information on the </w:t>
      </w:r>
      <w:r>
        <w:rPr>
          <w:spacing w:val="-3"/>
          <w:sz w:val="24"/>
        </w:rPr>
        <w:t>level </w:t>
      </w:r>
      <w:r>
        <w:rPr>
          <w:sz w:val="24"/>
        </w:rPr>
        <w:t>and composition of consumer spending in 1998 and 1999.  The Committee </w:t>
      </w:r>
      <w:r>
        <w:rPr>
          <w:spacing w:val="-3"/>
          <w:sz w:val="24"/>
        </w:rPr>
        <w:t>reviewed </w:t>
      </w:r>
      <w:r>
        <w:rPr>
          <w:sz w:val="24"/>
        </w:rPr>
        <w:t>the possible implications of higher past GDP growth for inflation prospects. One possible interpretation was that a higher </w:t>
      </w:r>
      <w:r>
        <w:rPr>
          <w:spacing w:val="-3"/>
          <w:sz w:val="24"/>
        </w:rPr>
        <w:t>level </w:t>
      </w:r>
      <w:r>
        <w:rPr>
          <w:sz w:val="24"/>
        </w:rPr>
        <w:t>of output implied that there were additional pressures on supply capacity which could lead to higher future inflation. But it was highly unlikely that the effects of stronger activity two years ago would </w:t>
      </w:r>
      <w:r>
        <w:rPr>
          <w:spacing w:val="-3"/>
          <w:sz w:val="24"/>
        </w:rPr>
        <w:t>have </w:t>
      </w:r>
      <w:r>
        <w:rPr>
          <w:sz w:val="24"/>
        </w:rPr>
        <w:t>such a delayed impact. An alternative explanation, </w:t>
      </w:r>
      <w:r>
        <w:rPr>
          <w:spacing w:val="-3"/>
          <w:sz w:val="24"/>
        </w:rPr>
        <w:t>favoured </w:t>
      </w:r>
      <w:r>
        <w:rPr>
          <w:sz w:val="24"/>
        </w:rPr>
        <w:t>by the Committee and incorporated in the projections, was that the combination of stronger past activity with unchanged inflation may signal that a corresponding rise in the </w:t>
      </w:r>
      <w:r>
        <w:rPr>
          <w:spacing w:val="-3"/>
          <w:sz w:val="24"/>
        </w:rPr>
        <w:t>level </w:t>
      </w:r>
      <w:r>
        <w:rPr>
          <w:sz w:val="24"/>
        </w:rPr>
        <w:t>of supply capacity has occurred. Adopting this </w:t>
      </w:r>
      <w:r>
        <w:rPr>
          <w:spacing w:val="-5"/>
          <w:sz w:val="24"/>
        </w:rPr>
        <w:t>view, </w:t>
      </w:r>
      <w:r>
        <w:rPr>
          <w:sz w:val="24"/>
        </w:rPr>
        <w:t>there was no implication of the higher </w:t>
      </w:r>
      <w:r>
        <w:rPr>
          <w:spacing w:val="-3"/>
          <w:sz w:val="24"/>
        </w:rPr>
        <w:t>level </w:t>
      </w:r>
      <w:r>
        <w:rPr>
          <w:sz w:val="24"/>
        </w:rPr>
        <w:t>of GDP for future inflation. A third </w:t>
      </w:r>
      <w:r>
        <w:rPr>
          <w:spacing w:val="-3"/>
          <w:sz w:val="24"/>
        </w:rPr>
        <w:t>possibility, </w:t>
      </w:r>
      <w:r>
        <w:rPr>
          <w:sz w:val="24"/>
        </w:rPr>
        <w:t>noted by some Committee members, was that the revisions to past output and productivity growth could be an indication of a rise in the</w:t>
      </w:r>
      <w:r>
        <w:rPr>
          <w:spacing w:val="-22"/>
          <w:sz w:val="24"/>
        </w:rPr>
        <w:t> </w:t>
      </w:r>
      <w:r>
        <w:rPr>
          <w:sz w:val="24"/>
        </w:rPr>
        <w:t>sustainable</w:t>
      </w:r>
    </w:p>
    <w:p>
      <w:pPr>
        <w:spacing w:line="242" w:lineRule="auto" w:before="28"/>
        <w:ind w:left="4979" w:right="199" w:firstLine="0"/>
        <w:jc w:val="both"/>
        <w:rPr>
          <w:sz w:val="24"/>
        </w:rPr>
      </w:pPr>
      <w:r>
        <w:rPr>
          <w:sz w:val="24"/>
        </w:rPr>
        <w:t>long-term growth rate of the </w:t>
      </w:r>
      <w:r>
        <w:rPr>
          <w:spacing w:val="-3"/>
          <w:sz w:val="24"/>
        </w:rPr>
        <w:t>economy, </w:t>
      </w:r>
      <w:r>
        <w:rPr>
          <w:sz w:val="24"/>
        </w:rPr>
        <w:t>which could lead to</w:t>
      </w:r>
      <w:r>
        <w:rPr>
          <w:spacing w:val="-7"/>
          <w:sz w:val="24"/>
        </w:rPr>
        <w:t> </w:t>
      </w:r>
      <w:r>
        <w:rPr>
          <w:sz w:val="24"/>
        </w:rPr>
        <w:t>somewhat</w:t>
      </w:r>
      <w:r>
        <w:rPr>
          <w:spacing w:val="-7"/>
          <w:sz w:val="24"/>
        </w:rPr>
        <w:t> </w:t>
      </w:r>
      <w:r>
        <w:rPr>
          <w:sz w:val="24"/>
        </w:rPr>
        <w:t>lower</w:t>
      </w:r>
      <w:r>
        <w:rPr>
          <w:spacing w:val="-7"/>
          <w:sz w:val="24"/>
        </w:rPr>
        <w:t> </w:t>
      </w:r>
      <w:r>
        <w:rPr>
          <w:sz w:val="24"/>
        </w:rPr>
        <w:t>inflation</w:t>
      </w:r>
      <w:r>
        <w:rPr>
          <w:spacing w:val="-7"/>
          <w:sz w:val="24"/>
        </w:rPr>
        <w:t> </w:t>
      </w:r>
      <w:r>
        <w:rPr>
          <w:sz w:val="24"/>
        </w:rPr>
        <w:t>prospects</w:t>
      </w:r>
      <w:r>
        <w:rPr>
          <w:spacing w:val="-6"/>
          <w:sz w:val="24"/>
        </w:rPr>
        <w:t> </w:t>
      </w:r>
      <w:r>
        <w:rPr>
          <w:sz w:val="24"/>
        </w:rPr>
        <w:t>than</w:t>
      </w:r>
      <w:r>
        <w:rPr>
          <w:spacing w:val="-7"/>
          <w:sz w:val="24"/>
        </w:rPr>
        <w:t> </w:t>
      </w:r>
      <w:r>
        <w:rPr>
          <w:sz w:val="24"/>
        </w:rPr>
        <w:t>in</w:t>
      </w:r>
      <w:r>
        <w:rPr>
          <w:spacing w:val="-7"/>
          <w:sz w:val="24"/>
        </w:rPr>
        <w:t> </w:t>
      </w:r>
      <w:r>
        <w:rPr>
          <w:sz w:val="24"/>
        </w:rPr>
        <w:t>the</w:t>
      </w:r>
      <w:r>
        <w:rPr>
          <w:spacing w:val="-7"/>
          <w:sz w:val="24"/>
        </w:rPr>
        <w:t> </w:t>
      </w:r>
      <w:r>
        <w:rPr>
          <w:sz w:val="24"/>
        </w:rPr>
        <w:t>central projection.</w:t>
      </w:r>
    </w:p>
    <w:p>
      <w:pPr>
        <w:spacing w:line="242" w:lineRule="auto" w:before="224"/>
        <w:ind w:left="4979" w:right="214" w:firstLine="0"/>
        <w:jc w:val="left"/>
        <w:rPr>
          <w:sz w:val="24"/>
        </w:rPr>
      </w:pPr>
      <w:r>
        <w:rPr>
          <w:sz w:val="24"/>
        </w:rPr>
        <w:t>The National Accounts release confirmed that GDP growth in the first quarter was 0.5%, slightly above the preliminary estimate available at the time of the May</w:t>
      </w:r>
    </w:p>
    <w:p>
      <w:pPr>
        <w:spacing w:after="0" w:line="242" w:lineRule="auto"/>
        <w:jc w:val="left"/>
        <w:rPr>
          <w:sz w:val="24"/>
        </w:rPr>
        <w:sectPr>
          <w:headerReference w:type="default" r:id="rId173"/>
          <w:headerReference w:type="even" r:id="rId174"/>
          <w:footerReference w:type="default" r:id="rId175"/>
          <w:footerReference w:type="even" r:id="rId176"/>
          <w:pgSz w:w="11900" w:h="16840"/>
          <w:pgMar w:header="601" w:footer="612" w:top="800" w:bottom="800" w:left="640" w:right="640"/>
          <w:pgNumType w:start="51"/>
        </w:sectPr>
      </w:pPr>
    </w:p>
    <w:p>
      <w:pPr>
        <w:pStyle w:val="BodyText"/>
        <w:rPr>
          <w:sz w:val="20"/>
        </w:rPr>
      </w:pPr>
    </w:p>
    <w:p>
      <w:pPr>
        <w:pStyle w:val="BodyText"/>
        <w:spacing w:before="2"/>
        <w:rPr>
          <w:sz w:val="23"/>
        </w:rPr>
      </w:pPr>
    </w:p>
    <w:p>
      <w:pPr>
        <w:spacing w:line="242" w:lineRule="auto" w:before="0"/>
        <w:ind w:left="4960" w:right="168" w:firstLine="0"/>
        <w:jc w:val="left"/>
        <w:rPr>
          <w:sz w:val="24"/>
        </w:rPr>
      </w:pPr>
      <w:r>
        <w:rPr>
          <w:i/>
          <w:sz w:val="24"/>
        </w:rPr>
        <w:t>Report</w:t>
      </w:r>
      <w:r>
        <w:rPr>
          <w:sz w:val="24"/>
        </w:rPr>
        <w:t>. The composition of demand was rather different from expectations three months ago. In particular, final domestic</w:t>
      </w:r>
      <w:r>
        <w:rPr>
          <w:spacing w:val="-6"/>
          <w:sz w:val="24"/>
        </w:rPr>
        <w:t> </w:t>
      </w:r>
      <w:r>
        <w:rPr>
          <w:sz w:val="24"/>
        </w:rPr>
        <w:t>demand</w:t>
      </w:r>
      <w:r>
        <w:rPr>
          <w:spacing w:val="-6"/>
          <w:sz w:val="24"/>
        </w:rPr>
        <w:t> </w:t>
      </w:r>
      <w:r>
        <w:rPr>
          <w:sz w:val="24"/>
        </w:rPr>
        <w:t>was</w:t>
      </w:r>
      <w:r>
        <w:rPr>
          <w:spacing w:val="-6"/>
          <w:sz w:val="24"/>
        </w:rPr>
        <w:t> </w:t>
      </w:r>
      <w:r>
        <w:rPr>
          <w:sz w:val="24"/>
        </w:rPr>
        <w:t>little</w:t>
      </w:r>
      <w:r>
        <w:rPr>
          <w:spacing w:val="-6"/>
          <w:sz w:val="24"/>
        </w:rPr>
        <w:t> </w:t>
      </w:r>
      <w:r>
        <w:rPr>
          <w:sz w:val="24"/>
        </w:rPr>
        <w:t>changed</w:t>
      </w:r>
      <w:r>
        <w:rPr>
          <w:spacing w:val="-5"/>
          <w:sz w:val="24"/>
        </w:rPr>
        <w:t> </w:t>
      </w:r>
      <w:r>
        <w:rPr>
          <w:sz w:val="24"/>
        </w:rPr>
        <w:t>on</w:t>
      </w:r>
      <w:r>
        <w:rPr>
          <w:spacing w:val="-6"/>
          <w:sz w:val="24"/>
        </w:rPr>
        <w:t> </w:t>
      </w:r>
      <w:r>
        <w:rPr>
          <w:sz w:val="24"/>
        </w:rPr>
        <w:t>the</w:t>
      </w:r>
      <w:r>
        <w:rPr>
          <w:spacing w:val="-6"/>
          <w:sz w:val="24"/>
        </w:rPr>
        <w:t> </w:t>
      </w:r>
      <w:r>
        <w:rPr>
          <w:sz w:val="24"/>
        </w:rPr>
        <w:t>fourth</w:t>
      </w:r>
      <w:r>
        <w:rPr>
          <w:spacing w:val="-6"/>
          <w:sz w:val="24"/>
        </w:rPr>
        <w:t> </w:t>
      </w:r>
      <w:r>
        <w:rPr>
          <w:sz w:val="24"/>
        </w:rPr>
        <w:t>quarter </w:t>
      </w:r>
      <w:r>
        <w:rPr>
          <w:spacing w:val="-3"/>
          <w:sz w:val="24"/>
        </w:rPr>
        <w:t>level, </w:t>
      </w:r>
      <w:r>
        <w:rPr>
          <w:sz w:val="24"/>
        </w:rPr>
        <w:t>and output growth was supported by a positive contribution from net trade and an unexpected increase in </w:t>
      </w:r>
      <w:r>
        <w:rPr>
          <w:spacing w:val="-3"/>
          <w:sz w:val="24"/>
        </w:rPr>
        <w:t>inventory </w:t>
      </w:r>
      <w:r>
        <w:rPr>
          <w:sz w:val="24"/>
        </w:rPr>
        <w:t>levels. Consumer spending growth was a touch weaker than expected in </w:t>
      </w:r>
      <w:r>
        <w:rPr>
          <w:spacing w:val="-5"/>
          <w:sz w:val="24"/>
        </w:rPr>
        <w:t>May, </w:t>
      </w:r>
      <w:r>
        <w:rPr>
          <w:sz w:val="24"/>
        </w:rPr>
        <w:t>while </w:t>
      </w:r>
      <w:r>
        <w:rPr>
          <w:spacing w:val="-3"/>
          <w:sz w:val="24"/>
        </w:rPr>
        <w:t>fixed investment </w:t>
      </w:r>
      <w:r>
        <w:rPr>
          <w:sz w:val="24"/>
        </w:rPr>
        <w:t>volumes and government consumption both declined on the quarter against earlier expectations of an increase. The latter two components are quite erratic from quarter to quarter, and the positive quarterly contribution from net trade was at odds with the broad trend towards a weakening trade</w:t>
      </w:r>
      <w:r>
        <w:rPr>
          <w:spacing w:val="-12"/>
          <w:sz w:val="24"/>
        </w:rPr>
        <w:t> </w:t>
      </w:r>
      <w:r>
        <w:rPr>
          <w:sz w:val="24"/>
        </w:rPr>
        <w:t>position.</w:t>
      </w:r>
    </w:p>
    <w:p>
      <w:pPr>
        <w:pStyle w:val="BodyText"/>
        <w:spacing w:before="9"/>
        <w:rPr>
          <w:sz w:val="25"/>
        </w:rPr>
      </w:pPr>
    </w:p>
    <w:p>
      <w:pPr>
        <w:spacing w:line="242" w:lineRule="auto" w:before="1"/>
        <w:ind w:left="4960" w:right="280" w:firstLine="0"/>
        <w:jc w:val="left"/>
        <w:rPr>
          <w:sz w:val="24"/>
        </w:rPr>
      </w:pPr>
      <w:r>
        <w:rPr>
          <w:sz w:val="24"/>
        </w:rPr>
        <w:t>According to the preliminary estimate, GDP rose by 0.9% in the second quarter—rather stronger than projected three months ago, and also rather higher than suggested by recent survey data. The rebound from weaker-than-expected growth in the first quarter in part reflects a bounce-back in energy consumption from weather-related low levels. Furthermore, the recent quarterly pattern of growth may also have been affected by unusual changes in spending and production patterns around the millennium.</w:t>
      </w:r>
    </w:p>
    <w:p>
      <w:pPr>
        <w:pStyle w:val="BodyText"/>
        <w:spacing w:before="5"/>
        <w:rPr>
          <w:sz w:val="25"/>
        </w:rPr>
      </w:pPr>
    </w:p>
    <w:p>
      <w:pPr>
        <w:spacing w:line="242" w:lineRule="auto" w:before="0"/>
        <w:ind w:left="4960" w:right="182" w:firstLine="0"/>
        <w:jc w:val="left"/>
        <w:rPr>
          <w:sz w:val="24"/>
        </w:rPr>
      </w:pPr>
      <w:r>
        <w:rPr>
          <w:sz w:val="24"/>
        </w:rPr>
        <w:t>The ONS reported an increase in service sector output of 1.0% in the second quarter, a similar pace to the growth recorded in the second half of last year. Manufacturing output was reported to have risen after falling in the first quarter, in contrast to survey information and reports from the Bank’s regional Agents suggesting weakening manufacturing activity. Recent surveys suggest a widening divergence between the performance of companies selling predominately into domestic markets and facing relatively limited international competition— typically in the service or construction sectors—and companies that depend heavily on export markets— typically in manufacturing or agriculture. In terms of demand components, recent monthly trade data are consistent with a negative contribution to aggregate demand growth in the second quarter, so it seems likely that there was a rebound in final domestic demand after the unusual weakness in the first quarter.</w:t>
      </w:r>
    </w:p>
    <w:p>
      <w:pPr>
        <w:pStyle w:val="BodyText"/>
        <w:spacing w:before="3"/>
        <w:rPr>
          <w:sz w:val="26"/>
        </w:rPr>
      </w:pPr>
    </w:p>
    <w:p>
      <w:pPr>
        <w:spacing w:line="242" w:lineRule="auto" w:before="1"/>
        <w:ind w:left="4960" w:right="214" w:firstLine="0"/>
        <w:jc w:val="left"/>
        <w:rPr>
          <w:sz w:val="24"/>
        </w:rPr>
      </w:pPr>
      <w:r>
        <w:rPr>
          <w:sz w:val="24"/>
        </w:rPr>
        <w:t>The trend in household consumption is hard to gauge, given the distortions in spending patterns around the millennium. Interpretation of consumption patterns has been further complicated by the substantial upward revision to the level of consumer spending in recent years in the June National Accounts release—by</w:t>
      </w:r>
    </w:p>
    <w:p>
      <w:pPr>
        <w:spacing w:before="7"/>
        <w:ind w:left="4960" w:right="0" w:firstLine="0"/>
        <w:jc w:val="left"/>
        <w:rPr>
          <w:sz w:val="24"/>
        </w:rPr>
      </w:pPr>
      <w:r>
        <w:rPr>
          <w:sz w:val="24"/>
        </w:rPr>
        <w:t>2000 Q1 the level of household spending was some</w:t>
      </w:r>
    </w:p>
    <w:p>
      <w:pPr>
        <w:spacing w:after="0"/>
        <w:jc w:val="left"/>
        <w:rPr>
          <w:sz w:val="24"/>
        </w:rPr>
        <w:sectPr>
          <w:pgSz w:w="11900" w:h="16840"/>
          <w:pgMar w:header="586" w:footer="592" w:top="780" w:bottom="780" w:left="640" w:right="640"/>
        </w:sectPr>
      </w:pPr>
    </w:p>
    <w:p>
      <w:pPr>
        <w:pStyle w:val="BodyText"/>
        <w:spacing w:before="9"/>
        <w:rPr>
          <w:sz w:val="29"/>
        </w:rPr>
      </w:pPr>
    </w:p>
    <w:p>
      <w:pPr>
        <w:spacing w:line="242" w:lineRule="auto" w:before="90"/>
        <w:ind w:left="4980" w:right="214" w:firstLine="0"/>
        <w:jc w:val="left"/>
        <w:rPr>
          <w:sz w:val="24"/>
        </w:rPr>
      </w:pPr>
      <w:r>
        <w:rPr>
          <w:sz w:val="24"/>
        </w:rPr>
        <w:t>1.8% above the previous estimate. There was an associated downward revision to the saving ratio, which fell to 3.8% in the first quarter, the lowest level since 1988. Strong growth in consumer spending in recent years has been supported by rapid increases in</w:t>
      </w:r>
    </w:p>
    <w:p>
      <w:pPr>
        <w:spacing w:line="242" w:lineRule="auto" w:before="6"/>
        <w:ind w:left="4980" w:right="461" w:firstLine="0"/>
        <w:jc w:val="left"/>
        <w:rPr>
          <w:sz w:val="24"/>
        </w:rPr>
      </w:pPr>
      <w:r>
        <w:rPr>
          <w:sz w:val="24"/>
        </w:rPr>
        <w:t>wealth and by gains in employment and real wages, but following the data revisions there are signs that the strength over the past two years has been exceptional in relation to the typical determinants of consumption.</w:t>
      </w:r>
    </w:p>
    <w:p>
      <w:pPr>
        <w:pStyle w:val="BodyText"/>
        <w:spacing w:before="10"/>
        <w:rPr>
          <w:sz w:val="24"/>
        </w:rPr>
      </w:pPr>
    </w:p>
    <w:p>
      <w:pPr>
        <w:spacing w:line="242" w:lineRule="auto" w:before="0"/>
        <w:ind w:left="4980" w:right="267" w:firstLine="0"/>
        <w:jc w:val="left"/>
        <w:rPr>
          <w:sz w:val="24"/>
        </w:rPr>
      </w:pPr>
      <w:r>
        <w:rPr>
          <w:sz w:val="24"/>
        </w:rPr>
        <w:t>Will this strength of consumption persist? Or will consumers gradually rebuild their balance sheets? The Committee concluded that some of the unusual strength of consumption was likely to unwind over the forecast horizon, as savings rise towards a more normal level in relation to income and wealth. The rise in the saving ratio will tend to moderate prospective consumer spending growth.</w:t>
      </w:r>
    </w:p>
    <w:p>
      <w:pPr>
        <w:pStyle w:val="BodyText"/>
        <w:spacing w:before="3"/>
        <w:rPr>
          <w:sz w:val="25"/>
        </w:rPr>
      </w:pPr>
    </w:p>
    <w:p>
      <w:pPr>
        <w:spacing w:line="242" w:lineRule="auto" w:before="0"/>
        <w:ind w:left="4980" w:right="165" w:firstLine="0"/>
        <w:jc w:val="left"/>
        <w:rPr>
          <w:sz w:val="24"/>
        </w:rPr>
      </w:pPr>
      <w:r>
        <w:rPr>
          <w:sz w:val="24"/>
        </w:rPr>
        <w:t>Recent indicators are consistent with a slowdown in consumer spending growth from the exceptional pace at the end of last year. In particular, retail sales growth has slowed, consumer confidence has weakened somewhat, house price inflation has moderated, and the growth in households’ money holdings has eased. Equity prices have been broadly flat over the past six months and real earnings growth has fallen back as millennium payments have ended. The most likely prospect is that the growth in consumers’ expenditure moderates further in the coming quarters and then stabilises at a little below its long-run average rate.</w:t>
      </w:r>
    </w:p>
    <w:p>
      <w:pPr>
        <w:pStyle w:val="BodyText"/>
        <w:spacing w:before="8"/>
        <w:rPr>
          <w:sz w:val="25"/>
        </w:rPr>
      </w:pPr>
    </w:p>
    <w:p>
      <w:pPr>
        <w:spacing w:line="242" w:lineRule="auto" w:before="0"/>
        <w:ind w:left="4980" w:right="130" w:firstLine="0"/>
        <w:jc w:val="left"/>
        <w:rPr>
          <w:sz w:val="24"/>
        </w:rPr>
      </w:pPr>
      <w:r>
        <w:rPr>
          <w:sz w:val="24"/>
        </w:rPr>
        <w:t>Whole-economy </w:t>
      </w:r>
      <w:r>
        <w:rPr>
          <w:spacing w:val="-3"/>
          <w:sz w:val="24"/>
        </w:rPr>
        <w:t>fixed investment </w:t>
      </w:r>
      <w:r>
        <w:rPr>
          <w:sz w:val="24"/>
        </w:rPr>
        <w:t>fell in the first quarter of the year—the first quarterly decline since 1995. There were reductions in each of the main sectors: business, residential and government. Although business </w:t>
      </w:r>
      <w:r>
        <w:rPr>
          <w:spacing w:val="-3"/>
          <w:sz w:val="24"/>
        </w:rPr>
        <w:t>investment </w:t>
      </w:r>
      <w:r>
        <w:rPr>
          <w:sz w:val="24"/>
        </w:rPr>
        <w:t>growth—some three-quarters of the total— has slowed </w:t>
      </w:r>
      <w:r>
        <w:rPr>
          <w:spacing w:val="-3"/>
          <w:sz w:val="24"/>
        </w:rPr>
        <w:t>over </w:t>
      </w:r>
      <w:r>
        <w:rPr>
          <w:sz w:val="24"/>
        </w:rPr>
        <w:t>the past two years from high rates, the fall in the first quarter was surprising. The decline may in part reflect temporarily weak IT </w:t>
      </w:r>
      <w:r>
        <w:rPr>
          <w:spacing w:val="-3"/>
          <w:sz w:val="24"/>
        </w:rPr>
        <w:t>investment </w:t>
      </w:r>
      <w:r>
        <w:rPr>
          <w:sz w:val="24"/>
        </w:rPr>
        <w:t>after the millennium. The ONS reported a return to relatively strong growth in business services and computing output in the second quarter, which may herald a recovery in investment. Corporate borrowing growth has also remained strong in recent months, particularly in the service </w:t>
      </w:r>
      <w:r>
        <w:rPr>
          <w:spacing w:val="-3"/>
          <w:sz w:val="24"/>
        </w:rPr>
        <w:t>sector. </w:t>
      </w:r>
      <w:r>
        <w:rPr>
          <w:sz w:val="24"/>
        </w:rPr>
        <w:t>Profit expectations in the service sector remain at high levels, suggesting that the increase in borrowing may reflect higher investment. The central expectation is that there will be some pick-up in business </w:t>
      </w:r>
      <w:r>
        <w:rPr>
          <w:spacing w:val="-3"/>
          <w:sz w:val="24"/>
        </w:rPr>
        <w:t>investment </w:t>
      </w:r>
      <w:r>
        <w:rPr>
          <w:sz w:val="24"/>
        </w:rPr>
        <w:t>in the second quarter and that</w:t>
      </w:r>
      <w:r>
        <w:rPr>
          <w:spacing w:val="-12"/>
          <w:sz w:val="24"/>
        </w:rPr>
        <w:t> </w:t>
      </w:r>
      <w:r>
        <w:rPr>
          <w:sz w:val="24"/>
        </w:rPr>
        <w:t>business</w:t>
      </w:r>
    </w:p>
    <w:p>
      <w:pPr>
        <w:spacing w:after="0" w:line="242" w:lineRule="auto"/>
        <w:jc w:val="left"/>
        <w:rPr>
          <w:sz w:val="24"/>
        </w:rPr>
        <w:sectPr>
          <w:pgSz w:w="11900" w:h="16840"/>
          <w:pgMar w:header="601" w:footer="612" w:top="800" w:bottom="800" w:left="640" w:right="640"/>
        </w:sectPr>
      </w:pPr>
    </w:p>
    <w:p>
      <w:pPr>
        <w:pStyle w:val="BodyText"/>
        <w:rPr>
          <w:sz w:val="20"/>
        </w:rPr>
      </w:pPr>
    </w:p>
    <w:p>
      <w:pPr>
        <w:spacing w:line="242" w:lineRule="auto" w:before="217"/>
        <w:ind w:left="4980" w:right="0" w:firstLine="0"/>
        <w:jc w:val="left"/>
        <w:rPr>
          <w:sz w:val="24"/>
        </w:rPr>
      </w:pPr>
      <w:r>
        <w:rPr>
          <w:sz w:val="24"/>
        </w:rPr>
        <w:t>investment will then rise at a moderate pace, broadly in line with the projection in the May </w:t>
      </w:r>
      <w:r>
        <w:rPr>
          <w:i/>
          <w:sz w:val="24"/>
        </w:rPr>
        <w:t>Report</w:t>
      </w:r>
      <w:r>
        <w:rPr>
          <w:sz w:val="24"/>
        </w:rPr>
        <w:t>.</w:t>
      </w:r>
    </w:p>
    <w:p>
      <w:pPr>
        <w:pStyle w:val="BodyText"/>
        <w:spacing w:before="6"/>
        <w:rPr>
          <w:sz w:val="24"/>
        </w:rPr>
      </w:pPr>
    </w:p>
    <w:p>
      <w:pPr>
        <w:spacing w:line="242" w:lineRule="auto" w:before="1"/>
        <w:ind w:left="4980" w:right="166" w:firstLine="0"/>
        <w:jc w:val="left"/>
        <w:rPr>
          <w:sz w:val="24"/>
        </w:rPr>
      </w:pPr>
      <w:r>
        <w:rPr>
          <w:sz w:val="24"/>
        </w:rPr>
        <w:t>The rise in inventory investment in the first quarter was not expected at the time of the May </w:t>
      </w:r>
      <w:r>
        <w:rPr>
          <w:i/>
          <w:sz w:val="24"/>
        </w:rPr>
        <w:t>Report</w:t>
      </w:r>
      <w:r>
        <w:rPr>
          <w:sz w:val="24"/>
        </w:rPr>
        <w:t>, when some rundown in precautionary stocks built up in advance of the millennium was thought likely. A number of unusual factors account for some of the rise in inventories, but the recent trend remains quite hard to assess. Looking forward, no change has been made to the central assumption that firms are likely to economise further on inventories in the medium term, assisted by continued improvements in production processes and stock management techniques.</w:t>
      </w:r>
    </w:p>
    <w:p>
      <w:pPr>
        <w:pStyle w:val="BodyText"/>
        <w:spacing w:before="6"/>
        <w:rPr>
          <w:sz w:val="25"/>
        </w:rPr>
      </w:pPr>
    </w:p>
    <w:p>
      <w:pPr>
        <w:spacing w:line="242" w:lineRule="auto" w:before="0"/>
        <w:ind w:left="4980" w:right="172" w:firstLine="0"/>
        <w:jc w:val="left"/>
        <w:rPr>
          <w:sz w:val="24"/>
        </w:rPr>
      </w:pPr>
      <w:r>
        <w:rPr>
          <w:sz w:val="24"/>
        </w:rPr>
        <w:t>Export volumes </w:t>
      </w:r>
      <w:r>
        <w:rPr>
          <w:spacing w:val="-3"/>
          <w:sz w:val="24"/>
        </w:rPr>
        <w:t>have </w:t>
      </w:r>
      <w:r>
        <w:rPr>
          <w:sz w:val="24"/>
        </w:rPr>
        <w:t>risen more quickly in recent months than projected in </w:t>
      </w:r>
      <w:r>
        <w:rPr>
          <w:spacing w:val="-5"/>
          <w:sz w:val="24"/>
        </w:rPr>
        <w:t>May. </w:t>
      </w:r>
      <w:r>
        <w:rPr>
          <w:sz w:val="24"/>
        </w:rPr>
        <w:t>Indeed, goods and services exports rose some 2</w:t>
      </w:r>
      <w:r>
        <w:rPr>
          <w:position w:val="8"/>
          <w:sz w:val="12"/>
        </w:rPr>
        <w:t>1</w:t>
      </w:r>
      <w:r>
        <w:rPr>
          <w:sz w:val="24"/>
        </w:rPr>
        <w:t>/</w:t>
      </w:r>
      <w:r>
        <w:rPr>
          <w:sz w:val="12"/>
        </w:rPr>
        <w:t>2</w:t>
      </w:r>
      <w:r>
        <w:rPr>
          <w:sz w:val="24"/>
        </w:rPr>
        <w:t>% in 2000 Q1 and were almost 10% higher than in the same quarter a year </w:t>
      </w:r>
      <w:r>
        <w:rPr>
          <w:spacing w:val="-3"/>
          <w:sz w:val="24"/>
        </w:rPr>
        <w:t>earlier. </w:t>
      </w:r>
      <w:r>
        <w:rPr>
          <w:sz w:val="24"/>
        </w:rPr>
        <w:t>The strong rise has been facilitated by rapid growth in overseas demand. Over the past twelve months the growth in UK exports has been almost as strong as the increase in world trade, following </w:t>
      </w:r>
      <w:r>
        <w:rPr>
          <w:spacing w:val="-3"/>
          <w:sz w:val="24"/>
        </w:rPr>
        <w:t>several </w:t>
      </w:r>
      <w:r>
        <w:rPr>
          <w:sz w:val="24"/>
        </w:rPr>
        <w:t>years of falling market share. It is too soon to conclude that the loss of market share has ended: firms </w:t>
      </w:r>
      <w:r>
        <w:rPr>
          <w:spacing w:val="-3"/>
          <w:sz w:val="24"/>
        </w:rPr>
        <w:t>have </w:t>
      </w:r>
      <w:r>
        <w:rPr>
          <w:sz w:val="24"/>
        </w:rPr>
        <w:t>limited the impact of the strength of sterling on sales volumes by cutting prices and by squeezing profits. But as the high </w:t>
      </w:r>
      <w:r>
        <w:rPr>
          <w:spacing w:val="-3"/>
          <w:sz w:val="24"/>
        </w:rPr>
        <w:t>level </w:t>
      </w:r>
      <w:r>
        <w:rPr>
          <w:sz w:val="24"/>
        </w:rPr>
        <w:t>of sterling has persisted, some companies </w:t>
      </w:r>
      <w:r>
        <w:rPr>
          <w:spacing w:val="-3"/>
          <w:sz w:val="24"/>
        </w:rPr>
        <w:t>have </w:t>
      </w:r>
      <w:r>
        <w:rPr>
          <w:sz w:val="24"/>
        </w:rPr>
        <w:t>withdrawn from the market or </w:t>
      </w:r>
      <w:r>
        <w:rPr>
          <w:spacing w:val="-3"/>
          <w:sz w:val="24"/>
        </w:rPr>
        <w:t>have </w:t>
      </w:r>
      <w:r>
        <w:rPr>
          <w:sz w:val="24"/>
        </w:rPr>
        <w:t>switched production overseas. The further appreciation of</w:t>
      </w:r>
      <w:r>
        <w:rPr>
          <w:spacing w:val="-6"/>
          <w:sz w:val="24"/>
        </w:rPr>
        <w:t> </w:t>
      </w:r>
      <w:r>
        <w:rPr>
          <w:sz w:val="24"/>
        </w:rPr>
        <w:t>sterling</w:t>
      </w:r>
      <w:r>
        <w:rPr>
          <w:spacing w:val="-5"/>
          <w:sz w:val="24"/>
        </w:rPr>
        <w:t> </w:t>
      </w:r>
      <w:r>
        <w:rPr>
          <w:sz w:val="24"/>
        </w:rPr>
        <w:t>in</w:t>
      </w:r>
      <w:r>
        <w:rPr>
          <w:spacing w:val="-6"/>
          <w:sz w:val="24"/>
        </w:rPr>
        <w:t> </w:t>
      </w:r>
      <w:r>
        <w:rPr>
          <w:sz w:val="24"/>
        </w:rPr>
        <w:t>the</w:t>
      </w:r>
      <w:r>
        <w:rPr>
          <w:spacing w:val="-5"/>
          <w:sz w:val="24"/>
        </w:rPr>
        <w:t> </w:t>
      </w:r>
      <w:r>
        <w:rPr>
          <w:sz w:val="24"/>
        </w:rPr>
        <w:t>spring</w:t>
      </w:r>
      <w:r>
        <w:rPr>
          <w:spacing w:val="-5"/>
          <w:sz w:val="24"/>
        </w:rPr>
        <w:t> </w:t>
      </w:r>
      <w:r>
        <w:rPr>
          <w:sz w:val="24"/>
        </w:rPr>
        <w:t>was</w:t>
      </w:r>
      <w:r>
        <w:rPr>
          <w:spacing w:val="-6"/>
          <w:sz w:val="24"/>
        </w:rPr>
        <w:t> </w:t>
      </w:r>
      <w:r>
        <w:rPr>
          <w:sz w:val="24"/>
        </w:rPr>
        <w:t>associated</w:t>
      </w:r>
      <w:r>
        <w:rPr>
          <w:spacing w:val="-5"/>
          <w:sz w:val="24"/>
        </w:rPr>
        <w:t> </w:t>
      </w:r>
      <w:r>
        <w:rPr>
          <w:sz w:val="24"/>
        </w:rPr>
        <w:t>with</w:t>
      </w:r>
      <w:r>
        <w:rPr>
          <w:spacing w:val="-6"/>
          <w:sz w:val="24"/>
        </w:rPr>
        <w:t> </w:t>
      </w:r>
      <w:r>
        <w:rPr>
          <w:sz w:val="24"/>
        </w:rPr>
        <w:t>a</w:t>
      </w:r>
      <w:r>
        <w:rPr>
          <w:spacing w:val="-5"/>
          <w:sz w:val="24"/>
        </w:rPr>
        <w:t> </w:t>
      </w:r>
      <w:r>
        <w:rPr>
          <w:sz w:val="24"/>
        </w:rPr>
        <w:t>weakening in surveys of export sales and orders. Although sterling has subsequently fallen back, there are as yet only tentative signs of an improvement in export prospects. It seems</w:t>
      </w:r>
      <w:r>
        <w:rPr>
          <w:spacing w:val="-6"/>
          <w:sz w:val="24"/>
        </w:rPr>
        <w:t> </w:t>
      </w:r>
      <w:r>
        <w:rPr>
          <w:sz w:val="24"/>
        </w:rPr>
        <w:t>likely</w:t>
      </w:r>
      <w:r>
        <w:rPr>
          <w:spacing w:val="-6"/>
          <w:sz w:val="24"/>
        </w:rPr>
        <w:t> </w:t>
      </w:r>
      <w:r>
        <w:rPr>
          <w:sz w:val="24"/>
        </w:rPr>
        <w:t>that</w:t>
      </w:r>
      <w:r>
        <w:rPr>
          <w:spacing w:val="-6"/>
          <w:sz w:val="24"/>
        </w:rPr>
        <w:t> </w:t>
      </w:r>
      <w:r>
        <w:rPr>
          <w:sz w:val="24"/>
        </w:rPr>
        <w:t>UK</w:t>
      </w:r>
      <w:r>
        <w:rPr>
          <w:spacing w:val="-6"/>
          <w:sz w:val="24"/>
        </w:rPr>
        <w:t> </w:t>
      </w:r>
      <w:r>
        <w:rPr>
          <w:sz w:val="24"/>
        </w:rPr>
        <w:t>firms</w:t>
      </w:r>
      <w:r>
        <w:rPr>
          <w:spacing w:val="-5"/>
          <w:sz w:val="24"/>
        </w:rPr>
        <w:t> </w:t>
      </w:r>
      <w:r>
        <w:rPr>
          <w:sz w:val="24"/>
        </w:rPr>
        <w:t>will</w:t>
      </w:r>
      <w:r>
        <w:rPr>
          <w:spacing w:val="-6"/>
          <w:sz w:val="24"/>
        </w:rPr>
        <w:t> </w:t>
      </w:r>
      <w:r>
        <w:rPr>
          <w:sz w:val="24"/>
        </w:rPr>
        <w:t>lose</w:t>
      </w:r>
      <w:r>
        <w:rPr>
          <w:spacing w:val="-6"/>
          <w:sz w:val="24"/>
        </w:rPr>
        <w:t> </w:t>
      </w:r>
      <w:r>
        <w:rPr>
          <w:sz w:val="24"/>
        </w:rPr>
        <w:t>further</w:t>
      </w:r>
      <w:r>
        <w:rPr>
          <w:spacing w:val="-6"/>
          <w:sz w:val="24"/>
        </w:rPr>
        <w:t> </w:t>
      </w:r>
      <w:r>
        <w:rPr>
          <w:sz w:val="24"/>
        </w:rPr>
        <w:t>market</w:t>
      </w:r>
      <w:r>
        <w:rPr>
          <w:spacing w:val="-5"/>
          <w:sz w:val="24"/>
        </w:rPr>
        <w:t> </w:t>
      </w:r>
      <w:r>
        <w:rPr>
          <w:sz w:val="24"/>
        </w:rPr>
        <w:t>share in the near term, although export growth </w:t>
      </w:r>
      <w:r>
        <w:rPr>
          <w:spacing w:val="-3"/>
          <w:sz w:val="24"/>
        </w:rPr>
        <w:t>over </w:t>
      </w:r>
      <w:r>
        <w:rPr>
          <w:sz w:val="24"/>
        </w:rPr>
        <w:t>the next two years is expected to be a little stronger than the May projection, reflecting the lower exchange rate profile and a more buoyant outlook for world</w:t>
      </w:r>
      <w:r>
        <w:rPr>
          <w:spacing w:val="-12"/>
          <w:sz w:val="24"/>
        </w:rPr>
        <w:t> </w:t>
      </w:r>
      <w:r>
        <w:rPr>
          <w:sz w:val="24"/>
        </w:rPr>
        <w:t>trade.</w:t>
      </w:r>
    </w:p>
    <w:p>
      <w:pPr>
        <w:pStyle w:val="BodyText"/>
        <w:rPr>
          <w:sz w:val="27"/>
        </w:rPr>
      </w:pPr>
    </w:p>
    <w:p>
      <w:pPr>
        <w:spacing w:line="242" w:lineRule="auto" w:before="0"/>
        <w:ind w:left="4979" w:right="202" w:firstLine="0"/>
        <w:jc w:val="left"/>
        <w:rPr>
          <w:sz w:val="24"/>
        </w:rPr>
      </w:pPr>
      <w:r>
        <w:rPr>
          <w:sz w:val="24"/>
        </w:rPr>
        <w:t>Although import growth slowed a little in the first quarter, as domestic demand growth moderated, imports have risen more rapidly in recent months and the underlying trend remains firmly upward. Bank Agents’ contacts continue to report intense competition from imports across a wide range of goods and services. The depreciation of sterling since the May </w:t>
      </w:r>
      <w:r>
        <w:rPr>
          <w:i/>
          <w:sz w:val="24"/>
        </w:rPr>
        <w:t>Report </w:t>
      </w:r>
      <w:r>
        <w:rPr>
          <w:sz w:val="24"/>
        </w:rPr>
        <w:t>is likely to ease the pressure on UK producers somewhat. But, as noted earlier, the Committee expects that foreign suppliers may partly compensate by cutting the relatively high margin on UK sales more quickly.</w:t>
      </w:r>
    </w:p>
    <w:p>
      <w:pPr>
        <w:spacing w:after="0" w:line="242" w:lineRule="auto"/>
        <w:jc w:val="left"/>
        <w:rPr>
          <w:sz w:val="24"/>
        </w:rPr>
        <w:sectPr>
          <w:pgSz w:w="11900" w:h="16840"/>
          <w:pgMar w:header="586" w:footer="592" w:top="780" w:bottom="780" w:left="640" w:right="640"/>
        </w:sectPr>
      </w:pPr>
    </w:p>
    <w:p>
      <w:pPr>
        <w:pStyle w:val="BodyText"/>
        <w:rPr>
          <w:sz w:val="20"/>
        </w:rPr>
      </w:pPr>
    </w:p>
    <w:p>
      <w:pPr>
        <w:spacing w:line="242" w:lineRule="auto" w:before="222"/>
        <w:ind w:left="4960" w:right="0" w:firstLine="0"/>
        <w:jc w:val="left"/>
        <w:rPr>
          <w:sz w:val="24"/>
        </w:rPr>
      </w:pPr>
      <w:r>
        <w:rPr>
          <w:sz w:val="24"/>
        </w:rPr>
        <w:t>Nevertheless, import penetration may rise less rapidly in the near term than projected three months ago.</w:t>
      </w:r>
    </w:p>
    <w:p>
      <w:pPr>
        <w:pStyle w:val="BodyText"/>
        <w:spacing w:before="6"/>
        <w:rPr>
          <w:sz w:val="24"/>
        </w:rPr>
      </w:pPr>
    </w:p>
    <w:p>
      <w:pPr>
        <w:spacing w:line="242" w:lineRule="auto" w:before="1"/>
        <w:ind w:left="4960" w:right="172" w:firstLine="0"/>
        <w:jc w:val="left"/>
        <w:rPr>
          <w:sz w:val="24"/>
        </w:rPr>
      </w:pPr>
      <w:r>
        <w:rPr>
          <w:sz w:val="24"/>
        </w:rPr>
        <w:t>The overall outlook for net trade is a little stronger than in the May </w:t>
      </w:r>
      <w:r>
        <w:rPr>
          <w:i/>
          <w:sz w:val="24"/>
        </w:rPr>
        <w:t>Report </w:t>
      </w:r>
      <w:r>
        <w:rPr>
          <w:sz w:val="24"/>
        </w:rPr>
        <w:t>because world trade is projected to be somewhat stronger and the exchange rate path is lower. Nevertheless, further weakening in the net trade position is likely in the near term as the past appreciation of sterling has continuing effects.</w:t>
      </w:r>
    </w:p>
    <w:p>
      <w:pPr>
        <w:pStyle w:val="BodyText"/>
        <w:spacing w:before="10"/>
      </w:pPr>
    </w:p>
    <w:p>
      <w:pPr>
        <w:spacing w:after="0"/>
        <w:sectPr>
          <w:pgSz w:w="11900" w:h="16840"/>
          <w:pgMar w:header="601" w:footer="612" w:top="800" w:bottom="800" w:left="640" w:right="640"/>
        </w:sectPr>
      </w:pPr>
    </w:p>
    <w:p>
      <w:pPr>
        <w:pStyle w:val="BodyText"/>
        <w:spacing w:before="9"/>
        <w:rPr>
          <w:sz w:val="27"/>
        </w:rPr>
      </w:pPr>
    </w:p>
    <w:p>
      <w:pPr>
        <w:pStyle w:val="Heading6"/>
        <w:spacing w:before="0"/>
        <w:ind w:left="190"/>
      </w:pPr>
      <w:r>
        <w:rPr>
          <w:color w:val="0092C7"/>
        </w:rPr>
        <w:t>Chart 6.1</w:t>
      </w:r>
    </w:p>
    <w:p>
      <w:pPr>
        <w:pStyle w:val="Heading6"/>
        <w:spacing w:line="249" w:lineRule="auto"/>
        <w:ind w:left="190" w:right="12"/>
      </w:pPr>
      <w:r>
        <w:rPr>
          <w:color w:val="0092C7"/>
        </w:rPr>
        <w:t>Current GDP projection based on constant nominal interest rates at 6%</w:t>
      </w:r>
    </w:p>
    <w:p>
      <w:pPr>
        <w:pStyle w:val="BodyText"/>
        <w:spacing w:before="4"/>
        <w:rPr>
          <w:b/>
          <w:sz w:val="17"/>
        </w:rPr>
      </w:pPr>
    </w:p>
    <w:p>
      <w:pPr>
        <w:spacing w:before="0"/>
        <w:ind w:left="1117" w:right="0" w:firstLine="0"/>
        <w:jc w:val="left"/>
        <w:rPr>
          <w:sz w:val="12"/>
        </w:rPr>
      </w:pPr>
      <w:r>
        <w:rPr/>
        <w:pict>
          <v:line style="position:absolute;mso-position-horizontal-relative:page;mso-position-vertical-relative:paragraph;z-index:-22983168" from="198.627007pt,7.389567pt" to="194.988007pt,7.389567pt" stroked="true" strokeweight=".5pt" strokecolor="#000000">
            <v:stroke dashstyle="solid"/>
            <w10:wrap type="none"/>
          </v:line>
        </w:pict>
      </w:r>
      <w:r>
        <w:rPr/>
        <w:pict>
          <v:line style="position:absolute;mso-position-horizontal-relative:page;mso-position-vertical-relative:paragraph;z-index:16315904" from="48.036999pt,7.563567pt" to="44.396999pt,7.563567pt" stroked="true" strokeweight=".5pt" strokecolor="#000000">
            <v:stroke dashstyle="solid"/>
            <w10:wrap type="none"/>
          </v:line>
        </w:pict>
      </w:r>
      <w:r>
        <w:rPr>
          <w:sz w:val="12"/>
        </w:rPr>
        <w:t>Percentage increase in output on a year earlier </w:t>
      </w:r>
      <w:r>
        <w:rPr>
          <w:position w:val="-7"/>
          <w:sz w:val="12"/>
        </w:rPr>
        <w:t>6</w:t>
      </w:r>
    </w:p>
    <w:p>
      <w:pPr>
        <w:pStyle w:val="BodyText"/>
        <w:spacing w:before="2"/>
        <w:rPr>
          <w:sz w:val="24"/>
        </w:rPr>
      </w:pPr>
    </w:p>
    <w:p>
      <w:pPr>
        <w:spacing w:before="1"/>
        <w:ind w:left="0" w:right="454" w:firstLine="0"/>
        <w:jc w:val="right"/>
        <w:rPr>
          <w:sz w:val="12"/>
        </w:rPr>
      </w:pPr>
      <w:r>
        <w:rPr/>
        <w:pict>
          <v:line style="position:absolute;mso-position-horizontal-relative:page;mso-position-vertical-relative:paragraph;z-index:16314368" from="198.627007pt,3.440756pt" to="194.988007pt,3.440756pt" stroked="true" strokeweight=".5pt" strokecolor="#000000">
            <v:stroke dashstyle="solid"/>
            <w10:wrap type="none"/>
          </v:line>
        </w:pict>
      </w:r>
      <w:r>
        <w:rPr/>
        <w:pict>
          <v:line style="position:absolute;mso-position-horizontal-relative:page;mso-position-vertical-relative:paragraph;z-index:16315392" from="48.036999pt,3.614756pt" to="44.396999pt,3.614756pt" stroked="true" strokeweight=".5pt" strokecolor="#000000">
            <v:stroke dashstyle="solid"/>
            <w10:wrap type="none"/>
          </v:line>
        </w:pict>
      </w:r>
      <w:r>
        <w:rPr>
          <w:sz w:val="12"/>
        </w:rPr>
        <w:t>5</w:t>
      </w:r>
    </w:p>
    <w:p>
      <w:pPr>
        <w:pStyle w:val="BodyText"/>
        <w:rPr>
          <w:sz w:val="12"/>
        </w:rPr>
      </w:pPr>
    </w:p>
    <w:p>
      <w:pPr>
        <w:pStyle w:val="BodyText"/>
        <w:spacing w:before="2"/>
        <w:rPr>
          <w:sz w:val="12"/>
        </w:rPr>
      </w:pPr>
    </w:p>
    <w:p>
      <w:pPr>
        <w:spacing w:before="1"/>
        <w:ind w:left="0" w:right="454" w:firstLine="0"/>
        <w:jc w:val="right"/>
        <w:rPr>
          <w:sz w:val="12"/>
        </w:rPr>
      </w:pPr>
      <w:r>
        <w:rPr/>
        <w:pict>
          <v:group style="position:absolute;margin-left:44.396999pt;margin-top:-4.393458pt;width:154.25pt;height:79.05pt;mso-position-horizontal-relative:page;mso-position-vertical-relative:paragraph;z-index:16312832" coordorigin="888,-88" coordsize="3085,1581">
            <v:shape style="position:absolute;left:2860;top:-88;width:971;height:1581" coordorigin="2860,-88" coordsize="971,1581" path="m3615,-88l3507,-25,3400,4,3292,46,3184,154,3076,296,2968,467,2860,487,2968,913,3076,1188,3184,1342,3292,1459,3400,1492,3507,1455,3615,1380,3831,1405,3831,-55,3723,-67,3615,-88xe" filled="true" fillcolor="#eaf0ec" stroked="false">
              <v:path arrowok="t"/>
              <v:fill type="solid"/>
            </v:shape>
            <v:shape style="position:absolute;left:2860;top:56;width:971;height:1255" coordorigin="2860,57" coordsize="971,1255" path="m3615,57l3507,119,3292,186,3184,270,3076,386,2968,511,2860,486,2968,857,3076,1082,3184,1199,3292,1287,3400,1312,3507,1274,3615,1199,3831,1224,3831,86,3723,74,3615,57xe" filled="true" fillcolor="#d4e3dc" stroked="false">
              <v:path arrowok="t"/>
              <v:fill type="solid"/>
            </v:shape>
            <v:shape style="position:absolute;left:2860;top:152;width:971;height:1039" coordorigin="2860,153" coordsize="971,1039" path="m3615,153l3507,219,3400,253,3292,282,3184,353,3076,444,2968,540,2860,486,2968,824,3076,1007,3184,1103,3292,1174,3400,1191,3507,1153,3615,1078,3831,1103,3831,182,3723,169,3615,153xe" filled="true" fillcolor="#bed7ca" stroked="false">
              <v:path arrowok="t"/>
              <v:fill type="solid"/>
            </v:shape>
            <v:shape style="position:absolute;left:2860;top:227;width:971;height:868" coordorigin="2860,228" coordsize="971,868" path="m3615,228l3507,295,3400,332,3292,357,3184,416,3076,495,2968,566,2860,486,2968,795,3076,949,3184,1024,3292,1083,3400,1095,3507,1053,3615,982,3723,991,3831,1003,3831,257,3723,245,3615,228xe" filled="true" fillcolor="#a7c9b8" stroked="false">
              <v:path arrowok="t"/>
              <v:fill type="solid"/>
            </v:shape>
            <v:shape style="position:absolute;left:2860;top:297;width:971;height:713" coordorigin="2860,297" coordsize="971,713" path="m3615,297l3507,364,3400,402,3292,422,3184,468,3076,535,2968,585,2860,485,2968,768,3076,898,3184,956,3292,1002,3400,1010,3507,973,3615,898,3831,923,3831,322,3615,297xe" filled="true" fillcolor="#8ebdaa" stroked="false">
              <v:path arrowok="t"/>
              <v:fill type="solid"/>
            </v:shape>
            <v:shape style="position:absolute;left:2860;top:356;width:971;height:584" coordorigin="2860,357" coordsize="971,584" path="m3615,357l3507,428,3400,465,3292,486,3184,520,3076,574,2968,603,2860,486,2968,749,3076,857,3184,903,3292,936,3400,941,3507,899,3615,828,3723,836,3831,849,3831,382,3615,357xe" filled="true" fillcolor="#76b19a" stroked="false">
              <v:path arrowok="t"/>
              <v:fill type="solid"/>
            </v:shape>
            <v:shape style="position:absolute;left:2860;top:409;width:971;height:463" coordorigin="2860,410" coordsize="971,463" path="m3615,410l3507,485,3400,522,3292,539,3184,568,3076,606,2968,622,2860,485,2968,727,3076,818,3184,847,3292,872,3400,872,3507,831,3615,756,3723,764,3831,777,3831,435,3615,410xe" filled="true" fillcolor="#57a68a" stroked="false">
              <v:path arrowok="t"/>
              <v:fill type="solid"/>
            </v:shape>
            <v:shape style="position:absolute;left:2860;top:465;width:971;height:342" coordorigin="2860,465" coordsize="971,342" path="m3615,465l3507,536,3400,578,3292,590,3184,611,3076,640,2968,636,2860,486,2968,707,3076,778,3184,794,3292,807,3400,807,3507,765,3615,690,3723,699,3831,711,3831,486,3723,473,3615,465xe" filled="true" fillcolor="#309a7b" stroked="false">
              <v:path arrowok="t"/>
              <v:fill type="solid"/>
            </v:shape>
            <v:shape style="position:absolute;left:2860;top:484;width:971;height:263" coordorigin="2860,484" coordsize="971,263" path="m2860,484l2968,684,3076,739,3292,747,3400,743,3507,701,3615,626,3723,634,3831,647,3831,534,3723,522,3615,514,3507,584,3400,626,3184,651,3076,668,2968,651,2860,484xe" filled="true" fillcolor="#008360" stroked="false">
              <v:path arrowok="t"/>
              <v:fill type="solid"/>
            </v:shape>
            <v:shape style="position:absolute;left:3899;top:68;width:73;height:1251" coordorigin="3900,69" coordsize="73,1251" path="m3973,1320l3900,1320m3973,903l3900,903m3973,486l3900,486m3973,69l3900,69e" filled="false" stroked="true" strokeweight=".5pt" strokecolor="#000000">
              <v:path arrowok="t"/>
              <v:stroke dashstyle="solid"/>
            </v:shape>
            <v:shape style="position:absolute;left:1024;top:110;width:1726;height:951" coordorigin="1024,111" coordsize="1726,951" path="m1132,723l1024,782m1240,652l1132,723m1348,536l1240,652m1456,432l1348,536m1564,277l1456,432m1671,111l1564,277m1779,273l1671,111m1887,411l1779,273m1995,494l1887,411m2103,736l1995,494m2211,894l2103,736m2318,1061l2211,894m2426,1015l2318,1061m2534,790l2426,1015m2642,561l2534,790m2750,486l2642,561e" filled="false" stroked="true" strokeweight="1pt" strokecolor="#008360">
              <v:path arrowok="t"/>
              <v:stroke dashstyle="solid"/>
            </v:shape>
            <v:rect style="position:absolute;left:2749;top:475;width:108;height:20" filled="true" fillcolor="#008360" stroked="false">
              <v:fill type="solid"/>
            </v:rect>
            <v:shape style="position:absolute;left:1024;top:110;width:1726;height:951" coordorigin="1024,111" coordsize="1726,951" path="m1132,723l1024,782m1240,652l1132,723m1348,536l1240,652m1456,432l1348,536m1564,277l1456,432m1671,111l1564,277m1779,273l1671,111m1887,411l1779,273m1995,494l1887,411m2103,736l1995,494m2211,894l2103,736m2318,1061l2211,894m2426,1015l2318,1061m2534,790l2426,1015m2642,561l2534,790m2750,486l2642,561e" filled="false" stroked="true" strokeweight="1pt" strokecolor="#008360">
              <v:path arrowok="t"/>
              <v:stroke dashstyle="solid"/>
            </v:shape>
            <v:rect style="position:absolute;left:2749;top:475;width:108;height:20" filled="true" fillcolor="#008360" stroked="false">
              <v:fill type="solid"/>
            </v:rect>
            <v:shape style="position:absolute;left:1024;top:110;width:1726;height:951" coordorigin="1024,111" coordsize="1726,951" path="m1132,723l1024,782m1240,652l1132,723m1348,536l1240,652m1456,432l1348,536m1564,277l1456,432m1671,111l1564,277m1779,273l1671,111m1887,411l1779,273m1995,494l1887,411m2103,736l1995,494m2211,894l2103,736m2318,1061l2211,894m2426,1015l2318,1061m2534,790l2426,1015m2642,561l2534,790m2750,486l2642,561e" filled="false" stroked="true" strokeweight="1pt" strokecolor="#008360">
              <v:path arrowok="t"/>
              <v:stroke dashstyle="solid"/>
            </v:shape>
            <v:rect style="position:absolute;left:2749;top:475;width:108;height:20" filled="true" fillcolor="#008360" stroked="false">
              <v:fill type="solid"/>
            </v:rect>
            <v:shape style="position:absolute;left:1024;top:110;width:1726;height:951" coordorigin="1024,111" coordsize="1726,951" path="m1132,723l1024,782m1240,652l1132,723m1348,536l1240,652m1456,432l1348,536m1564,277l1456,432m1671,111l1564,277m1779,273l1671,111m1887,411l1779,273m1995,494l1887,411m2103,736l1995,494m2211,894l2103,736m2318,1061l2211,894m2426,1015l2318,1061m2534,790l2426,1015m2642,561l2534,790m2750,486l2642,561e" filled="false" stroked="true" strokeweight="1pt" strokecolor="#008360">
              <v:path arrowok="t"/>
              <v:stroke dashstyle="solid"/>
            </v:shape>
            <v:rect style="position:absolute;left:2749;top:475;width:108;height:20" filled="true" fillcolor="#008360" stroked="false">
              <v:fill type="solid"/>
            </v:rect>
            <v:shape style="position:absolute;left:1024;top:110;width:1726;height:951" coordorigin="1024,111" coordsize="1726,951" path="m1132,723l1024,782m1240,652l1132,723m1348,536l1240,652m1456,432l1348,536m1564,277l1456,432m1671,111l1564,277m1779,273l1671,111m1887,411l1779,273m1995,494l1887,411m2103,736l1995,494m2211,894l2103,736m2318,1061l2211,894m2426,1015l2318,1061m2534,790l2426,1015m2642,561l2534,790m2750,486l2642,561e" filled="false" stroked="true" strokeweight="1pt" strokecolor="#008360">
              <v:path arrowok="t"/>
              <v:stroke dashstyle="solid"/>
            </v:shape>
            <v:rect style="position:absolute;left:2749;top:475;width:108;height:20" filled="true" fillcolor="#008360" stroked="false">
              <v:fill type="solid"/>
            </v:rect>
            <v:shape style="position:absolute;left:1024;top:110;width:1726;height:951" coordorigin="1024,111" coordsize="1726,951" path="m1132,723l1024,782m1240,652l1132,723m1348,536l1240,652m1456,432l1348,536m1564,277l1456,432m1671,111l1564,277m1779,273l1671,111m1887,411l1779,273m1995,494l1887,411m2103,736l1995,494m2211,894l2103,736m2318,1061l2211,894m2426,1015l2318,1061m2534,790l2426,1015m2642,561l2534,790m2750,486l2642,561e" filled="false" stroked="true" strokeweight="1pt" strokecolor="#008360">
              <v:path arrowok="t"/>
              <v:stroke dashstyle="solid"/>
            </v:shape>
            <v:rect style="position:absolute;left:2749;top:475;width:108;height:20" filled="true" fillcolor="#008360" stroked="false">
              <v:fill type="solid"/>
            </v:rect>
            <v:shape style="position:absolute;left:1024;top:110;width:1726;height:951" coordorigin="1024,111" coordsize="1726,951" path="m1132,723l1024,782m1240,652l1132,723m1348,536l1240,652m1456,432l1348,536m1564,277l1456,432m1671,111l1564,277m1779,273l1671,111m1887,411l1779,273m1995,494l1887,411m2103,736l1995,494m2211,894l2103,736m2318,1061l2211,894m2426,1015l2318,1061m2534,790l2426,1015m2642,561l2534,790m2750,486l2642,561e" filled="false" stroked="true" strokeweight="1pt" strokecolor="#008360">
              <v:path arrowok="t"/>
              <v:stroke dashstyle="solid"/>
            </v:shape>
            <v:rect style="position:absolute;left:2749;top:475;width:108;height:20" filled="true" fillcolor="#008360" stroked="false">
              <v:fill type="solid"/>
            </v:rect>
            <v:shape style="position:absolute;left:1024;top:110;width:1726;height:951" coordorigin="1024,111" coordsize="1726,951" path="m1132,723l1024,782m1240,652l1132,723m1348,536l1240,652m1456,432l1348,536m1564,277l1456,432m1671,111l1564,277m1779,273l1671,111m1887,411l1779,273m1995,494l1887,411m2103,736l1995,494m2211,894l2103,736m2318,1061l2211,894m2426,1015l2318,1061m2534,790l2426,1015m2642,561l2534,790m2750,486l2642,561e" filled="false" stroked="true" strokeweight="1pt" strokecolor="#008360">
              <v:path arrowok="t"/>
              <v:stroke dashstyle="solid"/>
            </v:shape>
            <v:rect style="position:absolute;left:2749;top:475;width:108;height:20" filled="true" fillcolor="#008360" stroked="false">
              <v:fill type="solid"/>
            </v:rect>
            <v:shape style="position:absolute;left:1024;top:110;width:1726;height:951" coordorigin="1024,111" coordsize="1726,951" path="m1132,723l1024,782m1240,652l1132,723m1348,536l1240,652m1456,432l1348,536m1564,277l1456,432m1671,111l1564,277m1779,273l1671,111m1887,411l1779,273m1995,494l1887,411m2103,736l1995,494m2211,894l2103,736m2318,1061l2211,894m2426,1015l2318,1061m2534,790l2426,1015m2642,561l2534,790m2750,486l2642,561e" filled="false" stroked="true" strokeweight="1pt" strokecolor="#008360">
              <v:path arrowok="t"/>
              <v:stroke dashstyle="solid"/>
            </v:shape>
            <v:rect style="position:absolute;left:2749;top:475;width:108;height:20" filled="true" fillcolor="#008360" stroked="false">
              <v:fill type="solid"/>
            </v:rect>
            <v:shape style="position:absolute;left:1024;top:110;width:1726;height:951" coordorigin="1024,111" coordsize="1726,951" path="m1132,723l1024,782m1240,652l1132,723m1348,536l1240,652m1456,432l1348,536m1564,277l1456,432m1671,111l1564,277m1779,273l1671,111m1887,411l1779,273m1995,494l1887,411m2103,736l1995,494m2211,894l2103,736m2318,1061l2211,894m2426,1015l2318,1061m2534,790l2426,1015m2642,561l2534,790m2750,486l2642,561e" filled="false" stroked="true" strokeweight="1pt" strokecolor="#008360">
              <v:path arrowok="t"/>
              <v:stroke dashstyle="solid"/>
            </v:shape>
            <v:rect style="position:absolute;left:2749;top:475;width:108;height:20" filled="true" fillcolor="#008360" stroked="false">
              <v:fill type="solid"/>
            </v:rect>
            <v:shape style="position:absolute;left:1024;top:110;width:1726;height:951" coordorigin="1024,111" coordsize="1726,951" path="m1132,723l1024,782m1240,652l1132,723m1348,536l1240,652m1456,432l1348,536m1564,277l1456,432m1671,111l1564,277m1779,273l1671,111m1887,411l1779,273m1995,494l1887,411m2103,736l1995,494m2211,894l2103,736m2318,1061l2211,894m2426,1015l2318,1061m2534,790l2426,1015m2642,561l2534,790m2750,486l2642,561e" filled="false" stroked="true" strokeweight="1pt" strokecolor="#008360">
              <v:path arrowok="t"/>
              <v:stroke dashstyle="solid"/>
            </v:shape>
            <v:rect style="position:absolute;left:2749;top:475;width:108;height:20" filled="true" fillcolor="#008360" stroked="false">
              <v:fill type="solid"/>
            </v:rect>
            <v:shape style="position:absolute;left:1024;top:110;width:1726;height:951" coordorigin="1024,111" coordsize="1726,951" path="m1132,723l1024,782m1240,652l1132,723m1348,536l1240,652m1456,432l1348,536m1564,277l1456,432m1671,111l1564,277m1779,273l1671,111m1887,411l1779,273m1995,494l1887,411m2103,736l1995,494m2211,894l2103,736m2318,1061l2211,894m2426,1015l2318,1061m2534,790l2426,1015m2642,561l2534,790m2750,486l2642,561e" filled="false" stroked="true" strokeweight="1pt" strokecolor="#008360">
              <v:path arrowok="t"/>
              <v:stroke dashstyle="solid"/>
            </v:shape>
            <v:rect style="position:absolute;left:2749;top:475;width:108;height:20" filled="true" fillcolor="#008360" stroked="false">
              <v:fill type="solid"/>
            </v:rect>
            <v:shape style="position:absolute;left:1024;top:110;width:1726;height:951" coordorigin="1024,111" coordsize="1726,951" path="m1132,723l1024,782m1240,652l1132,723m1348,536l1240,652m1456,432l1348,536m1564,277l1456,432m1671,111l1564,277m1779,273l1671,111m1887,411l1779,273m1995,494l1887,411m2103,736l1995,494m2211,894l2103,736m2318,1061l2211,894m2426,1015l2318,1061m2534,790l2426,1015m2642,561l2534,790m2750,486l2642,561e" filled="false" stroked="true" strokeweight="1pt" strokecolor="#008360">
              <v:path arrowok="t"/>
              <v:stroke dashstyle="solid"/>
            </v:shape>
            <v:rect style="position:absolute;left:2749;top:475;width:108;height:20" filled="true" fillcolor="#008360" stroked="false">
              <v:fill type="solid"/>
            </v:rect>
            <v:shape style="position:absolute;left:1024;top:110;width:1726;height:951" coordorigin="1024,111" coordsize="1726,951" path="m1132,723l1024,782m1240,652l1132,723m1348,536l1240,652m1456,432l1348,536m1564,277l1456,432m1671,111l1564,277m1779,273l1671,111m1887,411l1779,273m1995,494l1887,411m2103,736l1995,494m2211,894l2103,736m2318,1061l2211,894m2426,1015l2318,1061m2534,790l2426,1015m2642,561l2534,790m2750,486l2642,561e" filled="false" stroked="true" strokeweight="1pt" strokecolor="#008360">
              <v:path arrowok="t"/>
              <v:stroke dashstyle="solid"/>
            </v:shape>
            <v:rect style="position:absolute;left:2749;top:475;width:108;height:20" filled="true" fillcolor="#008360" stroked="false">
              <v:fill type="solid"/>
            </v:rect>
            <v:shape style="position:absolute;left:1024;top:110;width:1726;height:951" coordorigin="1024,111" coordsize="1726,951" path="m1132,723l1024,782m1240,652l1132,723m1348,536l1240,652m1456,432l1348,536m1564,277l1456,432m1671,111l1564,277m1779,273l1671,111m1887,411l1779,273m1995,494l1887,411m2103,736l1995,494m2211,894l2103,736m2318,1061l2211,894m2426,1015l2318,1061m2534,790l2426,1015m2642,561l2534,790m2750,486l2642,561e" filled="false" stroked="true" strokeweight="1pt" strokecolor="#008360">
              <v:path arrowok="t"/>
              <v:stroke dashstyle="solid"/>
            </v:shape>
            <v:rect style="position:absolute;left:2749;top:475;width:108;height:20" filled="true" fillcolor="#008360" stroked="false">
              <v:fill type="solid"/>
            </v:rect>
            <v:shape style="position:absolute;left:1024;top:110;width:1726;height:951" coordorigin="1024,111" coordsize="1726,951" path="m1132,723l1024,782m1240,652l1132,723m1348,536l1240,652m1456,432l1348,536m1564,277l1456,432m1671,111l1564,277m1779,273l1671,111m1887,411l1779,273m1995,494l1887,411m2103,736l1995,494m2211,894l2103,736m2318,1061l2211,894m2426,1015l2318,1061m2534,790l2426,1015m2642,561l2534,790m2750,486l2642,561e" filled="false" stroked="true" strokeweight="1pt" strokecolor="#008360">
              <v:path arrowok="t"/>
              <v:stroke dashstyle="solid"/>
            </v:shape>
            <v:rect style="position:absolute;left:2749;top:475;width:108;height:20" filled="true" fillcolor="#008360" stroked="false">
              <v:fill type="solid"/>
            </v:rect>
            <v:shape style="position:absolute;left:1024;top:110;width:1726;height:951" coordorigin="1024,111" coordsize="1726,951" path="m1132,723l1024,782m1240,652l1132,723m1348,536l1240,652m1456,432l1348,536m1564,277l1456,432m1671,111l1564,277m1779,273l1671,111m1887,411l1779,273m1995,494l1887,411m2103,736l1995,494m2211,894l2103,736m2318,1061l2211,894m2426,1015l2318,1061m2534,790l2426,1015m2642,561l2534,790m2750,486l2642,561e" filled="false" stroked="true" strokeweight="1pt" strokecolor="#008360">
              <v:path arrowok="t"/>
              <v:stroke dashstyle="solid"/>
            </v:shape>
            <v:rect style="position:absolute;left:2749;top:475;width:108;height:20" filled="true" fillcolor="#008360" stroked="false">
              <v:fill type="solid"/>
            </v:rect>
            <v:shape style="position:absolute;left:1024;top:110;width:1726;height:951" coordorigin="1024,111" coordsize="1726,951" path="m1132,723l1024,782m1240,652l1132,723m1348,536l1240,652m1456,432l1348,536m1564,277l1456,432m1671,111l1564,277m1779,273l1671,111m1887,411l1779,273m1995,494l1887,411m2103,736l1995,494m2211,894l2103,736m2318,1061l2211,894m2426,1015l2318,1061m2534,790l2426,1015m2642,561l2534,790m2750,486l2642,561e" filled="false" stroked="true" strokeweight="1pt" strokecolor="#008360">
              <v:path arrowok="t"/>
              <v:stroke dashstyle="solid"/>
            </v:shape>
            <v:rect style="position:absolute;left:2749;top:475;width:108;height:20" filled="true" fillcolor="#008360" stroked="false">
              <v:fill type="solid"/>
            </v:rect>
            <v:shape style="position:absolute;left:1024;top:110;width:1726;height:951" coordorigin="1024,111" coordsize="1726,951" path="m1132,723l1024,782m1240,652l1132,723m1348,536l1240,652m1456,432l1348,536m1564,277l1456,432m1671,111l1564,277m1779,273l1671,111m1887,411l1779,273m1995,494l1887,411m2103,736l1995,494m2211,894l2103,736m2318,1061l2211,894m2426,1015l2318,1061m2534,790l2426,1015m2642,561l2534,790m2750,486l2642,561e" filled="false" stroked="true" strokeweight="1pt" strokecolor="#008360">
              <v:path arrowok="t"/>
              <v:stroke dashstyle="solid"/>
            </v:shape>
            <v:rect style="position:absolute;left:2749;top:475;width:108;height:20" filled="true" fillcolor="#008360" stroked="false">
              <v:fill type="solid"/>
            </v:rect>
            <v:shape style="position:absolute;left:887;top:72;width:73;height:1251" coordorigin="888,72" coordsize="73,1251" path="m961,1323l888,1323m961,906l888,906m961,489l888,489m961,72l888,72e" filled="false" stroked="true" strokeweight=".5pt" strokecolor="#000000">
              <v:path arrowok="t"/>
              <v:stroke dashstyle="solid"/>
            </v:shape>
            <w10:wrap type="none"/>
          </v:group>
        </w:pict>
      </w:r>
      <w:r>
        <w:rPr>
          <w:sz w:val="12"/>
        </w:rPr>
        <w:t>4</w:t>
      </w:r>
    </w:p>
    <w:p>
      <w:pPr>
        <w:pStyle w:val="BodyText"/>
        <w:rPr>
          <w:sz w:val="12"/>
        </w:rPr>
      </w:pPr>
    </w:p>
    <w:p>
      <w:pPr>
        <w:pStyle w:val="BodyText"/>
        <w:spacing w:before="2"/>
        <w:rPr>
          <w:sz w:val="12"/>
        </w:rPr>
      </w:pPr>
    </w:p>
    <w:p>
      <w:pPr>
        <w:spacing w:before="0"/>
        <w:ind w:left="0" w:right="454" w:firstLine="0"/>
        <w:jc w:val="right"/>
        <w:rPr>
          <w:sz w:val="12"/>
        </w:rPr>
      </w:pPr>
      <w:r>
        <w:rPr>
          <w:sz w:val="12"/>
        </w:rPr>
        <w:t>3</w:t>
      </w:r>
    </w:p>
    <w:p>
      <w:pPr>
        <w:pStyle w:val="BodyText"/>
        <w:rPr>
          <w:sz w:val="12"/>
        </w:rPr>
      </w:pPr>
    </w:p>
    <w:p>
      <w:pPr>
        <w:pStyle w:val="BodyText"/>
        <w:spacing w:before="3"/>
        <w:rPr>
          <w:sz w:val="12"/>
        </w:rPr>
      </w:pPr>
    </w:p>
    <w:p>
      <w:pPr>
        <w:spacing w:before="0"/>
        <w:ind w:left="0" w:right="454" w:firstLine="0"/>
        <w:jc w:val="right"/>
        <w:rPr>
          <w:sz w:val="12"/>
        </w:rPr>
      </w:pPr>
      <w:r>
        <w:rPr>
          <w:sz w:val="12"/>
        </w:rPr>
        <w:t>2</w:t>
      </w:r>
    </w:p>
    <w:p>
      <w:pPr>
        <w:pStyle w:val="BodyText"/>
        <w:rPr>
          <w:sz w:val="12"/>
        </w:rPr>
      </w:pPr>
    </w:p>
    <w:p>
      <w:pPr>
        <w:pStyle w:val="BodyText"/>
        <w:spacing w:before="3"/>
        <w:rPr>
          <w:sz w:val="12"/>
        </w:rPr>
      </w:pPr>
    </w:p>
    <w:p>
      <w:pPr>
        <w:spacing w:before="0"/>
        <w:ind w:left="0" w:right="454" w:firstLine="0"/>
        <w:jc w:val="right"/>
        <w:rPr>
          <w:sz w:val="12"/>
        </w:rPr>
      </w:pPr>
      <w:r>
        <w:rPr>
          <w:sz w:val="12"/>
        </w:rPr>
        <w:t>1</w:t>
      </w:r>
    </w:p>
    <w:p>
      <w:pPr>
        <w:spacing w:before="37"/>
        <w:ind w:left="3312" w:right="0" w:firstLine="0"/>
        <w:jc w:val="left"/>
        <w:rPr>
          <w:sz w:val="16"/>
        </w:rPr>
      </w:pPr>
      <w:r>
        <w:rPr>
          <w:sz w:val="16"/>
        </w:rPr>
        <w:t>+</w:t>
      </w:r>
    </w:p>
    <w:p>
      <w:pPr>
        <w:spacing w:before="58"/>
        <w:ind w:left="0" w:right="454" w:firstLine="0"/>
        <w:jc w:val="right"/>
        <w:rPr>
          <w:sz w:val="12"/>
        </w:rPr>
      </w:pPr>
      <w:r>
        <w:rPr/>
        <w:pict>
          <v:shape style="position:absolute;margin-left:44.396999pt;margin-top:6.121774pt;width:154.25pt;height:.25pt;mso-position-horizontal-relative:page;mso-position-vertical-relative:paragraph;z-index:16313856" coordorigin="888,122" coordsize="3085,5" path="m3973,126l3900,126m961,122l888,122m1023,127l3832,127e" filled="false" stroked="true" strokeweight=".5pt" strokecolor="#000000">
            <v:path arrowok="t"/>
            <v:stroke dashstyle="solid"/>
            <w10:wrap type="none"/>
          </v:shape>
        </w:pict>
      </w:r>
      <w:r>
        <w:rPr>
          <w:sz w:val="12"/>
        </w:rPr>
        <w:t>0</w:t>
      </w:r>
    </w:p>
    <w:p>
      <w:pPr>
        <w:spacing w:before="38"/>
        <w:ind w:left="3322" w:right="0" w:firstLine="0"/>
        <w:jc w:val="left"/>
        <w:rPr>
          <w:sz w:val="16"/>
        </w:rPr>
      </w:pPr>
      <w:r>
        <w:rPr/>
        <w:pict>
          <v:shape style="position:absolute;margin-left:44.396999pt;margin-top:12.252739pt;width:154.25pt;height:5.3pt;mso-position-horizontal-relative:page;mso-position-vertical-relative:paragraph;z-index:16313344" coordorigin="888,245" coordsize="3085,106" path="m1025,348l3834,348m1024,348l1024,245m1132,348l1132,275m1240,348l1240,275m1348,348l1348,275m1456,348l1456,245m1564,348l1564,275m1671,348l1671,275m1779,348l1779,275m1887,348l1887,245m1995,348l1995,275m2103,348l2103,275m2211,348l2211,275m2318,348l2318,245m2426,348l2426,275m2534,348l2534,275m2642,348l2642,275m2750,348l2750,245m2858,348l2858,275m2965,348l2965,275m3073,348l3073,275m3181,348l3181,245m3289,348l3289,275m3397,348l3397,275m3505,348l3505,275m3612,348l3612,245m3720,348l3720,275m3828,348l3828,275m3973,347l3900,347m961,350l888,350e" filled="false" stroked="true" strokeweight=".5pt" strokecolor="#000000">
            <v:path arrowok="t"/>
            <v:stroke dashstyle="solid"/>
            <w10:wrap type="none"/>
          </v:shape>
        </w:pict>
      </w:r>
      <w:r>
        <w:rPr>
          <w:sz w:val="16"/>
        </w:rPr>
        <w:t>–</w:t>
      </w:r>
    </w:p>
    <w:p>
      <w:pPr>
        <w:spacing w:line="119" w:lineRule="exact" w:before="57"/>
        <w:ind w:left="3378" w:right="0" w:firstLine="0"/>
        <w:jc w:val="left"/>
        <w:rPr>
          <w:sz w:val="12"/>
        </w:rPr>
      </w:pPr>
      <w:r>
        <w:rPr>
          <w:sz w:val="12"/>
        </w:rPr>
        <w:t>1</w:t>
      </w:r>
    </w:p>
    <w:p>
      <w:pPr>
        <w:tabs>
          <w:tab w:pos="979" w:val="left" w:leader="none"/>
          <w:tab w:pos="1399" w:val="left" w:leader="none"/>
          <w:tab w:pos="1844" w:val="left" w:leader="none"/>
          <w:tab w:pos="2214" w:val="left" w:leader="none"/>
          <w:tab w:pos="2709" w:val="left" w:leader="none"/>
          <w:tab w:pos="3059" w:val="left" w:leader="none"/>
        </w:tabs>
        <w:spacing w:line="119" w:lineRule="exact" w:before="0"/>
        <w:ind w:left="464" w:right="0" w:firstLine="0"/>
        <w:jc w:val="left"/>
        <w:rPr>
          <w:sz w:val="12"/>
        </w:rPr>
      </w:pPr>
      <w:r>
        <w:rPr>
          <w:sz w:val="12"/>
        </w:rPr>
        <w:t>1996</w:t>
        <w:tab/>
        <w:t>97</w:t>
        <w:tab/>
        <w:t>98</w:t>
        <w:tab/>
        <w:t>99</w:t>
        <w:tab/>
        <w:t>2000</w:t>
        <w:tab/>
        <w:t>01</w:t>
        <w:tab/>
        <w:t>02</w:t>
      </w:r>
    </w:p>
    <w:p>
      <w:pPr>
        <w:pStyle w:val="BodyText"/>
        <w:spacing w:before="6"/>
        <w:rPr>
          <w:sz w:val="10"/>
        </w:rPr>
      </w:pPr>
    </w:p>
    <w:p>
      <w:pPr>
        <w:spacing w:line="208" w:lineRule="auto" w:before="0"/>
        <w:ind w:left="200" w:right="365" w:firstLine="0"/>
        <w:jc w:val="left"/>
        <w:rPr>
          <w:sz w:val="12"/>
        </w:rPr>
      </w:pPr>
      <w:r>
        <w:rPr>
          <w:sz w:val="12"/>
        </w:rPr>
        <w:t>The fan chart depicting the probability distribution for output growth is rather like a contour map. At any given point during the forecast period, the depth of shading represents the height of the probability density function over a range of outcomes for output. The darkest band includes the central (single most likely) projection and covers 10% of the probability. Each successive pair of bands is drawn to cover a further 10% of the probability, until 90% of the probability distribution is covered. The bands widen as the time horizon is extended, indicating increasing uncertainty about outcomes.</w:t>
      </w:r>
    </w:p>
    <w:p>
      <w:pPr>
        <w:spacing w:line="242" w:lineRule="auto" w:before="90"/>
        <w:ind w:left="190" w:right="356" w:firstLine="0"/>
        <w:jc w:val="both"/>
        <w:rPr>
          <w:sz w:val="16"/>
        </w:rPr>
      </w:pPr>
      <w:r>
        <w:rPr/>
        <w:br w:type="column"/>
      </w:r>
      <w:r>
        <w:rPr>
          <w:sz w:val="24"/>
        </w:rPr>
        <w:t>The outlook for GDP growth </w:t>
      </w:r>
      <w:r>
        <w:rPr>
          <w:spacing w:val="-3"/>
          <w:sz w:val="24"/>
        </w:rPr>
        <w:t>over </w:t>
      </w:r>
      <w:r>
        <w:rPr>
          <w:sz w:val="24"/>
        </w:rPr>
        <w:t>the next two years is shown in Chart 6.1.</w:t>
      </w:r>
      <w:r>
        <w:rPr>
          <w:position w:val="5"/>
          <w:sz w:val="16"/>
        </w:rPr>
        <w:t>(1) </w:t>
      </w:r>
      <w:r>
        <w:rPr>
          <w:sz w:val="24"/>
        </w:rPr>
        <w:t>The projection is conditioned on the assumption of unchanged UK interest rates.</w:t>
      </w:r>
      <w:r>
        <w:rPr>
          <w:position w:val="5"/>
          <w:sz w:val="16"/>
        </w:rPr>
        <w:t>(2)</w:t>
      </w:r>
    </w:p>
    <w:p>
      <w:pPr>
        <w:spacing w:line="242" w:lineRule="auto" w:before="4"/>
        <w:ind w:left="190" w:right="108" w:firstLine="0"/>
        <w:jc w:val="left"/>
        <w:rPr>
          <w:sz w:val="24"/>
        </w:rPr>
      </w:pPr>
      <w:r>
        <w:rPr>
          <w:sz w:val="24"/>
        </w:rPr>
        <w:t>Four-quarter GDP growth has remained around 3% in the first half of this year, a little stronger than expected in May. But there are signs of a slowdown, comparing growth in the first half of the year to the second half of 1999, and output growth may slow further in the second half of the year as consumer spending softens and as the net trade position weakens. Public spending will support overall activity over the forecast horizon, and GDP growth may edge up a little in the second year of the projection as the impact of the rise in interest rates in late 1999 and early 2000 gradually wears off. In the central projection, the annual growth rate slows to about 2</w:t>
      </w:r>
      <w:r>
        <w:rPr>
          <w:position w:val="8"/>
          <w:sz w:val="12"/>
        </w:rPr>
        <w:t>1</w:t>
      </w:r>
      <w:r>
        <w:rPr>
          <w:sz w:val="24"/>
        </w:rPr>
        <w:t>/</w:t>
      </w:r>
      <w:r>
        <w:rPr>
          <w:sz w:val="12"/>
        </w:rPr>
        <w:t>2</w:t>
      </w:r>
      <w:r>
        <w:rPr>
          <w:sz w:val="24"/>
        </w:rPr>
        <w:t>% around the turn of the year before rising slightly in the second half of the projection. The broad picture is little changed from May.</w:t>
      </w:r>
    </w:p>
    <w:p>
      <w:pPr>
        <w:pStyle w:val="BodyText"/>
        <w:spacing w:before="8"/>
        <w:rPr>
          <w:sz w:val="27"/>
        </w:rPr>
      </w:pPr>
    </w:p>
    <w:p>
      <w:pPr>
        <w:spacing w:line="242" w:lineRule="auto" w:before="1"/>
        <w:ind w:left="190" w:right="121" w:firstLine="0"/>
        <w:jc w:val="left"/>
        <w:rPr>
          <w:sz w:val="24"/>
        </w:rPr>
      </w:pPr>
      <w:r>
        <w:rPr>
          <w:sz w:val="24"/>
        </w:rPr>
        <w:t>There is no simple mapping between the near-term prospects for output growth and the outlook for inflation. Indeed, in the long run, output growth is determined by the growth in supply capacity—by the rise in the labour force and improvements in productivity—while the rate of inflation is determined by the stance of monetary policy. In the short-to-medium term, inflation prospects will be affected by the level of nominal demand in relation to supply capacity.</w:t>
      </w:r>
    </w:p>
    <w:p>
      <w:pPr>
        <w:pStyle w:val="BodyText"/>
        <w:rPr>
          <w:sz w:val="27"/>
        </w:rPr>
      </w:pPr>
    </w:p>
    <w:p>
      <w:pPr>
        <w:spacing w:line="242" w:lineRule="auto" w:before="1"/>
        <w:ind w:left="190" w:right="159" w:firstLine="0"/>
        <w:jc w:val="left"/>
        <w:rPr>
          <w:sz w:val="24"/>
        </w:rPr>
      </w:pPr>
      <w:r>
        <w:rPr>
          <w:sz w:val="24"/>
        </w:rPr>
        <w:t>Nominal GDP at market prices rose by 5.8% in the year to 2000 Q1. Monetary indicators provide additional information on the trends in nominal demand. Broad money growth has recovered from low levels around the turn of the year, although movements in the aggregate have been dominated in recent years by swings in deposits held by non-bank financial corporations, which may have less direct implications for economic activity than holdings by households and firms. Excluding this</w:t>
      </w:r>
    </w:p>
    <w:p>
      <w:pPr>
        <w:pStyle w:val="BodyText"/>
        <w:spacing w:before="8"/>
        <w:rPr>
          <w:sz w:val="25"/>
        </w:rPr>
      </w:pPr>
      <w:r>
        <w:rPr/>
        <w:pict>
          <v:shape style="position:absolute;margin-left:279pt;margin-top:16.873241pt;width:279pt;height:.1pt;mso-position-horizontal-relative:page;mso-position-vertical-relative:paragraph;z-index:-15144960;mso-wrap-distance-left:0;mso-wrap-distance-right:0" coordorigin="5580,337" coordsize="5580,0" path="m5580,337l11160,337e" filled="false" stroked="true" strokeweight=".125pt" strokecolor="#000000">
            <v:path arrowok="t"/>
            <v:stroke dashstyle="solid"/>
            <w10:wrap type="topAndBottom"/>
          </v:shape>
        </w:pict>
      </w:r>
    </w:p>
    <w:p>
      <w:pPr>
        <w:pStyle w:val="ListParagraph"/>
        <w:numPr>
          <w:ilvl w:val="0"/>
          <w:numId w:val="41"/>
        </w:numPr>
        <w:tabs>
          <w:tab w:pos="450" w:val="left" w:leader="none"/>
        </w:tabs>
        <w:spacing w:line="153" w:lineRule="exact" w:before="0" w:after="0"/>
        <w:ind w:left="449" w:right="0" w:hanging="241"/>
        <w:jc w:val="left"/>
        <w:rPr>
          <w:sz w:val="16"/>
        </w:rPr>
      </w:pPr>
      <w:r>
        <w:rPr>
          <w:sz w:val="16"/>
        </w:rPr>
        <w:t>Also shown as Chart 1 in the</w:t>
      </w:r>
      <w:r>
        <w:rPr>
          <w:spacing w:val="-9"/>
          <w:sz w:val="16"/>
        </w:rPr>
        <w:t> </w:t>
      </w:r>
      <w:r>
        <w:rPr>
          <w:spacing w:val="-3"/>
          <w:sz w:val="16"/>
        </w:rPr>
        <w:t>Overview.</w:t>
      </w:r>
    </w:p>
    <w:p>
      <w:pPr>
        <w:pStyle w:val="ListParagraph"/>
        <w:numPr>
          <w:ilvl w:val="0"/>
          <w:numId w:val="41"/>
        </w:numPr>
        <w:tabs>
          <w:tab w:pos="450" w:val="left" w:leader="none"/>
        </w:tabs>
        <w:spacing w:line="208" w:lineRule="auto" w:before="7" w:after="0"/>
        <w:ind w:left="449" w:right="1068" w:hanging="240"/>
        <w:jc w:val="left"/>
        <w:rPr>
          <w:sz w:val="16"/>
        </w:rPr>
      </w:pPr>
      <w:r>
        <w:rPr>
          <w:sz w:val="16"/>
        </w:rPr>
        <w:t>An</w:t>
      </w:r>
      <w:r>
        <w:rPr>
          <w:spacing w:val="-7"/>
          <w:sz w:val="16"/>
        </w:rPr>
        <w:t> </w:t>
      </w:r>
      <w:r>
        <w:rPr>
          <w:sz w:val="16"/>
        </w:rPr>
        <w:t>alternative</w:t>
      </w:r>
      <w:r>
        <w:rPr>
          <w:spacing w:val="-6"/>
          <w:sz w:val="16"/>
        </w:rPr>
        <w:t> </w:t>
      </w:r>
      <w:r>
        <w:rPr>
          <w:sz w:val="16"/>
        </w:rPr>
        <w:t>projection</w:t>
      </w:r>
      <w:r>
        <w:rPr>
          <w:spacing w:val="-7"/>
          <w:sz w:val="16"/>
        </w:rPr>
        <w:t> </w:t>
      </w:r>
      <w:r>
        <w:rPr>
          <w:sz w:val="16"/>
        </w:rPr>
        <w:t>assuming</w:t>
      </w:r>
      <w:r>
        <w:rPr>
          <w:spacing w:val="-6"/>
          <w:sz w:val="16"/>
        </w:rPr>
        <w:t> </w:t>
      </w:r>
      <w:r>
        <w:rPr>
          <w:sz w:val="16"/>
        </w:rPr>
        <w:t>that</w:t>
      </w:r>
      <w:r>
        <w:rPr>
          <w:spacing w:val="-7"/>
          <w:sz w:val="16"/>
        </w:rPr>
        <w:t> </w:t>
      </w:r>
      <w:r>
        <w:rPr>
          <w:sz w:val="16"/>
        </w:rPr>
        <w:t>the</w:t>
      </w:r>
      <w:r>
        <w:rPr>
          <w:spacing w:val="-6"/>
          <w:sz w:val="16"/>
        </w:rPr>
        <w:t> </w:t>
      </w:r>
      <w:r>
        <w:rPr>
          <w:sz w:val="16"/>
        </w:rPr>
        <w:t>UK</w:t>
      </w:r>
      <w:r>
        <w:rPr>
          <w:spacing w:val="-7"/>
          <w:sz w:val="16"/>
        </w:rPr>
        <w:t> </w:t>
      </w:r>
      <w:r>
        <w:rPr>
          <w:sz w:val="16"/>
        </w:rPr>
        <w:t>interest</w:t>
      </w:r>
      <w:r>
        <w:rPr>
          <w:spacing w:val="-6"/>
          <w:sz w:val="16"/>
        </w:rPr>
        <w:t> </w:t>
      </w:r>
      <w:r>
        <w:rPr>
          <w:sz w:val="16"/>
        </w:rPr>
        <w:t>rates</w:t>
      </w:r>
      <w:r>
        <w:rPr>
          <w:spacing w:val="-6"/>
          <w:sz w:val="16"/>
        </w:rPr>
        <w:t> </w:t>
      </w:r>
      <w:r>
        <w:rPr>
          <w:sz w:val="16"/>
        </w:rPr>
        <w:t>follow market interest rate expectations is shown in Chart 6.7</w:t>
      </w:r>
      <w:r>
        <w:rPr>
          <w:spacing w:val="-29"/>
          <w:sz w:val="16"/>
        </w:rPr>
        <w:t> </w:t>
      </w:r>
      <w:r>
        <w:rPr>
          <w:spacing w:val="-3"/>
          <w:sz w:val="16"/>
        </w:rPr>
        <w:t>below.</w:t>
      </w:r>
    </w:p>
    <w:p>
      <w:pPr>
        <w:spacing w:after="0" w:line="208" w:lineRule="auto"/>
        <w:jc w:val="left"/>
        <w:rPr>
          <w:sz w:val="16"/>
        </w:rPr>
        <w:sectPr>
          <w:type w:val="continuous"/>
          <w:pgSz w:w="11900" w:h="16840"/>
          <w:pgMar w:top="1260" w:bottom="280" w:left="640" w:right="640"/>
          <w:cols w:num="2" w:equalWidth="0">
            <w:col w:w="3895" w:space="875"/>
            <w:col w:w="5850"/>
          </w:cols>
        </w:sectPr>
      </w:pPr>
    </w:p>
    <w:p>
      <w:pPr>
        <w:pStyle w:val="BodyText"/>
        <w:rPr>
          <w:sz w:val="20"/>
        </w:rPr>
      </w:pPr>
    </w:p>
    <w:p>
      <w:pPr>
        <w:spacing w:line="242" w:lineRule="auto" w:before="217"/>
        <w:ind w:left="4960" w:right="159" w:firstLine="0"/>
        <w:jc w:val="left"/>
        <w:rPr>
          <w:sz w:val="24"/>
        </w:rPr>
      </w:pPr>
      <w:r>
        <w:rPr>
          <w:sz w:val="24"/>
        </w:rPr>
        <w:t>component, broad money growth edged up to just </w:t>
      </w:r>
      <w:r>
        <w:rPr>
          <w:spacing w:val="-3"/>
          <w:sz w:val="24"/>
        </w:rPr>
        <w:t>over </w:t>
      </w:r>
      <w:r>
        <w:rPr>
          <w:sz w:val="24"/>
        </w:rPr>
        <w:t>6% in the year to 2000 Q2 as deposits of non-financial companies </w:t>
      </w:r>
      <w:r>
        <w:rPr>
          <w:spacing w:val="-3"/>
          <w:sz w:val="24"/>
        </w:rPr>
        <w:t>have </w:t>
      </w:r>
      <w:r>
        <w:rPr>
          <w:sz w:val="24"/>
        </w:rPr>
        <w:t>risen </w:t>
      </w:r>
      <w:r>
        <w:rPr>
          <w:spacing w:val="-3"/>
          <w:sz w:val="24"/>
        </w:rPr>
        <w:t>sharply.  </w:t>
      </w:r>
      <w:r>
        <w:rPr>
          <w:sz w:val="24"/>
        </w:rPr>
        <w:t>Aggregate sterling lending growth has risen </w:t>
      </w:r>
      <w:r>
        <w:rPr>
          <w:spacing w:val="-3"/>
          <w:sz w:val="24"/>
        </w:rPr>
        <w:t>further. </w:t>
      </w:r>
      <w:r>
        <w:rPr>
          <w:sz w:val="24"/>
        </w:rPr>
        <w:t>Corporate borrowing has increased rapidly in recent months and lending to households has so far remained robust. But the balance of evidence from monetary indicators is consistent with some easing in nominal demand growth. Narrow money growth has slowed in recent months, which together with slower growth in household deposits and in the Divisia measure of households’ money signals a weaker outlook for nominal consumer spending. </w:t>
      </w:r>
      <w:r>
        <w:rPr>
          <w:spacing w:val="-3"/>
          <w:sz w:val="24"/>
        </w:rPr>
        <w:t>Moreover, </w:t>
      </w:r>
      <w:r>
        <w:rPr>
          <w:sz w:val="24"/>
        </w:rPr>
        <w:t>although the rise in corporate borrowing may reflect higher investment, future </w:t>
      </w:r>
      <w:r>
        <w:rPr>
          <w:spacing w:val="-3"/>
          <w:sz w:val="24"/>
        </w:rPr>
        <w:t>investment </w:t>
      </w:r>
      <w:r>
        <w:rPr>
          <w:sz w:val="24"/>
        </w:rPr>
        <w:t>growth may be reined back if profit expectations deteriorate or companies become concerned about the build-up in</w:t>
      </w:r>
      <w:r>
        <w:rPr>
          <w:spacing w:val="-10"/>
          <w:sz w:val="24"/>
        </w:rPr>
        <w:t> </w:t>
      </w:r>
      <w:r>
        <w:rPr>
          <w:sz w:val="24"/>
        </w:rPr>
        <w:t>debt.</w:t>
      </w:r>
    </w:p>
    <w:p>
      <w:pPr>
        <w:pStyle w:val="BodyText"/>
        <w:spacing w:before="1"/>
        <w:rPr>
          <w:sz w:val="26"/>
        </w:rPr>
      </w:pPr>
    </w:p>
    <w:p>
      <w:pPr>
        <w:spacing w:line="242" w:lineRule="auto" w:before="0"/>
        <w:ind w:left="4960" w:right="249" w:firstLine="0"/>
        <w:jc w:val="left"/>
        <w:rPr>
          <w:sz w:val="24"/>
        </w:rPr>
      </w:pPr>
      <w:r>
        <w:rPr>
          <w:sz w:val="24"/>
        </w:rPr>
        <w:t>Pay trends are particularly hard to assess at present, given the marked volatility in the measured growth rate of nominal earnings. Headline annual earnings growth rose from just below 5% in the autumn of last year to a peak of 6% in February, but has subsequently fallen sharply to 4.6% in May. As noted in the May </w:t>
      </w:r>
      <w:r>
        <w:rPr>
          <w:i/>
          <w:sz w:val="24"/>
        </w:rPr>
        <w:t>Report</w:t>
      </w:r>
      <w:r>
        <w:rPr>
          <w:sz w:val="24"/>
        </w:rPr>
        <w:t>, earnings around the turn of the year were boosted by one-off payments for millennium working and by high bonus payments in some sectors. Although these payments represent costs for firms and income for employees, the concentration of special payments into a</w:t>
      </w:r>
    </w:p>
    <w:p>
      <w:pPr>
        <w:spacing w:line="242" w:lineRule="auto" w:before="14"/>
        <w:ind w:left="4960" w:right="75" w:firstLine="0"/>
        <w:jc w:val="left"/>
        <w:rPr>
          <w:sz w:val="24"/>
        </w:rPr>
      </w:pPr>
      <w:r>
        <w:rPr>
          <w:sz w:val="24"/>
        </w:rPr>
        <w:t>few months distorted estimates of the underlying trend in nominal earnings growth. It is not easy to make an accurate correction for the effects of these payments.</w:t>
      </w:r>
    </w:p>
    <w:p>
      <w:pPr>
        <w:spacing w:line="242" w:lineRule="auto" w:before="4"/>
        <w:ind w:left="4960" w:right="214" w:firstLine="0"/>
        <w:jc w:val="left"/>
        <w:rPr>
          <w:sz w:val="24"/>
        </w:rPr>
      </w:pPr>
      <w:r>
        <w:rPr>
          <w:sz w:val="24"/>
        </w:rPr>
        <w:t>But a reasonable estimate is that underlying earnings growth may have slowed a little since the autumn, from just under 5% to just over 4</w:t>
      </w:r>
      <w:r>
        <w:rPr>
          <w:position w:val="8"/>
          <w:sz w:val="12"/>
        </w:rPr>
        <w:t>1</w:t>
      </w:r>
      <w:r>
        <w:rPr>
          <w:sz w:val="24"/>
        </w:rPr>
        <w:t>/</w:t>
      </w:r>
      <w:r>
        <w:rPr>
          <w:sz w:val="12"/>
        </w:rPr>
        <w:t>2</w:t>
      </w:r>
      <w:r>
        <w:rPr>
          <w:sz w:val="24"/>
        </w:rPr>
        <w:t>%. As inflation expectations appear to have changed little over this period—and if anything have edged up rather than down—this easing represents a reduction in real as well as nominal pay growth.</w:t>
      </w:r>
    </w:p>
    <w:p>
      <w:pPr>
        <w:pStyle w:val="BodyText"/>
        <w:spacing w:before="1"/>
        <w:rPr>
          <w:sz w:val="25"/>
        </w:rPr>
      </w:pPr>
    </w:p>
    <w:p>
      <w:pPr>
        <w:spacing w:line="242" w:lineRule="auto" w:before="0"/>
        <w:ind w:left="4960" w:right="202" w:firstLine="0"/>
        <w:jc w:val="left"/>
        <w:rPr>
          <w:sz w:val="24"/>
        </w:rPr>
      </w:pPr>
      <w:r>
        <w:rPr>
          <w:sz w:val="24"/>
        </w:rPr>
        <w:t>A fall in measured earnings growth was projected in the May </w:t>
      </w:r>
      <w:r>
        <w:rPr>
          <w:i/>
          <w:sz w:val="24"/>
        </w:rPr>
        <w:t>Report</w:t>
      </w:r>
      <w:r>
        <w:rPr>
          <w:sz w:val="24"/>
        </w:rPr>
        <w:t>, as millennium-related distortions</w:t>
      </w:r>
      <w:r>
        <w:rPr>
          <w:spacing w:val="-42"/>
          <w:sz w:val="24"/>
        </w:rPr>
        <w:t> </w:t>
      </w:r>
      <w:r>
        <w:rPr>
          <w:sz w:val="24"/>
        </w:rPr>
        <w:t>unwound, but the decline has been more pronounced than expected three months ago. Furthermore, the apparent deceleration in underlying earnings growth </w:t>
      </w:r>
      <w:r>
        <w:rPr>
          <w:spacing w:val="-3"/>
          <w:sz w:val="24"/>
        </w:rPr>
        <w:t>over </w:t>
      </w:r>
      <w:r>
        <w:rPr>
          <w:sz w:val="24"/>
        </w:rPr>
        <w:t>the past six to nine months has occurred against the background of a tight labour market. Employment has risen by 0.7% </w:t>
      </w:r>
      <w:r>
        <w:rPr>
          <w:spacing w:val="-3"/>
          <w:sz w:val="24"/>
        </w:rPr>
        <w:t>over </w:t>
      </w:r>
      <w:r>
        <w:rPr>
          <w:sz w:val="24"/>
        </w:rPr>
        <w:t>the past six months according to the Labour Force </w:t>
      </w:r>
      <w:r>
        <w:rPr>
          <w:spacing w:val="-4"/>
          <w:sz w:val="24"/>
        </w:rPr>
        <w:t>Survey. </w:t>
      </w:r>
      <w:r>
        <w:rPr>
          <w:spacing w:val="-3"/>
          <w:sz w:val="24"/>
        </w:rPr>
        <w:t>Moreover, </w:t>
      </w:r>
      <w:r>
        <w:rPr>
          <w:sz w:val="24"/>
        </w:rPr>
        <w:t>forward-looking surveys suggest continued employment growth in the coming</w:t>
      </w:r>
      <w:r>
        <w:rPr>
          <w:spacing w:val="-28"/>
          <w:sz w:val="24"/>
        </w:rPr>
        <w:t> </w:t>
      </w:r>
      <w:r>
        <w:rPr>
          <w:sz w:val="24"/>
        </w:rPr>
        <w:t>months.</w:t>
      </w:r>
    </w:p>
    <w:p>
      <w:pPr>
        <w:spacing w:line="242" w:lineRule="auto" w:before="13"/>
        <w:ind w:left="4960" w:right="214" w:firstLine="0"/>
        <w:jc w:val="left"/>
        <w:rPr>
          <w:sz w:val="24"/>
        </w:rPr>
      </w:pPr>
      <w:r>
        <w:rPr>
          <w:sz w:val="24"/>
        </w:rPr>
        <w:t>Unemployment has fallen to 5.6% on the LFS measure and to 3.8% on the claimant count measure—the lowest</w:t>
      </w:r>
    </w:p>
    <w:p>
      <w:pPr>
        <w:spacing w:after="0" w:line="242" w:lineRule="auto"/>
        <w:jc w:val="left"/>
        <w:rPr>
          <w:sz w:val="24"/>
        </w:rPr>
        <w:sectPr>
          <w:pgSz w:w="11900" w:h="16840"/>
          <w:pgMar w:header="586" w:footer="592" w:top="780" w:bottom="780" w:left="640" w:right="640"/>
        </w:sectPr>
      </w:pPr>
    </w:p>
    <w:p>
      <w:pPr>
        <w:pStyle w:val="BodyText"/>
        <w:spacing w:before="9"/>
        <w:rPr>
          <w:sz w:val="29"/>
        </w:rPr>
      </w:pPr>
    </w:p>
    <w:p>
      <w:pPr>
        <w:spacing w:line="242" w:lineRule="auto" w:before="90"/>
        <w:ind w:left="4960" w:right="214" w:firstLine="0"/>
        <w:jc w:val="left"/>
        <w:rPr>
          <w:sz w:val="24"/>
        </w:rPr>
      </w:pPr>
      <w:r>
        <w:rPr>
          <w:sz w:val="24"/>
        </w:rPr>
        <w:t>level for nearly 25 years. Skill shortages are at high levels. And while pay settlements have on average remained in the region of 3%, there have been more reports that settlements may be beginning to edge up.</w:t>
      </w:r>
    </w:p>
    <w:p>
      <w:pPr>
        <w:pStyle w:val="BodyText"/>
        <w:spacing w:before="9"/>
        <w:rPr>
          <w:sz w:val="24"/>
        </w:rPr>
      </w:pPr>
    </w:p>
    <w:p>
      <w:pPr>
        <w:spacing w:line="242" w:lineRule="auto" w:before="0"/>
        <w:ind w:left="4960" w:right="214" w:firstLine="0"/>
        <w:jc w:val="left"/>
        <w:rPr>
          <w:sz w:val="24"/>
        </w:rPr>
      </w:pPr>
      <w:r>
        <w:rPr>
          <w:sz w:val="24"/>
        </w:rPr>
        <w:t>The recent indications of rather weaker-than-expected earnings growth combined with falling unemployment provide some evidence that underlying labour market performance is better than previously judged. Although pressures on real pay growth in recent years have been eased by gains in the terms of trade, recent data may indicate a lower estimate of the level of unemployment that is consistent with stable inflation. While considerable uncertainty remains, and there are risks in both directions, the Committee judges that pressures on real earnings growth over the next two years could be somewhat weaker than estimated in the May </w:t>
      </w:r>
      <w:r>
        <w:rPr>
          <w:i/>
          <w:sz w:val="24"/>
        </w:rPr>
        <w:t>Report</w:t>
      </w:r>
      <w:r>
        <w:rPr>
          <w:sz w:val="24"/>
        </w:rPr>
        <w:t>.</w:t>
      </w:r>
    </w:p>
    <w:p>
      <w:pPr>
        <w:pStyle w:val="BodyText"/>
        <w:spacing w:before="7"/>
        <w:rPr>
          <w:sz w:val="25"/>
        </w:rPr>
      </w:pPr>
    </w:p>
    <w:p>
      <w:pPr>
        <w:spacing w:line="242" w:lineRule="auto" w:before="1"/>
        <w:ind w:left="4960" w:right="208" w:firstLine="0"/>
        <w:jc w:val="left"/>
        <w:rPr>
          <w:sz w:val="24"/>
        </w:rPr>
      </w:pPr>
      <w:r>
        <w:rPr>
          <w:sz w:val="24"/>
        </w:rPr>
        <w:t>Labour cost pressures on prices depend on productivity growth as well as the growth in earnings. Measures of whole-economy productivity growth have risen over the past year, and the upward revision to output growth over the past two years has been associated with a corresponding increase in estimates of productivity growth. Even so, productivity growth has only recently edged above its average over the past 40 years of around 2% per annum: indeed, productivity growth was below this long-term average throughout the 1995–99 period. The Committee has maintained the assumption in the central projection that the long-term trend growth in labour productivity will remain around 2% per annum and that actual productivity growth will remain close to this rate over the next two years. Noting the improvement in productivity growth in the United States over the past five years, some Committee members prefer to base the projection on an assumption that the rate of technical progress will rise gradually towards recent US rates, as technological gains are emulated by companies in the United Kingdom.</w:t>
      </w:r>
    </w:p>
    <w:p>
      <w:pPr>
        <w:pStyle w:val="BodyText"/>
        <w:spacing w:before="7"/>
        <w:rPr>
          <w:sz w:val="26"/>
        </w:rPr>
      </w:pPr>
    </w:p>
    <w:p>
      <w:pPr>
        <w:spacing w:line="242" w:lineRule="auto" w:before="0"/>
        <w:ind w:left="4960" w:right="330" w:firstLine="0"/>
        <w:jc w:val="both"/>
        <w:rPr>
          <w:sz w:val="24"/>
        </w:rPr>
      </w:pPr>
      <w:r>
        <w:rPr>
          <w:sz w:val="24"/>
        </w:rPr>
        <w:t>Reports</w:t>
      </w:r>
      <w:r>
        <w:rPr>
          <w:spacing w:val="-8"/>
          <w:sz w:val="24"/>
        </w:rPr>
        <w:t> </w:t>
      </w:r>
      <w:r>
        <w:rPr>
          <w:sz w:val="24"/>
        </w:rPr>
        <w:t>from</w:t>
      </w:r>
      <w:r>
        <w:rPr>
          <w:spacing w:val="-7"/>
          <w:sz w:val="24"/>
        </w:rPr>
        <w:t> </w:t>
      </w:r>
      <w:r>
        <w:rPr>
          <w:sz w:val="24"/>
        </w:rPr>
        <w:t>the</w:t>
      </w:r>
      <w:r>
        <w:rPr>
          <w:spacing w:val="-7"/>
          <w:sz w:val="24"/>
        </w:rPr>
        <w:t> </w:t>
      </w:r>
      <w:r>
        <w:rPr>
          <w:sz w:val="24"/>
        </w:rPr>
        <w:t>regional</w:t>
      </w:r>
      <w:r>
        <w:rPr>
          <w:spacing w:val="-19"/>
          <w:sz w:val="24"/>
        </w:rPr>
        <w:t> </w:t>
      </w:r>
      <w:r>
        <w:rPr>
          <w:sz w:val="24"/>
        </w:rPr>
        <w:t>Agents’</w:t>
      </w:r>
      <w:r>
        <w:rPr>
          <w:spacing w:val="-22"/>
          <w:sz w:val="24"/>
        </w:rPr>
        <w:t> </w:t>
      </w:r>
      <w:r>
        <w:rPr>
          <w:sz w:val="24"/>
        </w:rPr>
        <w:t>contacts</w:t>
      </w:r>
      <w:r>
        <w:rPr>
          <w:spacing w:val="-7"/>
          <w:sz w:val="24"/>
        </w:rPr>
        <w:t> </w:t>
      </w:r>
      <w:r>
        <w:rPr>
          <w:sz w:val="24"/>
        </w:rPr>
        <w:t>and</w:t>
      </w:r>
      <w:r>
        <w:rPr>
          <w:spacing w:val="-8"/>
          <w:sz w:val="24"/>
        </w:rPr>
        <w:t> </w:t>
      </w:r>
      <w:r>
        <w:rPr>
          <w:sz w:val="24"/>
        </w:rPr>
        <w:t>surveys of</w:t>
      </w:r>
      <w:r>
        <w:rPr>
          <w:spacing w:val="-6"/>
          <w:sz w:val="24"/>
        </w:rPr>
        <w:t> </w:t>
      </w:r>
      <w:r>
        <w:rPr>
          <w:sz w:val="24"/>
        </w:rPr>
        <w:t>pricing</w:t>
      </w:r>
      <w:r>
        <w:rPr>
          <w:spacing w:val="-6"/>
          <w:sz w:val="24"/>
        </w:rPr>
        <w:t> </w:t>
      </w:r>
      <w:r>
        <w:rPr>
          <w:sz w:val="24"/>
        </w:rPr>
        <w:t>trends</w:t>
      </w:r>
      <w:r>
        <w:rPr>
          <w:spacing w:val="-5"/>
          <w:sz w:val="24"/>
        </w:rPr>
        <w:t> </w:t>
      </w:r>
      <w:r>
        <w:rPr>
          <w:sz w:val="24"/>
        </w:rPr>
        <w:t>are</w:t>
      </w:r>
      <w:r>
        <w:rPr>
          <w:spacing w:val="-6"/>
          <w:sz w:val="24"/>
        </w:rPr>
        <w:t> </w:t>
      </w:r>
      <w:r>
        <w:rPr>
          <w:sz w:val="24"/>
        </w:rPr>
        <w:t>consistent</w:t>
      </w:r>
      <w:r>
        <w:rPr>
          <w:spacing w:val="-6"/>
          <w:sz w:val="24"/>
        </w:rPr>
        <w:t> </w:t>
      </w:r>
      <w:r>
        <w:rPr>
          <w:sz w:val="24"/>
        </w:rPr>
        <w:t>with</w:t>
      </w:r>
      <w:r>
        <w:rPr>
          <w:spacing w:val="-5"/>
          <w:sz w:val="24"/>
        </w:rPr>
        <w:t> </w:t>
      </w:r>
      <w:r>
        <w:rPr>
          <w:sz w:val="24"/>
        </w:rPr>
        <w:t>the</w:t>
      </w:r>
      <w:r>
        <w:rPr>
          <w:spacing w:val="-6"/>
          <w:sz w:val="24"/>
        </w:rPr>
        <w:t> </w:t>
      </w:r>
      <w:r>
        <w:rPr>
          <w:sz w:val="24"/>
        </w:rPr>
        <w:t>view</w:t>
      </w:r>
      <w:r>
        <w:rPr>
          <w:spacing w:val="-5"/>
          <w:sz w:val="24"/>
        </w:rPr>
        <w:t> </w:t>
      </w:r>
      <w:r>
        <w:rPr>
          <w:sz w:val="24"/>
        </w:rPr>
        <w:t>that</w:t>
      </w:r>
      <w:r>
        <w:rPr>
          <w:spacing w:val="-6"/>
          <w:sz w:val="24"/>
        </w:rPr>
        <w:t> </w:t>
      </w:r>
      <w:r>
        <w:rPr>
          <w:sz w:val="24"/>
        </w:rPr>
        <w:t>many companies are facing unusual constraints in passing on cost increases in the form of higher</w:t>
      </w:r>
      <w:r>
        <w:rPr>
          <w:spacing w:val="-15"/>
          <w:sz w:val="24"/>
        </w:rPr>
        <w:t> </w:t>
      </w:r>
      <w:r>
        <w:rPr>
          <w:sz w:val="24"/>
        </w:rPr>
        <w:t>prices.</w:t>
      </w:r>
    </w:p>
    <w:p>
      <w:pPr>
        <w:spacing w:line="242" w:lineRule="auto" w:before="5"/>
        <w:ind w:left="4960" w:right="168" w:firstLine="0"/>
        <w:jc w:val="left"/>
        <w:rPr>
          <w:sz w:val="24"/>
        </w:rPr>
      </w:pPr>
      <w:r>
        <w:rPr>
          <w:spacing w:val="-3"/>
          <w:sz w:val="24"/>
        </w:rPr>
        <w:t>Technological </w:t>
      </w:r>
      <w:r>
        <w:rPr>
          <w:sz w:val="24"/>
        </w:rPr>
        <w:t>advances may be facilitating greater price transparency and an intensification of competition both domestically and internationally. The Committee has maintained</w:t>
      </w:r>
      <w:r>
        <w:rPr>
          <w:spacing w:val="-7"/>
          <w:sz w:val="24"/>
        </w:rPr>
        <w:t> </w:t>
      </w:r>
      <w:r>
        <w:rPr>
          <w:sz w:val="24"/>
        </w:rPr>
        <w:t>the</w:t>
      </w:r>
      <w:r>
        <w:rPr>
          <w:spacing w:val="-7"/>
          <w:sz w:val="24"/>
        </w:rPr>
        <w:t> </w:t>
      </w:r>
      <w:r>
        <w:rPr>
          <w:sz w:val="24"/>
        </w:rPr>
        <w:t>assumption</w:t>
      </w:r>
      <w:r>
        <w:rPr>
          <w:spacing w:val="-7"/>
          <w:sz w:val="24"/>
        </w:rPr>
        <w:t> </w:t>
      </w:r>
      <w:r>
        <w:rPr>
          <w:sz w:val="24"/>
        </w:rPr>
        <w:t>from</w:t>
      </w:r>
      <w:r>
        <w:rPr>
          <w:spacing w:val="-7"/>
          <w:sz w:val="24"/>
        </w:rPr>
        <w:t> </w:t>
      </w:r>
      <w:r>
        <w:rPr>
          <w:sz w:val="24"/>
        </w:rPr>
        <w:t>previous</w:t>
      </w:r>
      <w:r>
        <w:rPr>
          <w:spacing w:val="-6"/>
          <w:sz w:val="24"/>
        </w:rPr>
        <w:t> </w:t>
      </w:r>
      <w:r>
        <w:rPr>
          <w:i/>
          <w:sz w:val="24"/>
        </w:rPr>
        <w:t>Reports</w:t>
      </w:r>
      <w:r>
        <w:rPr>
          <w:i/>
          <w:spacing w:val="-6"/>
          <w:sz w:val="24"/>
        </w:rPr>
        <w:t> </w:t>
      </w:r>
      <w:r>
        <w:rPr>
          <w:sz w:val="24"/>
        </w:rPr>
        <w:t>that</w:t>
      </w:r>
      <w:r>
        <w:rPr>
          <w:spacing w:val="-7"/>
          <w:sz w:val="24"/>
        </w:rPr>
        <w:t> </w:t>
      </w:r>
      <w:r>
        <w:rPr>
          <w:sz w:val="24"/>
        </w:rPr>
        <w:t>an increase in competitive pressures will lead to a fall in prices relative to costs. Such a reduction in profit margins will </w:t>
      </w:r>
      <w:r>
        <w:rPr>
          <w:spacing w:val="-3"/>
          <w:sz w:val="24"/>
        </w:rPr>
        <w:t>have </w:t>
      </w:r>
      <w:r>
        <w:rPr>
          <w:sz w:val="24"/>
        </w:rPr>
        <w:t>a temporary effect on inflation as</w:t>
      </w:r>
      <w:r>
        <w:rPr>
          <w:spacing w:val="-36"/>
          <w:sz w:val="24"/>
        </w:rPr>
        <w:t> </w:t>
      </w:r>
      <w:r>
        <w:rPr>
          <w:sz w:val="24"/>
        </w:rPr>
        <w:t>the</w:t>
      </w:r>
    </w:p>
    <w:p>
      <w:pPr>
        <w:spacing w:after="0" w:line="242" w:lineRule="auto"/>
        <w:jc w:val="left"/>
        <w:rPr>
          <w:sz w:val="24"/>
        </w:rPr>
        <w:sectPr>
          <w:pgSz w:w="11900" w:h="16840"/>
          <w:pgMar w:header="601" w:footer="612" w:top="800" w:bottom="800" w:left="640" w:right="640"/>
        </w:sectPr>
      </w:pPr>
    </w:p>
    <w:p>
      <w:pPr>
        <w:pStyle w:val="BodyText"/>
        <w:rPr>
          <w:sz w:val="20"/>
        </w:rPr>
      </w:pPr>
    </w:p>
    <w:p>
      <w:pPr>
        <w:spacing w:line="242" w:lineRule="auto" w:before="217"/>
        <w:ind w:left="4960" w:right="301" w:firstLine="0"/>
        <w:jc w:val="left"/>
        <w:rPr>
          <w:sz w:val="24"/>
        </w:rPr>
      </w:pPr>
      <w:r>
        <w:rPr>
          <w:sz w:val="24"/>
        </w:rPr>
        <w:t>adjustment occurs. On account of this margin squeeze </w:t>
      </w:r>
      <w:r>
        <w:rPr>
          <w:spacing w:val="-3"/>
          <w:sz w:val="24"/>
        </w:rPr>
        <w:t>over </w:t>
      </w:r>
      <w:r>
        <w:rPr>
          <w:sz w:val="24"/>
        </w:rPr>
        <w:t>the forecast horizon, the central assumption, unchanged from </w:t>
      </w:r>
      <w:r>
        <w:rPr>
          <w:spacing w:val="-5"/>
          <w:sz w:val="24"/>
        </w:rPr>
        <w:t>May, </w:t>
      </w:r>
      <w:r>
        <w:rPr>
          <w:sz w:val="24"/>
        </w:rPr>
        <w:t>is that RPIX inflation will be reduced by around 0.25 percentage points in the first </w:t>
      </w:r>
      <w:r>
        <w:rPr>
          <w:spacing w:val="-3"/>
          <w:sz w:val="24"/>
        </w:rPr>
        <w:t>year, </w:t>
      </w:r>
      <w:r>
        <w:rPr>
          <w:sz w:val="24"/>
        </w:rPr>
        <w:t>and by some 0.3 percentage points in the second year of the projection. Utility prices fell sharply in April</w:t>
      </w:r>
      <w:r>
        <w:rPr>
          <w:spacing w:val="-6"/>
          <w:sz w:val="24"/>
        </w:rPr>
        <w:t> </w:t>
      </w:r>
      <w:r>
        <w:rPr>
          <w:sz w:val="24"/>
        </w:rPr>
        <w:t>2000,</w:t>
      </w:r>
      <w:r>
        <w:rPr>
          <w:spacing w:val="-4"/>
          <w:sz w:val="24"/>
        </w:rPr>
        <w:t> </w:t>
      </w:r>
      <w:r>
        <w:rPr>
          <w:sz w:val="24"/>
        </w:rPr>
        <w:t>in</w:t>
      </w:r>
      <w:r>
        <w:rPr>
          <w:spacing w:val="-6"/>
          <w:sz w:val="24"/>
        </w:rPr>
        <w:t> </w:t>
      </w:r>
      <w:r>
        <w:rPr>
          <w:sz w:val="24"/>
        </w:rPr>
        <w:t>line</w:t>
      </w:r>
      <w:r>
        <w:rPr>
          <w:spacing w:val="-5"/>
          <w:sz w:val="24"/>
        </w:rPr>
        <w:t> </w:t>
      </w:r>
      <w:r>
        <w:rPr>
          <w:sz w:val="24"/>
        </w:rPr>
        <w:t>with</w:t>
      </w:r>
      <w:r>
        <w:rPr>
          <w:spacing w:val="-5"/>
          <w:sz w:val="24"/>
        </w:rPr>
        <w:t> </w:t>
      </w:r>
      <w:r>
        <w:rPr>
          <w:sz w:val="24"/>
        </w:rPr>
        <w:t>the</w:t>
      </w:r>
      <w:r>
        <w:rPr>
          <w:spacing w:val="-6"/>
          <w:sz w:val="24"/>
        </w:rPr>
        <w:t> </w:t>
      </w:r>
      <w:r>
        <w:rPr>
          <w:sz w:val="24"/>
        </w:rPr>
        <w:t>cuts</w:t>
      </w:r>
      <w:r>
        <w:rPr>
          <w:spacing w:val="-5"/>
          <w:sz w:val="24"/>
        </w:rPr>
        <w:t> </w:t>
      </w:r>
      <w:r>
        <w:rPr>
          <w:sz w:val="24"/>
        </w:rPr>
        <w:t>stipulated</w:t>
      </w:r>
      <w:r>
        <w:rPr>
          <w:spacing w:val="-6"/>
          <w:sz w:val="24"/>
        </w:rPr>
        <w:t> </w:t>
      </w:r>
      <w:r>
        <w:rPr>
          <w:sz w:val="24"/>
        </w:rPr>
        <w:t>by</w:t>
      </w:r>
      <w:r>
        <w:rPr>
          <w:spacing w:val="-5"/>
          <w:sz w:val="24"/>
        </w:rPr>
        <w:t> </w:t>
      </w:r>
      <w:r>
        <w:rPr>
          <w:sz w:val="24"/>
        </w:rPr>
        <w:t>regulators</w:t>
      </w:r>
    </w:p>
    <w:p>
      <w:pPr>
        <w:spacing w:line="242" w:lineRule="auto" w:before="9"/>
        <w:ind w:left="4960" w:right="189" w:firstLine="0"/>
        <w:jc w:val="left"/>
        <w:rPr>
          <w:sz w:val="24"/>
        </w:rPr>
      </w:pPr>
      <w:r>
        <w:rPr>
          <w:sz w:val="24"/>
        </w:rPr>
        <w:t>and incorporated in previous projections. The temporary effect on inflation of these lower prices, which will end in Spring 2001, is factored into the projection.</w:t>
      </w:r>
    </w:p>
    <w:p>
      <w:pPr>
        <w:pStyle w:val="BodyText"/>
        <w:spacing w:before="7"/>
        <w:rPr>
          <w:sz w:val="24"/>
        </w:rPr>
      </w:pPr>
    </w:p>
    <w:p>
      <w:pPr>
        <w:spacing w:line="242" w:lineRule="auto" w:before="1"/>
        <w:ind w:left="4960" w:right="187" w:firstLine="0"/>
        <w:jc w:val="left"/>
        <w:rPr>
          <w:sz w:val="24"/>
        </w:rPr>
      </w:pPr>
      <w:r>
        <w:rPr>
          <w:sz w:val="24"/>
        </w:rPr>
        <w:t>There is considerable uncertainty surrounding the possible magnitude of changes in price-cost margins and of the impact of supply-side developments more generally on inflation prospects. As in the previous </w:t>
      </w:r>
      <w:r>
        <w:rPr>
          <w:i/>
          <w:sz w:val="24"/>
        </w:rPr>
        <w:t>Report</w:t>
      </w:r>
      <w:r>
        <w:rPr>
          <w:sz w:val="24"/>
        </w:rPr>
        <w:t>, some Committee members consider that</w:t>
      </w:r>
      <w:r>
        <w:rPr>
          <w:spacing w:val="-40"/>
          <w:sz w:val="24"/>
        </w:rPr>
        <w:t> </w:t>
      </w:r>
      <w:r>
        <w:rPr>
          <w:sz w:val="24"/>
        </w:rPr>
        <w:t>changes in price-cost margins will </w:t>
      </w:r>
      <w:r>
        <w:rPr>
          <w:spacing w:val="-3"/>
          <w:sz w:val="24"/>
        </w:rPr>
        <w:t>have </w:t>
      </w:r>
      <w:r>
        <w:rPr>
          <w:sz w:val="24"/>
        </w:rPr>
        <w:t>a smaller and more temporary effect on inflation than under the central assumption. Other members maintain the judgment that supply-side improvements, facilitating additional gains in productivity and stronger competitive pressures on prices, could lead to stronger downward pressures on inflation than reflected in the fan chart</w:t>
      </w:r>
      <w:r>
        <w:rPr>
          <w:spacing w:val="-22"/>
          <w:sz w:val="24"/>
        </w:rPr>
        <w:t> </w:t>
      </w:r>
      <w:r>
        <w:rPr>
          <w:sz w:val="24"/>
        </w:rPr>
        <w:t>projection.</w:t>
      </w:r>
    </w:p>
    <w:p>
      <w:pPr>
        <w:pStyle w:val="BodyText"/>
        <w:spacing w:before="7"/>
        <w:rPr>
          <w:sz w:val="25"/>
        </w:rPr>
      </w:pPr>
    </w:p>
    <w:p>
      <w:pPr>
        <w:spacing w:line="242" w:lineRule="auto" w:before="0"/>
        <w:ind w:left="4959" w:right="208" w:firstLine="0"/>
        <w:jc w:val="left"/>
        <w:rPr>
          <w:sz w:val="24"/>
        </w:rPr>
      </w:pPr>
      <w:r>
        <w:rPr>
          <w:sz w:val="24"/>
        </w:rPr>
        <w:t>The Committee forms an overall judgment on the outlook for inflation and output growth, and the risks to that outlook (see the </w:t>
      </w:r>
      <w:hyperlink w:history="true" w:anchor="_bookmark32">
        <w:r>
          <w:rPr>
            <w:color w:val="FF0000"/>
            <w:sz w:val="24"/>
          </w:rPr>
          <w:t>box above on page 49 </w:t>
        </w:r>
      </w:hyperlink>
      <w:r>
        <w:rPr>
          <w:sz w:val="24"/>
        </w:rPr>
        <w:t>for a description of the forecast process and the annex box on </w:t>
      </w:r>
      <w:hyperlink w:history="true" w:anchor="_bookmark36">
        <w:r>
          <w:rPr>
            <w:color w:val="FF0000"/>
            <w:sz w:val="24"/>
          </w:rPr>
          <w:t>pages 63–65 </w:t>
        </w:r>
      </w:hyperlink>
      <w:r>
        <w:rPr>
          <w:sz w:val="24"/>
        </w:rPr>
        <w:t>for an assessment of the recent forecasting record). Taking account of all the factors discussed above, the Committee’s best collective projection for the twelve-month RPIX inflation rate—based on the assumption that nominal interest rates are held constant at 6%—is shown in Chart 6.2.</w:t>
      </w:r>
      <w:r>
        <w:rPr>
          <w:position w:val="5"/>
          <w:sz w:val="16"/>
        </w:rPr>
        <w:t>(1) </w:t>
      </w:r>
      <w:r>
        <w:rPr>
          <w:sz w:val="24"/>
        </w:rPr>
        <w:t>It is shown alongside the projection from the May </w:t>
      </w:r>
      <w:r>
        <w:rPr>
          <w:i/>
          <w:sz w:val="24"/>
        </w:rPr>
        <w:t>Report</w:t>
      </w:r>
      <w:r>
        <w:rPr>
          <w:sz w:val="24"/>
        </w:rPr>
        <w:t>, which was also based on the assumption of constant interest rates at 6% (see Chart 6.3).</w:t>
      </w:r>
    </w:p>
    <w:p>
      <w:pPr>
        <w:pStyle w:val="BodyText"/>
        <w:spacing w:before="9"/>
        <w:rPr>
          <w:sz w:val="25"/>
        </w:rPr>
      </w:pPr>
    </w:p>
    <w:p>
      <w:pPr>
        <w:spacing w:line="242" w:lineRule="auto" w:before="0"/>
        <w:ind w:left="4959" w:right="208" w:firstLine="0"/>
        <w:jc w:val="left"/>
        <w:rPr>
          <w:sz w:val="24"/>
        </w:rPr>
      </w:pPr>
      <w:r>
        <w:rPr>
          <w:sz w:val="24"/>
        </w:rPr>
        <w:t>As in May, the broad picture is of a gradual increase in inflation over the next two years. The most likely outcome is for inflation to rise, from just below the target at present, to just above the target at the end of the forecast. Inflation edges up as pressures on domestic supply capacity build gradually over the projection period. In the first year of the projection these pressures are offset by the assumed intensification of competition and associated cuts in price-cost margins, by the fall in utility prices, and by the steady unwinding of the</w:t>
      </w:r>
    </w:p>
    <w:p>
      <w:pPr>
        <w:pStyle w:val="BodyText"/>
        <w:spacing w:before="8"/>
        <w:rPr>
          <w:sz w:val="27"/>
        </w:rPr>
      </w:pPr>
      <w:r>
        <w:rPr/>
        <w:pict>
          <v:shape style="position:absolute;margin-left:279pt;margin-top:17.975384pt;width:276.75pt;height:.1pt;mso-position-horizontal-relative:page;mso-position-vertical-relative:paragraph;z-index:-15140864;mso-wrap-distance-left:0;mso-wrap-distance-right:0" coordorigin="5580,360" coordsize="5535,0" path="m5580,360l11114,360e" filled="false" stroked="true" strokeweight=".125pt" strokecolor="#000000">
            <v:path arrowok="t"/>
            <v:stroke dashstyle="solid"/>
            <w10:wrap type="topAndBottom"/>
          </v:shape>
        </w:pict>
      </w:r>
    </w:p>
    <w:p>
      <w:pPr>
        <w:pStyle w:val="ListParagraph"/>
        <w:numPr>
          <w:ilvl w:val="1"/>
          <w:numId w:val="41"/>
        </w:numPr>
        <w:tabs>
          <w:tab w:pos="5201" w:val="left" w:leader="none"/>
        </w:tabs>
        <w:spacing w:line="208" w:lineRule="auto" w:before="31" w:after="0"/>
        <w:ind w:left="5200" w:right="811" w:hanging="240"/>
        <w:jc w:val="left"/>
        <w:rPr>
          <w:sz w:val="16"/>
        </w:rPr>
      </w:pPr>
      <w:r>
        <w:rPr>
          <w:sz w:val="16"/>
        </w:rPr>
        <w:t>Also shown as Chart 2 in the </w:t>
      </w:r>
      <w:r>
        <w:rPr>
          <w:spacing w:val="-3"/>
          <w:sz w:val="16"/>
        </w:rPr>
        <w:t>Overview. </w:t>
      </w:r>
      <w:r>
        <w:rPr>
          <w:sz w:val="16"/>
        </w:rPr>
        <w:t>An alternative projection based on the assumption that official rates follow market interest rate expectations is shown in Chart</w:t>
      </w:r>
      <w:r>
        <w:rPr>
          <w:spacing w:val="-8"/>
          <w:sz w:val="16"/>
        </w:rPr>
        <w:t> </w:t>
      </w:r>
      <w:r>
        <w:rPr>
          <w:sz w:val="16"/>
        </w:rPr>
        <w:t>6.6.</w:t>
      </w:r>
    </w:p>
    <w:p>
      <w:pPr>
        <w:spacing w:after="0" w:line="208" w:lineRule="auto"/>
        <w:jc w:val="left"/>
        <w:rPr>
          <w:sz w:val="16"/>
        </w:rPr>
        <w:sectPr>
          <w:pgSz w:w="11900" w:h="16840"/>
          <w:pgMar w:header="586" w:footer="592" w:top="780" w:bottom="780" w:left="640" w:right="640"/>
        </w:sectPr>
      </w:pPr>
    </w:p>
    <w:p>
      <w:pPr>
        <w:pStyle w:val="BodyText"/>
        <w:rPr>
          <w:sz w:val="20"/>
        </w:rPr>
      </w:pPr>
    </w:p>
    <w:p>
      <w:pPr>
        <w:spacing w:after="0"/>
        <w:rPr>
          <w:sz w:val="20"/>
        </w:rPr>
        <w:sectPr>
          <w:pgSz w:w="11900" w:h="16840"/>
          <w:pgMar w:header="601" w:footer="612" w:top="800" w:bottom="800" w:left="640" w:right="640"/>
        </w:sectPr>
      </w:pPr>
    </w:p>
    <w:p>
      <w:pPr>
        <w:pStyle w:val="BodyText"/>
        <w:spacing w:before="5"/>
        <w:rPr>
          <w:sz w:val="21"/>
        </w:rPr>
      </w:pPr>
    </w:p>
    <w:p>
      <w:pPr>
        <w:pStyle w:val="Heading6"/>
        <w:spacing w:before="0"/>
        <w:ind w:left="200"/>
      </w:pPr>
      <w:r>
        <w:rPr>
          <w:color w:val="0092C7"/>
        </w:rPr>
        <w:t>Chart 6.2</w:t>
      </w:r>
    </w:p>
    <w:p>
      <w:pPr>
        <w:pStyle w:val="Heading6"/>
        <w:spacing w:line="249" w:lineRule="auto"/>
        <w:ind w:left="200"/>
      </w:pPr>
      <w:r>
        <w:rPr>
          <w:color w:val="0092C7"/>
        </w:rPr>
        <w:t>Current RPIX inflation projection based on constant nominal interest rates at 6%</w:t>
      </w:r>
    </w:p>
    <w:p>
      <w:pPr>
        <w:spacing w:before="188"/>
        <w:ind w:left="1961" w:right="0" w:firstLine="0"/>
        <w:jc w:val="left"/>
        <w:rPr>
          <w:sz w:val="12"/>
        </w:rPr>
      </w:pPr>
      <w:r>
        <w:rPr/>
        <w:drawing>
          <wp:anchor distT="0" distB="0" distL="0" distR="0" allowOverlap="1" layoutInCell="1" locked="0" behindDoc="0" simplePos="0" relativeHeight="16322560">
            <wp:simplePos x="0" y="0"/>
            <wp:positionH relativeFrom="page">
              <wp:posOffset>556602</wp:posOffset>
            </wp:positionH>
            <wp:positionV relativeFrom="paragraph">
              <wp:posOffset>213989</wp:posOffset>
            </wp:positionV>
            <wp:extent cx="59778" cy="6350"/>
            <wp:effectExtent l="0" t="0" r="0" b="0"/>
            <wp:wrapNone/>
            <wp:docPr id="193" name="image12.png"/>
            <wp:cNvGraphicFramePr>
              <a:graphicFrameLocks noChangeAspect="1"/>
            </wp:cNvGraphicFramePr>
            <a:graphic>
              <a:graphicData uri="http://schemas.openxmlformats.org/drawingml/2006/picture">
                <pic:pic>
                  <pic:nvPicPr>
                    <pic:cNvPr id="194" name="image12.png"/>
                    <pic:cNvPicPr/>
                  </pic:nvPicPr>
                  <pic:blipFill>
                    <a:blip r:embed="rId35" cstate="print"/>
                    <a:stretch>
                      <a:fillRect/>
                    </a:stretch>
                  </pic:blipFill>
                  <pic:spPr>
                    <a:xfrm>
                      <a:off x="0" y="0"/>
                      <a:ext cx="59778" cy="6350"/>
                    </a:xfrm>
                    <a:prstGeom prst="rect">
                      <a:avLst/>
                    </a:prstGeom>
                  </pic:spPr>
                </pic:pic>
              </a:graphicData>
            </a:graphic>
          </wp:anchor>
        </w:drawing>
      </w:r>
      <w:r>
        <w:rPr>
          <w:sz w:val="12"/>
        </w:rPr>
        <w:t>Percentage increase in prices on a year earli</w:t>
      </w:r>
      <w:r>
        <w:rPr>
          <w:sz w:val="12"/>
          <w:u w:val="single"/>
        </w:rPr>
        <w:t>er</w:t>
      </w:r>
      <w:r>
        <w:rPr>
          <w:sz w:val="12"/>
        </w:rPr>
        <w:t> </w:t>
      </w:r>
      <w:r>
        <w:rPr>
          <w:position w:val="-7"/>
          <w:sz w:val="12"/>
        </w:rPr>
        <w:t>5</w:t>
      </w:r>
    </w:p>
    <w:p>
      <w:pPr>
        <w:pStyle w:val="BodyText"/>
        <w:spacing w:before="6"/>
        <w:rPr>
          <w:sz w:val="20"/>
        </w:rPr>
      </w:pPr>
      <w:r>
        <w:rPr/>
        <w:br w:type="column"/>
      </w:r>
      <w:r>
        <w:rPr>
          <w:sz w:val="20"/>
        </w:rPr>
      </w:r>
    </w:p>
    <w:p>
      <w:pPr>
        <w:pStyle w:val="Heading6"/>
        <w:spacing w:before="1"/>
        <w:ind w:left="200"/>
      </w:pPr>
      <w:r>
        <w:rPr>
          <w:color w:val="0092C7"/>
        </w:rPr>
        <w:t>Chart 6.3</w:t>
      </w:r>
    </w:p>
    <w:p>
      <w:pPr>
        <w:pStyle w:val="Heading6"/>
        <w:spacing w:line="249" w:lineRule="auto"/>
        <w:ind w:left="200" w:right="805"/>
      </w:pPr>
      <w:r>
        <w:rPr>
          <w:color w:val="0092C7"/>
        </w:rPr>
        <w:t>RPIX inflation projection in May based on constant nominal interest rates at 6%</w:t>
      </w:r>
    </w:p>
    <w:p>
      <w:pPr>
        <w:pStyle w:val="BodyText"/>
        <w:spacing w:before="6"/>
        <w:rPr>
          <w:b/>
          <w:sz w:val="19"/>
        </w:rPr>
      </w:pPr>
    </w:p>
    <w:p>
      <w:pPr>
        <w:spacing w:before="0"/>
        <w:ind w:left="1975" w:right="0" w:firstLine="0"/>
        <w:jc w:val="left"/>
        <w:rPr>
          <w:sz w:val="11"/>
        </w:rPr>
      </w:pPr>
      <w:r>
        <w:rPr/>
        <w:drawing>
          <wp:anchor distT="0" distB="0" distL="0" distR="0" allowOverlap="1" layoutInCell="1" locked="0" behindDoc="1" simplePos="0" relativeHeight="480337408">
            <wp:simplePos x="0" y="0"/>
            <wp:positionH relativeFrom="page">
              <wp:posOffset>6036183</wp:posOffset>
            </wp:positionH>
            <wp:positionV relativeFrom="paragraph">
              <wp:posOffset>83969</wp:posOffset>
            </wp:positionV>
            <wp:extent cx="58102" cy="6350"/>
            <wp:effectExtent l="0" t="0" r="0" b="0"/>
            <wp:wrapNone/>
            <wp:docPr id="195" name="image88.png"/>
            <wp:cNvGraphicFramePr>
              <a:graphicFrameLocks noChangeAspect="1"/>
            </wp:cNvGraphicFramePr>
            <a:graphic>
              <a:graphicData uri="http://schemas.openxmlformats.org/drawingml/2006/picture">
                <pic:pic>
                  <pic:nvPicPr>
                    <pic:cNvPr id="196" name="image88.png"/>
                    <pic:cNvPicPr/>
                  </pic:nvPicPr>
                  <pic:blipFill>
                    <a:blip r:embed="rId177" cstate="print"/>
                    <a:stretch>
                      <a:fillRect/>
                    </a:stretch>
                  </pic:blipFill>
                  <pic:spPr>
                    <a:xfrm>
                      <a:off x="0" y="0"/>
                      <a:ext cx="58102" cy="6350"/>
                    </a:xfrm>
                    <a:prstGeom prst="rect">
                      <a:avLst/>
                    </a:prstGeom>
                  </pic:spPr>
                </pic:pic>
              </a:graphicData>
            </a:graphic>
          </wp:anchor>
        </w:drawing>
      </w:r>
      <w:r>
        <w:rPr/>
        <w:drawing>
          <wp:anchor distT="0" distB="0" distL="0" distR="0" allowOverlap="1" layoutInCell="1" locked="0" behindDoc="0" simplePos="0" relativeHeight="16320512">
            <wp:simplePos x="0" y="0"/>
            <wp:positionH relativeFrom="page">
              <wp:posOffset>3671379</wp:posOffset>
            </wp:positionH>
            <wp:positionV relativeFrom="paragraph">
              <wp:posOffset>82674</wp:posOffset>
            </wp:positionV>
            <wp:extent cx="58102" cy="6350"/>
            <wp:effectExtent l="0" t="0" r="0" b="0"/>
            <wp:wrapNone/>
            <wp:docPr id="197" name="image12.png"/>
            <wp:cNvGraphicFramePr>
              <a:graphicFrameLocks noChangeAspect="1"/>
            </wp:cNvGraphicFramePr>
            <a:graphic>
              <a:graphicData uri="http://schemas.openxmlformats.org/drawingml/2006/picture">
                <pic:pic>
                  <pic:nvPicPr>
                    <pic:cNvPr id="198" name="image12.png"/>
                    <pic:cNvPicPr/>
                  </pic:nvPicPr>
                  <pic:blipFill>
                    <a:blip r:embed="rId35" cstate="print"/>
                    <a:stretch>
                      <a:fillRect/>
                    </a:stretch>
                  </pic:blipFill>
                  <pic:spPr>
                    <a:xfrm>
                      <a:off x="0" y="0"/>
                      <a:ext cx="58102" cy="6350"/>
                    </a:xfrm>
                    <a:prstGeom prst="rect">
                      <a:avLst/>
                    </a:prstGeom>
                  </pic:spPr>
                </pic:pic>
              </a:graphicData>
            </a:graphic>
          </wp:anchor>
        </w:drawing>
      </w:r>
      <w:r>
        <w:rPr>
          <w:w w:val="105"/>
          <w:sz w:val="11"/>
        </w:rPr>
        <w:t>Percentage increase in prices on a year earlier </w:t>
      </w:r>
      <w:r>
        <w:rPr>
          <w:w w:val="105"/>
          <w:position w:val="-6"/>
          <w:sz w:val="11"/>
        </w:rPr>
        <w:t>5</w:t>
      </w:r>
    </w:p>
    <w:p>
      <w:pPr>
        <w:spacing w:after="0"/>
        <w:jc w:val="left"/>
        <w:rPr>
          <w:sz w:val="11"/>
        </w:rPr>
        <w:sectPr>
          <w:type w:val="continuous"/>
          <w:pgSz w:w="11900" w:h="16840"/>
          <w:pgMar w:top="1260" w:bottom="280" w:left="640" w:right="640"/>
          <w:cols w:num="2" w:equalWidth="0">
            <w:col w:w="4328" w:space="452"/>
            <w:col w:w="5840"/>
          </w:cols>
        </w:sectPr>
      </w:pPr>
    </w:p>
    <w:p>
      <w:pPr>
        <w:pStyle w:val="BodyText"/>
        <w:rPr>
          <w:sz w:val="20"/>
        </w:rPr>
      </w:pPr>
    </w:p>
    <w:p>
      <w:pPr>
        <w:pStyle w:val="BodyText"/>
        <w:rPr>
          <w:sz w:val="12"/>
        </w:rPr>
      </w:pPr>
    </w:p>
    <w:p>
      <w:pPr>
        <w:tabs>
          <w:tab w:pos="8986" w:val="left" w:leader="none"/>
        </w:tabs>
        <w:spacing w:before="99"/>
        <w:ind w:left="4227" w:right="0" w:firstLine="0"/>
        <w:jc w:val="left"/>
        <w:rPr>
          <w:sz w:val="11"/>
        </w:rPr>
      </w:pPr>
      <w:r>
        <w:rPr/>
        <w:drawing>
          <wp:anchor distT="0" distB="0" distL="0" distR="0" allowOverlap="1" layoutInCell="1" locked="0" behindDoc="1" simplePos="0" relativeHeight="480336896">
            <wp:simplePos x="0" y="0"/>
            <wp:positionH relativeFrom="page">
              <wp:posOffset>6036183</wp:posOffset>
            </wp:positionH>
            <wp:positionV relativeFrom="paragraph">
              <wp:posOffset>105495</wp:posOffset>
            </wp:positionV>
            <wp:extent cx="58102" cy="6350"/>
            <wp:effectExtent l="0" t="0" r="0" b="0"/>
            <wp:wrapNone/>
            <wp:docPr id="199" name="image88.png"/>
            <wp:cNvGraphicFramePr>
              <a:graphicFrameLocks noChangeAspect="1"/>
            </wp:cNvGraphicFramePr>
            <a:graphic>
              <a:graphicData uri="http://schemas.openxmlformats.org/drawingml/2006/picture">
                <pic:pic>
                  <pic:nvPicPr>
                    <pic:cNvPr id="200" name="image88.png"/>
                    <pic:cNvPicPr/>
                  </pic:nvPicPr>
                  <pic:blipFill>
                    <a:blip r:embed="rId177" cstate="print"/>
                    <a:stretch>
                      <a:fillRect/>
                    </a:stretch>
                  </pic:blipFill>
                  <pic:spPr>
                    <a:xfrm>
                      <a:off x="0" y="0"/>
                      <a:ext cx="58102" cy="6350"/>
                    </a:xfrm>
                    <a:prstGeom prst="rect">
                      <a:avLst/>
                    </a:prstGeom>
                  </pic:spPr>
                </pic:pic>
              </a:graphicData>
            </a:graphic>
          </wp:anchor>
        </w:drawing>
      </w:r>
      <w:r>
        <w:rPr/>
        <w:drawing>
          <wp:anchor distT="0" distB="0" distL="0" distR="0" allowOverlap="1" layoutInCell="1" locked="0" behindDoc="1" simplePos="0" relativeHeight="480338432">
            <wp:simplePos x="0" y="0"/>
            <wp:positionH relativeFrom="page">
              <wp:posOffset>3671379</wp:posOffset>
            </wp:positionH>
            <wp:positionV relativeFrom="paragraph">
              <wp:posOffset>104213</wp:posOffset>
            </wp:positionV>
            <wp:extent cx="58102" cy="6350"/>
            <wp:effectExtent l="0" t="0" r="0" b="0"/>
            <wp:wrapNone/>
            <wp:docPr id="201" name="image12.png"/>
            <wp:cNvGraphicFramePr>
              <a:graphicFrameLocks noChangeAspect="1"/>
            </wp:cNvGraphicFramePr>
            <a:graphic>
              <a:graphicData uri="http://schemas.openxmlformats.org/drawingml/2006/picture">
                <pic:pic>
                  <pic:nvPicPr>
                    <pic:cNvPr id="202" name="image12.png"/>
                    <pic:cNvPicPr/>
                  </pic:nvPicPr>
                  <pic:blipFill>
                    <a:blip r:embed="rId35" cstate="print"/>
                    <a:stretch>
                      <a:fillRect/>
                    </a:stretch>
                  </pic:blipFill>
                  <pic:spPr>
                    <a:xfrm>
                      <a:off x="0" y="0"/>
                      <a:ext cx="58102" cy="6350"/>
                    </a:xfrm>
                    <a:prstGeom prst="rect">
                      <a:avLst/>
                    </a:prstGeom>
                  </pic:spPr>
                </pic:pic>
              </a:graphicData>
            </a:graphic>
          </wp:anchor>
        </w:drawing>
      </w:r>
      <w:r>
        <w:rPr/>
        <w:drawing>
          <wp:anchor distT="0" distB="0" distL="0" distR="0" allowOverlap="1" layoutInCell="1" locked="0" behindDoc="0" simplePos="0" relativeHeight="16321024">
            <wp:simplePos x="0" y="0"/>
            <wp:positionH relativeFrom="page">
              <wp:posOffset>2993517</wp:posOffset>
            </wp:positionH>
            <wp:positionV relativeFrom="paragraph">
              <wp:posOffset>104047</wp:posOffset>
            </wp:positionV>
            <wp:extent cx="59778" cy="6350"/>
            <wp:effectExtent l="0" t="0" r="0" b="0"/>
            <wp:wrapNone/>
            <wp:docPr id="203" name="image12.png"/>
            <wp:cNvGraphicFramePr>
              <a:graphicFrameLocks noChangeAspect="1"/>
            </wp:cNvGraphicFramePr>
            <a:graphic>
              <a:graphicData uri="http://schemas.openxmlformats.org/drawingml/2006/picture">
                <pic:pic>
                  <pic:nvPicPr>
                    <pic:cNvPr id="204" name="image12.png"/>
                    <pic:cNvPicPr/>
                  </pic:nvPicPr>
                  <pic:blipFill>
                    <a:blip r:embed="rId35" cstate="print"/>
                    <a:stretch>
                      <a:fillRect/>
                    </a:stretch>
                  </pic:blipFill>
                  <pic:spPr>
                    <a:xfrm>
                      <a:off x="0" y="0"/>
                      <a:ext cx="59778" cy="6350"/>
                    </a:xfrm>
                    <a:prstGeom prst="rect">
                      <a:avLst/>
                    </a:prstGeom>
                  </pic:spPr>
                </pic:pic>
              </a:graphicData>
            </a:graphic>
          </wp:anchor>
        </w:drawing>
      </w:r>
      <w:r>
        <w:rPr/>
        <w:drawing>
          <wp:anchor distT="0" distB="0" distL="0" distR="0" allowOverlap="1" layoutInCell="1" locked="0" behindDoc="0" simplePos="0" relativeHeight="16321536">
            <wp:simplePos x="0" y="0"/>
            <wp:positionH relativeFrom="page">
              <wp:posOffset>556602</wp:posOffset>
            </wp:positionH>
            <wp:positionV relativeFrom="paragraph">
              <wp:posOffset>172754</wp:posOffset>
            </wp:positionV>
            <wp:extent cx="2497683" cy="936345"/>
            <wp:effectExtent l="0" t="0" r="0" b="0"/>
            <wp:wrapNone/>
            <wp:docPr id="205" name="image89.png"/>
            <wp:cNvGraphicFramePr>
              <a:graphicFrameLocks noChangeAspect="1"/>
            </wp:cNvGraphicFramePr>
            <a:graphic>
              <a:graphicData uri="http://schemas.openxmlformats.org/drawingml/2006/picture">
                <pic:pic>
                  <pic:nvPicPr>
                    <pic:cNvPr id="206" name="image89.png"/>
                    <pic:cNvPicPr/>
                  </pic:nvPicPr>
                  <pic:blipFill>
                    <a:blip r:embed="rId178" cstate="print"/>
                    <a:stretch>
                      <a:fillRect/>
                    </a:stretch>
                  </pic:blipFill>
                  <pic:spPr>
                    <a:xfrm>
                      <a:off x="0" y="0"/>
                      <a:ext cx="2497683" cy="936345"/>
                    </a:xfrm>
                    <a:prstGeom prst="rect">
                      <a:avLst/>
                    </a:prstGeom>
                  </pic:spPr>
                </pic:pic>
              </a:graphicData>
            </a:graphic>
          </wp:anchor>
        </w:drawing>
      </w:r>
      <w:r>
        <w:rPr/>
        <w:drawing>
          <wp:anchor distT="0" distB="0" distL="0" distR="0" allowOverlap="1" layoutInCell="1" locked="0" behindDoc="0" simplePos="0" relativeHeight="16322048">
            <wp:simplePos x="0" y="0"/>
            <wp:positionH relativeFrom="page">
              <wp:posOffset>556602</wp:posOffset>
            </wp:positionH>
            <wp:positionV relativeFrom="paragraph">
              <wp:posOffset>104047</wp:posOffset>
            </wp:positionV>
            <wp:extent cx="59778" cy="6350"/>
            <wp:effectExtent l="0" t="0" r="0" b="0"/>
            <wp:wrapNone/>
            <wp:docPr id="207" name="image12.png"/>
            <wp:cNvGraphicFramePr>
              <a:graphicFrameLocks noChangeAspect="1"/>
            </wp:cNvGraphicFramePr>
            <a:graphic>
              <a:graphicData uri="http://schemas.openxmlformats.org/drawingml/2006/picture">
                <pic:pic>
                  <pic:nvPicPr>
                    <pic:cNvPr id="208" name="image12.png"/>
                    <pic:cNvPicPr/>
                  </pic:nvPicPr>
                  <pic:blipFill>
                    <a:blip r:embed="rId35" cstate="print"/>
                    <a:stretch>
                      <a:fillRect/>
                    </a:stretch>
                  </pic:blipFill>
                  <pic:spPr>
                    <a:xfrm>
                      <a:off x="0" y="0"/>
                      <a:ext cx="59778" cy="6350"/>
                    </a:xfrm>
                    <a:prstGeom prst="rect">
                      <a:avLst/>
                    </a:prstGeom>
                  </pic:spPr>
                </pic:pic>
              </a:graphicData>
            </a:graphic>
          </wp:anchor>
        </w:drawing>
      </w:r>
      <w:r>
        <w:rPr>
          <w:w w:val="105"/>
          <w:sz w:val="12"/>
        </w:rPr>
        <w:t>4</w:t>
        <w:tab/>
      </w:r>
      <w:r>
        <w:rPr>
          <w:w w:val="105"/>
          <w:sz w:val="11"/>
        </w:rPr>
        <w:t>4</w:t>
      </w:r>
    </w:p>
    <w:p>
      <w:pPr>
        <w:pStyle w:val="BodyText"/>
        <w:rPr>
          <w:sz w:val="20"/>
        </w:rPr>
      </w:pPr>
    </w:p>
    <w:p>
      <w:pPr>
        <w:spacing w:after="0"/>
        <w:rPr>
          <w:sz w:val="20"/>
        </w:rPr>
        <w:sectPr>
          <w:type w:val="continuous"/>
          <w:pgSz w:w="11900" w:h="16840"/>
          <w:pgMar w:top="1260" w:bottom="280" w:left="640" w:right="6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2"/>
        </w:rPr>
      </w:pPr>
    </w:p>
    <w:p>
      <w:pPr>
        <w:tabs>
          <w:tab w:pos="4074" w:val="left" w:leader="none"/>
        </w:tabs>
        <w:spacing w:line="20" w:lineRule="exact"/>
        <w:ind w:left="236" w:right="-44" w:firstLine="0"/>
        <w:rPr>
          <w:sz w:val="2"/>
        </w:rPr>
      </w:pPr>
      <w:r>
        <w:rPr>
          <w:sz w:val="2"/>
        </w:rPr>
        <w:drawing>
          <wp:inline distT="0" distB="0" distL="0" distR="0">
            <wp:extent cx="59181" cy="6286"/>
            <wp:effectExtent l="0" t="0" r="0" b="0"/>
            <wp:docPr id="209" name="image90.png"/>
            <wp:cNvGraphicFramePr>
              <a:graphicFrameLocks noChangeAspect="1"/>
            </wp:cNvGraphicFramePr>
            <a:graphic>
              <a:graphicData uri="http://schemas.openxmlformats.org/drawingml/2006/picture">
                <pic:pic>
                  <pic:nvPicPr>
                    <pic:cNvPr id="210" name="image90.png"/>
                    <pic:cNvPicPr/>
                  </pic:nvPicPr>
                  <pic:blipFill>
                    <a:blip r:embed="rId179" cstate="print"/>
                    <a:stretch>
                      <a:fillRect/>
                    </a:stretch>
                  </pic:blipFill>
                  <pic:spPr>
                    <a:xfrm>
                      <a:off x="0" y="0"/>
                      <a:ext cx="59181" cy="6286"/>
                    </a:xfrm>
                    <a:prstGeom prst="rect">
                      <a:avLst/>
                    </a:prstGeom>
                  </pic:spPr>
                </pic:pic>
              </a:graphicData>
            </a:graphic>
          </wp:inline>
        </w:drawing>
      </w:r>
      <w:r>
        <w:rPr>
          <w:sz w:val="2"/>
        </w:rPr>
      </w:r>
      <w:r>
        <w:rPr>
          <w:sz w:val="2"/>
        </w:rPr>
        <w:tab/>
      </w:r>
      <w:r>
        <w:rPr>
          <w:sz w:val="2"/>
        </w:rPr>
        <w:drawing>
          <wp:inline distT="0" distB="0" distL="0" distR="0">
            <wp:extent cx="59181" cy="6286"/>
            <wp:effectExtent l="0" t="0" r="0" b="0"/>
            <wp:docPr id="211" name="image90.png"/>
            <wp:cNvGraphicFramePr>
              <a:graphicFrameLocks noChangeAspect="1"/>
            </wp:cNvGraphicFramePr>
            <a:graphic>
              <a:graphicData uri="http://schemas.openxmlformats.org/drawingml/2006/picture">
                <pic:pic>
                  <pic:nvPicPr>
                    <pic:cNvPr id="212" name="image90.png"/>
                    <pic:cNvPicPr/>
                  </pic:nvPicPr>
                  <pic:blipFill>
                    <a:blip r:embed="rId179" cstate="print"/>
                    <a:stretch>
                      <a:fillRect/>
                    </a:stretch>
                  </pic:blipFill>
                  <pic:spPr>
                    <a:xfrm>
                      <a:off x="0" y="0"/>
                      <a:ext cx="59181" cy="6286"/>
                    </a:xfrm>
                    <a:prstGeom prst="rect">
                      <a:avLst/>
                    </a:prstGeom>
                  </pic:spPr>
                </pic:pic>
              </a:graphicData>
            </a:graphic>
          </wp:inline>
        </w:drawing>
      </w:r>
      <w:r>
        <w:rPr>
          <w:sz w:val="2"/>
        </w:rPr>
      </w:r>
    </w:p>
    <w:p>
      <w:pPr>
        <w:pStyle w:val="BodyText"/>
        <w:rPr>
          <w:sz w:val="20"/>
        </w:rPr>
      </w:pPr>
    </w:p>
    <w:p>
      <w:pPr>
        <w:pStyle w:val="BodyText"/>
        <w:spacing w:before="2"/>
      </w:pPr>
      <w:r>
        <w:rPr/>
        <w:drawing>
          <wp:anchor distT="0" distB="0" distL="0" distR="0" allowOverlap="1" layoutInCell="1" locked="0" behindDoc="0" simplePos="0" relativeHeight="1149">
            <wp:simplePos x="0" y="0"/>
            <wp:positionH relativeFrom="page">
              <wp:posOffset>556602</wp:posOffset>
            </wp:positionH>
            <wp:positionV relativeFrom="paragraph">
              <wp:posOffset>158025</wp:posOffset>
            </wp:positionV>
            <wp:extent cx="2489073" cy="74675"/>
            <wp:effectExtent l="0" t="0" r="0" b="0"/>
            <wp:wrapTopAndBottom/>
            <wp:docPr id="213" name="image91.png"/>
            <wp:cNvGraphicFramePr>
              <a:graphicFrameLocks noChangeAspect="1"/>
            </wp:cNvGraphicFramePr>
            <a:graphic>
              <a:graphicData uri="http://schemas.openxmlformats.org/drawingml/2006/picture">
                <pic:pic>
                  <pic:nvPicPr>
                    <pic:cNvPr id="214" name="image91.png"/>
                    <pic:cNvPicPr/>
                  </pic:nvPicPr>
                  <pic:blipFill>
                    <a:blip r:embed="rId180" cstate="print"/>
                    <a:stretch>
                      <a:fillRect/>
                    </a:stretch>
                  </pic:blipFill>
                  <pic:spPr>
                    <a:xfrm>
                      <a:off x="0" y="0"/>
                      <a:ext cx="2489073" cy="74675"/>
                    </a:xfrm>
                    <a:prstGeom prst="rect">
                      <a:avLst/>
                    </a:prstGeom>
                  </pic:spPr>
                </pic:pic>
              </a:graphicData>
            </a:graphic>
          </wp:anchor>
        </w:drawing>
      </w:r>
    </w:p>
    <w:p>
      <w:pPr>
        <w:tabs>
          <w:tab w:pos="1139" w:val="left" w:leader="none"/>
          <w:tab w:pos="1712" w:val="left" w:leader="none"/>
          <w:tab w:pos="2285" w:val="left" w:leader="none"/>
          <w:tab w:pos="2815" w:val="left" w:leader="none"/>
          <w:tab w:pos="3388" w:val="left" w:leader="none"/>
          <w:tab w:pos="3876" w:val="left" w:leader="none"/>
        </w:tabs>
        <w:spacing w:before="0"/>
        <w:ind w:left="540" w:right="0" w:firstLine="0"/>
        <w:jc w:val="left"/>
        <w:rPr>
          <w:sz w:val="12"/>
        </w:rPr>
      </w:pPr>
      <w:r>
        <w:rPr>
          <w:sz w:val="12"/>
        </w:rPr>
        <w:t>1996</w:t>
        <w:tab/>
        <w:t>97</w:t>
        <w:tab/>
        <w:t>98</w:t>
        <w:tab/>
        <w:t>99</w:t>
        <w:tab/>
        <w:t>2000</w:t>
        <w:tab/>
        <w:t>01</w:t>
        <w:tab/>
        <w:t>02</w:t>
      </w:r>
    </w:p>
    <w:p>
      <w:pPr>
        <w:pStyle w:val="BodyText"/>
        <w:rPr>
          <w:sz w:val="12"/>
        </w:rPr>
      </w:pPr>
      <w:r>
        <w:rPr/>
        <w:br w:type="column"/>
      </w:r>
      <w:r>
        <w:rPr>
          <w:sz w:val="12"/>
        </w:rPr>
      </w:r>
    </w:p>
    <w:p>
      <w:pPr>
        <w:spacing w:before="101"/>
        <w:ind w:left="17" w:right="0" w:firstLine="0"/>
        <w:jc w:val="left"/>
        <w:rPr>
          <w:sz w:val="12"/>
        </w:rPr>
      </w:pPr>
      <w:r>
        <w:rPr>
          <w:sz w:val="12"/>
        </w:rPr>
        <w:t>3</w:t>
      </w:r>
    </w:p>
    <w:p>
      <w:pPr>
        <w:pStyle w:val="BodyText"/>
        <w:spacing w:before="2"/>
        <w:rPr>
          <w:sz w:val="14"/>
        </w:rPr>
      </w:pPr>
    </w:p>
    <w:p>
      <w:pPr>
        <w:spacing w:before="0"/>
        <w:ind w:left="10" w:right="0" w:firstLine="0"/>
        <w:jc w:val="left"/>
        <w:rPr>
          <w:sz w:val="12"/>
        </w:rPr>
      </w:pPr>
      <w:r>
        <w:rPr>
          <w:sz w:val="12"/>
        </w:rPr>
        <w:t>2.5</w:t>
      </w:r>
    </w:p>
    <w:p>
      <w:pPr>
        <w:pStyle w:val="BodyText"/>
        <w:spacing w:before="7"/>
        <w:rPr>
          <w:sz w:val="14"/>
        </w:rPr>
      </w:pPr>
    </w:p>
    <w:p>
      <w:pPr>
        <w:spacing w:before="0"/>
        <w:ind w:left="17" w:right="0" w:firstLine="0"/>
        <w:jc w:val="left"/>
        <w:rPr>
          <w:sz w:val="12"/>
        </w:rPr>
      </w:pPr>
      <w:r>
        <w:rPr>
          <w:sz w:val="12"/>
        </w:rPr>
        <w:t>2</w:t>
      </w:r>
    </w:p>
    <w:p>
      <w:pPr>
        <w:pStyle w:val="BodyText"/>
        <w:rPr>
          <w:sz w:val="12"/>
        </w:rPr>
      </w:pPr>
    </w:p>
    <w:p>
      <w:pPr>
        <w:pStyle w:val="BodyText"/>
        <w:rPr>
          <w:sz w:val="12"/>
        </w:rPr>
      </w:pPr>
    </w:p>
    <w:p>
      <w:pPr>
        <w:pStyle w:val="BodyText"/>
        <w:spacing w:before="9"/>
        <w:rPr>
          <w:sz w:val="16"/>
        </w:rPr>
      </w:pPr>
    </w:p>
    <w:p>
      <w:pPr>
        <w:spacing w:before="0"/>
        <w:ind w:left="17" w:right="0" w:firstLine="0"/>
        <w:jc w:val="left"/>
        <w:rPr>
          <w:sz w:val="12"/>
        </w:rPr>
      </w:pPr>
      <w:r>
        <w:rPr>
          <w:sz w:val="12"/>
        </w:rPr>
        <w:t>1</w:t>
      </w:r>
    </w:p>
    <w:p>
      <w:pPr>
        <w:pStyle w:val="BodyText"/>
        <w:rPr>
          <w:sz w:val="12"/>
        </w:rPr>
      </w:pPr>
    </w:p>
    <w:p>
      <w:pPr>
        <w:pStyle w:val="BodyText"/>
        <w:rPr>
          <w:sz w:val="12"/>
        </w:rPr>
      </w:pPr>
    </w:p>
    <w:p>
      <w:pPr>
        <w:pStyle w:val="BodyText"/>
        <w:spacing w:before="8"/>
        <w:rPr>
          <w:sz w:val="16"/>
        </w:rPr>
      </w:pPr>
    </w:p>
    <w:p>
      <w:pPr>
        <w:spacing w:before="1"/>
        <w:ind w:left="17" w:right="0" w:firstLine="0"/>
        <w:jc w:val="left"/>
        <w:rPr>
          <w:sz w:val="12"/>
        </w:rPr>
      </w:pPr>
      <w:r>
        <w:rPr>
          <w:sz w:val="12"/>
        </w:rPr>
        <w:t>0</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6"/>
        </w:rPr>
      </w:pPr>
      <w:r>
        <w:rPr/>
        <w:drawing>
          <wp:anchor distT="0" distB="0" distL="0" distR="0" allowOverlap="1" layoutInCell="1" locked="0" behindDoc="0" simplePos="0" relativeHeight="1150">
            <wp:simplePos x="0" y="0"/>
            <wp:positionH relativeFrom="page">
              <wp:posOffset>3671379</wp:posOffset>
            </wp:positionH>
            <wp:positionV relativeFrom="paragraph">
              <wp:posOffset>218629</wp:posOffset>
            </wp:positionV>
            <wp:extent cx="57521" cy="6286"/>
            <wp:effectExtent l="0" t="0" r="0" b="0"/>
            <wp:wrapTopAndBottom/>
            <wp:docPr id="215" name="image92.png"/>
            <wp:cNvGraphicFramePr>
              <a:graphicFrameLocks noChangeAspect="1"/>
            </wp:cNvGraphicFramePr>
            <a:graphic>
              <a:graphicData uri="http://schemas.openxmlformats.org/drawingml/2006/picture">
                <pic:pic>
                  <pic:nvPicPr>
                    <pic:cNvPr id="216" name="image92.png"/>
                    <pic:cNvPicPr/>
                  </pic:nvPicPr>
                  <pic:blipFill>
                    <a:blip r:embed="rId181" cstate="print"/>
                    <a:stretch>
                      <a:fillRect/>
                    </a:stretch>
                  </pic:blipFill>
                  <pic:spPr>
                    <a:xfrm>
                      <a:off x="0" y="0"/>
                      <a:ext cx="57521" cy="6286"/>
                    </a:xfrm>
                    <a:prstGeom prst="rect">
                      <a:avLst/>
                    </a:prstGeom>
                  </pic:spPr>
                </pic:pic>
              </a:graphicData>
            </a:graphic>
          </wp:anchor>
        </w:drawing>
      </w:r>
      <w:r>
        <w:rPr/>
        <w:drawing>
          <wp:anchor distT="0" distB="0" distL="0" distR="0" allowOverlap="1" layoutInCell="1" locked="0" behindDoc="0" simplePos="0" relativeHeight="1151">
            <wp:simplePos x="0" y="0"/>
            <wp:positionH relativeFrom="page">
              <wp:posOffset>6036183</wp:posOffset>
            </wp:positionH>
            <wp:positionV relativeFrom="paragraph">
              <wp:posOffset>219925</wp:posOffset>
            </wp:positionV>
            <wp:extent cx="57521" cy="6286"/>
            <wp:effectExtent l="0" t="0" r="0" b="0"/>
            <wp:wrapTopAndBottom/>
            <wp:docPr id="217" name="image93.png"/>
            <wp:cNvGraphicFramePr>
              <a:graphicFrameLocks noChangeAspect="1"/>
            </wp:cNvGraphicFramePr>
            <a:graphic>
              <a:graphicData uri="http://schemas.openxmlformats.org/drawingml/2006/picture">
                <pic:pic>
                  <pic:nvPicPr>
                    <pic:cNvPr id="218" name="image93.png"/>
                    <pic:cNvPicPr/>
                  </pic:nvPicPr>
                  <pic:blipFill>
                    <a:blip r:embed="rId182" cstate="print"/>
                    <a:stretch>
                      <a:fillRect/>
                    </a:stretch>
                  </pic:blipFill>
                  <pic:spPr>
                    <a:xfrm>
                      <a:off x="0" y="0"/>
                      <a:ext cx="57521" cy="6286"/>
                    </a:xfrm>
                    <a:prstGeom prst="rect">
                      <a:avLst/>
                    </a:prstGeom>
                  </pic:spPr>
                </pic:pic>
              </a:graphicData>
            </a:graphic>
          </wp:anchor>
        </w:drawing>
      </w:r>
    </w:p>
    <w:p>
      <w:pPr>
        <w:pStyle w:val="BodyText"/>
        <w:rPr>
          <w:sz w:val="20"/>
        </w:rPr>
      </w:pPr>
    </w:p>
    <w:p>
      <w:pPr>
        <w:pStyle w:val="BodyText"/>
        <w:spacing w:before="7"/>
        <w:rPr>
          <w:sz w:val="19"/>
        </w:rPr>
      </w:pPr>
    </w:p>
    <w:p>
      <w:pPr>
        <w:pStyle w:val="BodyText"/>
        <w:spacing w:line="115" w:lineRule="exact"/>
        <w:ind w:left="243" w:right="-72"/>
        <w:rPr>
          <w:sz w:val="11"/>
        </w:rPr>
      </w:pPr>
      <w:r>
        <w:rPr>
          <w:position w:val="-1"/>
          <w:sz w:val="11"/>
        </w:rPr>
        <w:drawing>
          <wp:inline distT="0" distB="0" distL="0" distR="0">
            <wp:extent cx="2438144" cy="73151"/>
            <wp:effectExtent l="0" t="0" r="0" b="0"/>
            <wp:docPr id="219" name="image94.png"/>
            <wp:cNvGraphicFramePr>
              <a:graphicFrameLocks noChangeAspect="1"/>
            </wp:cNvGraphicFramePr>
            <a:graphic>
              <a:graphicData uri="http://schemas.openxmlformats.org/drawingml/2006/picture">
                <pic:pic>
                  <pic:nvPicPr>
                    <pic:cNvPr id="220" name="image94.png"/>
                    <pic:cNvPicPr/>
                  </pic:nvPicPr>
                  <pic:blipFill>
                    <a:blip r:embed="rId183" cstate="print"/>
                    <a:stretch>
                      <a:fillRect/>
                    </a:stretch>
                  </pic:blipFill>
                  <pic:spPr>
                    <a:xfrm>
                      <a:off x="0" y="0"/>
                      <a:ext cx="2438144" cy="73151"/>
                    </a:xfrm>
                    <a:prstGeom prst="rect">
                      <a:avLst/>
                    </a:prstGeom>
                  </pic:spPr>
                </pic:pic>
              </a:graphicData>
            </a:graphic>
          </wp:inline>
        </w:drawing>
      </w:r>
      <w:r>
        <w:rPr>
          <w:position w:val="-1"/>
          <w:sz w:val="11"/>
        </w:rPr>
      </w:r>
    </w:p>
    <w:p>
      <w:pPr>
        <w:tabs>
          <w:tab w:pos="1183" w:val="left" w:leader="none"/>
          <w:tab w:pos="1755" w:val="left" w:leader="none"/>
          <w:tab w:pos="2305" w:val="left" w:leader="none"/>
          <w:tab w:pos="2798" w:val="left" w:leader="none"/>
          <w:tab w:pos="3421" w:val="left" w:leader="none"/>
          <w:tab w:pos="3836" w:val="left" w:leader="none"/>
        </w:tabs>
        <w:spacing w:before="43"/>
        <w:ind w:left="555" w:right="0" w:firstLine="0"/>
        <w:jc w:val="left"/>
        <w:rPr>
          <w:sz w:val="11"/>
        </w:rPr>
      </w:pPr>
      <w:r>
        <w:rPr/>
        <w:drawing>
          <wp:anchor distT="0" distB="0" distL="0" distR="0" allowOverlap="1" layoutInCell="1" locked="0" behindDoc="0" simplePos="0" relativeHeight="16319488">
            <wp:simplePos x="0" y="0"/>
            <wp:positionH relativeFrom="page">
              <wp:posOffset>3667252</wp:posOffset>
            </wp:positionH>
            <wp:positionV relativeFrom="paragraph">
              <wp:posOffset>-1451981</wp:posOffset>
            </wp:positionV>
            <wp:extent cx="2427033" cy="992492"/>
            <wp:effectExtent l="0" t="0" r="0" b="0"/>
            <wp:wrapNone/>
            <wp:docPr id="221" name="image95.png"/>
            <wp:cNvGraphicFramePr>
              <a:graphicFrameLocks noChangeAspect="1"/>
            </wp:cNvGraphicFramePr>
            <a:graphic>
              <a:graphicData uri="http://schemas.openxmlformats.org/drawingml/2006/picture">
                <pic:pic>
                  <pic:nvPicPr>
                    <pic:cNvPr id="222" name="image95.png"/>
                    <pic:cNvPicPr/>
                  </pic:nvPicPr>
                  <pic:blipFill>
                    <a:blip r:embed="rId184" cstate="print"/>
                    <a:stretch>
                      <a:fillRect/>
                    </a:stretch>
                  </pic:blipFill>
                  <pic:spPr>
                    <a:xfrm>
                      <a:off x="0" y="0"/>
                      <a:ext cx="2427033" cy="992492"/>
                    </a:xfrm>
                    <a:prstGeom prst="rect">
                      <a:avLst/>
                    </a:prstGeom>
                  </pic:spPr>
                </pic:pic>
              </a:graphicData>
            </a:graphic>
          </wp:anchor>
        </w:drawing>
      </w:r>
      <w:r>
        <w:rPr>
          <w:w w:val="105"/>
          <w:sz w:val="11"/>
        </w:rPr>
        <w:t>1996</w:t>
        <w:tab/>
        <w:t>97</w:t>
        <w:tab/>
        <w:t>98</w:t>
        <w:tab/>
        <w:t>99</w:t>
        <w:tab/>
        <w:t>2000</w:t>
        <w:tab/>
        <w:t>01</w:t>
        <w:tab/>
        <w:t>02</w:t>
      </w:r>
    </w:p>
    <w:p>
      <w:pPr>
        <w:pStyle w:val="BodyText"/>
        <w:rPr>
          <w:sz w:val="12"/>
        </w:rPr>
      </w:pPr>
      <w:r>
        <w:rPr/>
        <w:br w:type="column"/>
      </w:r>
      <w:r>
        <w:rPr>
          <w:sz w:val="12"/>
        </w:rPr>
      </w:r>
    </w:p>
    <w:p>
      <w:pPr>
        <w:spacing w:before="100"/>
        <w:ind w:left="-11" w:right="0" w:firstLine="0"/>
        <w:jc w:val="left"/>
        <w:rPr>
          <w:sz w:val="11"/>
        </w:rPr>
      </w:pPr>
      <w:r>
        <w:rPr>
          <w:w w:val="106"/>
          <w:sz w:val="11"/>
        </w:rPr>
        <w:t>3</w:t>
      </w:r>
    </w:p>
    <w:p>
      <w:pPr>
        <w:pStyle w:val="BodyText"/>
        <w:spacing w:before="7"/>
        <w:rPr>
          <w:sz w:val="14"/>
        </w:rPr>
      </w:pPr>
    </w:p>
    <w:p>
      <w:pPr>
        <w:spacing w:before="0"/>
        <w:ind w:left="-18" w:right="0" w:firstLine="0"/>
        <w:jc w:val="left"/>
        <w:rPr>
          <w:sz w:val="11"/>
        </w:rPr>
      </w:pPr>
      <w:r>
        <w:rPr>
          <w:w w:val="105"/>
          <w:sz w:val="11"/>
        </w:rPr>
        <w:t>2.5</w:t>
      </w:r>
    </w:p>
    <w:p>
      <w:pPr>
        <w:pStyle w:val="BodyText"/>
        <w:spacing w:before="5"/>
        <w:rPr>
          <w:sz w:val="15"/>
        </w:rPr>
      </w:pPr>
    </w:p>
    <w:p>
      <w:pPr>
        <w:spacing w:before="0"/>
        <w:ind w:left="-11" w:right="0" w:firstLine="0"/>
        <w:jc w:val="left"/>
        <w:rPr>
          <w:sz w:val="11"/>
        </w:rPr>
      </w:pPr>
      <w:r>
        <w:rPr>
          <w:w w:val="106"/>
          <w:sz w:val="11"/>
        </w:rPr>
        <w:t>2</w:t>
      </w:r>
    </w:p>
    <w:p>
      <w:pPr>
        <w:pStyle w:val="BodyText"/>
        <w:rPr>
          <w:sz w:val="12"/>
        </w:rPr>
      </w:pPr>
    </w:p>
    <w:p>
      <w:pPr>
        <w:pStyle w:val="BodyText"/>
        <w:rPr>
          <w:sz w:val="12"/>
        </w:rPr>
      </w:pPr>
    </w:p>
    <w:p>
      <w:pPr>
        <w:pStyle w:val="BodyText"/>
        <w:spacing w:before="1"/>
        <w:rPr>
          <w:sz w:val="17"/>
        </w:rPr>
      </w:pPr>
    </w:p>
    <w:p>
      <w:pPr>
        <w:spacing w:before="0"/>
        <w:ind w:left="-11" w:right="0" w:firstLine="0"/>
        <w:jc w:val="left"/>
        <w:rPr>
          <w:sz w:val="11"/>
        </w:rPr>
      </w:pPr>
      <w:r>
        <w:rPr>
          <w:w w:val="106"/>
          <w:sz w:val="11"/>
        </w:rPr>
        <w:t>1</w:t>
      </w:r>
    </w:p>
    <w:p>
      <w:pPr>
        <w:pStyle w:val="BodyText"/>
        <w:rPr>
          <w:sz w:val="12"/>
        </w:rPr>
      </w:pPr>
    </w:p>
    <w:p>
      <w:pPr>
        <w:pStyle w:val="BodyText"/>
        <w:rPr>
          <w:sz w:val="12"/>
        </w:rPr>
      </w:pPr>
    </w:p>
    <w:p>
      <w:pPr>
        <w:pStyle w:val="BodyText"/>
        <w:spacing w:before="1"/>
        <w:rPr>
          <w:sz w:val="17"/>
        </w:rPr>
      </w:pPr>
    </w:p>
    <w:p>
      <w:pPr>
        <w:spacing w:before="0"/>
        <w:ind w:left="-11" w:right="0" w:firstLine="0"/>
        <w:jc w:val="left"/>
        <w:rPr>
          <w:sz w:val="11"/>
        </w:rPr>
      </w:pPr>
      <w:r>
        <w:rPr>
          <w:w w:val="106"/>
          <w:sz w:val="11"/>
        </w:rPr>
        <w:t>0</w:t>
      </w:r>
    </w:p>
    <w:p>
      <w:pPr>
        <w:spacing w:after="0"/>
        <w:jc w:val="left"/>
        <w:rPr>
          <w:sz w:val="11"/>
        </w:rPr>
        <w:sectPr>
          <w:type w:val="continuous"/>
          <w:pgSz w:w="11900" w:h="16840"/>
          <w:pgMar w:top="1260" w:bottom="280" w:left="640" w:right="640"/>
          <w:cols w:num="4" w:equalWidth="0">
            <w:col w:w="4170" w:space="40"/>
            <w:col w:w="201" w:space="488"/>
            <w:col w:w="4059" w:space="39"/>
            <w:col w:w="1623"/>
          </w:cols>
        </w:sectPr>
      </w:pPr>
    </w:p>
    <w:p>
      <w:pPr>
        <w:pStyle w:val="BodyText"/>
        <w:spacing w:before="6"/>
        <w:rPr>
          <w:sz w:val="22"/>
        </w:rPr>
      </w:pPr>
    </w:p>
    <w:p>
      <w:pPr>
        <w:spacing w:line="208" w:lineRule="auto" w:before="113"/>
        <w:ind w:left="170" w:right="237" w:firstLine="0"/>
        <w:jc w:val="left"/>
        <w:rPr>
          <w:sz w:val="16"/>
        </w:rPr>
      </w:pPr>
      <w:r>
        <w:rPr>
          <w:sz w:val="16"/>
        </w:rPr>
        <w:t>The fan chart depicting the probability distribution for inflation is rather like a contour map. At any given point during the forecast period, the depth of shading represents the height of the probability density function over a range of outcomes for inflation. The darkest band includes the central (single most likely) projection and covers 10% of the probability. Each successive pair of bands is drawn to cover a further 10% of the probability, until 90% of the probability distribution is covered. The bands widen as the time horizon is extended, indicating increasing uncertainty about outcomes. See the box ‘How fan charts are drawn’ on page 52 of the February 1999 </w:t>
      </w:r>
      <w:r>
        <w:rPr>
          <w:i/>
          <w:sz w:val="16"/>
        </w:rPr>
        <w:t>Inflation Report</w:t>
      </w:r>
      <w:r>
        <w:rPr>
          <w:sz w:val="16"/>
        </w:rPr>
        <w:t>.</w:t>
      </w:r>
    </w:p>
    <w:p>
      <w:pPr>
        <w:pStyle w:val="BodyText"/>
        <w:rPr>
          <w:sz w:val="20"/>
        </w:rPr>
      </w:pPr>
    </w:p>
    <w:p>
      <w:pPr>
        <w:pStyle w:val="BodyText"/>
        <w:rPr>
          <w:sz w:val="20"/>
        </w:rPr>
      </w:pPr>
    </w:p>
    <w:p>
      <w:pPr>
        <w:pStyle w:val="BodyText"/>
        <w:rPr>
          <w:sz w:val="20"/>
        </w:rPr>
      </w:pPr>
    </w:p>
    <w:p>
      <w:pPr>
        <w:pStyle w:val="BodyText"/>
        <w:spacing w:before="6"/>
        <w:rPr>
          <w:sz w:val="20"/>
        </w:rPr>
      </w:pPr>
    </w:p>
    <w:p>
      <w:pPr>
        <w:spacing w:line="242" w:lineRule="auto" w:before="0"/>
        <w:ind w:left="4959" w:right="138" w:firstLine="0"/>
        <w:jc w:val="left"/>
        <w:rPr>
          <w:sz w:val="24"/>
        </w:rPr>
      </w:pPr>
      <w:r>
        <w:rPr>
          <w:sz w:val="24"/>
        </w:rPr>
        <w:t>inflationary impulse from higher oil prices which has led to higher-than-expected outturns for RPIX inflation in recent months. Compared with the May projection, the changes in the influences on the outlook for inflation at a two-year horizon are largely offsetting. The main upside influences on inflation prospects are the lower profile for the sterling exchange rate and a stronger impact from global activity and inflationary pressures. These factors are counterbalanced by the downside influences of a faster compression of margins on foreign suppliers’ sales to the United Kingdom, a weaker outlook for consumer spending growth, and lower pressures on earnings following the assumption of an improvement in the structural performance of the labour market.</w:t>
      </w:r>
    </w:p>
    <w:p>
      <w:pPr>
        <w:pStyle w:val="BodyText"/>
        <w:spacing w:before="10"/>
        <w:rPr>
          <w:sz w:val="25"/>
        </w:rPr>
      </w:pPr>
    </w:p>
    <w:p>
      <w:pPr>
        <w:spacing w:line="242" w:lineRule="auto" w:before="1"/>
        <w:ind w:left="4959" w:right="170" w:firstLine="0"/>
        <w:jc w:val="left"/>
        <w:rPr>
          <w:sz w:val="24"/>
        </w:rPr>
      </w:pPr>
      <w:r>
        <w:rPr>
          <w:sz w:val="24"/>
        </w:rPr>
        <w:t>Risks around the central projection for output growth are broadly balanced. The principal downside risk is of a sharper fall in world growth, most likely to be associated with a marked correction in US equity prices. Such a correction could also spillover to asset prices in other countries, including the United Kingdom. There are upside risks from the possibility that sterling could depreciate more rapidly than in the central case and from developments in demand and the labour market.</w:t>
      </w:r>
    </w:p>
    <w:p>
      <w:pPr>
        <w:pStyle w:val="BodyText"/>
        <w:spacing w:before="3"/>
        <w:rPr>
          <w:sz w:val="25"/>
        </w:rPr>
      </w:pPr>
    </w:p>
    <w:p>
      <w:pPr>
        <w:spacing w:before="1"/>
        <w:ind w:left="4959" w:right="0" w:firstLine="0"/>
        <w:jc w:val="left"/>
        <w:rPr>
          <w:sz w:val="24"/>
        </w:rPr>
      </w:pPr>
      <w:r>
        <w:rPr>
          <w:sz w:val="24"/>
        </w:rPr>
        <w:t>Inflation risks are also broadly balanced. Charts 6.4 and</w:t>
      </w:r>
    </w:p>
    <w:p>
      <w:pPr>
        <w:spacing w:line="242" w:lineRule="auto" w:before="4"/>
        <w:ind w:left="4959" w:right="375" w:firstLine="0"/>
        <w:jc w:val="left"/>
        <w:rPr>
          <w:sz w:val="24"/>
        </w:rPr>
      </w:pPr>
      <w:r>
        <w:rPr>
          <w:sz w:val="24"/>
        </w:rPr>
        <w:t>6.5 show the overall balance of risks to inflation at the two-year horizon. Table 6.A provides the Committee’s</w:t>
      </w:r>
    </w:p>
    <w:p>
      <w:pPr>
        <w:spacing w:after="0" w:line="242" w:lineRule="auto"/>
        <w:jc w:val="left"/>
        <w:rPr>
          <w:sz w:val="24"/>
        </w:rPr>
        <w:sectPr>
          <w:type w:val="continuous"/>
          <w:pgSz w:w="11900" w:h="16840"/>
          <w:pgMar w:top="1260" w:bottom="280" w:left="640" w:right="640"/>
        </w:sectPr>
      </w:pPr>
    </w:p>
    <w:p>
      <w:pPr>
        <w:pStyle w:val="BodyText"/>
        <w:rPr>
          <w:sz w:val="20"/>
        </w:rPr>
      </w:pPr>
    </w:p>
    <w:p>
      <w:pPr>
        <w:spacing w:after="0"/>
        <w:rPr>
          <w:sz w:val="20"/>
        </w:rPr>
        <w:sectPr>
          <w:pgSz w:w="11900" w:h="16840"/>
          <w:pgMar w:header="586" w:footer="592" w:top="780" w:bottom="780" w:left="640" w:right="640"/>
        </w:sectPr>
      </w:pPr>
    </w:p>
    <w:p>
      <w:pPr>
        <w:pStyle w:val="BodyText"/>
        <w:spacing w:before="5"/>
        <w:rPr>
          <w:sz w:val="24"/>
        </w:rPr>
      </w:pPr>
    </w:p>
    <w:p>
      <w:pPr>
        <w:pStyle w:val="Heading6"/>
        <w:spacing w:before="0"/>
        <w:ind w:left="174"/>
      </w:pPr>
      <w:r>
        <w:rPr>
          <w:color w:val="0092C7"/>
        </w:rPr>
        <w:t>Chart 6.4</w:t>
      </w:r>
    </w:p>
    <w:p>
      <w:pPr>
        <w:pStyle w:val="Heading6"/>
        <w:spacing w:line="249" w:lineRule="auto"/>
        <w:ind w:left="174" w:right="1"/>
      </w:pPr>
      <w:r>
        <w:rPr>
          <w:color w:val="0092C7"/>
        </w:rPr>
        <w:t>Current projection for the percentage increase in RPIX in the year to 2002 Q3</w:t>
      </w:r>
    </w:p>
    <w:p>
      <w:pPr>
        <w:pStyle w:val="BodyText"/>
        <w:spacing w:before="10"/>
        <w:rPr>
          <w:b/>
          <w:sz w:val="21"/>
        </w:rPr>
      </w:pPr>
      <w:r>
        <w:rPr/>
        <w:br w:type="column"/>
      </w:r>
      <w:r>
        <w:rPr>
          <w:b/>
          <w:sz w:val="21"/>
        </w:rPr>
      </w:r>
    </w:p>
    <w:p>
      <w:pPr>
        <w:pStyle w:val="Heading6"/>
        <w:spacing w:before="0"/>
        <w:ind w:left="174"/>
      </w:pPr>
      <w:r>
        <w:rPr>
          <w:color w:val="0092C7"/>
        </w:rPr>
        <w:t>Chart 6.5</w:t>
      </w:r>
    </w:p>
    <w:p>
      <w:pPr>
        <w:pStyle w:val="Heading6"/>
        <w:spacing w:line="249" w:lineRule="auto"/>
        <w:ind w:left="174" w:right="1828"/>
      </w:pPr>
      <w:r>
        <w:rPr>
          <w:color w:val="0092C7"/>
        </w:rPr>
        <w:t>May projection for the percentage increase in RPIX in the year to 2002 Q2</w:t>
      </w:r>
    </w:p>
    <w:p>
      <w:pPr>
        <w:spacing w:after="0" w:line="249" w:lineRule="auto"/>
        <w:sectPr>
          <w:type w:val="continuous"/>
          <w:pgSz w:w="11900" w:h="16840"/>
          <w:pgMar w:top="1260" w:bottom="280" w:left="640" w:right="640"/>
          <w:cols w:num="2" w:equalWidth="0">
            <w:col w:w="4177" w:space="623"/>
            <w:col w:w="5820"/>
          </w:cols>
        </w:sectPr>
      </w:pPr>
    </w:p>
    <w:p>
      <w:pPr>
        <w:pStyle w:val="BodyText"/>
        <w:spacing w:before="7"/>
        <w:rPr>
          <w:b/>
        </w:rPr>
      </w:pPr>
    </w:p>
    <w:p>
      <w:pPr>
        <w:spacing w:after="0"/>
        <w:sectPr>
          <w:type w:val="continuous"/>
          <w:pgSz w:w="11900" w:h="16840"/>
          <w:pgMar w:top="1260" w:bottom="280" w:left="640" w:right="640"/>
        </w:sectPr>
      </w:pPr>
    </w:p>
    <w:p>
      <w:pPr>
        <w:spacing w:before="94"/>
        <w:ind w:left="0" w:right="38" w:firstLine="0"/>
        <w:jc w:val="right"/>
        <w:rPr>
          <w:sz w:val="12"/>
        </w:rPr>
      </w:pPr>
      <w:r>
        <w:rPr/>
        <w:pict>
          <v:line style="position:absolute;mso-position-horizontal-relative:page;mso-position-vertical-relative:paragraph;z-index:16332288" from="46.732998pt,12.848575pt" to="42.398998pt,12.848575pt" stroked="true" strokeweight=".5pt" strokecolor="#000000">
            <v:stroke dashstyle="solid"/>
            <w10:wrap type="none"/>
          </v:line>
        </w:pict>
      </w:r>
      <w:r>
        <w:rPr/>
        <w:pict>
          <v:line style="position:absolute;mso-position-horizontal-relative:page;mso-position-vertical-relative:paragraph;z-index:-22965248" from="238.798005pt,13.005575pt" to="234.464005pt,13.005575pt" stroked="true" strokeweight=".5pt" strokecolor="#000000">
            <v:stroke dashstyle="solid"/>
            <w10:wrap type="none"/>
          </v:line>
        </w:pict>
      </w:r>
      <w:r>
        <w:rPr>
          <w:sz w:val="12"/>
        </w:rPr>
        <w:t>Probability in per cent (a) </w:t>
      </w:r>
      <w:r>
        <w:rPr>
          <w:position w:val="-8"/>
          <w:sz w:val="12"/>
        </w:rPr>
        <w:t>6</w:t>
      </w:r>
    </w:p>
    <w:p>
      <w:pPr>
        <w:pStyle w:val="BodyText"/>
        <w:spacing w:before="11"/>
        <w:rPr>
          <w:sz w:val="14"/>
        </w:rPr>
      </w:pPr>
      <w:r>
        <w:rPr/>
        <w:br w:type="column"/>
      </w:r>
      <w:r>
        <w:rPr>
          <w:sz w:val="14"/>
        </w:rPr>
      </w:r>
    </w:p>
    <w:p>
      <w:pPr>
        <w:spacing w:line="108" w:lineRule="exact" w:before="0"/>
        <w:ind w:left="2905" w:right="0" w:firstLine="0"/>
        <w:jc w:val="left"/>
        <w:rPr>
          <w:sz w:val="11"/>
        </w:rPr>
      </w:pPr>
      <w:r>
        <w:rPr>
          <w:sz w:val="11"/>
        </w:rPr>
        <w:t>Probability in per cent (a)</w:t>
      </w:r>
    </w:p>
    <w:p>
      <w:pPr>
        <w:spacing w:line="108" w:lineRule="exact" w:before="0"/>
        <w:ind w:left="4123" w:right="0" w:firstLine="0"/>
        <w:jc w:val="left"/>
        <w:rPr>
          <w:sz w:val="11"/>
        </w:rPr>
      </w:pPr>
      <w:r>
        <w:rPr/>
        <w:pict>
          <v:line style="position:absolute;mso-position-horizontal-relative:page;mso-position-vertical-relative:paragraph;z-index:16327168" from="289.445007pt,2.29476pt" to="294.114007pt,2.29476pt" stroked="true" strokeweight=".5pt" strokecolor="#000000">
            <v:stroke dashstyle="solid"/>
            <w10:wrap type="none"/>
          </v:line>
        </w:pict>
      </w:r>
      <w:r>
        <w:rPr/>
        <w:pict>
          <v:line style="position:absolute;mso-position-horizontal-relative:page;mso-position-vertical-relative:paragraph;z-index:16327680" from="482.678986pt,2.29876pt" to="487.346986pt,2.29876pt" stroked="true" strokeweight=".5pt" strokecolor="#000000">
            <v:stroke dashstyle="solid"/>
            <w10:wrap type="none"/>
          </v:line>
        </w:pict>
      </w:r>
      <w:r>
        <w:rPr>
          <w:w w:val="101"/>
          <w:sz w:val="11"/>
        </w:rPr>
        <w:t>6</w:t>
      </w:r>
    </w:p>
    <w:p>
      <w:pPr>
        <w:spacing w:after="0" w:line="108" w:lineRule="exact"/>
        <w:jc w:val="left"/>
        <w:rPr>
          <w:sz w:val="11"/>
        </w:rPr>
        <w:sectPr>
          <w:type w:val="continuous"/>
          <w:pgSz w:w="11900" w:h="16840"/>
          <w:pgMar w:top="1260" w:bottom="280" w:left="640" w:right="640"/>
          <w:cols w:num="2" w:equalWidth="0">
            <w:col w:w="4288" w:space="766"/>
            <w:col w:w="5566"/>
          </w:cols>
        </w:sectPr>
      </w:pPr>
    </w:p>
    <w:p>
      <w:pPr>
        <w:pStyle w:val="BodyText"/>
        <w:spacing w:before="10"/>
        <w:rPr>
          <w:sz w:val="14"/>
        </w:rPr>
      </w:pPr>
    </w:p>
    <w:p>
      <w:pPr>
        <w:tabs>
          <w:tab w:pos="9178" w:val="left" w:leader="none"/>
        </w:tabs>
        <w:spacing w:before="94"/>
        <w:ind w:left="4188" w:right="0" w:firstLine="0"/>
        <w:jc w:val="left"/>
        <w:rPr>
          <w:sz w:val="11"/>
        </w:rPr>
      </w:pPr>
      <w:r>
        <w:rPr/>
        <w:pict>
          <v:group style="position:absolute;margin-left:299.009003pt;margin-top:10.560156pt;width:188.35pt;height:120.95pt;mso-position-horizontal-relative:page;mso-position-vertical-relative:paragraph;z-index:-22974464" coordorigin="5980,211" coordsize="3767,2419">
            <v:shape style="position:absolute;left:6989;top:1835;width:1143;height:728" coordorigin="6989,1835" coordsize="1143,728" path="m7024,1835l6989,1935,6989,2562,8132,2562,8132,1932,7024,1835xe" filled="true" fillcolor="#ededed" stroked="false">
              <v:path arrowok="t"/>
              <v:fill type="solid"/>
            </v:shape>
            <v:shape style="position:absolute;left:5998;top:2562;width:3580;height:68" coordorigin="5999,2562" coordsize="3580,68" path="m7341,2566l7341,2630m7789,2564l7789,2628m5999,2562l5999,2627m6894,2566l6894,2630m8236,2564l8236,2628m9579,2564l9579,2628m6446,2564l6446,2628m9131,2566l9131,2630m8684,2565l8684,2630e" filled="false" stroked="true" strokeweight=".5pt" strokecolor="#000000">
              <v:path arrowok="t"/>
              <v:stroke dashstyle="solid"/>
            </v:shape>
            <v:line style="position:absolute" from="5993,2565" to="9579,2565" stroked="true" strokeweight=".5pt" strokecolor="#000000">
              <v:stroke dashstyle="solid"/>
            </v:line>
            <v:shape style="position:absolute;left:7023;top:225;width:1113;height:1712" coordorigin="7024,225" coordsize="1113,1712" path="m7606,225l7515,264,7472,334,7428,433,7381,557,7338,702,7291,862,7248,1031,7204,1203,7157,1375,7114,1537,7067,1695,7024,1835,8136,1937,8097,1801,8054,1649,8010,1477,7964,1295,7876,923,7786,586,7739,448,7696,337,7652,262,7606,225xe" filled="true" fillcolor="#ededed" stroked="false">
              <v:path arrowok="t"/>
              <v:fill type="solid"/>
            </v:shape>
            <v:line style="position:absolute" from="5980,2564" to="6044,2564" stroked="true" strokeweight="1.123pt" strokecolor="#de0035">
              <v:stroke dashstyle="solid"/>
            </v:line>
            <v:shape style="position:absolute;left:6023;top:2561;width:201;height:2" coordorigin="6024,2561" coordsize="201,0" path="m6024,2561l6090,2561m6070,2561l6134,2561m6114,2561l6178,2561m6158,2561l6224,2561e" filled="false" stroked="true" strokeweight="1.121pt" strokecolor="#de0035">
              <v:path arrowok="t"/>
              <v:stroke dashstyle="solid"/>
            </v:shape>
            <v:line style="position:absolute" from="6204,2559" to="6268,2559" stroked="true" strokeweight="1.120pt" strokecolor="#de0035">
              <v:stroke dashstyle="solid"/>
            </v:line>
            <v:line style="position:absolute" from="6248,2556" to="6315,2556" stroked="true" strokeweight="1.121pt" strokecolor="#de0035">
              <v:stroke dashstyle="solid"/>
            </v:line>
            <v:line style="position:absolute" from="6295,2554" to="6358,2554" stroked="true" strokeweight="1.123pt" strokecolor="#de0035">
              <v:stroke dashstyle="solid"/>
            </v:line>
            <v:line style="position:absolute" from="6338,2550" to="6402,2550" stroked="true" strokeweight="1.242pt" strokecolor="#de0035">
              <v:stroke dashstyle="solid"/>
            </v:line>
            <v:line style="position:absolute" from="6382,2545" to="6448,2545" stroked="true" strokeweight="1.241pt" strokecolor="#de0035">
              <v:stroke dashstyle="solid"/>
            </v:line>
            <v:shape style="position:absolute;left:6438;top:223;width:1121;height:2320" coordorigin="6438,224" coordsize="1121,2320" path="m6438,2543l6482,2533m6482,2533l6529,2524m6529,2524l6572,2507m6572,2507l6616,2485m6616,2485l6662,2458m6662,2458l6706,2422m6706,2422l6753,2378m6753,2378l6796,2323m6796,2323l6840,2253m6840,2253l6887,2170m6887,2170l6930,2073m6930,2073l6977,1960m6977,1960l7020,1831m7020,1831l7064,1691m7064,1691l7111,1533m7111,1533l7154,1371m7154,1371l7201,1199m7201,1199l7245,1027m7245,1027l7288,858m7288,858l7335,698m7335,698l7378,553m7378,553l7425,429m7425,429l7469,330m7469,330l7512,260m7512,260l7559,224e" filled="false" stroked="true" strokeweight="1pt" strokecolor="#de0035">
              <v:path arrowok="t"/>
              <v:stroke dashstyle="solid"/>
            </v:shape>
            <v:line style="position:absolute" from="7549,222" to="7612,222" stroked="true" strokeweight="1.121pt" strokecolor="#de0035">
              <v:stroke dashstyle="solid"/>
            </v:line>
            <v:shape style="position:absolute;left:7602;top:221;width:1077;height:2327" coordorigin="7602,221" coordsize="1077,2327" path="m7602,221l7649,258m7649,258l7693,333m7693,333l7736,444m7736,444l7783,582m7783,582l7827,744m7827,744l7873,918m7873,918l7960,1291m7960,1291l8007,1473m8007,1473l8051,1645m8051,1645l8097,1802m8097,1802l8141,1943m8141,1943l8184,2066m8184,2066l8231,2173m8231,2173l8275,2262m8275,2262l8321,2332m8321,2332l8365,2391m8365,2391l8409,2437m8409,2437l8455,2473m8455,2473l8499,2497m8499,2497l8546,2516m8546,2516l8589,2531m8589,2531l8633,2541m8633,2541l8679,2548e" filled="false" stroked="true" strokeweight="1pt" strokecolor="#de0035">
              <v:path arrowok="t"/>
              <v:stroke dashstyle="solid"/>
            </v:shape>
            <v:line style="position:absolute" from="8669,2550" to="8733,2550" stroked="true" strokeweight="1.242pt" strokecolor="#de0035">
              <v:stroke dashstyle="solid"/>
            </v:line>
            <v:line style="position:absolute" from="8713,2554" to="8780,2554" stroked="true" strokeweight="1.123pt" strokecolor="#de0035">
              <v:stroke dashstyle="solid"/>
            </v:line>
            <v:line style="position:absolute" from="8760,2556" to="8823,2556" stroked="true" strokeweight="1.121pt" strokecolor="#de0035">
              <v:stroke dashstyle="solid"/>
            </v:line>
            <v:line style="position:absolute" from="8803,2559" to="8867,2559" stroked="true" strokeweight="1.120pt" strokecolor="#de0035">
              <v:stroke dashstyle="solid"/>
            </v:line>
            <v:shape style="position:absolute;left:8846;top:2561;width:157;height:2" coordorigin="8847,2561" coordsize="157,0" path="m8847,2561l8913,2561m8893,2561l8957,2561m8937,2561l9004,2561e" filled="false" stroked="true" strokeweight="1.121pt" strokecolor="#de0035">
              <v:path arrowok="t"/>
              <v:stroke dashstyle="solid"/>
            </v:shape>
            <v:shape style="position:absolute;left:8983;top:2563;width:603;height:2" coordorigin="8984,2564" coordsize="603,0" path="m8984,2564l9047,2564m9027,2564l9091,2564m9071,2564l9138,2564m9118,2564l9181,2564m9161,2564l9228,2564m9208,2564l9271,2564m9251,2564l9315,2564m9295,2564l9362,2564m9342,2564l9405,2564m9385,2564l9452,2564m9432,2564l9496,2564m9476,2564l9539,2564m9519,2564l9586,2564e" filled="false" stroked="true" strokeweight="1.123pt" strokecolor="#de0035">
              <v:path arrowok="t"/>
              <v:stroke dashstyle="solid"/>
            </v:shape>
            <v:line style="position:absolute" from="8423,885" to="7800,1352" stroked="true" strokeweight=".5pt" strokecolor="#000000">
              <v:stroke dashstyle="solid"/>
            </v:line>
            <v:shape style="position:absolute;left:7733;top:1315;width:103;height:87" coordorigin="7733,1315" coordsize="103,87" path="m7798,1315l7759,1372,7733,1402,7743,1397,7799,1374,7836,1363,7798,1315xe" filled="true" fillcolor="#000000" stroked="false">
              <v:path arrowok="t"/>
              <v:fill type="solid"/>
            </v:shape>
            <v:shape style="position:absolute;left:9653;top:233;width:94;height:2336" coordorigin="9654,233" coordsize="94,2336" path="m9654,700l9747,700m9654,2569l9747,2569m9654,1635l9747,1635m9654,1167l9747,1167m9654,2102l9747,2102m9654,233l9747,233e" filled="false" stroked="true" strokeweight=".5pt" strokecolor="#000000">
              <v:path arrowok="t"/>
              <v:stroke dashstyle="solid"/>
            </v:shape>
            <v:shape style="position:absolute;left:8322;top:737;width:902;height:124" type="#_x0000_t202" filled="false" stroked="false">
              <v:textbox inset="0,0,0,0">
                <w:txbxContent>
                  <w:p>
                    <w:pPr>
                      <w:spacing w:line="123" w:lineRule="exact" w:before="0"/>
                      <w:ind w:left="0" w:right="0" w:firstLine="0"/>
                      <w:jc w:val="left"/>
                      <w:rPr>
                        <w:sz w:val="11"/>
                      </w:rPr>
                    </w:pPr>
                    <w:r>
                      <w:rPr>
                        <w:sz w:val="11"/>
                      </w:rPr>
                      <w:t>90% probability (b)</w:t>
                    </w:r>
                  </w:p>
                </w:txbxContent>
              </v:textbox>
              <w10:wrap type="none"/>
            </v:shape>
            <w10:wrap type="none"/>
          </v:group>
        </w:pict>
      </w:r>
      <w:r>
        <w:rPr/>
        <w:pict>
          <v:line style="position:absolute;mso-position-horizontal-relative:page;mso-position-vertical-relative:paragraph;z-index:-22971392" from="289.445007pt,11.657156pt" to="294.114007pt,11.657156pt" stroked="true" strokeweight=".5pt" strokecolor="#000000">
            <v:stroke dashstyle="solid"/>
            <w10:wrap type="none"/>
          </v:line>
        </w:pict>
      </w:r>
      <w:r>
        <w:rPr/>
        <w:pict>
          <v:group style="position:absolute;margin-left:50.533001pt;margin-top:-1.653844pt;width:188.3pt;height:132.7pt;mso-position-horizontal-relative:page;mso-position-vertical-relative:paragraph;z-index:16328704" coordorigin="1011,-33" coordsize="3766,2654">
            <v:shape style="position:absolute;left:2256;top:-19;width:1242;height:2576" coordorigin="2256,-19" coordsize="1242,2576" path="m2928,-19l2825,74,2774,178,2722,309,2669,471,2618,647,2566,837,2515,1029,2465,1226,2362,1587,2309,1749,2256,1894,2263,1893,2263,2557,3497,2557,3497,1857,3497,1839,3444,1659,3394,1457,3341,1236,3288,1005,3240,775,3187,554,3134,357,3084,190,3031,69,2978,-2,2928,-19xe" filled="true" fillcolor="#ededed" stroked="false">
              <v:path arrowok="t"/>
              <v:fill type="solid"/>
            </v:shape>
            <v:line style="position:absolute" from="1021,2553" to="4633,2555" stroked="true" strokeweight=".5pt" strokecolor="#000000">
              <v:stroke dashstyle="solid"/>
            </v:line>
            <v:shape style="position:absolute;left:1010;top:2553;width:174;height:2" coordorigin="1011,2554" coordsize="174,0" path="m1011,2554l1079,2554m1059,2554l1131,2554m1111,2554l1184,2554e" filled="false" stroked="true" strokeweight="1.119pt" strokecolor="#de0035">
              <v:path arrowok="t"/>
              <v:stroke dashstyle="solid"/>
            </v:shape>
            <v:shape style="position:absolute;left:1174;top:2552;width:157;height:3" coordorigin="1174,2553" coordsize="157,3" path="m1174,2553l1225,2555,1277,2553,1330,2555e" filled="false" stroked="true" strokeweight="1pt" strokecolor="#de0035">
              <v:path arrowok="t"/>
              <v:stroke dashstyle="solid"/>
            </v:shape>
            <v:line style="position:absolute" from="1320,2551" to="1391,2551" stroked="true" strokeweight="1.118pt" strokecolor="#de0035">
              <v:stroke dashstyle="solid"/>
            </v:line>
            <v:shape style="position:absolute;left:1380;top:-24;width:2996;height:2578" coordorigin="1381,-23" coordsize="2996,2578" path="m1381,2553l1433,2550,1481,2548,1534,2545,1587,2541,1637,2536,1690,2526,1743,2512,1793,2498,1844,2476,1897,2446,1947,2408,2000,2358,2053,2298,2103,2220,2156,2127,2206,2018,2257,1890,2309,1745,2362,1583,2413,1407,2465,1222,2516,1025,2566,832,2619,642,2669,466,2722,305,2775,174,2825,70,2878,3,2929,-23,2979,-6,3032,65,3085,186,3135,352,3188,550,3241,771,3289,1001,3341,1231,3394,1452,3445,1654,3497,1835,3550,1994,3601,2127,3653,2234,3704,2320,3754,2386,3807,2436,3860,2474,3910,2500,3963,2517,4016,2531,4064,2538,4117,2545,4169,2548,4220,2550,4273,2553m4273,2550l4323,2553,4376,2555e" filled="false" stroked="true" strokeweight="1pt" strokecolor="#de0035">
              <v:path arrowok="t"/>
              <v:stroke dashstyle="solid"/>
            </v:shape>
            <v:shape style="position:absolute;left:4365;top:2553;width:277;height:2" coordorigin="4366,2554" coordsize="277,0" path="m4366,2554l4436,2554m4416,2554l4487,2554m4467,2554l4539,2554m4519,2554l4592,2554m4572,2554l4643,2554e" filled="false" stroked="true" strokeweight="1.119pt" strokecolor="#de0035">
              <v:path arrowok="t"/>
              <v:stroke dashstyle="solid"/>
            </v:shape>
            <v:shape style="position:absolute;left:1024;top:171;width:3752;height:2449" coordorigin="1024,172" coordsize="3752,2449" path="m1024,2567l1024,2620m1531,2554l1531,2606m2058,2560l2058,2613m4776,172l4689,172m4776,651l4689,651m4776,1123l4689,1123m4776,1603l4689,1603m4776,2080l4689,2080m4776,2559l4689,2559m2570,2563l2570,2616m3076,2550l3076,2602m3603,2556l3603,2609m4120,2563l4120,2616m4627,2563l4627,2616e" filled="false" stroked="true" strokeweight=".5pt" strokecolor="#000000">
              <v:path arrowok="t"/>
              <v:stroke dashstyle="solid"/>
            </v:shape>
            <v:line style="position:absolute" from="3676,661" to="3053,1157" stroked="true" strokeweight=".5pt" strokecolor="#000000">
              <v:stroke dashstyle="solid"/>
            </v:line>
            <v:shape style="position:absolute;left:2986;top:1118;width:103;height:93" coordorigin="2987,1118" coordsize="103,93" path="m3051,1118l3012,1179,2987,1210,2996,1205,3052,1181,3089,1170,3051,1118xe" filled="true" fillcolor="#000000" stroked="false">
              <v:path arrowok="t"/>
              <v:fill type="solid"/>
            </v:shape>
            <v:shape style="position:absolute;left:3576;top:504;width:957;height:132" type="#_x0000_t202" filled="false" stroked="false">
              <v:textbox inset="0,0,0,0">
                <w:txbxContent>
                  <w:p>
                    <w:pPr>
                      <w:spacing w:line="132" w:lineRule="exact" w:before="0"/>
                      <w:ind w:left="0" w:right="0" w:firstLine="0"/>
                      <w:jc w:val="left"/>
                      <w:rPr>
                        <w:sz w:val="12"/>
                      </w:rPr>
                    </w:pPr>
                    <w:r>
                      <w:rPr>
                        <w:sz w:val="12"/>
                      </w:rPr>
                      <w:t>90% probability (b)</w:t>
                    </w:r>
                  </w:p>
                </w:txbxContent>
              </v:textbox>
              <w10:wrap type="none"/>
            </v:shape>
            <w10:wrap type="none"/>
          </v:group>
        </w:pict>
      </w:r>
      <w:r>
        <w:rPr/>
        <w:pict>
          <v:line style="position:absolute;mso-position-horizontal-relative:page;mso-position-vertical-relative:paragraph;z-index:16329216" from="46.732998pt,8.437157pt" to="42.398998pt,8.437157pt" stroked="true" strokeweight=".5pt" strokecolor="#000000">
            <v:stroke dashstyle="solid"/>
            <w10:wrap type="none"/>
          </v:line>
        </w:pict>
      </w:r>
      <w:r>
        <w:rPr>
          <w:sz w:val="12"/>
        </w:rPr>
        <w:t>5</w:t>
        <w:tab/>
      </w:r>
      <w:r>
        <w:rPr>
          <w:position w:val="-5"/>
          <w:sz w:val="11"/>
        </w:rPr>
        <w:t>5</w:t>
      </w:r>
    </w:p>
    <w:p>
      <w:pPr>
        <w:pStyle w:val="BodyText"/>
        <w:spacing w:before="4"/>
        <w:rPr>
          <w:sz w:val="16"/>
        </w:rPr>
      </w:pPr>
    </w:p>
    <w:p>
      <w:pPr>
        <w:tabs>
          <w:tab w:pos="9178" w:val="left" w:leader="none"/>
        </w:tabs>
        <w:spacing w:before="94"/>
        <w:ind w:left="4188" w:right="0" w:firstLine="0"/>
        <w:jc w:val="left"/>
        <w:rPr>
          <w:sz w:val="11"/>
        </w:rPr>
      </w:pPr>
      <w:r>
        <w:rPr/>
        <w:pict>
          <v:line style="position:absolute;mso-position-horizontal-relative:page;mso-position-vertical-relative:paragraph;z-index:-22973952" from="289.445007pt,11.134372pt" to="294.114007pt,11.134372pt" stroked="true" strokeweight=".5pt" strokecolor="#000000">
            <v:stroke dashstyle="solid"/>
            <w10:wrap type="none"/>
          </v:line>
        </w:pict>
      </w:r>
      <w:r>
        <w:rPr/>
        <w:pict>
          <v:line style="position:absolute;mso-position-horizontal-relative:page;mso-position-vertical-relative:paragraph;z-index:16329728" from="46.732998pt,8.537372pt" to="42.398998pt,8.537372pt" stroked="true" strokeweight=".5pt" strokecolor="#000000">
            <v:stroke dashstyle="solid"/>
            <w10:wrap type="none"/>
          </v:line>
        </w:pict>
      </w:r>
      <w:r>
        <w:rPr>
          <w:sz w:val="12"/>
        </w:rPr>
        <w:t>4</w:t>
        <w:tab/>
      </w:r>
      <w:r>
        <w:rPr>
          <w:position w:val="-4"/>
          <w:sz w:val="11"/>
        </w:rPr>
        <w:t>4</w:t>
      </w:r>
    </w:p>
    <w:p>
      <w:pPr>
        <w:pStyle w:val="BodyText"/>
        <w:spacing w:before="2"/>
        <w:rPr>
          <w:sz w:val="17"/>
        </w:rPr>
      </w:pPr>
    </w:p>
    <w:p>
      <w:pPr>
        <w:tabs>
          <w:tab w:pos="9178" w:val="left" w:leader="none"/>
        </w:tabs>
        <w:spacing w:before="94"/>
        <w:ind w:left="4188" w:right="0" w:firstLine="0"/>
        <w:jc w:val="left"/>
        <w:rPr>
          <w:sz w:val="11"/>
        </w:rPr>
      </w:pPr>
      <w:r>
        <w:rPr/>
        <w:pict>
          <v:line style="position:absolute;mso-position-horizontal-relative:page;mso-position-vertical-relative:paragraph;z-index:-22972416" from="289.445007pt,10.611588pt" to="294.114007pt,10.611588pt" stroked="true" strokeweight=".5pt" strokecolor="#000000">
            <v:stroke dashstyle="solid"/>
            <w10:wrap type="none"/>
          </v:line>
        </w:pict>
      </w:r>
      <w:r>
        <w:rPr/>
        <w:pict>
          <v:line style="position:absolute;mso-position-horizontal-relative:page;mso-position-vertical-relative:paragraph;z-index:16330240" from="46.732998pt,8.233588pt" to="42.398998pt,8.233588pt" stroked="true" strokeweight=".5pt" strokecolor="#000000">
            <v:stroke dashstyle="solid"/>
            <w10:wrap type="none"/>
          </v:line>
        </w:pict>
      </w:r>
      <w:r>
        <w:rPr>
          <w:sz w:val="12"/>
        </w:rPr>
        <w:t>3</w:t>
        <w:tab/>
      </w:r>
      <w:r>
        <w:rPr>
          <w:position w:val="-3"/>
          <w:sz w:val="11"/>
        </w:rPr>
        <w:t>3</w:t>
      </w:r>
    </w:p>
    <w:p>
      <w:pPr>
        <w:pStyle w:val="BodyText"/>
        <w:spacing w:before="10"/>
        <w:rPr>
          <w:sz w:val="17"/>
        </w:rPr>
      </w:pPr>
    </w:p>
    <w:p>
      <w:pPr>
        <w:tabs>
          <w:tab w:pos="9178" w:val="left" w:leader="none"/>
        </w:tabs>
        <w:spacing w:before="94"/>
        <w:ind w:left="4188" w:right="0" w:firstLine="0"/>
        <w:jc w:val="left"/>
        <w:rPr>
          <w:sz w:val="11"/>
        </w:rPr>
      </w:pPr>
      <w:r>
        <w:rPr/>
        <w:pict>
          <v:line style="position:absolute;mso-position-horizontal-relative:page;mso-position-vertical-relative:paragraph;z-index:-22972928" from="289.445007pt,10.206578pt" to="294.114007pt,10.206578pt" stroked="true" strokeweight=".5pt" strokecolor="#000000">
            <v:stroke dashstyle="solid"/>
            <w10:wrap type="none"/>
          </v:line>
        </w:pict>
      </w:r>
      <w:r>
        <w:rPr/>
        <w:pict>
          <v:line style="position:absolute;mso-position-horizontal-relative:page;mso-position-vertical-relative:paragraph;z-index:16330752" from="46.732998pt,8.452579pt" to="42.398998pt,8.452579pt" stroked="true" strokeweight=".5pt" strokecolor="#000000">
            <v:stroke dashstyle="solid"/>
            <w10:wrap type="none"/>
          </v:line>
        </w:pict>
      </w:r>
      <w:r>
        <w:rPr>
          <w:sz w:val="12"/>
        </w:rPr>
        <w:t>2</w:t>
        <w:tab/>
      </w:r>
      <w:r>
        <w:rPr>
          <w:position w:val="-2"/>
          <w:sz w:val="11"/>
        </w:rPr>
        <w:t>2</w:t>
      </w:r>
    </w:p>
    <w:p>
      <w:pPr>
        <w:pStyle w:val="BodyText"/>
        <w:rPr>
          <w:sz w:val="19"/>
        </w:rPr>
      </w:pPr>
    </w:p>
    <w:p>
      <w:pPr>
        <w:tabs>
          <w:tab w:pos="9178" w:val="left" w:leader="none"/>
        </w:tabs>
        <w:spacing w:before="93"/>
        <w:ind w:left="4188" w:right="0" w:firstLine="0"/>
        <w:jc w:val="left"/>
        <w:rPr>
          <w:sz w:val="11"/>
        </w:rPr>
      </w:pPr>
      <w:r>
        <w:rPr/>
        <w:pict>
          <v:line style="position:absolute;mso-position-horizontal-relative:page;mso-position-vertical-relative:paragraph;z-index:-22971904" from="289.445007pt,9.679533pt" to="294.114007pt,9.679533pt" stroked="true" strokeweight=".5pt" strokecolor="#000000">
            <v:stroke dashstyle="solid"/>
            <w10:wrap type="none"/>
          </v:line>
        </w:pict>
      </w:r>
      <w:r>
        <w:rPr/>
        <w:pict>
          <v:line style="position:absolute;mso-position-horizontal-relative:page;mso-position-vertical-relative:paragraph;z-index:16331264" from="46.732998pt,8.424533pt" to="42.398998pt,8.424533pt" stroked="true" strokeweight=".5pt" strokecolor="#000000">
            <v:stroke dashstyle="solid"/>
            <w10:wrap type="none"/>
          </v:line>
        </w:pict>
      </w:r>
      <w:r>
        <w:rPr>
          <w:position w:val="2"/>
          <w:sz w:val="12"/>
        </w:rPr>
        <w:t>1</w:t>
        <w:tab/>
      </w:r>
      <w:r>
        <w:rPr>
          <w:sz w:val="11"/>
        </w:rPr>
        <w:t>1</w:t>
      </w:r>
    </w:p>
    <w:p>
      <w:pPr>
        <w:pStyle w:val="BodyText"/>
        <w:spacing w:before="10"/>
        <w:rPr>
          <w:sz w:val="19"/>
        </w:rPr>
      </w:pPr>
    </w:p>
    <w:p>
      <w:pPr>
        <w:spacing w:after="0"/>
        <w:rPr>
          <w:sz w:val="19"/>
        </w:rPr>
        <w:sectPr>
          <w:type w:val="continuous"/>
          <w:pgSz w:w="11900" w:h="16840"/>
          <w:pgMar w:top="1260" w:bottom="280" w:left="640" w:right="640"/>
        </w:sectPr>
      </w:pPr>
    </w:p>
    <w:p>
      <w:pPr>
        <w:spacing w:before="94"/>
        <w:ind w:left="4188" w:right="0" w:firstLine="0"/>
        <w:jc w:val="left"/>
        <w:rPr>
          <w:sz w:val="12"/>
        </w:rPr>
      </w:pPr>
      <w:r>
        <w:rPr/>
        <w:pict>
          <v:line style="position:absolute;mso-position-horizontal-relative:page;mso-position-vertical-relative:paragraph;z-index:16331776" from="46.732998pt,8.529559pt" to="42.398998pt,8.529559pt" stroked="true" strokeweight=".5pt" strokecolor="#000000">
            <v:stroke dashstyle="solid"/>
            <w10:wrap type="none"/>
          </v:line>
        </w:pict>
      </w:r>
      <w:r>
        <w:rPr>
          <w:w w:val="99"/>
          <w:sz w:val="12"/>
        </w:rPr>
        <w:t>0</w:t>
      </w:r>
    </w:p>
    <w:p>
      <w:pPr>
        <w:tabs>
          <w:tab w:pos="879" w:val="left" w:leader="none"/>
          <w:tab w:pos="1395" w:val="left" w:leader="none"/>
          <w:tab w:pos="1911" w:val="left" w:leader="none"/>
          <w:tab w:pos="2427" w:val="left" w:leader="none"/>
          <w:tab w:pos="2943" w:val="left" w:leader="none"/>
          <w:tab w:pos="3459" w:val="left" w:leader="none"/>
          <w:tab w:pos="3950" w:val="left" w:leader="none"/>
        </w:tabs>
        <w:spacing w:line="121" w:lineRule="exact" w:before="53"/>
        <w:ind w:left="324" w:right="0" w:firstLine="0"/>
        <w:jc w:val="left"/>
        <w:rPr>
          <w:sz w:val="12"/>
        </w:rPr>
      </w:pPr>
      <w:r>
        <w:rPr>
          <w:sz w:val="12"/>
        </w:rPr>
        <w:t>-1</w:t>
        <w:tab/>
        <w:t>0</w:t>
        <w:tab/>
        <w:t>1</w:t>
        <w:tab/>
        <w:t>2</w:t>
        <w:tab/>
        <w:t>3</w:t>
        <w:tab/>
        <w:t>4</w:t>
        <w:tab/>
        <w:t>5</w:t>
        <w:tab/>
        <w:t>6</w:t>
      </w:r>
    </w:p>
    <w:p>
      <w:pPr>
        <w:spacing w:line="121" w:lineRule="exact" w:before="0"/>
        <w:ind w:left="2092" w:right="0" w:firstLine="0"/>
        <w:jc w:val="left"/>
        <w:rPr>
          <w:sz w:val="12"/>
        </w:rPr>
      </w:pPr>
      <w:r>
        <w:rPr>
          <w:sz w:val="12"/>
        </w:rPr>
        <w:t>Inflation</w:t>
      </w:r>
    </w:p>
    <w:p>
      <w:pPr>
        <w:pStyle w:val="BodyText"/>
        <w:spacing w:before="7"/>
        <w:rPr>
          <w:sz w:val="9"/>
        </w:rPr>
      </w:pPr>
      <w:r>
        <w:rPr/>
        <w:br w:type="column"/>
      </w:r>
      <w:r>
        <w:rPr>
          <w:sz w:val="9"/>
        </w:rPr>
      </w:r>
    </w:p>
    <w:p>
      <w:pPr>
        <w:spacing w:before="0"/>
        <w:ind w:left="4205" w:right="0" w:firstLine="0"/>
        <w:jc w:val="left"/>
        <w:rPr>
          <w:sz w:val="11"/>
        </w:rPr>
      </w:pPr>
      <w:r>
        <w:rPr>
          <w:w w:val="101"/>
          <w:sz w:val="11"/>
        </w:rPr>
        <w:t>0</w:t>
      </w:r>
    </w:p>
    <w:p>
      <w:pPr>
        <w:tabs>
          <w:tab w:pos="798" w:val="left" w:leader="none"/>
          <w:tab w:pos="1247" w:val="left" w:leader="none"/>
          <w:tab w:pos="1697" w:val="left" w:leader="none"/>
          <w:tab w:pos="2146" w:val="left" w:leader="none"/>
          <w:tab w:pos="2596" w:val="left" w:leader="none"/>
          <w:tab w:pos="3045" w:val="left" w:leader="none"/>
          <w:tab w:pos="3494" w:val="left" w:leader="none"/>
          <w:tab w:pos="3944" w:val="left" w:leader="none"/>
        </w:tabs>
        <w:spacing w:line="125" w:lineRule="exact" w:before="19"/>
        <w:ind w:left="324" w:right="0" w:firstLine="0"/>
        <w:jc w:val="left"/>
        <w:rPr>
          <w:sz w:val="11"/>
        </w:rPr>
      </w:pPr>
      <w:r>
        <w:rPr/>
        <w:pict>
          <v:line style="position:absolute;mso-position-horizontal-relative:page;mso-position-vertical-relative:paragraph;z-index:16324608" from="289.445007pt,-2.678834pt" to="294.114007pt,-2.678834pt" stroked="true" strokeweight=".5pt" strokecolor="#000000">
            <v:stroke dashstyle="solid"/>
            <w10:wrap type="none"/>
          </v:line>
        </w:pict>
      </w:r>
      <w:r>
        <w:rPr>
          <w:sz w:val="11"/>
        </w:rPr>
        <w:t>-1</w:t>
        <w:tab/>
        <w:t>0</w:t>
        <w:tab/>
        <w:t>1</w:t>
        <w:tab/>
        <w:t>2</w:t>
        <w:tab/>
        <w:t>3</w:t>
        <w:tab/>
        <w:t>4</w:t>
        <w:tab/>
        <w:t>5</w:t>
        <w:tab/>
        <w:t>6</w:t>
        <w:tab/>
        <w:t>7</w:t>
      </w:r>
    </w:p>
    <w:p>
      <w:pPr>
        <w:spacing w:line="125" w:lineRule="exact" w:before="0"/>
        <w:ind w:left="1858" w:right="0" w:firstLine="0"/>
        <w:jc w:val="left"/>
        <w:rPr>
          <w:sz w:val="11"/>
        </w:rPr>
      </w:pPr>
      <w:r>
        <w:rPr>
          <w:sz w:val="11"/>
        </w:rPr>
        <w:t>Inflation</w:t>
      </w:r>
    </w:p>
    <w:p>
      <w:pPr>
        <w:spacing w:after="0" w:line="125" w:lineRule="exact"/>
        <w:jc w:val="left"/>
        <w:rPr>
          <w:sz w:val="11"/>
        </w:rPr>
        <w:sectPr>
          <w:type w:val="continuous"/>
          <w:pgSz w:w="11900" w:h="16840"/>
          <w:pgMar w:top="1260" w:bottom="280" w:left="640" w:right="640"/>
          <w:cols w:num="2" w:equalWidth="0">
            <w:col w:w="4288" w:space="685"/>
            <w:col w:w="5647"/>
          </w:cols>
        </w:sectPr>
      </w:pPr>
    </w:p>
    <w:p>
      <w:pPr>
        <w:spacing w:before="94"/>
        <w:ind w:left="164" w:right="0" w:firstLine="0"/>
        <w:jc w:val="left"/>
        <w:rPr>
          <w:sz w:val="16"/>
        </w:rPr>
      </w:pPr>
      <w:r>
        <w:rPr>
          <w:sz w:val="16"/>
        </w:rPr>
        <w:t>Source: Bank of England.</w:t>
      </w:r>
    </w:p>
    <w:p>
      <w:pPr>
        <w:pStyle w:val="ListParagraph"/>
        <w:numPr>
          <w:ilvl w:val="0"/>
          <w:numId w:val="42"/>
        </w:numPr>
        <w:tabs>
          <w:tab w:pos="405" w:val="left" w:leader="none"/>
        </w:tabs>
        <w:spacing w:line="208" w:lineRule="auto" w:before="156" w:after="0"/>
        <w:ind w:left="404" w:right="512" w:hanging="240"/>
        <w:jc w:val="both"/>
        <w:rPr>
          <w:sz w:val="16"/>
        </w:rPr>
      </w:pPr>
      <w:r>
        <w:rPr>
          <w:sz w:val="16"/>
        </w:rPr>
        <w:t>Probability of inflation being within ±0.05 percentage points of any given inflation rate, specified to one decimal place. For example, the probability of inflation being 2.5% (between 2.45% and 2.55%) in the current projection is around</w:t>
      </w:r>
      <w:r>
        <w:rPr>
          <w:spacing w:val="-20"/>
          <w:sz w:val="16"/>
        </w:rPr>
        <w:t> </w:t>
      </w:r>
      <w:r>
        <w:rPr>
          <w:sz w:val="16"/>
        </w:rPr>
        <w:t>5%.</w:t>
      </w:r>
    </w:p>
    <w:p>
      <w:pPr>
        <w:pStyle w:val="ListParagraph"/>
        <w:numPr>
          <w:ilvl w:val="0"/>
          <w:numId w:val="42"/>
        </w:numPr>
        <w:tabs>
          <w:tab w:pos="405" w:val="left" w:leader="none"/>
        </w:tabs>
        <w:spacing w:line="208" w:lineRule="auto" w:before="0" w:after="0"/>
        <w:ind w:left="404" w:right="458" w:hanging="240"/>
        <w:jc w:val="both"/>
        <w:rPr>
          <w:sz w:val="16"/>
        </w:rPr>
      </w:pPr>
      <w:r>
        <w:rPr>
          <w:sz w:val="16"/>
        </w:rPr>
        <w:t>The areas shaded light grey contain 90% of the probability, and are consistent with the widest bands shown in Charts 6.2 and 6.3. For further details see ‘The </w:t>
      </w:r>
      <w:r>
        <w:rPr>
          <w:i/>
          <w:sz w:val="16"/>
        </w:rPr>
        <w:t>Inflation Report </w:t>
      </w:r>
      <w:r>
        <w:rPr>
          <w:sz w:val="16"/>
        </w:rPr>
        <w:t>projections: understanding the fan chart’, February 1998 </w:t>
      </w:r>
      <w:r>
        <w:rPr>
          <w:i/>
          <w:sz w:val="16"/>
        </w:rPr>
        <w:t>Quarterly Bulletin</w:t>
      </w:r>
      <w:r>
        <w:rPr>
          <w:sz w:val="16"/>
        </w:rPr>
        <w:t>, pages 30–37, and the box on page 52 of the February 1999 </w:t>
      </w:r>
      <w:r>
        <w:rPr>
          <w:i/>
          <w:sz w:val="16"/>
        </w:rPr>
        <w:t>Inflation</w:t>
      </w:r>
      <w:r>
        <w:rPr>
          <w:i/>
          <w:spacing w:val="-2"/>
          <w:sz w:val="16"/>
        </w:rPr>
        <w:t> </w:t>
      </w:r>
      <w:r>
        <w:rPr>
          <w:i/>
          <w:sz w:val="16"/>
        </w:rPr>
        <w:t>Report</w:t>
      </w:r>
      <w:r>
        <w:rPr>
          <w:sz w:val="16"/>
        </w:rPr>
        <w:t>.</w:t>
      </w:r>
    </w:p>
    <w:p>
      <w:pPr>
        <w:pStyle w:val="BodyText"/>
        <w:rPr>
          <w:sz w:val="20"/>
        </w:rPr>
      </w:pPr>
    </w:p>
    <w:p>
      <w:pPr>
        <w:pStyle w:val="BodyText"/>
        <w:rPr>
          <w:sz w:val="20"/>
        </w:rPr>
      </w:pPr>
    </w:p>
    <w:p>
      <w:pPr>
        <w:spacing w:after="0"/>
        <w:rPr>
          <w:sz w:val="20"/>
        </w:rPr>
        <w:sectPr>
          <w:type w:val="continuous"/>
          <w:pgSz w:w="11900" w:h="16840"/>
          <w:pgMar w:top="1260" w:bottom="280" w:left="640" w:right="640"/>
        </w:sectPr>
      </w:pPr>
    </w:p>
    <w:p>
      <w:pPr>
        <w:pStyle w:val="BodyText"/>
        <w:spacing w:before="7"/>
        <w:rPr>
          <w:sz w:val="19"/>
        </w:rPr>
      </w:pPr>
    </w:p>
    <w:p>
      <w:pPr>
        <w:pStyle w:val="Heading6"/>
        <w:spacing w:before="0"/>
        <w:ind w:left="154"/>
        <w:jc w:val="both"/>
      </w:pPr>
      <w:r>
        <w:rPr>
          <w:color w:val="0092C7"/>
        </w:rPr>
        <w:t>Table 6.A</w:t>
      </w:r>
    </w:p>
    <w:p>
      <w:pPr>
        <w:pStyle w:val="Heading6"/>
        <w:spacing w:line="249" w:lineRule="auto"/>
        <w:ind w:left="154" w:right="99"/>
        <w:jc w:val="both"/>
        <w:rPr>
          <w:b w:val="0"/>
          <w:sz w:val="12"/>
        </w:rPr>
      </w:pPr>
      <w:r>
        <w:rPr>
          <w:color w:val="0092C7"/>
        </w:rPr>
        <w:t>The </w:t>
      </w:r>
      <w:r>
        <w:rPr>
          <w:color w:val="0092C7"/>
          <w:spacing w:val="-3"/>
        </w:rPr>
        <w:t>MPC’s </w:t>
      </w:r>
      <w:r>
        <w:rPr>
          <w:color w:val="0092C7"/>
        </w:rPr>
        <w:t>expectations for RPIX inflation and GDP</w:t>
      </w:r>
      <w:r>
        <w:rPr>
          <w:color w:val="0092C7"/>
          <w:spacing w:val="-6"/>
        </w:rPr>
        <w:t> </w:t>
      </w:r>
      <w:r>
        <w:rPr>
          <w:color w:val="0092C7"/>
        </w:rPr>
        <w:t>growth</w:t>
      </w:r>
      <w:r>
        <w:rPr>
          <w:color w:val="0092C7"/>
          <w:spacing w:val="-7"/>
        </w:rPr>
        <w:t> </w:t>
      </w:r>
      <w:r>
        <w:rPr>
          <w:color w:val="0092C7"/>
        </w:rPr>
        <w:t>based</w:t>
      </w:r>
      <w:r>
        <w:rPr>
          <w:color w:val="0092C7"/>
          <w:spacing w:val="-7"/>
        </w:rPr>
        <w:t> </w:t>
      </w:r>
      <w:r>
        <w:rPr>
          <w:color w:val="0092C7"/>
        </w:rPr>
        <w:t>on</w:t>
      </w:r>
      <w:r>
        <w:rPr>
          <w:color w:val="0092C7"/>
          <w:spacing w:val="-7"/>
        </w:rPr>
        <w:t> </w:t>
      </w:r>
      <w:r>
        <w:rPr>
          <w:color w:val="0092C7"/>
        </w:rPr>
        <w:t>constant</w:t>
      </w:r>
      <w:r>
        <w:rPr>
          <w:color w:val="0092C7"/>
          <w:spacing w:val="-7"/>
        </w:rPr>
        <w:t> </w:t>
      </w:r>
      <w:r>
        <w:rPr>
          <w:color w:val="0092C7"/>
        </w:rPr>
        <w:t>nominal</w:t>
      </w:r>
      <w:r>
        <w:rPr>
          <w:color w:val="0092C7"/>
          <w:spacing w:val="-7"/>
        </w:rPr>
        <w:t> </w:t>
      </w:r>
      <w:r>
        <w:rPr>
          <w:color w:val="0092C7"/>
        </w:rPr>
        <w:t>interest rates</w:t>
      </w:r>
      <w:r>
        <w:rPr>
          <w:b w:val="0"/>
          <w:position w:val="4"/>
          <w:sz w:val="12"/>
        </w:rPr>
        <w:t>(a)</w:t>
      </w:r>
    </w:p>
    <w:p>
      <w:pPr>
        <w:spacing w:before="99"/>
        <w:ind w:left="154" w:right="0" w:firstLine="0"/>
        <w:jc w:val="left"/>
        <w:rPr>
          <w:b/>
          <w:sz w:val="14"/>
        </w:rPr>
      </w:pPr>
      <w:r>
        <w:rPr>
          <w:b/>
          <w:sz w:val="14"/>
        </w:rPr>
        <w:t>RPIX inflation</w:t>
      </w:r>
    </w:p>
    <w:p>
      <w:pPr>
        <w:pStyle w:val="BodyText"/>
        <w:spacing w:before="10"/>
        <w:rPr>
          <w:b/>
          <w:sz w:val="10"/>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5"/>
        <w:gridCol w:w="762"/>
        <w:gridCol w:w="576"/>
        <w:gridCol w:w="519"/>
        <w:gridCol w:w="492"/>
        <w:gridCol w:w="485"/>
        <w:gridCol w:w="466"/>
      </w:tblGrid>
      <w:tr>
        <w:trPr>
          <w:trHeight w:val="179" w:hRule="atLeast"/>
        </w:trPr>
        <w:tc>
          <w:tcPr>
            <w:tcW w:w="4405" w:type="dxa"/>
            <w:gridSpan w:val="7"/>
          </w:tcPr>
          <w:p>
            <w:pPr>
              <w:pStyle w:val="TableParagraph"/>
              <w:tabs>
                <w:tab w:pos="1418" w:val="left" w:leader="none"/>
                <w:tab w:pos="4325" w:val="left" w:leader="none"/>
              </w:tabs>
              <w:spacing w:line="155" w:lineRule="exact"/>
              <w:ind w:left="50"/>
              <w:rPr>
                <w:sz w:val="14"/>
              </w:rPr>
            </w:pPr>
            <w:r>
              <w:rPr>
                <w:sz w:val="14"/>
              </w:rPr>
              <w:t>Probability,</w:t>
            </w:r>
            <w:r>
              <w:rPr>
                <w:spacing w:val="-6"/>
                <w:sz w:val="14"/>
              </w:rPr>
              <w:t> </w:t>
            </w:r>
            <w:r>
              <w:rPr>
                <w:sz w:val="14"/>
              </w:rPr>
              <w:t>per</w:t>
            </w:r>
            <w:r>
              <w:rPr>
                <w:spacing w:val="-7"/>
                <w:sz w:val="14"/>
              </w:rPr>
              <w:t> </w:t>
            </w:r>
            <w:r>
              <w:rPr>
                <w:sz w:val="14"/>
              </w:rPr>
              <w:t>cent</w:t>
              <w:tab/>
            </w:r>
            <w:r>
              <w:rPr>
                <w:sz w:val="14"/>
                <w:u w:val="single"/>
              </w:rPr>
              <w:t>Range:</w:t>
              <w:tab/>
            </w:r>
          </w:p>
        </w:tc>
      </w:tr>
      <w:tr>
        <w:trPr>
          <w:trHeight w:val="147" w:hRule="atLeast"/>
        </w:trPr>
        <w:tc>
          <w:tcPr>
            <w:tcW w:w="1105" w:type="dxa"/>
          </w:tcPr>
          <w:p>
            <w:pPr>
              <w:pStyle w:val="TableParagraph"/>
              <w:spacing w:line="240" w:lineRule="auto"/>
              <w:rPr>
                <w:sz w:val="8"/>
              </w:rPr>
            </w:pPr>
          </w:p>
        </w:tc>
        <w:tc>
          <w:tcPr>
            <w:tcW w:w="762" w:type="dxa"/>
          </w:tcPr>
          <w:p>
            <w:pPr>
              <w:pStyle w:val="TableParagraph"/>
              <w:spacing w:line="128" w:lineRule="exact"/>
              <w:ind w:left="324"/>
              <w:rPr>
                <w:sz w:val="14"/>
              </w:rPr>
            </w:pPr>
            <w:r>
              <w:rPr>
                <w:sz w:val="14"/>
              </w:rPr>
              <w:t>less</w:t>
            </w:r>
          </w:p>
        </w:tc>
        <w:tc>
          <w:tcPr>
            <w:tcW w:w="576" w:type="dxa"/>
          </w:tcPr>
          <w:p>
            <w:pPr>
              <w:pStyle w:val="TableParagraph"/>
              <w:spacing w:line="128" w:lineRule="exact"/>
              <w:ind w:left="87"/>
              <w:rPr>
                <w:sz w:val="14"/>
              </w:rPr>
            </w:pPr>
            <w:r>
              <w:rPr>
                <w:sz w:val="14"/>
              </w:rPr>
              <w:t>1.5%</w:t>
            </w:r>
          </w:p>
        </w:tc>
        <w:tc>
          <w:tcPr>
            <w:tcW w:w="519" w:type="dxa"/>
          </w:tcPr>
          <w:p>
            <w:pPr>
              <w:pStyle w:val="TableParagraph"/>
              <w:spacing w:line="128" w:lineRule="exact"/>
              <w:ind w:left="77"/>
              <w:rPr>
                <w:sz w:val="14"/>
              </w:rPr>
            </w:pPr>
            <w:r>
              <w:rPr>
                <w:sz w:val="14"/>
              </w:rPr>
              <w:t>2.0%</w:t>
            </w:r>
          </w:p>
        </w:tc>
        <w:tc>
          <w:tcPr>
            <w:tcW w:w="492" w:type="dxa"/>
          </w:tcPr>
          <w:p>
            <w:pPr>
              <w:pStyle w:val="TableParagraph"/>
              <w:spacing w:line="128" w:lineRule="exact"/>
              <w:ind w:left="88"/>
              <w:rPr>
                <w:sz w:val="14"/>
              </w:rPr>
            </w:pPr>
            <w:r>
              <w:rPr>
                <w:sz w:val="14"/>
              </w:rPr>
              <w:t>2.5%</w:t>
            </w:r>
          </w:p>
        </w:tc>
        <w:tc>
          <w:tcPr>
            <w:tcW w:w="485" w:type="dxa"/>
          </w:tcPr>
          <w:p>
            <w:pPr>
              <w:pStyle w:val="TableParagraph"/>
              <w:spacing w:line="128" w:lineRule="exact"/>
              <w:ind w:left="65"/>
              <w:rPr>
                <w:sz w:val="14"/>
              </w:rPr>
            </w:pPr>
            <w:r>
              <w:rPr>
                <w:sz w:val="14"/>
              </w:rPr>
              <w:t>3.0%</w:t>
            </w:r>
          </w:p>
        </w:tc>
        <w:tc>
          <w:tcPr>
            <w:tcW w:w="466" w:type="dxa"/>
          </w:tcPr>
          <w:p>
            <w:pPr>
              <w:pStyle w:val="TableParagraph"/>
              <w:spacing w:line="128" w:lineRule="exact"/>
              <w:ind w:right="99"/>
              <w:jc w:val="right"/>
              <w:rPr>
                <w:sz w:val="14"/>
              </w:rPr>
            </w:pPr>
            <w:r>
              <w:rPr>
                <w:sz w:val="14"/>
              </w:rPr>
              <w:t>more</w:t>
            </w:r>
          </w:p>
        </w:tc>
      </w:tr>
      <w:tr>
        <w:trPr>
          <w:trHeight w:val="140" w:hRule="atLeast"/>
        </w:trPr>
        <w:tc>
          <w:tcPr>
            <w:tcW w:w="1105" w:type="dxa"/>
          </w:tcPr>
          <w:p>
            <w:pPr>
              <w:pStyle w:val="TableParagraph"/>
              <w:spacing w:line="240" w:lineRule="auto"/>
              <w:rPr>
                <w:sz w:val="8"/>
              </w:rPr>
            </w:pPr>
          </w:p>
        </w:tc>
        <w:tc>
          <w:tcPr>
            <w:tcW w:w="762" w:type="dxa"/>
          </w:tcPr>
          <w:p>
            <w:pPr>
              <w:pStyle w:val="TableParagraph"/>
              <w:ind w:left="324"/>
              <w:rPr>
                <w:sz w:val="14"/>
              </w:rPr>
            </w:pPr>
            <w:r>
              <w:rPr>
                <w:sz w:val="14"/>
              </w:rPr>
              <w:t>than</w:t>
            </w:r>
          </w:p>
        </w:tc>
        <w:tc>
          <w:tcPr>
            <w:tcW w:w="576" w:type="dxa"/>
          </w:tcPr>
          <w:p>
            <w:pPr>
              <w:pStyle w:val="TableParagraph"/>
              <w:ind w:left="87"/>
              <w:rPr>
                <w:sz w:val="14"/>
              </w:rPr>
            </w:pPr>
            <w:r>
              <w:rPr>
                <w:sz w:val="14"/>
              </w:rPr>
              <w:t>to</w:t>
            </w:r>
          </w:p>
        </w:tc>
        <w:tc>
          <w:tcPr>
            <w:tcW w:w="519" w:type="dxa"/>
          </w:tcPr>
          <w:p>
            <w:pPr>
              <w:pStyle w:val="TableParagraph"/>
              <w:ind w:left="77"/>
              <w:rPr>
                <w:sz w:val="14"/>
              </w:rPr>
            </w:pPr>
            <w:r>
              <w:rPr>
                <w:sz w:val="14"/>
              </w:rPr>
              <w:t>to</w:t>
            </w:r>
          </w:p>
        </w:tc>
        <w:tc>
          <w:tcPr>
            <w:tcW w:w="492" w:type="dxa"/>
          </w:tcPr>
          <w:p>
            <w:pPr>
              <w:pStyle w:val="TableParagraph"/>
              <w:ind w:left="87"/>
              <w:rPr>
                <w:sz w:val="14"/>
              </w:rPr>
            </w:pPr>
            <w:r>
              <w:rPr>
                <w:sz w:val="14"/>
              </w:rPr>
              <w:t>to</w:t>
            </w:r>
          </w:p>
        </w:tc>
        <w:tc>
          <w:tcPr>
            <w:tcW w:w="485" w:type="dxa"/>
          </w:tcPr>
          <w:p>
            <w:pPr>
              <w:pStyle w:val="TableParagraph"/>
              <w:ind w:left="65"/>
              <w:rPr>
                <w:sz w:val="14"/>
              </w:rPr>
            </w:pPr>
            <w:r>
              <w:rPr>
                <w:sz w:val="14"/>
              </w:rPr>
              <w:t>to</w:t>
            </w:r>
          </w:p>
        </w:tc>
        <w:tc>
          <w:tcPr>
            <w:tcW w:w="466" w:type="dxa"/>
          </w:tcPr>
          <w:p>
            <w:pPr>
              <w:pStyle w:val="TableParagraph"/>
              <w:ind w:left="76"/>
              <w:rPr>
                <w:sz w:val="14"/>
              </w:rPr>
            </w:pPr>
            <w:r>
              <w:rPr>
                <w:sz w:val="14"/>
              </w:rPr>
              <w:t>than</w:t>
            </w:r>
          </w:p>
        </w:tc>
      </w:tr>
      <w:tr>
        <w:trPr>
          <w:trHeight w:val="210" w:hRule="atLeast"/>
        </w:trPr>
        <w:tc>
          <w:tcPr>
            <w:tcW w:w="1105" w:type="dxa"/>
          </w:tcPr>
          <w:p>
            <w:pPr>
              <w:pStyle w:val="TableParagraph"/>
              <w:spacing w:line="240" w:lineRule="auto"/>
              <w:rPr>
                <w:sz w:val="14"/>
              </w:rPr>
            </w:pPr>
          </w:p>
        </w:tc>
        <w:tc>
          <w:tcPr>
            <w:tcW w:w="762" w:type="dxa"/>
          </w:tcPr>
          <w:p>
            <w:pPr>
              <w:pStyle w:val="TableParagraph"/>
              <w:spacing w:line="148" w:lineRule="exact"/>
              <w:ind w:left="300"/>
              <w:rPr>
                <w:sz w:val="14"/>
              </w:rPr>
            </w:pPr>
            <w:r>
              <w:rPr>
                <w:sz w:val="14"/>
                <w:u w:val="single"/>
              </w:rPr>
              <w:t>1.5% </w:t>
            </w:r>
          </w:p>
        </w:tc>
        <w:tc>
          <w:tcPr>
            <w:tcW w:w="576" w:type="dxa"/>
          </w:tcPr>
          <w:p>
            <w:pPr>
              <w:pStyle w:val="TableParagraph"/>
              <w:spacing w:line="148" w:lineRule="exact"/>
              <w:ind w:left="87"/>
              <w:rPr>
                <w:sz w:val="14"/>
              </w:rPr>
            </w:pPr>
            <w:r>
              <w:rPr>
                <w:sz w:val="14"/>
                <w:u w:val="single"/>
              </w:rPr>
              <w:t>2.0% </w:t>
            </w:r>
          </w:p>
        </w:tc>
        <w:tc>
          <w:tcPr>
            <w:tcW w:w="519" w:type="dxa"/>
          </w:tcPr>
          <w:p>
            <w:pPr>
              <w:pStyle w:val="TableParagraph"/>
              <w:spacing w:line="148" w:lineRule="exact"/>
              <w:ind w:left="77"/>
              <w:rPr>
                <w:sz w:val="14"/>
              </w:rPr>
            </w:pPr>
            <w:r>
              <w:rPr>
                <w:sz w:val="14"/>
                <w:u w:val="single"/>
              </w:rPr>
              <w:t>2.5% </w:t>
            </w:r>
          </w:p>
        </w:tc>
        <w:tc>
          <w:tcPr>
            <w:tcW w:w="492" w:type="dxa"/>
          </w:tcPr>
          <w:p>
            <w:pPr>
              <w:pStyle w:val="TableParagraph"/>
              <w:spacing w:line="148" w:lineRule="exact"/>
              <w:ind w:left="87"/>
              <w:rPr>
                <w:sz w:val="14"/>
              </w:rPr>
            </w:pPr>
            <w:r>
              <w:rPr>
                <w:sz w:val="14"/>
                <w:u w:val="single"/>
              </w:rPr>
              <w:t>3.0% </w:t>
            </w:r>
          </w:p>
        </w:tc>
        <w:tc>
          <w:tcPr>
            <w:tcW w:w="485" w:type="dxa"/>
          </w:tcPr>
          <w:p>
            <w:pPr>
              <w:pStyle w:val="TableParagraph"/>
              <w:spacing w:line="148" w:lineRule="exact"/>
              <w:ind w:left="65"/>
              <w:rPr>
                <w:sz w:val="14"/>
              </w:rPr>
            </w:pPr>
            <w:r>
              <w:rPr>
                <w:sz w:val="14"/>
                <w:u w:val="single"/>
              </w:rPr>
              <w:t>3.5% </w:t>
            </w:r>
          </w:p>
        </w:tc>
        <w:tc>
          <w:tcPr>
            <w:tcW w:w="466" w:type="dxa"/>
          </w:tcPr>
          <w:p>
            <w:pPr>
              <w:pStyle w:val="TableParagraph"/>
              <w:spacing w:line="148" w:lineRule="exact"/>
              <w:ind w:right="47"/>
              <w:jc w:val="right"/>
              <w:rPr>
                <w:sz w:val="14"/>
              </w:rPr>
            </w:pPr>
            <w:r>
              <w:rPr>
                <w:sz w:val="14"/>
                <w:u w:val="single"/>
              </w:rPr>
              <w:t>3.5% </w:t>
            </w:r>
          </w:p>
        </w:tc>
      </w:tr>
      <w:tr>
        <w:trPr>
          <w:trHeight w:val="210" w:hRule="atLeast"/>
        </w:trPr>
        <w:tc>
          <w:tcPr>
            <w:tcW w:w="1105" w:type="dxa"/>
          </w:tcPr>
          <w:p>
            <w:pPr>
              <w:pStyle w:val="TableParagraph"/>
              <w:spacing w:line="133" w:lineRule="exact" w:before="56"/>
              <w:ind w:left="50"/>
              <w:rPr>
                <w:sz w:val="14"/>
              </w:rPr>
            </w:pPr>
            <w:r>
              <w:rPr>
                <w:sz w:val="14"/>
              </w:rPr>
              <w:t>2000 Q4</w:t>
            </w:r>
          </w:p>
        </w:tc>
        <w:tc>
          <w:tcPr>
            <w:tcW w:w="762" w:type="dxa"/>
          </w:tcPr>
          <w:p>
            <w:pPr>
              <w:pStyle w:val="TableParagraph"/>
              <w:spacing w:line="133" w:lineRule="exact" w:before="56"/>
              <w:ind w:left="377"/>
              <w:rPr>
                <w:sz w:val="14"/>
              </w:rPr>
            </w:pPr>
            <w:r>
              <w:rPr>
                <w:sz w:val="14"/>
              </w:rPr>
              <w:t>&lt;1</w:t>
            </w:r>
          </w:p>
        </w:tc>
        <w:tc>
          <w:tcPr>
            <w:tcW w:w="576" w:type="dxa"/>
          </w:tcPr>
          <w:p>
            <w:pPr>
              <w:pStyle w:val="TableParagraph"/>
              <w:spacing w:line="133" w:lineRule="exact" w:before="56"/>
              <w:ind w:left="159"/>
              <w:rPr>
                <w:sz w:val="14"/>
              </w:rPr>
            </w:pPr>
            <w:r>
              <w:rPr>
                <w:sz w:val="14"/>
              </w:rPr>
              <w:t>15</w:t>
            </w:r>
          </w:p>
        </w:tc>
        <w:tc>
          <w:tcPr>
            <w:tcW w:w="519" w:type="dxa"/>
          </w:tcPr>
          <w:p>
            <w:pPr>
              <w:pStyle w:val="TableParagraph"/>
              <w:spacing w:line="133" w:lineRule="exact" w:before="56"/>
              <w:ind w:left="142"/>
              <w:rPr>
                <w:sz w:val="14"/>
              </w:rPr>
            </w:pPr>
            <w:r>
              <w:rPr>
                <w:sz w:val="14"/>
              </w:rPr>
              <w:t>64</w:t>
            </w:r>
          </w:p>
        </w:tc>
        <w:tc>
          <w:tcPr>
            <w:tcW w:w="492" w:type="dxa"/>
          </w:tcPr>
          <w:p>
            <w:pPr>
              <w:pStyle w:val="TableParagraph"/>
              <w:spacing w:line="133" w:lineRule="exact" w:before="56"/>
              <w:ind w:left="128"/>
              <w:rPr>
                <w:sz w:val="14"/>
              </w:rPr>
            </w:pPr>
            <w:r>
              <w:rPr>
                <w:sz w:val="14"/>
              </w:rPr>
              <w:t>21</w:t>
            </w:r>
          </w:p>
        </w:tc>
        <w:tc>
          <w:tcPr>
            <w:tcW w:w="485" w:type="dxa"/>
          </w:tcPr>
          <w:p>
            <w:pPr>
              <w:pStyle w:val="TableParagraph"/>
              <w:spacing w:line="133" w:lineRule="exact" w:before="56"/>
              <w:ind w:left="107"/>
              <w:rPr>
                <w:sz w:val="14"/>
              </w:rPr>
            </w:pPr>
            <w:r>
              <w:rPr>
                <w:sz w:val="14"/>
              </w:rPr>
              <w:t>&lt;1</w:t>
            </w:r>
          </w:p>
        </w:tc>
        <w:tc>
          <w:tcPr>
            <w:tcW w:w="466" w:type="dxa"/>
          </w:tcPr>
          <w:p>
            <w:pPr>
              <w:pStyle w:val="TableParagraph"/>
              <w:spacing w:line="133" w:lineRule="exact" w:before="56"/>
              <w:ind w:left="124"/>
              <w:rPr>
                <w:sz w:val="14"/>
              </w:rPr>
            </w:pPr>
            <w:r>
              <w:rPr>
                <w:sz w:val="14"/>
              </w:rPr>
              <w:t>&lt;1</w:t>
            </w:r>
          </w:p>
        </w:tc>
      </w:tr>
      <w:tr>
        <w:trPr>
          <w:trHeight w:val="140" w:hRule="atLeast"/>
        </w:trPr>
        <w:tc>
          <w:tcPr>
            <w:tcW w:w="1105" w:type="dxa"/>
          </w:tcPr>
          <w:p>
            <w:pPr>
              <w:pStyle w:val="TableParagraph"/>
              <w:ind w:left="50"/>
              <w:rPr>
                <w:sz w:val="14"/>
              </w:rPr>
            </w:pPr>
            <w:r>
              <w:rPr>
                <w:sz w:val="14"/>
              </w:rPr>
              <w:t>2001 Q4</w:t>
            </w:r>
          </w:p>
        </w:tc>
        <w:tc>
          <w:tcPr>
            <w:tcW w:w="762" w:type="dxa"/>
          </w:tcPr>
          <w:p>
            <w:pPr>
              <w:pStyle w:val="TableParagraph"/>
              <w:ind w:left="456"/>
              <w:rPr>
                <w:sz w:val="14"/>
              </w:rPr>
            </w:pPr>
            <w:r>
              <w:rPr>
                <w:sz w:val="14"/>
              </w:rPr>
              <w:t>3</w:t>
            </w:r>
          </w:p>
        </w:tc>
        <w:tc>
          <w:tcPr>
            <w:tcW w:w="576" w:type="dxa"/>
          </w:tcPr>
          <w:p>
            <w:pPr>
              <w:pStyle w:val="TableParagraph"/>
              <w:ind w:left="159"/>
              <w:rPr>
                <w:sz w:val="14"/>
              </w:rPr>
            </w:pPr>
            <w:r>
              <w:rPr>
                <w:sz w:val="14"/>
              </w:rPr>
              <w:t>12</w:t>
            </w:r>
          </w:p>
        </w:tc>
        <w:tc>
          <w:tcPr>
            <w:tcW w:w="519" w:type="dxa"/>
          </w:tcPr>
          <w:p>
            <w:pPr>
              <w:pStyle w:val="TableParagraph"/>
              <w:ind w:left="142"/>
              <w:rPr>
                <w:sz w:val="14"/>
              </w:rPr>
            </w:pPr>
            <w:r>
              <w:rPr>
                <w:sz w:val="14"/>
              </w:rPr>
              <w:t>28</w:t>
            </w:r>
          </w:p>
        </w:tc>
        <w:tc>
          <w:tcPr>
            <w:tcW w:w="492" w:type="dxa"/>
          </w:tcPr>
          <w:p>
            <w:pPr>
              <w:pStyle w:val="TableParagraph"/>
              <w:ind w:left="128"/>
              <w:rPr>
                <w:sz w:val="14"/>
              </w:rPr>
            </w:pPr>
            <w:r>
              <w:rPr>
                <w:sz w:val="14"/>
              </w:rPr>
              <w:t>33</w:t>
            </w:r>
          </w:p>
        </w:tc>
        <w:tc>
          <w:tcPr>
            <w:tcW w:w="485" w:type="dxa"/>
          </w:tcPr>
          <w:p>
            <w:pPr>
              <w:pStyle w:val="TableParagraph"/>
              <w:ind w:left="116"/>
              <w:rPr>
                <w:sz w:val="14"/>
              </w:rPr>
            </w:pPr>
            <w:r>
              <w:rPr>
                <w:sz w:val="14"/>
              </w:rPr>
              <w:t>19</w:t>
            </w:r>
          </w:p>
        </w:tc>
        <w:tc>
          <w:tcPr>
            <w:tcW w:w="466" w:type="dxa"/>
          </w:tcPr>
          <w:p>
            <w:pPr>
              <w:pStyle w:val="TableParagraph"/>
              <w:ind w:left="10"/>
              <w:jc w:val="center"/>
              <w:rPr>
                <w:sz w:val="14"/>
              </w:rPr>
            </w:pPr>
            <w:r>
              <w:rPr>
                <w:sz w:val="14"/>
              </w:rPr>
              <w:t>6</w:t>
            </w:r>
          </w:p>
        </w:tc>
      </w:tr>
      <w:tr>
        <w:trPr>
          <w:trHeight w:val="229" w:hRule="atLeast"/>
        </w:trPr>
        <w:tc>
          <w:tcPr>
            <w:tcW w:w="1105" w:type="dxa"/>
          </w:tcPr>
          <w:p>
            <w:pPr>
              <w:pStyle w:val="TableParagraph"/>
              <w:spacing w:line="148" w:lineRule="exact"/>
              <w:ind w:left="50"/>
              <w:rPr>
                <w:sz w:val="14"/>
              </w:rPr>
            </w:pPr>
            <w:r>
              <w:rPr>
                <w:sz w:val="14"/>
              </w:rPr>
              <w:t>2002 Q3</w:t>
            </w:r>
          </w:p>
        </w:tc>
        <w:tc>
          <w:tcPr>
            <w:tcW w:w="762" w:type="dxa"/>
          </w:tcPr>
          <w:p>
            <w:pPr>
              <w:pStyle w:val="TableParagraph"/>
              <w:spacing w:line="148" w:lineRule="exact"/>
              <w:ind w:left="456"/>
              <w:rPr>
                <w:sz w:val="14"/>
              </w:rPr>
            </w:pPr>
            <w:r>
              <w:rPr>
                <w:sz w:val="14"/>
              </w:rPr>
              <w:t>7</w:t>
            </w:r>
          </w:p>
        </w:tc>
        <w:tc>
          <w:tcPr>
            <w:tcW w:w="576" w:type="dxa"/>
          </w:tcPr>
          <w:p>
            <w:pPr>
              <w:pStyle w:val="TableParagraph"/>
              <w:spacing w:line="148" w:lineRule="exact"/>
              <w:ind w:left="159"/>
              <w:rPr>
                <w:sz w:val="14"/>
              </w:rPr>
            </w:pPr>
            <w:r>
              <w:rPr>
                <w:sz w:val="14"/>
              </w:rPr>
              <w:t>13</w:t>
            </w:r>
          </w:p>
        </w:tc>
        <w:tc>
          <w:tcPr>
            <w:tcW w:w="519" w:type="dxa"/>
          </w:tcPr>
          <w:p>
            <w:pPr>
              <w:pStyle w:val="TableParagraph"/>
              <w:spacing w:line="148" w:lineRule="exact"/>
              <w:ind w:left="142"/>
              <w:rPr>
                <w:sz w:val="14"/>
              </w:rPr>
            </w:pPr>
            <w:r>
              <w:rPr>
                <w:sz w:val="14"/>
              </w:rPr>
              <w:t>22</w:t>
            </w:r>
          </w:p>
        </w:tc>
        <w:tc>
          <w:tcPr>
            <w:tcW w:w="492" w:type="dxa"/>
          </w:tcPr>
          <w:p>
            <w:pPr>
              <w:pStyle w:val="TableParagraph"/>
              <w:spacing w:line="148" w:lineRule="exact"/>
              <w:ind w:left="128"/>
              <w:rPr>
                <w:sz w:val="14"/>
              </w:rPr>
            </w:pPr>
            <w:r>
              <w:rPr>
                <w:sz w:val="14"/>
              </w:rPr>
              <w:t>26</w:t>
            </w:r>
          </w:p>
        </w:tc>
        <w:tc>
          <w:tcPr>
            <w:tcW w:w="485" w:type="dxa"/>
          </w:tcPr>
          <w:p>
            <w:pPr>
              <w:pStyle w:val="TableParagraph"/>
              <w:spacing w:line="148" w:lineRule="exact"/>
              <w:ind w:left="116"/>
              <w:rPr>
                <w:sz w:val="14"/>
              </w:rPr>
            </w:pPr>
            <w:r>
              <w:rPr>
                <w:sz w:val="14"/>
              </w:rPr>
              <w:t>20</w:t>
            </w:r>
          </w:p>
        </w:tc>
        <w:tc>
          <w:tcPr>
            <w:tcW w:w="466" w:type="dxa"/>
          </w:tcPr>
          <w:p>
            <w:pPr>
              <w:pStyle w:val="TableParagraph"/>
              <w:spacing w:line="148" w:lineRule="exact"/>
              <w:ind w:left="133"/>
              <w:rPr>
                <w:sz w:val="14"/>
              </w:rPr>
            </w:pPr>
            <w:r>
              <w:rPr>
                <w:sz w:val="14"/>
              </w:rPr>
              <w:t>11</w:t>
            </w:r>
          </w:p>
        </w:tc>
      </w:tr>
      <w:tr>
        <w:trPr>
          <w:trHeight w:val="237" w:hRule="atLeast"/>
        </w:trPr>
        <w:tc>
          <w:tcPr>
            <w:tcW w:w="1105" w:type="dxa"/>
          </w:tcPr>
          <w:p>
            <w:pPr>
              <w:pStyle w:val="TableParagraph"/>
              <w:spacing w:line="141" w:lineRule="exact" w:before="76"/>
              <w:ind w:left="50"/>
              <w:rPr>
                <w:b/>
                <w:sz w:val="14"/>
              </w:rPr>
            </w:pPr>
            <w:r>
              <w:rPr>
                <w:b/>
                <w:sz w:val="14"/>
              </w:rPr>
              <w:t>GDP growth</w:t>
            </w:r>
          </w:p>
        </w:tc>
        <w:tc>
          <w:tcPr>
            <w:tcW w:w="762" w:type="dxa"/>
          </w:tcPr>
          <w:p>
            <w:pPr>
              <w:pStyle w:val="TableParagraph"/>
              <w:spacing w:line="240" w:lineRule="auto"/>
              <w:rPr>
                <w:sz w:val="16"/>
              </w:rPr>
            </w:pPr>
          </w:p>
        </w:tc>
        <w:tc>
          <w:tcPr>
            <w:tcW w:w="576" w:type="dxa"/>
          </w:tcPr>
          <w:p>
            <w:pPr>
              <w:pStyle w:val="TableParagraph"/>
              <w:spacing w:line="240" w:lineRule="auto"/>
              <w:rPr>
                <w:sz w:val="16"/>
              </w:rPr>
            </w:pPr>
          </w:p>
        </w:tc>
        <w:tc>
          <w:tcPr>
            <w:tcW w:w="519" w:type="dxa"/>
          </w:tcPr>
          <w:p>
            <w:pPr>
              <w:pStyle w:val="TableParagraph"/>
              <w:spacing w:line="240" w:lineRule="auto"/>
              <w:rPr>
                <w:sz w:val="16"/>
              </w:rPr>
            </w:pPr>
          </w:p>
        </w:tc>
        <w:tc>
          <w:tcPr>
            <w:tcW w:w="492" w:type="dxa"/>
          </w:tcPr>
          <w:p>
            <w:pPr>
              <w:pStyle w:val="TableParagraph"/>
              <w:spacing w:line="240" w:lineRule="auto"/>
              <w:rPr>
                <w:sz w:val="16"/>
              </w:rPr>
            </w:pPr>
          </w:p>
        </w:tc>
        <w:tc>
          <w:tcPr>
            <w:tcW w:w="485" w:type="dxa"/>
          </w:tcPr>
          <w:p>
            <w:pPr>
              <w:pStyle w:val="TableParagraph"/>
              <w:spacing w:line="240" w:lineRule="auto"/>
              <w:rPr>
                <w:sz w:val="16"/>
              </w:rPr>
            </w:pPr>
          </w:p>
        </w:tc>
        <w:tc>
          <w:tcPr>
            <w:tcW w:w="466" w:type="dxa"/>
          </w:tcPr>
          <w:p>
            <w:pPr>
              <w:pStyle w:val="TableParagraph"/>
              <w:spacing w:line="240" w:lineRule="auto"/>
              <w:rPr>
                <w:sz w:val="16"/>
              </w:rPr>
            </w:pPr>
          </w:p>
        </w:tc>
      </w:tr>
      <w:tr>
        <w:trPr>
          <w:trHeight w:val="280" w:hRule="atLeast"/>
        </w:trPr>
        <w:tc>
          <w:tcPr>
            <w:tcW w:w="4405" w:type="dxa"/>
            <w:gridSpan w:val="7"/>
          </w:tcPr>
          <w:p>
            <w:pPr>
              <w:pStyle w:val="TableParagraph"/>
              <w:tabs>
                <w:tab w:pos="1403" w:val="left" w:leader="none"/>
                <w:tab w:pos="4339" w:val="left" w:leader="none"/>
              </w:tabs>
              <w:spacing w:line="141" w:lineRule="exact" w:before="119"/>
              <w:ind w:left="50"/>
              <w:rPr>
                <w:sz w:val="14"/>
              </w:rPr>
            </w:pPr>
            <w:r>
              <w:rPr>
                <w:sz w:val="14"/>
              </w:rPr>
              <w:t>Probability,</w:t>
            </w:r>
            <w:r>
              <w:rPr>
                <w:spacing w:val="-6"/>
                <w:sz w:val="14"/>
              </w:rPr>
              <w:t> </w:t>
            </w:r>
            <w:r>
              <w:rPr>
                <w:sz w:val="14"/>
              </w:rPr>
              <w:t>per</w:t>
            </w:r>
            <w:r>
              <w:rPr>
                <w:spacing w:val="-7"/>
                <w:sz w:val="14"/>
              </w:rPr>
              <w:t> </w:t>
            </w:r>
            <w:r>
              <w:rPr>
                <w:sz w:val="14"/>
              </w:rPr>
              <w:t>cent</w:t>
              <w:tab/>
            </w:r>
            <w:r>
              <w:rPr>
                <w:sz w:val="14"/>
                <w:u w:val="single"/>
              </w:rPr>
              <w:t>Range:</w:t>
              <w:tab/>
            </w:r>
          </w:p>
        </w:tc>
      </w:tr>
      <w:tr>
        <w:trPr>
          <w:trHeight w:val="172" w:hRule="atLeast"/>
        </w:trPr>
        <w:tc>
          <w:tcPr>
            <w:tcW w:w="1105" w:type="dxa"/>
          </w:tcPr>
          <w:p>
            <w:pPr>
              <w:pStyle w:val="TableParagraph"/>
              <w:spacing w:line="240" w:lineRule="auto"/>
              <w:rPr>
                <w:sz w:val="10"/>
              </w:rPr>
            </w:pPr>
          </w:p>
        </w:tc>
        <w:tc>
          <w:tcPr>
            <w:tcW w:w="762" w:type="dxa"/>
          </w:tcPr>
          <w:p>
            <w:pPr>
              <w:pStyle w:val="TableParagraph"/>
              <w:spacing w:line="133" w:lineRule="exact" w:before="19"/>
              <w:ind w:left="314"/>
              <w:rPr>
                <w:sz w:val="14"/>
              </w:rPr>
            </w:pPr>
            <w:r>
              <w:rPr>
                <w:sz w:val="14"/>
              </w:rPr>
              <w:t>less</w:t>
            </w:r>
          </w:p>
        </w:tc>
        <w:tc>
          <w:tcPr>
            <w:tcW w:w="576" w:type="dxa"/>
          </w:tcPr>
          <w:p>
            <w:pPr>
              <w:pStyle w:val="TableParagraph"/>
              <w:spacing w:line="133" w:lineRule="exact" w:before="19"/>
              <w:ind w:left="95"/>
              <w:rPr>
                <w:sz w:val="14"/>
              </w:rPr>
            </w:pPr>
            <w:r>
              <w:rPr>
                <w:sz w:val="14"/>
              </w:rPr>
              <w:t>0%</w:t>
            </w:r>
          </w:p>
        </w:tc>
        <w:tc>
          <w:tcPr>
            <w:tcW w:w="519" w:type="dxa"/>
          </w:tcPr>
          <w:p>
            <w:pPr>
              <w:pStyle w:val="TableParagraph"/>
              <w:spacing w:line="133" w:lineRule="exact" w:before="19"/>
              <w:ind w:left="54"/>
              <w:rPr>
                <w:sz w:val="14"/>
              </w:rPr>
            </w:pPr>
            <w:r>
              <w:rPr>
                <w:sz w:val="14"/>
              </w:rPr>
              <w:t>1%</w:t>
            </w:r>
          </w:p>
        </w:tc>
        <w:tc>
          <w:tcPr>
            <w:tcW w:w="492" w:type="dxa"/>
          </w:tcPr>
          <w:p>
            <w:pPr>
              <w:pStyle w:val="TableParagraph"/>
              <w:spacing w:line="133" w:lineRule="exact" w:before="19"/>
              <w:ind w:left="109"/>
              <w:rPr>
                <w:sz w:val="14"/>
              </w:rPr>
            </w:pPr>
            <w:r>
              <w:rPr>
                <w:sz w:val="14"/>
              </w:rPr>
              <w:t>2%</w:t>
            </w:r>
          </w:p>
        </w:tc>
        <w:tc>
          <w:tcPr>
            <w:tcW w:w="485" w:type="dxa"/>
          </w:tcPr>
          <w:p>
            <w:pPr>
              <w:pStyle w:val="TableParagraph"/>
              <w:spacing w:line="133" w:lineRule="exact" w:before="19"/>
              <w:ind w:left="89"/>
              <w:rPr>
                <w:sz w:val="14"/>
              </w:rPr>
            </w:pPr>
            <w:r>
              <w:rPr>
                <w:sz w:val="14"/>
              </w:rPr>
              <w:t>3%</w:t>
            </w:r>
          </w:p>
        </w:tc>
        <w:tc>
          <w:tcPr>
            <w:tcW w:w="466" w:type="dxa"/>
          </w:tcPr>
          <w:p>
            <w:pPr>
              <w:pStyle w:val="TableParagraph"/>
              <w:spacing w:line="133" w:lineRule="exact" w:before="19"/>
              <w:ind w:left="60"/>
              <w:rPr>
                <w:sz w:val="14"/>
              </w:rPr>
            </w:pPr>
            <w:r>
              <w:rPr>
                <w:sz w:val="14"/>
              </w:rPr>
              <w:t>more</w:t>
            </w:r>
          </w:p>
        </w:tc>
      </w:tr>
      <w:tr>
        <w:trPr>
          <w:trHeight w:val="140" w:hRule="atLeast"/>
        </w:trPr>
        <w:tc>
          <w:tcPr>
            <w:tcW w:w="1105" w:type="dxa"/>
          </w:tcPr>
          <w:p>
            <w:pPr>
              <w:pStyle w:val="TableParagraph"/>
              <w:spacing w:line="240" w:lineRule="auto"/>
              <w:rPr>
                <w:sz w:val="8"/>
              </w:rPr>
            </w:pPr>
          </w:p>
        </w:tc>
        <w:tc>
          <w:tcPr>
            <w:tcW w:w="762" w:type="dxa"/>
          </w:tcPr>
          <w:p>
            <w:pPr>
              <w:pStyle w:val="TableParagraph"/>
              <w:ind w:left="314"/>
              <w:rPr>
                <w:sz w:val="14"/>
              </w:rPr>
            </w:pPr>
            <w:r>
              <w:rPr>
                <w:sz w:val="14"/>
              </w:rPr>
              <w:t>than</w:t>
            </w:r>
          </w:p>
        </w:tc>
        <w:tc>
          <w:tcPr>
            <w:tcW w:w="576" w:type="dxa"/>
          </w:tcPr>
          <w:p>
            <w:pPr>
              <w:pStyle w:val="TableParagraph"/>
              <w:ind w:left="94"/>
              <w:rPr>
                <w:sz w:val="14"/>
              </w:rPr>
            </w:pPr>
            <w:r>
              <w:rPr>
                <w:sz w:val="14"/>
              </w:rPr>
              <w:t>to</w:t>
            </w:r>
          </w:p>
        </w:tc>
        <w:tc>
          <w:tcPr>
            <w:tcW w:w="519" w:type="dxa"/>
          </w:tcPr>
          <w:p>
            <w:pPr>
              <w:pStyle w:val="TableParagraph"/>
              <w:ind w:left="53"/>
              <w:rPr>
                <w:sz w:val="14"/>
              </w:rPr>
            </w:pPr>
            <w:r>
              <w:rPr>
                <w:sz w:val="14"/>
              </w:rPr>
              <w:t>to</w:t>
            </w:r>
          </w:p>
        </w:tc>
        <w:tc>
          <w:tcPr>
            <w:tcW w:w="492" w:type="dxa"/>
          </w:tcPr>
          <w:p>
            <w:pPr>
              <w:pStyle w:val="TableParagraph"/>
              <w:ind w:left="109"/>
              <w:rPr>
                <w:sz w:val="14"/>
              </w:rPr>
            </w:pPr>
            <w:r>
              <w:rPr>
                <w:sz w:val="14"/>
              </w:rPr>
              <w:t>to</w:t>
            </w:r>
          </w:p>
        </w:tc>
        <w:tc>
          <w:tcPr>
            <w:tcW w:w="485" w:type="dxa"/>
          </w:tcPr>
          <w:p>
            <w:pPr>
              <w:pStyle w:val="TableParagraph"/>
              <w:ind w:left="89"/>
              <w:rPr>
                <w:sz w:val="14"/>
              </w:rPr>
            </w:pPr>
            <w:r>
              <w:rPr>
                <w:sz w:val="14"/>
              </w:rPr>
              <w:t>to</w:t>
            </w:r>
          </w:p>
        </w:tc>
        <w:tc>
          <w:tcPr>
            <w:tcW w:w="466" w:type="dxa"/>
          </w:tcPr>
          <w:p>
            <w:pPr>
              <w:pStyle w:val="TableParagraph"/>
              <w:ind w:left="60"/>
              <w:rPr>
                <w:sz w:val="14"/>
              </w:rPr>
            </w:pPr>
            <w:r>
              <w:rPr>
                <w:sz w:val="14"/>
              </w:rPr>
              <w:t>than</w:t>
            </w:r>
          </w:p>
        </w:tc>
      </w:tr>
      <w:tr>
        <w:trPr>
          <w:trHeight w:val="210" w:hRule="atLeast"/>
        </w:trPr>
        <w:tc>
          <w:tcPr>
            <w:tcW w:w="1105" w:type="dxa"/>
          </w:tcPr>
          <w:p>
            <w:pPr>
              <w:pStyle w:val="TableParagraph"/>
              <w:spacing w:line="240" w:lineRule="auto"/>
              <w:rPr>
                <w:sz w:val="14"/>
              </w:rPr>
            </w:pPr>
          </w:p>
        </w:tc>
        <w:tc>
          <w:tcPr>
            <w:tcW w:w="762" w:type="dxa"/>
          </w:tcPr>
          <w:p>
            <w:pPr>
              <w:pStyle w:val="TableParagraph"/>
              <w:spacing w:line="148" w:lineRule="exact"/>
              <w:ind w:left="314"/>
              <w:rPr>
                <w:sz w:val="14"/>
              </w:rPr>
            </w:pPr>
            <w:r>
              <w:rPr>
                <w:sz w:val="14"/>
                <w:u w:val="single"/>
              </w:rPr>
              <w:t>0% </w:t>
            </w:r>
          </w:p>
        </w:tc>
        <w:tc>
          <w:tcPr>
            <w:tcW w:w="576" w:type="dxa"/>
          </w:tcPr>
          <w:p>
            <w:pPr>
              <w:pStyle w:val="TableParagraph"/>
              <w:spacing w:line="148" w:lineRule="exact"/>
              <w:ind w:left="95"/>
              <w:rPr>
                <w:sz w:val="14"/>
              </w:rPr>
            </w:pPr>
            <w:r>
              <w:rPr>
                <w:sz w:val="14"/>
                <w:u w:val="single"/>
              </w:rPr>
              <w:t>1% </w:t>
            </w:r>
          </w:p>
        </w:tc>
        <w:tc>
          <w:tcPr>
            <w:tcW w:w="519" w:type="dxa"/>
          </w:tcPr>
          <w:p>
            <w:pPr>
              <w:pStyle w:val="TableParagraph"/>
              <w:spacing w:line="148" w:lineRule="exact"/>
              <w:ind w:left="54"/>
              <w:rPr>
                <w:sz w:val="14"/>
              </w:rPr>
            </w:pPr>
            <w:r>
              <w:rPr>
                <w:sz w:val="14"/>
                <w:u w:val="single"/>
              </w:rPr>
              <w:t>2% </w:t>
            </w:r>
          </w:p>
        </w:tc>
        <w:tc>
          <w:tcPr>
            <w:tcW w:w="492" w:type="dxa"/>
          </w:tcPr>
          <w:p>
            <w:pPr>
              <w:pStyle w:val="TableParagraph"/>
              <w:spacing w:line="148" w:lineRule="exact"/>
              <w:ind w:left="109"/>
              <w:rPr>
                <w:sz w:val="14"/>
              </w:rPr>
            </w:pPr>
            <w:r>
              <w:rPr>
                <w:sz w:val="14"/>
                <w:u w:val="single"/>
              </w:rPr>
              <w:t>3% </w:t>
            </w:r>
          </w:p>
        </w:tc>
        <w:tc>
          <w:tcPr>
            <w:tcW w:w="485" w:type="dxa"/>
          </w:tcPr>
          <w:p>
            <w:pPr>
              <w:pStyle w:val="TableParagraph"/>
              <w:spacing w:line="148" w:lineRule="exact"/>
              <w:ind w:left="89"/>
              <w:rPr>
                <w:sz w:val="14"/>
              </w:rPr>
            </w:pPr>
            <w:r>
              <w:rPr>
                <w:sz w:val="14"/>
                <w:u w:val="single"/>
              </w:rPr>
              <w:t>4% </w:t>
            </w:r>
          </w:p>
        </w:tc>
        <w:tc>
          <w:tcPr>
            <w:tcW w:w="466" w:type="dxa"/>
          </w:tcPr>
          <w:p>
            <w:pPr>
              <w:pStyle w:val="TableParagraph"/>
              <w:spacing w:line="148" w:lineRule="exact"/>
              <w:ind w:left="60"/>
              <w:rPr>
                <w:sz w:val="14"/>
              </w:rPr>
            </w:pPr>
            <w:r>
              <w:rPr>
                <w:sz w:val="14"/>
                <w:u w:val="single"/>
              </w:rPr>
              <w:t>4% </w:t>
            </w:r>
          </w:p>
        </w:tc>
      </w:tr>
      <w:tr>
        <w:trPr>
          <w:trHeight w:val="210" w:hRule="atLeast"/>
        </w:trPr>
        <w:tc>
          <w:tcPr>
            <w:tcW w:w="1105" w:type="dxa"/>
          </w:tcPr>
          <w:p>
            <w:pPr>
              <w:pStyle w:val="TableParagraph"/>
              <w:spacing w:line="133" w:lineRule="exact" w:before="56"/>
              <w:ind w:left="50"/>
              <w:rPr>
                <w:sz w:val="14"/>
              </w:rPr>
            </w:pPr>
            <w:r>
              <w:rPr>
                <w:sz w:val="14"/>
              </w:rPr>
              <w:t>2000 Q4</w:t>
            </w:r>
          </w:p>
        </w:tc>
        <w:tc>
          <w:tcPr>
            <w:tcW w:w="762" w:type="dxa"/>
          </w:tcPr>
          <w:p>
            <w:pPr>
              <w:pStyle w:val="TableParagraph"/>
              <w:spacing w:line="133" w:lineRule="exact" w:before="56"/>
              <w:ind w:left="377"/>
              <w:rPr>
                <w:sz w:val="14"/>
              </w:rPr>
            </w:pPr>
            <w:r>
              <w:rPr>
                <w:sz w:val="14"/>
              </w:rPr>
              <w:t>&lt;1</w:t>
            </w:r>
          </w:p>
        </w:tc>
        <w:tc>
          <w:tcPr>
            <w:tcW w:w="576" w:type="dxa"/>
          </w:tcPr>
          <w:p>
            <w:pPr>
              <w:pStyle w:val="TableParagraph"/>
              <w:spacing w:line="133" w:lineRule="exact" w:before="56"/>
              <w:ind w:right="107"/>
              <w:jc w:val="center"/>
              <w:rPr>
                <w:sz w:val="14"/>
              </w:rPr>
            </w:pPr>
            <w:r>
              <w:rPr>
                <w:sz w:val="14"/>
              </w:rPr>
              <w:t>2</w:t>
            </w:r>
          </w:p>
        </w:tc>
        <w:tc>
          <w:tcPr>
            <w:tcW w:w="519" w:type="dxa"/>
          </w:tcPr>
          <w:p>
            <w:pPr>
              <w:pStyle w:val="TableParagraph"/>
              <w:spacing w:line="133" w:lineRule="exact" w:before="56"/>
              <w:ind w:left="71"/>
              <w:rPr>
                <w:sz w:val="14"/>
              </w:rPr>
            </w:pPr>
            <w:r>
              <w:rPr>
                <w:sz w:val="14"/>
              </w:rPr>
              <w:t>25</w:t>
            </w:r>
          </w:p>
        </w:tc>
        <w:tc>
          <w:tcPr>
            <w:tcW w:w="492" w:type="dxa"/>
          </w:tcPr>
          <w:p>
            <w:pPr>
              <w:pStyle w:val="TableParagraph"/>
              <w:spacing w:line="133" w:lineRule="exact" w:before="56"/>
              <w:ind w:left="142"/>
              <w:rPr>
                <w:sz w:val="14"/>
              </w:rPr>
            </w:pPr>
            <w:r>
              <w:rPr>
                <w:sz w:val="14"/>
              </w:rPr>
              <w:t>56</w:t>
            </w:r>
          </w:p>
        </w:tc>
        <w:tc>
          <w:tcPr>
            <w:tcW w:w="485" w:type="dxa"/>
          </w:tcPr>
          <w:p>
            <w:pPr>
              <w:pStyle w:val="TableParagraph"/>
              <w:spacing w:line="133" w:lineRule="exact" w:before="56"/>
              <w:ind w:left="146"/>
              <w:rPr>
                <w:sz w:val="14"/>
              </w:rPr>
            </w:pPr>
            <w:r>
              <w:rPr>
                <w:sz w:val="14"/>
              </w:rPr>
              <w:t>17</w:t>
            </w:r>
          </w:p>
        </w:tc>
        <w:tc>
          <w:tcPr>
            <w:tcW w:w="466" w:type="dxa"/>
          </w:tcPr>
          <w:p>
            <w:pPr>
              <w:pStyle w:val="TableParagraph"/>
              <w:spacing w:line="133" w:lineRule="exact" w:before="56"/>
              <w:ind w:left="132"/>
              <w:rPr>
                <w:sz w:val="14"/>
              </w:rPr>
            </w:pPr>
            <w:r>
              <w:rPr>
                <w:sz w:val="14"/>
              </w:rPr>
              <w:t>&lt;1</w:t>
            </w:r>
          </w:p>
        </w:tc>
      </w:tr>
      <w:tr>
        <w:trPr>
          <w:trHeight w:val="140" w:hRule="atLeast"/>
        </w:trPr>
        <w:tc>
          <w:tcPr>
            <w:tcW w:w="1105" w:type="dxa"/>
          </w:tcPr>
          <w:p>
            <w:pPr>
              <w:pStyle w:val="TableParagraph"/>
              <w:ind w:left="50"/>
              <w:rPr>
                <w:sz w:val="14"/>
              </w:rPr>
            </w:pPr>
            <w:r>
              <w:rPr>
                <w:sz w:val="14"/>
              </w:rPr>
              <w:t>2001 Q4</w:t>
            </w:r>
          </w:p>
        </w:tc>
        <w:tc>
          <w:tcPr>
            <w:tcW w:w="762" w:type="dxa"/>
          </w:tcPr>
          <w:p>
            <w:pPr>
              <w:pStyle w:val="TableParagraph"/>
              <w:ind w:left="456"/>
              <w:rPr>
                <w:sz w:val="14"/>
              </w:rPr>
            </w:pPr>
            <w:r>
              <w:rPr>
                <w:sz w:val="14"/>
              </w:rPr>
              <w:t>1</w:t>
            </w:r>
          </w:p>
        </w:tc>
        <w:tc>
          <w:tcPr>
            <w:tcW w:w="576" w:type="dxa"/>
          </w:tcPr>
          <w:p>
            <w:pPr>
              <w:pStyle w:val="TableParagraph"/>
              <w:ind w:right="107"/>
              <w:jc w:val="center"/>
              <w:rPr>
                <w:sz w:val="14"/>
              </w:rPr>
            </w:pPr>
            <w:r>
              <w:rPr>
                <w:sz w:val="14"/>
              </w:rPr>
              <w:t>8</w:t>
            </w:r>
          </w:p>
        </w:tc>
        <w:tc>
          <w:tcPr>
            <w:tcW w:w="519" w:type="dxa"/>
          </w:tcPr>
          <w:p>
            <w:pPr>
              <w:pStyle w:val="TableParagraph"/>
              <w:ind w:left="71"/>
              <w:rPr>
                <w:sz w:val="14"/>
              </w:rPr>
            </w:pPr>
            <w:r>
              <w:rPr>
                <w:sz w:val="14"/>
              </w:rPr>
              <w:t>23</w:t>
            </w:r>
          </w:p>
        </w:tc>
        <w:tc>
          <w:tcPr>
            <w:tcW w:w="492" w:type="dxa"/>
          </w:tcPr>
          <w:p>
            <w:pPr>
              <w:pStyle w:val="TableParagraph"/>
              <w:ind w:left="142"/>
              <w:rPr>
                <w:sz w:val="14"/>
              </w:rPr>
            </w:pPr>
            <w:r>
              <w:rPr>
                <w:sz w:val="14"/>
              </w:rPr>
              <w:t>36</w:t>
            </w:r>
          </w:p>
        </w:tc>
        <w:tc>
          <w:tcPr>
            <w:tcW w:w="485" w:type="dxa"/>
          </w:tcPr>
          <w:p>
            <w:pPr>
              <w:pStyle w:val="TableParagraph"/>
              <w:ind w:left="146"/>
              <w:rPr>
                <w:sz w:val="14"/>
              </w:rPr>
            </w:pPr>
            <w:r>
              <w:rPr>
                <w:sz w:val="14"/>
              </w:rPr>
              <w:t>25</w:t>
            </w:r>
          </w:p>
        </w:tc>
        <w:tc>
          <w:tcPr>
            <w:tcW w:w="466" w:type="dxa"/>
          </w:tcPr>
          <w:p>
            <w:pPr>
              <w:pStyle w:val="TableParagraph"/>
              <w:ind w:left="26"/>
              <w:jc w:val="center"/>
              <w:rPr>
                <w:sz w:val="14"/>
              </w:rPr>
            </w:pPr>
            <w:r>
              <w:rPr>
                <w:sz w:val="14"/>
              </w:rPr>
              <w:t>7</w:t>
            </w:r>
          </w:p>
        </w:tc>
      </w:tr>
      <w:tr>
        <w:trPr>
          <w:trHeight w:val="147" w:hRule="atLeast"/>
        </w:trPr>
        <w:tc>
          <w:tcPr>
            <w:tcW w:w="1105" w:type="dxa"/>
          </w:tcPr>
          <w:p>
            <w:pPr>
              <w:pStyle w:val="TableParagraph"/>
              <w:spacing w:line="128" w:lineRule="exact"/>
              <w:ind w:left="50"/>
              <w:rPr>
                <w:sz w:val="14"/>
              </w:rPr>
            </w:pPr>
            <w:r>
              <w:rPr>
                <w:sz w:val="14"/>
              </w:rPr>
              <w:t>2002 Q3</w:t>
            </w:r>
          </w:p>
        </w:tc>
        <w:tc>
          <w:tcPr>
            <w:tcW w:w="762" w:type="dxa"/>
          </w:tcPr>
          <w:p>
            <w:pPr>
              <w:pStyle w:val="TableParagraph"/>
              <w:spacing w:line="128" w:lineRule="exact"/>
              <w:ind w:left="456"/>
              <w:rPr>
                <w:sz w:val="14"/>
              </w:rPr>
            </w:pPr>
            <w:r>
              <w:rPr>
                <w:sz w:val="14"/>
              </w:rPr>
              <w:t>1</w:t>
            </w:r>
          </w:p>
        </w:tc>
        <w:tc>
          <w:tcPr>
            <w:tcW w:w="576" w:type="dxa"/>
          </w:tcPr>
          <w:p>
            <w:pPr>
              <w:pStyle w:val="TableParagraph"/>
              <w:spacing w:line="128" w:lineRule="exact"/>
              <w:ind w:right="107"/>
              <w:jc w:val="center"/>
              <w:rPr>
                <w:sz w:val="14"/>
              </w:rPr>
            </w:pPr>
            <w:r>
              <w:rPr>
                <w:sz w:val="14"/>
              </w:rPr>
              <w:t>7</w:t>
            </w:r>
          </w:p>
        </w:tc>
        <w:tc>
          <w:tcPr>
            <w:tcW w:w="519" w:type="dxa"/>
          </w:tcPr>
          <w:p>
            <w:pPr>
              <w:pStyle w:val="TableParagraph"/>
              <w:spacing w:line="128" w:lineRule="exact"/>
              <w:ind w:left="71"/>
              <w:rPr>
                <w:sz w:val="14"/>
              </w:rPr>
            </w:pPr>
            <w:r>
              <w:rPr>
                <w:sz w:val="14"/>
              </w:rPr>
              <w:t>22</w:t>
            </w:r>
          </w:p>
        </w:tc>
        <w:tc>
          <w:tcPr>
            <w:tcW w:w="492" w:type="dxa"/>
          </w:tcPr>
          <w:p>
            <w:pPr>
              <w:pStyle w:val="TableParagraph"/>
              <w:spacing w:line="128" w:lineRule="exact"/>
              <w:ind w:left="142"/>
              <w:rPr>
                <w:sz w:val="14"/>
              </w:rPr>
            </w:pPr>
            <w:r>
              <w:rPr>
                <w:sz w:val="14"/>
              </w:rPr>
              <w:t>36</w:t>
            </w:r>
          </w:p>
        </w:tc>
        <w:tc>
          <w:tcPr>
            <w:tcW w:w="485" w:type="dxa"/>
          </w:tcPr>
          <w:p>
            <w:pPr>
              <w:pStyle w:val="TableParagraph"/>
              <w:spacing w:line="128" w:lineRule="exact"/>
              <w:ind w:left="146"/>
              <w:rPr>
                <w:sz w:val="14"/>
              </w:rPr>
            </w:pPr>
            <w:r>
              <w:rPr>
                <w:sz w:val="14"/>
              </w:rPr>
              <w:t>27</w:t>
            </w:r>
          </w:p>
        </w:tc>
        <w:tc>
          <w:tcPr>
            <w:tcW w:w="466" w:type="dxa"/>
          </w:tcPr>
          <w:p>
            <w:pPr>
              <w:pStyle w:val="TableParagraph"/>
              <w:spacing w:line="128" w:lineRule="exact"/>
              <w:ind w:left="26"/>
              <w:jc w:val="center"/>
              <w:rPr>
                <w:sz w:val="14"/>
              </w:rPr>
            </w:pPr>
            <w:r>
              <w:rPr>
                <w:sz w:val="14"/>
              </w:rPr>
              <w:t>8</w:t>
            </w:r>
          </w:p>
        </w:tc>
      </w:tr>
    </w:tbl>
    <w:p>
      <w:pPr>
        <w:spacing w:line="208" w:lineRule="auto" w:before="112"/>
        <w:ind w:left="394" w:right="0" w:hanging="240"/>
        <w:jc w:val="left"/>
        <w:rPr>
          <w:sz w:val="12"/>
        </w:rPr>
      </w:pPr>
      <w:r>
        <w:rPr>
          <w:sz w:val="12"/>
        </w:rPr>
        <w:t>(a) These figures are from the same distributions as the GDP and inflation fan charts, Charts 6.1 and 6.2.</w:t>
      </w:r>
    </w:p>
    <w:p>
      <w:pPr>
        <w:pStyle w:val="BodyText"/>
        <w:rPr>
          <w:sz w:val="12"/>
        </w:rPr>
      </w:pPr>
    </w:p>
    <w:p>
      <w:pPr>
        <w:pStyle w:val="BodyText"/>
        <w:rPr>
          <w:sz w:val="12"/>
        </w:rPr>
      </w:pPr>
    </w:p>
    <w:p>
      <w:pPr>
        <w:pStyle w:val="BodyText"/>
        <w:spacing w:before="9"/>
        <w:rPr>
          <w:sz w:val="10"/>
        </w:rPr>
      </w:pPr>
    </w:p>
    <w:p>
      <w:pPr>
        <w:pStyle w:val="Heading6"/>
        <w:spacing w:before="1"/>
        <w:ind w:left="162"/>
        <w:jc w:val="both"/>
      </w:pPr>
      <w:r>
        <w:rPr>
          <w:color w:val="0092C7"/>
        </w:rPr>
        <w:t>Table 6.B</w:t>
      </w:r>
    </w:p>
    <w:p>
      <w:pPr>
        <w:pStyle w:val="Heading6"/>
        <w:spacing w:line="249" w:lineRule="auto"/>
        <w:ind w:left="162"/>
      </w:pPr>
      <w:r>
        <w:rPr>
          <w:color w:val="0092C7"/>
        </w:rPr>
        <w:t>Possible effects on RPIX inflation and GDP growth of the alternative assumptions</w:t>
      </w:r>
    </w:p>
    <w:p>
      <w:pPr>
        <w:spacing w:before="97"/>
        <w:ind w:left="162" w:right="0" w:firstLine="0"/>
        <w:jc w:val="left"/>
        <w:rPr>
          <w:sz w:val="14"/>
        </w:rPr>
      </w:pPr>
      <w:r>
        <w:rPr>
          <w:sz w:val="14"/>
        </w:rPr>
        <w:t>Difference from the central projection, percentage points</w:t>
      </w:r>
    </w:p>
    <w:p>
      <w:pPr>
        <w:spacing w:before="119"/>
        <w:ind w:left="162" w:right="0" w:firstLine="0"/>
        <w:jc w:val="left"/>
        <w:rPr>
          <w:b/>
          <w:sz w:val="14"/>
        </w:rPr>
      </w:pPr>
      <w:r>
        <w:rPr>
          <w:b/>
          <w:sz w:val="14"/>
        </w:rPr>
        <w:t>RPIX inflation</w:t>
      </w:r>
    </w:p>
    <w:p>
      <w:pPr>
        <w:pStyle w:val="BodyText"/>
        <w:spacing w:before="10"/>
        <w:rPr>
          <w:b/>
          <w:sz w:val="10"/>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2"/>
        <w:gridCol w:w="1026"/>
        <w:gridCol w:w="400"/>
        <w:gridCol w:w="1160"/>
      </w:tblGrid>
      <w:tr>
        <w:trPr>
          <w:trHeight w:val="462" w:hRule="atLeast"/>
        </w:trPr>
        <w:tc>
          <w:tcPr>
            <w:tcW w:w="1482" w:type="dxa"/>
          </w:tcPr>
          <w:p>
            <w:pPr>
              <w:pStyle w:val="TableParagraph"/>
              <w:spacing w:line="240" w:lineRule="auto"/>
              <w:rPr>
                <w:sz w:val="18"/>
              </w:rPr>
            </w:pPr>
          </w:p>
        </w:tc>
        <w:tc>
          <w:tcPr>
            <w:tcW w:w="1026" w:type="dxa"/>
            <w:tcBorders>
              <w:bottom w:val="single" w:sz="2" w:space="0" w:color="000000"/>
            </w:tcBorders>
          </w:tcPr>
          <w:p>
            <w:pPr>
              <w:pStyle w:val="TableParagraph"/>
              <w:spacing w:line="145" w:lineRule="exact"/>
              <w:ind w:left="-2"/>
              <w:rPr>
                <w:sz w:val="14"/>
              </w:rPr>
            </w:pPr>
            <w:r>
              <w:rPr>
                <w:sz w:val="14"/>
              </w:rPr>
              <w:t>Improvement</w:t>
            </w:r>
          </w:p>
          <w:p>
            <w:pPr>
              <w:pStyle w:val="TableParagraph"/>
              <w:spacing w:line="208" w:lineRule="auto" w:before="6"/>
              <w:ind w:left="-2" w:right="-19"/>
              <w:rPr>
                <w:sz w:val="14"/>
              </w:rPr>
            </w:pPr>
            <w:r>
              <w:rPr>
                <w:sz w:val="14"/>
              </w:rPr>
              <w:t>in UK supply-side performance</w:t>
            </w:r>
          </w:p>
        </w:tc>
        <w:tc>
          <w:tcPr>
            <w:tcW w:w="400" w:type="dxa"/>
          </w:tcPr>
          <w:p>
            <w:pPr>
              <w:pStyle w:val="TableParagraph"/>
              <w:spacing w:line="240" w:lineRule="auto"/>
              <w:rPr>
                <w:sz w:val="18"/>
              </w:rPr>
            </w:pPr>
          </w:p>
        </w:tc>
        <w:tc>
          <w:tcPr>
            <w:tcW w:w="1160" w:type="dxa"/>
            <w:tcBorders>
              <w:bottom w:val="single" w:sz="2" w:space="0" w:color="000000"/>
            </w:tcBorders>
          </w:tcPr>
          <w:p>
            <w:pPr>
              <w:pStyle w:val="TableParagraph"/>
              <w:spacing w:line="208" w:lineRule="auto" w:before="11"/>
              <w:ind w:left="11" w:right="67"/>
              <w:rPr>
                <w:sz w:val="14"/>
              </w:rPr>
            </w:pPr>
            <w:r>
              <w:rPr>
                <w:sz w:val="14"/>
              </w:rPr>
              <w:t>Weaker downward pressure on margins</w:t>
            </w:r>
          </w:p>
        </w:tc>
      </w:tr>
      <w:tr>
        <w:trPr>
          <w:trHeight w:val="240" w:hRule="atLeast"/>
        </w:trPr>
        <w:tc>
          <w:tcPr>
            <w:tcW w:w="1482" w:type="dxa"/>
          </w:tcPr>
          <w:p>
            <w:pPr>
              <w:pStyle w:val="TableParagraph"/>
              <w:spacing w:line="133" w:lineRule="exact" w:before="86"/>
              <w:ind w:left="50"/>
              <w:rPr>
                <w:sz w:val="14"/>
              </w:rPr>
            </w:pPr>
            <w:r>
              <w:rPr>
                <w:sz w:val="14"/>
              </w:rPr>
              <w:t>2001 Q3</w:t>
            </w:r>
          </w:p>
        </w:tc>
        <w:tc>
          <w:tcPr>
            <w:tcW w:w="1026" w:type="dxa"/>
            <w:tcBorders>
              <w:top w:val="single" w:sz="2" w:space="0" w:color="000000"/>
            </w:tcBorders>
          </w:tcPr>
          <w:p>
            <w:pPr>
              <w:pStyle w:val="TableParagraph"/>
              <w:spacing w:line="133" w:lineRule="exact" w:before="86"/>
              <w:ind w:right="560"/>
              <w:jc w:val="right"/>
              <w:rPr>
                <w:sz w:val="14"/>
              </w:rPr>
            </w:pPr>
            <w:r>
              <w:rPr>
                <w:sz w:val="14"/>
              </w:rPr>
              <w:t>-0.1</w:t>
            </w:r>
          </w:p>
        </w:tc>
        <w:tc>
          <w:tcPr>
            <w:tcW w:w="400" w:type="dxa"/>
          </w:tcPr>
          <w:p>
            <w:pPr>
              <w:pStyle w:val="TableParagraph"/>
              <w:spacing w:line="240" w:lineRule="auto"/>
              <w:rPr>
                <w:sz w:val="16"/>
              </w:rPr>
            </w:pPr>
          </w:p>
        </w:tc>
        <w:tc>
          <w:tcPr>
            <w:tcW w:w="1160" w:type="dxa"/>
            <w:tcBorders>
              <w:top w:val="single" w:sz="2" w:space="0" w:color="000000"/>
            </w:tcBorders>
          </w:tcPr>
          <w:p>
            <w:pPr>
              <w:pStyle w:val="TableParagraph"/>
              <w:spacing w:line="133" w:lineRule="exact" w:before="86"/>
              <w:ind w:left="402"/>
              <w:rPr>
                <w:sz w:val="14"/>
              </w:rPr>
            </w:pPr>
            <w:r>
              <w:rPr>
                <w:sz w:val="14"/>
              </w:rPr>
              <w:t>0.1</w:t>
            </w:r>
          </w:p>
        </w:tc>
      </w:tr>
      <w:tr>
        <w:trPr>
          <w:trHeight w:val="210" w:hRule="atLeast"/>
        </w:trPr>
        <w:tc>
          <w:tcPr>
            <w:tcW w:w="1482" w:type="dxa"/>
          </w:tcPr>
          <w:p>
            <w:pPr>
              <w:pStyle w:val="TableParagraph"/>
              <w:spacing w:line="148" w:lineRule="exact"/>
              <w:ind w:left="50"/>
              <w:rPr>
                <w:sz w:val="14"/>
              </w:rPr>
            </w:pPr>
            <w:r>
              <w:rPr>
                <w:sz w:val="14"/>
              </w:rPr>
              <w:t>2002 Q3</w:t>
            </w:r>
          </w:p>
        </w:tc>
        <w:tc>
          <w:tcPr>
            <w:tcW w:w="1026" w:type="dxa"/>
          </w:tcPr>
          <w:p>
            <w:pPr>
              <w:pStyle w:val="TableParagraph"/>
              <w:spacing w:line="148" w:lineRule="exact"/>
              <w:ind w:right="560"/>
              <w:jc w:val="right"/>
              <w:rPr>
                <w:sz w:val="14"/>
              </w:rPr>
            </w:pPr>
            <w:r>
              <w:rPr>
                <w:sz w:val="14"/>
              </w:rPr>
              <w:t>-0.4</w:t>
            </w:r>
          </w:p>
        </w:tc>
        <w:tc>
          <w:tcPr>
            <w:tcW w:w="400" w:type="dxa"/>
          </w:tcPr>
          <w:p>
            <w:pPr>
              <w:pStyle w:val="TableParagraph"/>
              <w:spacing w:line="240" w:lineRule="auto"/>
              <w:rPr>
                <w:sz w:val="14"/>
              </w:rPr>
            </w:pPr>
          </w:p>
        </w:tc>
        <w:tc>
          <w:tcPr>
            <w:tcW w:w="1160" w:type="dxa"/>
          </w:tcPr>
          <w:p>
            <w:pPr>
              <w:pStyle w:val="TableParagraph"/>
              <w:spacing w:line="148" w:lineRule="exact"/>
              <w:ind w:left="402"/>
              <w:rPr>
                <w:sz w:val="14"/>
              </w:rPr>
            </w:pPr>
            <w:r>
              <w:rPr>
                <w:sz w:val="14"/>
              </w:rPr>
              <w:t>0.2</w:t>
            </w:r>
          </w:p>
        </w:tc>
      </w:tr>
      <w:tr>
        <w:trPr>
          <w:trHeight w:val="280" w:hRule="atLeast"/>
        </w:trPr>
        <w:tc>
          <w:tcPr>
            <w:tcW w:w="1482" w:type="dxa"/>
          </w:tcPr>
          <w:p>
            <w:pPr>
              <w:pStyle w:val="TableParagraph"/>
              <w:spacing w:line="240" w:lineRule="auto" w:before="56"/>
              <w:ind w:left="50"/>
              <w:rPr>
                <w:b/>
                <w:sz w:val="14"/>
              </w:rPr>
            </w:pPr>
            <w:r>
              <w:rPr>
                <w:b/>
                <w:sz w:val="14"/>
              </w:rPr>
              <w:t>GDP growth</w:t>
            </w:r>
          </w:p>
        </w:tc>
        <w:tc>
          <w:tcPr>
            <w:tcW w:w="1026" w:type="dxa"/>
          </w:tcPr>
          <w:p>
            <w:pPr>
              <w:pStyle w:val="TableParagraph"/>
              <w:spacing w:line="240" w:lineRule="auto"/>
              <w:rPr>
                <w:sz w:val="18"/>
              </w:rPr>
            </w:pPr>
          </w:p>
        </w:tc>
        <w:tc>
          <w:tcPr>
            <w:tcW w:w="400" w:type="dxa"/>
          </w:tcPr>
          <w:p>
            <w:pPr>
              <w:pStyle w:val="TableParagraph"/>
              <w:spacing w:line="240" w:lineRule="auto"/>
              <w:rPr>
                <w:sz w:val="18"/>
              </w:rPr>
            </w:pPr>
          </w:p>
        </w:tc>
        <w:tc>
          <w:tcPr>
            <w:tcW w:w="1160" w:type="dxa"/>
          </w:tcPr>
          <w:p>
            <w:pPr>
              <w:pStyle w:val="TableParagraph"/>
              <w:spacing w:line="240" w:lineRule="auto"/>
              <w:rPr>
                <w:sz w:val="18"/>
              </w:rPr>
            </w:pPr>
          </w:p>
        </w:tc>
      </w:tr>
      <w:tr>
        <w:trPr>
          <w:trHeight w:val="210" w:hRule="atLeast"/>
        </w:trPr>
        <w:tc>
          <w:tcPr>
            <w:tcW w:w="1482" w:type="dxa"/>
          </w:tcPr>
          <w:p>
            <w:pPr>
              <w:pStyle w:val="TableParagraph"/>
              <w:spacing w:line="133" w:lineRule="exact" w:before="56"/>
              <w:ind w:left="50"/>
              <w:rPr>
                <w:sz w:val="14"/>
              </w:rPr>
            </w:pPr>
            <w:r>
              <w:rPr>
                <w:sz w:val="14"/>
              </w:rPr>
              <w:t>2001 Q3</w:t>
            </w:r>
          </w:p>
        </w:tc>
        <w:tc>
          <w:tcPr>
            <w:tcW w:w="1026" w:type="dxa"/>
          </w:tcPr>
          <w:p>
            <w:pPr>
              <w:pStyle w:val="TableParagraph"/>
              <w:spacing w:line="133" w:lineRule="exact" w:before="56"/>
              <w:ind w:right="560"/>
              <w:jc w:val="right"/>
              <w:rPr>
                <w:sz w:val="14"/>
              </w:rPr>
            </w:pPr>
            <w:r>
              <w:rPr>
                <w:sz w:val="14"/>
              </w:rPr>
              <w:t>0.0</w:t>
            </w:r>
          </w:p>
        </w:tc>
        <w:tc>
          <w:tcPr>
            <w:tcW w:w="400" w:type="dxa"/>
          </w:tcPr>
          <w:p>
            <w:pPr>
              <w:pStyle w:val="TableParagraph"/>
              <w:spacing w:line="240" w:lineRule="auto"/>
              <w:rPr>
                <w:sz w:val="14"/>
              </w:rPr>
            </w:pPr>
          </w:p>
        </w:tc>
        <w:tc>
          <w:tcPr>
            <w:tcW w:w="1160" w:type="dxa"/>
          </w:tcPr>
          <w:p>
            <w:pPr>
              <w:pStyle w:val="TableParagraph"/>
              <w:spacing w:line="133" w:lineRule="exact" w:before="56"/>
              <w:ind w:left="402"/>
              <w:rPr>
                <w:sz w:val="14"/>
              </w:rPr>
            </w:pPr>
            <w:r>
              <w:rPr>
                <w:sz w:val="14"/>
              </w:rPr>
              <w:t>0.0</w:t>
            </w:r>
          </w:p>
        </w:tc>
      </w:tr>
      <w:tr>
        <w:trPr>
          <w:trHeight w:val="147" w:hRule="atLeast"/>
        </w:trPr>
        <w:tc>
          <w:tcPr>
            <w:tcW w:w="1482" w:type="dxa"/>
          </w:tcPr>
          <w:p>
            <w:pPr>
              <w:pStyle w:val="TableParagraph"/>
              <w:spacing w:line="128" w:lineRule="exact"/>
              <w:ind w:left="50"/>
              <w:rPr>
                <w:sz w:val="14"/>
              </w:rPr>
            </w:pPr>
            <w:r>
              <w:rPr>
                <w:sz w:val="14"/>
              </w:rPr>
              <w:t>2002 Q3</w:t>
            </w:r>
          </w:p>
        </w:tc>
        <w:tc>
          <w:tcPr>
            <w:tcW w:w="1026" w:type="dxa"/>
          </w:tcPr>
          <w:p>
            <w:pPr>
              <w:pStyle w:val="TableParagraph"/>
              <w:spacing w:line="128" w:lineRule="exact"/>
              <w:ind w:right="560"/>
              <w:jc w:val="right"/>
              <w:rPr>
                <w:sz w:val="14"/>
              </w:rPr>
            </w:pPr>
            <w:r>
              <w:rPr>
                <w:sz w:val="14"/>
              </w:rPr>
              <w:t>0.1</w:t>
            </w:r>
          </w:p>
        </w:tc>
        <w:tc>
          <w:tcPr>
            <w:tcW w:w="400" w:type="dxa"/>
          </w:tcPr>
          <w:p>
            <w:pPr>
              <w:pStyle w:val="TableParagraph"/>
              <w:spacing w:line="240" w:lineRule="auto"/>
              <w:rPr>
                <w:sz w:val="8"/>
              </w:rPr>
            </w:pPr>
          </w:p>
        </w:tc>
        <w:tc>
          <w:tcPr>
            <w:tcW w:w="1160" w:type="dxa"/>
          </w:tcPr>
          <w:p>
            <w:pPr>
              <w:pStyle w:val="TableParagraph"/>
              <w:spacing w:line="128" w:lineRule="exact"/>
              <w:ind w:left="355"/>
              <w:rPr>
                <w:sz w:val="14"/>
              </w:rPr>
            </w:pPr>
            <w:r>
              <w:rPr>
                <w:sz w:val="14"/>
              </w:rPr>
              <w:t>-0.1</w:t>
            </w:r>
          </w:p>
        </w:tc>
      </w:tr>
    </w:tbl>
    <w:p>
      <w:pPr>
        <w:pStyle w:val="BodyText"/>
        <w:spacing w:before="5"/>
        <w:rPr>
          <w:b/>
          <w:sz w:val="21"/>
        </w:rPr>
      </w:pPr>
      <w:r>
        <w:rPr/>
        <w:br w:type="column"/>
      </w:r>
      <w:r>
        <w:rPr>
          <w:b/>
          <w:sz w:val="21"/>
        </w:rPr>
      </w:r>
    </w:p>
    <w:p>
      <w:pPr>
        <w:spacing w:line="242" w:lineRule="auto" w:before="0"/>
        <w:ind w:left="154" w:right="169" w:firstLine="0"/>
        <w:jc w:val="left"/>
        <w:rPr>
          <w:sz w:val="24"/>
        </w:rPr>
      </w:pPr>
      <w:r>
        <w:rPr>
          <w:sz w:val="24"/>
        </w:rPr>
        <w:t>best collective judgment of the probabilities of various outcomes for inflation and GDP growth.</w:t>
      </w:r>
    </w:p>
    <w:p>
      <w:pPr>
        <w:pStyle w:val="BodyText"/>
        <w:spacing w:before="6"/>
        <w:rPr>
          <w:sz w:val="24"/>
        </w:rPr>
      </w:pPr>
    </w:p>
    <w:p>
      <w:pPr>
        <w:spacing w:line="242" w:lineRule="auto" w:before="0"/>
        <w:ind w:left="154" w:right="169" w:firstLine="0"/>
        <w:jc w:val="left"/>
        <w:rPr>
          <w:sz w:val="24"/>
        </w:rPr>
      </w:pPr>
      <w:r>
        <w:rPr>
          <w:sz w:val="24"/>
        </w:rPr>
        <w:t>As noted above, there remain a number of major uncertainties in the outlook. The probability distributions for prospective output growth and inflation, shown in the fan charts, illustrate the general uncertainty around the central projections. For a </w:t>
      </w:r>
      <w:r>
        <w:rPr>
          <w:spacing w:val="-3"/>
          <w:sz w:val="24"/>
        </w:rPr>
        <w:t>few key </w:t>
      </w:r>
      <w:r>
        <w:rPr>
          <w:sz w:val="24"/>
        </w:rPr>
        <w:t>judgments, certain Committee members prefer to make different assumptions from those incorporated in the central</w:t>
      </w:r>
      <w:r>
        <w:rPr>
          <w:spacing w:val="-40"/>
          <w:sz w:val="24"/>
        </w:rPr>
        <w:t> </w:t>
      </w:r>
      <w:r>
        <w:rPr>
          <w:sz w:val="24"/>
        </w:rPr>
        <w:t>case.</w:t>
      </w:r>
    </w:p>
    <w:p>
      <w:pPr>
        <w:spacing w:before="9"/>
        <w:ind w:left="154" w:right="0" w:firstLine="0"/>
        <w:jc w:val="left"/>
        <w:rPr>
          <w:sz w:val="24"/>
        </w:rPr>
      </w:pPr>
      <w:r>
        <w:rPr>
          <w:sz w:val="24"/>
        </w:rPr>
        <w:t>These assumptions, on price-cost margins and</w:t>
      </w:r>
    </w:p>
    <w:p>
      <w:pPr>
        <w:spacing w:line="242" w:lineRule="auto" w:before="4"/>
        <w:ind w:left="154" w:right="189" w:firstLine="0"/>
        <w:jc w:val="left"/>
        <w:rPr>
          <w:sz w:val="24"/>
        </w:rPr>
      </w:pPr>
      <w:r>
        <w:rPr>
          <w:sz w:val="24"/>
        </w:rPr>
        <w:t>supply-side performance, are shown in Table 6.B, which provides illustrative calibrations of the possible effects of the alternative assumptions. Based on the alternative assumptions calibrated in the table, the profile for inflation at the two-year horizon could be some 0.2% higher or around 0.4% lower than in the central projection pictured in Chart 6.2.</w:t>
      </w:r>
    </w:p>
    <w:p>
      <w:pPr>
        <w:pStyle w:val="BodyText"/>
        <w:spacing w:before="2"/>
        <w:rPr>
          <w:sz w:val="25"/>
        </w:rPr>
      </w:pPr>
    </w:p>
    <w:p>
      <w:pPr>
        <w:spacing w:line="242" w:lineRule="auto" w:before="0"/>
        <w:ind w:left="154" w:right="168" w:firstLine="0"/>
        <w:jc w:val="left"/>
        <w:rPr>
          <w:sz w:val="24"/>
        </w:rPr>
      </w:pPr>
      <w:r>
        <w:rPr>
          <w:sz w:val="24"/>
        </w:rPr>
        <w:t>Market rates suggest that </w:t>
      </w:r>
      <w:r>
        <w:rPr>
          <w:spacing w:val="-3"/>
          <w:sz w:val="24"/>
        </w:rPr>
        <w:t>investors </w:t>
      </w:r>
      <w:r>
        <w:rPr>
          <w:sz w:val="24"/>
        </w:rPr>
        <w:t>expect </w:t>
      </w:r>
      <w:r>
        <w:rPr>
          <w:spacing w:val="-3"/>
          <w:sz w:val="24"/>
        </w:rPr>
        <w:t>official </w:t>
      </w:r>
      <w:r>
        <w:rPr>
          <w:sz w:val="24"/>
        </w:rPr>
        <w:t>interest rates to rise </w:t>
      </w:r>
      <w:r>
        <w:rPr>
          <w:spacing w:val="-3"/>
          <w:sz w:val="24"/>
        </w:rPr>
        <w:t>over </w:t>
      </w:r>
      <w:r>
        <w:rPr>
          <w:sz w:val="24"/>
        </w:rPr>
        <w:t>the next </w:t>
      </w:r>
      <w:r>
        <w:rPr>
          <w:spacing w:val="-4"/>
          <w:sz w:val="24"/>
        </w:rPr>
        <w:t>year. </w:t>
      </w:r>
      <w:r>
        <w:rPr>
          <w:sz w:val="24"/>
        </w:rPr>
        <w:t>But an accurate quantification of these expectations is not easy to obtain. Since the November 1999 </w:t>
      </w:r>
      <w:r>
        <w:rPr>
          <w:i/>
          <w:sz w:val="24"/>
        </w:rPr>
        <w:t>Report</w:t>
      </w:r>
      <w:r>
        <w:rPr>
          <w:sz w:val="24"/>
        </w:rPr>
        <w:t>, market expectations </w:t>
      </w:r>
      <w:r>
        <w:rPr>
          <w:spacing w:val="-3"/>
          <w:sz w:val="24"/>
        </w:rPr>
        <w:t>have </w:t>
      </w:r>
      <w:r>
        <w:rPr>
          <w:sz w:val="24"/>
        </w:rPr>
        <w:t>been </w:t>
      </w:r>
      <w:r>
        <w:rPr>
          <w:spacing w:val="-3"/>
          <w:sz w:val="24"/>
        </w:rPr>
        <w:t>derived </w:t>
      </w:r>
      <w:r>
        <w:rPr>
          <w:sz w:val="24"/>
        </w:rPr>
        <w:t>from interest rates on gilt-edged securities used as collateral in short-term sale and repurchase agreements and from the gilt-edged yield curve. These rates provide a more direct guide to market expectations of the future path of official interest</w:t>
      </w:r>
      <w:r>
        <w:rPr>
          <w:spacing w:val="-41"/>
          <w:sz w:val="24"/>
        </w:rPr>
        <w:t> </w:t>
      </w:r>
      <w:r>
        <w:rPr>
          <w:sz w:val="24"/>
        </w:rPr>
        <w:t>rates</w:t>
      </w:r>
    </w:p>
    <w:p>
      <w:pPr>
        <w:spacing w:after="0" w:line="242" w:lineRule="auto"/>
        <w:jc w:val="left"/>
        <w:rPr>
          <w:sz w:val="24"/>
        </w:rPr>
        <w:sectPr>
          <w:type w:val="continuous"/>
          <w:pgSz w:w="11900" w:h="16840"/>
          <w:pgMar w:top="1260" w:bottom="280" w:left="640" w:right="640"/>
          <w:cols w:num="2" w:equalWidth="0">
            <w:col w:w="4347" w:space="478"/>
            <w:col w:w="5795"/>
          </w:cols>
        </w:sectPr>
      </w:pPr>
    </w:p>
    <w:p>
      <w:pPr>
        <w:pStyle w:val="BodyText"/>
        <w:rPr>
          <w:sz w:val="20"/>
        </w:rPr>
      </w:pPr>
    </w:p>
    <w:p>
      <w:pPr>
        <w:spacing w:after="0"/>
        <w:rPr>
          <w:sz w:val="20"/>
        </w:rPr>
        <w:sectPr>
          <w:pgSz w:w="11900" w:h="16840"/>
          <w:pgMar w:header="601" w:footer="612" w:top="800" w:bottom="800" w:left="640" w:right="640"/>
        </w:sectPr>
      </w:pPr>
    </w:p>
    <w:p>
      <w:pPr>
        <w:pStyle w:val="BodyText"/>
        <w:spacing w:before="1"/>
        <w:rPr>
          <w:sz w:val="20"/>
        </w:rPr>
      </w:pPr>
    </w:p>
    <w:p>
      <w:pPr>
        <w:pStyle w:val="Heading6"/>
        <w:spacing w:before="1"/>
      </w:pPr>
      <w:bookmarkStart w:name="Other forecasts" w:id="81"/>
      <w:bookmarkEnd w:id="81"/>
      <w:r>
        <w:rPr>
          <w:b w:val="0"/>
        </w:rPr>
      </w:r>
      <w:bookmarkStart w:name="_bookmark34" w:id="82"/>
      <w:bookmarkEnd w:id="82"/>
      <w:r>
        <w:rPr>
          <w:b w:val="0"/>
        </w:rPr>
      </w:r>
      <w:r>
        <w:rPr>
          <w:color w:val="0092C7"/>
        </w:rPr>
        <w:t>Chart 6.6</w:t>
      </w:r>
    </w:p>
    <w:p>
      <w:pPr>
        <w:pStyle w:val="Heading6"/>
        <w:spacing w:line="249" w:lineRule="auto"/>
      </w:pPr>
      <w:r>
        <w:rPr>
          <w:color w:val="0092C7"/>
        </w:rPr>
        <w:t>Current RPIX inflation projection based on market interest rate expectations</w:t>
      </w:r>
    </w:p>
    <w:p>
      <w:pPr>
        <w:spacing w:before="197"/>
        <w:ind w:left="1847" w:right="0" w:firstLine="0"/>
        <w:jc w:val="left"/>
        <w:rPr>
          <w:sz w:val="12"/>
        </w:rPr>
      </w:pPr>
      <w:r>
        <w:rPr/>
        <w:drawing>
          <wp:anchor distT="0" distB="0" distL="0" distR="0" allowOverlap="1" layoutInCell="1" locked="0" behindDoc="0" simplePos="0" relativeHeight="16336384">
            <wp:simplePos x="0" y="0"/>
            <wp:positionH relativeFrom="page">
              <wp:posOffset>582028</wp:posOffset>
            </wp:positionH>
            <wp:positionV relativeFrom="paragraph">
              <wp:posOffset>220403</wp:posOffset>
            </wp:positionV>
            <wp:extent cx="57124" cy="6350"/>
            <wp:effectExtent l="0" t="0" r="0" b="0"/>
            <wp:wrapNone/>
            <wp:docPr id="223" name="image96.png"/>
            <wp:cNvGraphicFramePr>
              <a:graphicFrameLocks noChangeAspect="1"/>
            </wp:cNvGraphicFramePr>
            <a:graphic>
              <a:graphicData uri="http://schemas.openxmlformats.org/drawingml/2006/picture">
                <pic:pic>
                  <pic:nvPicPr>
                    <pic:cNvPr id="224" name="image96.png"/>
                    <pic:cNvPicPr/>
                  </pic:nvPicPr>
                  <pic:blipFill>
                    <a:blip r:embed="rId185" cstate="print"/>
                    <a:stretch>
                      <a:fillRect/>
                    </a:stretch>
                  </pic:blipFill>
                  <pic:spPr>
                    <a:xfrm>
                      <a:off x="0" y="0"/>
                      <a:ext cx="57124" cy="6350"/>
                    </a:xfrm>
                    <a:prstGeom prst="rect">
                      <a:avLst/>
                    </a:prstGeom>
                  </pic:spPr>
                </pic:pic>
              </a:graphicData>
            </a:graphic>
          </wp:anchor>
        </w:drawing>
      </w:r>
      <w:r>
        <w:rPr>
          <w:sz w:val="12"/>
        </w:rPr>
        <w:t>Percentage increase in prices on a year earl</w:t>
      </w:r>
      <w:r>
        <w:rPr>
          <w:sz w:val="12"/>
          <w:u w:val="single"/>
        </w:rPr>
        <w:t>ie</w:t>
      </w:r>
      <w:r>
        <w:rPr>
          <w:sz w:val="12"/>
        </w:rPr>
        <w:t>r </w:t>
      </w:r>
      <w:r>
        <w:rPr>
          <w:position w:val="-7"/>
          <w:sz w:val="12"/>
        </w:rPr>
        <w:t>5</w:t>
      </w:r>
    </w:p>
    <w:p>
      <w:pPr>
        <w:pStyle w:val="BodyText"/>
        <w:spacing w:before="1"/>
        <w:rPr>
          <w:sz w:val="20"/>
        </w:rPr>
      </w:pPr>
      <w:r>
        <w:rPr/>
        <w:br w:type="column"/>
      </w:r>
      <w:r>
        <w:rPr>
          <w:sz w:val="20"/>
        </w:rPr>
      </w:r>
    </w:p>
    <w:p>
      <w:pPr>
        <w:pStyle w:val="Heading6"/>
        <w:spacing w:before="1"/>
      </w:pPr>
      <w:r>
        <w:rPr>
          <w:color w:val="0092C7"/>
        </w:rPr>
        <w:t>Chart 6.7</w:t>
      </w:r>
    </w:p>
    <w:p>
      <w:pPr>
        <w:pStyle w:val="Heading6"/>
        <w:spacing w:line="249" w:lineRule="auto"/>
        <w:ind w:right="1454"/>
      </w:pPr>
      <w:r>
        <w:rPr>
          <w:color w:val="0092C7"/>
        </w:rPr>
        <w:t>Current GDP projection based on market interest rate expectations</w:t>
      </w:r>
    </w:p>
    <w:p>
      <w:pPr>
        <w:pStyle w:val="BodyText"/>
        <w:spacing w:before="7"/>
        <w:rPr>
          <w:b/>
          <w:sz w:val="17"/>
        </w:rPr>
      </w:pPr>
    </w:p>
    <w:p>
      <w:pPr>
        <w:spacing w:before="0"/>
        <w:ind w:left="1858" w:right="0" w:firstLine="0"/>
        <w:jc w:val="left"/>
        <w:rPr>
          <w:sz w:val="12"/>
        </w:rPr>
      </w:pPr>
      <w:r>
        <w:rPr/>
        <w:drawing>
          <wp:anchor distT="0" distB="0" distL="0" distR="0" allowOverlap="1" layoutInCell="1" locked="0" behindDoc="0" simplePos="0" relativeHeight="16339968">
            <wp:simplePos x="0" y="0"/>
            <wp:positionH relativeFrom="page">
              <wp:posOffset>3607676</wp:posOffset>
            </wp:positionH>
            <wp:positionV relativeFrom="paragraph">
              <wp:posOffset>93961</wp:posOffset>
            </wp:positionV>
            <wp:extent cx="58254" cy="6350"/>
            <wp:effectExtent l="0" t="0" r="0" b="0"/>
            <wp:wrapNone/>
            <wp:docPr id="225" name="image12.png"/>
            <wp:cNvGraphicFramePr>
              <a:graphicFrameLocks noChangeAspect="1"/>
            </wp:cNvGraphicFramePr>
            <a:graphic>
              <a:graphicData uri="http://schemas.openxmlformats.org/drawingml/2006/picture">
                <pic:pic>
                  <pic:nvPicPr>
                    <pic:cNvPr id="226" name="image12.png"/>
                    <pic:cNvPicPr/>
                  </pic:nvPicPr>
                  <pic:blipFill>
                    <a:blip r:embed="rId35" cstate="print"/>
                    <a:stretch>
                      <a:fillRect/>
                    </a:stretch>
                  </pic:blipFill>
                  <pic:spPr>
                    <a:xfrm>
                      <a:off x="0" y="0"/>
                      <a:ext cx="58254" cy="6350"/>
                    </a:xfrm>
                    <a:prstGeom prst="rect">
                      <a:avLst/>
                    </a:prstGeom>
                  </pic:spPr>
                </pic:pic>
              </a:graphicData>
            </a:graphic>
          </wp:anchor>
        </w:drawing>
      </w:r>
      <w:r>
        <w:rPr>
          <w:sz w:val="12"/>
        </w:rPr>
        <w:t>Percentage increase in output on a year earli</w:t>
      </w:r>
      <w:r>
        <w:rPr>
          <w:sz w:val="12"/>
          <w:u w:val="single"/>
        </w:rPr>
        <w:t>er</w:t>
      </w:r>
      <w:r>
        <w:rPr>
          <w:sz w:val="12"/>
        </w:rPr>
        <w:t> </w:t>
      </w:r>
      <w:r>
        <w:rPr>
          <w:position w:val="-7"/>
          <w:sz w:val="12"/>
        </w:rPr>
        <w:t>6</w:t>
      </w:r>
    </w:p>
    <w:p>
      <w:pPr>
        <w:spacing w:after="0"/>
        <w:jc w:val="left"/>
        <w:rPr>
          <w:sz w:val="12"/>
        </w:rPr>
        <w:sectPr>
          <w:type w:val="continuous"/>
          <w:pgSz w:w="11900" w:h="16840"/>
          <w:pgMar w:top="1260" w:bottom="280" w:left="640" w:right="640"/>
          <w:cols w:num="2" w:equalWidth="0">
            <w:col w:w="4212" w:space="578"/>
            <w:col w:w="5830"/>
          </w:cols>
        </w:sectPr>
      </w:pPr>
    </w:p>
    <w:p>
      <w:pPr>
        <w:pStyle w:val="BodyText"/>
        <w:spacing w:before="1"/>
        <w:rPr>
          <w:sz w:val="16"/>
        </w:rPr>
      </w:pPr>
    </w:p>
    <w:p>
      <w:pPr>
        <w:spacing w:before="94"/>
        <w:ind w:left="8925" w:right="0" w:firstLine="0"/>
        <w:jc w:val="left"/>
        <w:rPr>
          <w:sz w:val="12"/>
        </w:rPr>
      </w:pPr>
      <w:r>
        <w:rPr/>
        <w:drawing>
          <wp:anchor distT="0" distB="0" distL="0" distR="0" allowOverlap="1" layoutInCell="1" locked="0" behindDoc="0" simplePos="0" relativeHeight="16337920">
            <wp:simplePos x="0" y="0"/>
            <wp:positionH relativeFrom="page">
              <wp:posOffset>5979452</wp:posOffset>
            </wp:positionH>
            <wp:positionV relativeFrom="paragraph">
              <wp:posOffset>101146</wp:posOffset>
            </wp:positionV>
            <wp:extent cx="58254" cy="6350"/>
            <wp:effectExtent l="0" t="0" r="0" b="0"/>
            <wp:wrapNone/>
            <wp:docPr id="227" name="image12.png"/>
            <wp:cNvGraphicFramePr>
              <a:graphicFrameLocks noChangeAspect="1"/>
            </wp:cNvGraphicFramePr>
            <a:graphic>
              <a:graphicData uri="http://schemas.openxmlformats.org/drawingml/2006/picture">
                <pic:pic>
                  <pic:nvPicPr>
                    <pic:cNvPr id="228" name="image12.png"/>
                    <pic:cNvPicPr/>
                  </pic:nvPicPr>
                  <pic:blipFill>
                    <a:blip r:embed="rId35" cstate="print"/>
                    <a:stretch>
                      <a:fillRect/>
                    </a:stretch>
                  </pic:blipFill>
                  <pic:spPr>
                    <a:xfrm>
                      <a:off x="0" y="0"/>
                      <a:ext cx="58254" cy="6350"/>
                    </a:xfrm>
                    <a:prstGeom prst="rect">
                      <a:avLst/>
                    </a:prstGeom>
                  </pic:spPr>
                </pic:pic>
              </a:graphicData>
            </a:graphic>
          </wp:anchor>
        </w:drawing>
      </w:r>
      <w:r>
        <w:rPr/>
        <w:drawing>
          <wp:anchor distT="0" distB="0" distL="0" distR="0" allowOverlap="1" layoutInCell="1" locked="0" behindDoc="0" simplePos="0" relativeHeight="16339456">
            <wp:simplePos x="0" y="0"/>
            <wp:positionH relativeFrom="page">
              <wp:posOffset>3607676</wp:posOffset>
            </wp:positionH>
            <wp:positionV relativeFrom="paragraph">
              <wp:posOffset>103076</wp:posOffset>
            </wp:positionV>
            <wp:extent cx="58254" cy="6350"/>
            <wp:effectExtent l="0" t="0" r="0" b="0"/>
            <wp:wrapNone/>
            <wp:docPr id="229" name="image92.png"/>
            <wp:cNvGraphicFramePr>
              <a:graphicFrameLocks noChangeAspect="1"/>
            </wp:cNvGraphicFramePr>
            <a:graphic>
              <a:graphicData uri="http://schemas.openxmlformats.org/drawingml/2006/picture">
                <pic:pic>
                  <pic:nvPicPr>
                    <pic:cNvPr id="230" name="image92.png"/>
                    <pic:cNvPicPr/>
                  </pic:nvPicPr>
                  <pic:blipFill>
                    <a:blip r:embed="rId181" cstate="print"/>
                    <a:stretch>
                      <a:fillRect/>
                    </a:stretch>
                  </pic:blipFill>
                  <pic:spPr>
                    <a:xfrm>
                      <a:off x="0" y="0"/>
                      <a:ext cx="58254" cy="6350"/>
                    </a:xfrm>
                    <a:prstGeom prst="rect">
                      <a:avLst/>
                    </a:prstGeom>
                  </pic:spPr>
                </pic:pic>
              </a:graphicData>
            </a:graphic>
          </wp:anchor>
        </w:drawing>
      </w:r>
      <w:r>
        <w:rPr>
          <w:w w:val="99"/>
          <w:sz w:val="12"/>
        </w:rPr>
        <w:t>5</w:t>
      </w:r>
    </w:p>
    <w:p>
      <w:pPr>
        <w:spacing w:before="22"/>
        <w:ind w:left="0" w:right="2334" w:firstLine="0"/>
        <w:jc w:val="center"/>
        <w:rPr>
          <w:sz w:val="12"/>
        </w:rPr>
      </w:pPr>
      <w:r>
        <w:rPr/>
        <w:drawing>
          <wp:anchor distT="0" distB="0" distL="0" distR="0" allowOverlap="1" layoutInCell="1" locked="0" behindDoc="0" simplePos="0" relativeHeight="16334336">
            <wp:simplePos x="0" y="0"/>
            <wp:positionH relativeFrom="page">
              <wp:posOffset>2915907</wp:posOffset>
            </wp:positionH>
            <wp:positionV relativeFrom="paragraph">
              <wp:posOffset>54177</wp:posOffset>
            </wp:positionV>
            <wp:extent cx="57137" cy="6350"/>
            <wp:effectExtent l="0" t="0" r="0" b="0"/>
            <wp:wrapNone/>
            <wp:docPr id="231" name="image12.png"/>
            <wp:cNvGraphicFramePr>
              <a:graphicFrameLocks noChangeAspect="1"/>
            </wp:cNvGraphicFramePr>
            <a:graphic>
              <a:graphicData uri="http://schemas.openxmlformats.org/drawingml/2006/picture">
                <pic:pic>
                  <pic:nvPicPr>
                    <pic:cNvPr id="232" name="image12.png"/>
                    <pic:cNvPicPr/>
                  </pic:nvPicPr>
                  <pic:blipFill>
                    <a:blip r:embed="rId35" cstate="print"/>
                    <a:stretch>
                      <a:fillRect/>
                    </a:stretch>
                  </pic:blipFill>
                  <pic:spPr>
                    <a:xfrm>
                      <a:off x="0" y="0"/>
                      <a:ext cx="57137" cy="6350"/>
                    </a:xfrm>
                    <a:prstGeom prst="rect">
                      <a:avLst/>
                    </a:prstGeom>
                  </pic:spPr>
                </pic:pic>
              </a:graphicData>
            </a:graphic>
          </wp:anchor>
        </w:drawing>
      </w:r>
      <w:r>
        <w:rPr/>
        <w:drawing>
          <wp:anchor distT="0" distB="0" distL="0" distR="0" allowOverlap="1" layoutInCell="1" locked="0" behindDoc="0" simplePos="0" relativeHeight="16335872">
            <wp:simplePos x="0" y="0"/>
            <wp:positionH relativeFrom="page">
              <wp:posOffset>582028</wp:posOffset>
            </wp:positionH>
            <wp:positionV relativeFrom="paragraph">
              <wp:posOffset>56286</wp:posOffset>
            </wp:positionV>
            <wp:extent cx="57124" cy="6350"/>
            <wp:effectExtent l="0" t="0" r="0" b="0"/>
            <wp:wrapNone/>
            <wp:docPr id="233" name="image96.png"/>
            <wp:cNvGraphicFramePr>
              <a:graphicFrameLocks noChangeAspect="1"/>
            </wp:cNvGraphicFramePr>
            <a:graphic>
              <a:graphicData uri="http://schemas.openxmlformats.org/drawingml/2006/picture">
                <pic:pic>
                  <pic:nvPicPr>
                    <pic:cNvPr id="234" name="image96.png"/>
                    <pic:cNvPicPr/>
                  </pic:nvPicPr>
                  <pic:blipFill>
                    <a:blip r:embed="rId185" cstate="print"/>
                    <a:stretch>
                      <a:fillRect/>
                    </a:stretch>
                  </pic:blipFill>
                  <pic:spPr>
                    <a:xfrm>
                      <a:off x="0" y="0"/>
                      <a:ext cx="57124" cy="6350"/>
                    </a:xfrm>
                    <a:prstGeom prst="rect">
                      <a:avLst/>
                    </a:prstGeom>
                  </pic:spPr>
                </pic:pic>
              </a:graphicData>
            </a:graphic>
          </wp:anchor>
        </w:drawing>
      </w:r>
      <w:r>
        <w:rPr/>
        <w:pict>
          <v:group style="position:absolute;margin-left:284.069pt;margin-top:10.456975pt;width:195.7pt;height:83.6pt;mso-position-horizontal-relative:page;mso-position-vertical-relative:paragraph;z-index:-22959104" coordorigin="5681,209" coordsize="3914,1672">
            <v:shape style="position:absolute;left:5681;top:209;width:3827;height:1582" type="#_x0000_t75" stroked="false">
              <v:imagedata r:id="rId186" o:title=""/>
            </v:shape>
            <v:shape style="position:absolute;left:9485;top:1705;width:110;height:176" type="#_x0000_t202" filled="false" stroked="false">
              <v:textbox inset="0,0,0,0">
                <w:txbxContent>
                  <w:p>
                    <w:pPr>
                      <w:spacing w:line="175" w:lineRule="exact" w:before="0"/>
                      <w:ind w:left="0" w:right="0" w:firstLine="0"/>
                      <w:jc w:val="left"/>
                      <w:rPr>
                        <w:sz w:val="16"/>
                      </w:rPr>
                    </w:pPr>
                    <w:r>
                      <w:rPr>
                        <w:w w:val="99"/>
                        <w:sz w:val="16"/>
                      </w:rPr>
                      <w:t>+</w:t>
                    </w:r>
                  </w:p>
                </w:txbxContent>
              </v:textbox>
              <w10:wrap type="none"/>
            </v:shape>
            <w10:wrap type="none"/>
          </v:group>
        </w:pict>
      </w:r>
      <w:r>
        <w:rPr>
          <w:w w:val="100"/>
          <w:sz w:val="12"/>
        </w:rPr>
        <w:t>4</w:t>
      </w:r>
    </w:p>
    <w:p>
      <w:pPr>
        <w:pStyle w:val="BodyText"/>
        <w:spacing w:before="4"/>
        <w:rPr>
          <w:sz w:val="10"/>
        </w:rPr>
      </w:pPr>
    </w:p>
    <w:p>
      <w:pPr>
        <w:spacing w:before="1"/>
        <w:ind w:left="8925" w:right="0" w:firstLine="0"/>
        <w:jc w:val="left"/>
        <w:rPr>
          <w:sz w:val="12"/>
        </w:rPr>
      </w:pPr>
      <w:r>
        <w:rPr/>
        <w:drawing>
          <wp:anchor distT="0" distB="0" distL="0" distR="0" allowOverlap="1" layoutInCell="1" locked="0" behindDoc="0" simplePos="0" relativeHeight="16334848">
            <wp:simplePos x="0" y="0"/>
            <wp:positionH relativeFrom="page">
              <wp:posOffset>582028</wp:posOffset>
            </wp:positionH>
            <wp:positionV relativeFrom="paragraph">
              <wp:posOffset>-34769</wp:posOffset>
            </wp:positionV>
            <wp:extent cx="2391016" cy="893267"/>
            <wp:effectExtent l="0" t="0" r="0" b="0"/>
            <wp:wrapNone/>
            <wp:docPr id="235" name="image98.png"/>
            <wp:cNvGraphicFramePr>
              <a:graphicFrameLocks noChangeAspect="1"/>
            </wp:cNvGraphicFramePr>
            <a:graphic>
              <a:graphicData uri="http://schemas.openxmlformats.org/drawingml/2006/picture">
                <pic:pic>
                  <pic:nvPicPr>
                    <pic:cNvPr id="236" name="image98.png"/>
                    <pic:cNvPicPr/>
                  </pic:nvPicPr>
                  <pic:blipFill>
                    <a:blip r:embed="rId187" cstate="print"/>
                    <a:stretch>
                      <a:fillRect/>
                    </a:stretch>
                  </pic:blipFill>
                  <pic:spPr>
                    <a:xfrm>
                      <a:off x="0" y="0"/>
                      <a:ext cx="2391016" cy="893267"/>
                    </a:xfrm>
                    <a:prstGeom prst="rect">
                      <a:avLst/>
                    </a:prstGeom>
                  </pic:spPr>
                </pic:pic>
              </a:graphicData>
            </a:graphic>
          </wp:anchor>
        </w:drawing>
      </w:r>
      <w:r>
        <w:rPr>
          <w:w w:val="99"/>
          <w:sz w:val="12"/>
        </w:rPr>
        <w:t>4</w:t>
      </w:r>
    </w:p>
    <w:p>
      <w:pPr>
        <w:pStyle w:val="BodyText"/>
        <w:spacing w:before="10"/>
        <w:rPr>
          <w:sz w:val="15"/>
        </w:rPr>
      </w:pPr>
    </w:p>
    <w:p>
      <w:pPr>
        <w:spacing w:line="117" w:lineRule="exact" w:before="0"/>
        <w:ind w:left="0" w:right="2334" w:firstLine="0"/>
        <w:jc w:val="center"/>
        <w:rPr>
          <w:sz w:val="12"/>
        </w:rPr>
      </w:pPr>
      <w:r>
        <w:rPr>
          <w:w w:val="100"/>
          <w:sz w:val="12"/>
        </w:rPr>
        <w:t>3</w:t>
      </w:r>
    </w:p>
    <w:p>
      <w:pPr>
        <w:spacing w:line="117" w:lineRule="exact" w:before="0"/>
        <w:ind w:left="7290" w:right="0" w:firstLine="0"/>
        <w:jc w:val="center"/>
        <w:rPr>
          <w:sz w:val="12"/>
        </w:rPr>
      </w:pPr>
      <w:r>
        <w:rPr>
          <w:w w:val="99"/>
          <w:sz w:val="12"/>
        </w:rPr>
        <w:t>3</w:t>
      </w:r>
    </w:p>
    <w:p>
      <w:pPr>
        <w:spacing w:before="63"/>
        <w:ind w:left="859" w:right="3123" w:firstLine="0"/>
        <w:jc w:val="center"/>
        <w:rPr>
          <w:sz w:val="12"/>
        </w:rPr>
      </w:pPr>
      <w:r>
        <w:rPr>
          <w:sz w:val="12"/>
        </w:rPr>
        <w:t>2.5</w:t>
      </w:r>
    </w:p>
    <w:p>
      <w:pPr>
        <w:tabs>
          <w:tab w:pos="8925" w:val="left" w:leader="none"/>
        </w:tabs>
        <w:spacing w:before="78"/>
        <w:ind w:left="4111" w:right="0" w:firstLine="0"/>
        <w:jc w:val="left"/>
        <w:rPr>
          <w:sz w:val="12"/>
        </w:rPr>
      </w:pPr>
      <w:r>
        <w:rPr>
          <w:position w:val="-6"/>
          <w:sz w:val="12"/>
        </w:rPr>
        <w:t>2</w:t>
        <w:tab/>
      </w:r>
      <w:r>
        <w:rPr>
          <w:sz w:val="12"/>
        </w:rPr>
        <w:t>2</w:t>
      </w:r>
    </w:p>
    <w:p>
      <w:pPr>
        <w:pStyle w:val="BodyText"/>
        <w:spacing w:before="1"/>
        <w:rPr>
          <w:sz w:val="10"/>
        </w:rPr>
      </w:pPr>
    </w:p>
    <w:p>
      <w:pPr>
        <w:spacing w:after="0"/>
        <w:rPr>
          <w:sz w:val="10"/>
        </w:rPr>
        <w:sectPr>
          <w:type w:val="continuous"/>
          <w:pgSz w:w="11900" w:h="16840"/>
          <w:pgMar w:top="1260" w:bottom="280" w:left="640" w:right="640"/>
        </w:sectPr>
      </w:pPr>
    </w:p>
    <w:p>
      <w:pPr>
        <w:pStyle w:val="BodyText"/>
        <w:rPr>
          <w:sz w:val="12"/>
        </w:rPr>
      </w:pPr>
    </w:p>
    <w:p>
      <w:pPr>
        <w:pStyle w:val="BodyText"/>
        <w:spacing w:before="10"/>
        <w:rPr>
          <w:sz w:val="15"/>
        </w:rPr>
      </w:pPr>
    </w:p>
    <w:p>
      <w:pPr>
        <w:spacing w:before="0"/>
        <w:ind w:left="4111" w:right="0" w:firstLine="0"/>
        <w:jc w:val="left"/>
        <w:rPr>
          <w:sz w:val="12"/>
        </w:rPr>
      </w:pPr>
      <w:r>
        <w:rPr/>
        <w:drawing>
          <wp:anchor distT="0" distB="0" distL="0" distR="0" allowOverlap="1" layoutInCell="1" locked="0" behindDoc="0" simplePos="0" relativeHeight="16333824">
            <wp:simplePos x="0" y="0"/>
            <wp:positionH relativeFrom="page">
              <wp:posOffset>2915907</wp:posOffset>
            </wp:positionH>
            <wp:positionV relativeFrom="paragraph">
              <wp:posOffset>40223</wp:posOffset>
            </wp:positionV>
            <wp:extent cx="57137" cy="6350"/>
            <wp:effectExtent l="0" t="0" r="0" b="0"/>
            <wp:wrapNone/>
            <wp:docPr id="237" name="image96.png"/>
            <wp:cNvGraphicFramePr>
              <a:graphicFrameLocks noChangeAspect="1"/>
            </wp:cNvGraphicFramePr>
            <a:graphic>
              <a:graphicData uri="http://schemas.openxmlformats.org/drawingml/2006/picture">
                <pic:pic>
                  <pic:nvPicPr>
                    <pic:cNvPr id="238" name="image96.png"/>
                    <pic:cNvPicPr/>
                  </pic:nvPicPr>
                  <pic:blipFill>
                    <a:blip r:embed="rId185" cstate="print"/>
                    <a:stretch>
                      <a:fillRect/>
                    </a:stretch>
                  </pic:blipFill>
                  <pic:spPr>
                    <a:xfrm>
                      <a:off x="0" y="0"/>
                      <a:ext cx="57137" cy="6350"/>
                    </a:xfrm>
                    <a:prstGeom prst="rect">
                      <a:avLst/>
                    </a:prstGeom>
                  </pic:spPr>
                </pic:pic>
              </a:graphicData>
            </a:graphic>
          </wp:anchor>
        </w:drawing>
      </w:r>
      <w:r>
        <w:rPr/>
        <w:drawing>
          <wp:anchor distT="0" distB="0" distL="0" distR="0" allowOverlap="1" layoutInCell="1" locked="0" behindDoc="0" simplePos="0" relativeHeight="16335360">
            <wp:simplePos x="0" y="0"/>
            <wp:positionH relativeFrom="page">
              <wp:posOffset>582028</wp:posOffset>
            </wp:positionH>
            <wp:positionV relativeFrom="paragraph">
              <wp:posOffset>42318</wp:posOffset>
            </wp:positionV>
            <wp:extent cx="57124" cy="6350"/>
            <wp:effectExtent l="0" t="0" r="0" b="0"/>
            <wp:wrapNone/>
            <wp:docPr id="239" name="image12.png"/>
            <wp:cNvGraphicFramePr>
              <a:graphicFrameLocks noChangeAspect="1"/>
            </wp:cNvGraphicFramePr>
            <a:graphic>
              <a:graphicData uri="http://schemas.openxmlformats.org/drawingml/2006/picture">
                <pic:pic>
                  <pic:nvPicPr>
                    <pic:cNvPr id="240" name="image12.png"/>
                    <pic:cNvPicPr/>
                  </pic:nvPicPr>
                  <pic:blipFill>
                    <a:blip r:embed="rId35" cstate="print"/>
                    <a:stretch>
                      <a:fillRect/>
                    </a:stretch>
                  </pic:blipFill>
                  <pic:spPr>
                    <a:xfrm>
                      <a:off x="0" y="0"/>
                      <a:ext cx="57124" cy="6350"/>
                    </a:xfrm>
                    <a:prstGeom prst="rect">
                      <a:avLst/>
                    </a:prstGeom>
                  </pic:spPr>
                </pic:pic>
              </a:graphicData>
            </a:graphic>
          </wp:anchor>
        </w:drawing>
      </w:r>
      <w:r>
        <w:rPr>
          <w:w w:val="100"/>
          <w:sz w:val="12"/>
        </w:rPr>
        <w:t>1</w:t>
      </w:r>
    </w:p>
    <w:p>
      <w:pPr>
        <w:pStyle w:val="BodyText"/>
        <w:rPr>
          <w:sz w:val="12"/>
        </w:rPr>
      </w:pPr>
    </w:p>
    <w:p>
      <w:pPr>
        <w:pStyle w:val="BodyText"/>
        <w:rPr>
          <w:sz w:val="12"/>
        </w:rPr>
      </w:pPr>
    </w:p>
    <w:p>
      <w:pPr>
        <w:pStyle w:val="BodyText"/>
        <w:spacing w:before="4"/>
        <w:rPr>
          <w:sz w:val="14"/>
        </w:rPr>
      </w:pPr>
    </w:p>
    <w:p>
      <w:pPr>
        <w:spacing w:line="123" w:lineRule="exact" w:before="0"/>
        <w:ind w:left="4111" w:right="0" w:firstLine="0"/>
        <w:jc w:val="left"/>
        <w:rPr>
          <w:sz w:val="12"/>
        </w:rPr>
      </w:pPr>
      <w:r>
        <w:rPr/>
        <w:drawing>
          <wp:anchor distT="0" distB="0" distL="0" distR="0" allowOverlap="1" layoutInCell="1" locked="0" behindDoc="0" simplePos="0" relativeHeight="16333312">
            <wp:simplePos x="0" y="0"/>
            <wp:positionH relativeFrom="page">
              <wp:posOffset>582028</wp:posOffset>
            </wp:positionH>
            <wp:positionV relativeFrom="paragraph">
              <wp:posOffset>-27793</wp:posOffset>
            </wp:positionV>
            <wp:extent cx="2391016" cy="76466"/>
            <wp:effectExtent l="0" t="0" r="0" b="0"/>
            <wp:wrapNone/>
            <wp:docPr id="241" name="image99.png"/>
            <wp:cNvGraphicFramePr>
              <a:graphicFrameLocks noChangeAspect="1"/>
            </wp:cNvGraphicFramePr>
            <a:graphic>
              <a:graphicData uri="http://schemas.openxmlformats.org/drawingml/2006/picture">
                <pic:pic>
                  <pic:nvPicPr>
                    <pic:cNvPr id="242" name="image99.png"/>
                    <pic:cNvPicPr/>
                  </pic:nvPicPr>
                  <pic:blipFill>
                    <a:blip r:embed="rId188" cstate="print"/>
                    <a:stretch>
                      <a:fillRect/>
                    </a:stretch>
                  </pic:blipFill>
                  <pic:spPr>
                    <a:xfrm>
                      <a:off x="0" y="0"/>
                      <a:ext cx="2391016" cy="76466"/>
                    </a:xfrm>
                    <a:prstGeom prst="rect">
                      <a:avLst/>
                    </a:prstGeom>
                  </pic:spPr>
                </pic:pic>
              </a:graphicData>
            </a:graphic>
          </wp:anchor>
        </w:drawing>
      </w:r>
      <w:r>
        <w:rPr>
          <w:w w:val="100"/>
          <w:sz w:val="12"/>
        </w:rPr>
        <w:t>0</w:t>
      </w:r>
    </w:p>
    <w:p>
      <w:pPr>
        <w:tabs>
          <w:tab w:pos="1168" w:val="left" w:leader="none"/>
          <w:tab w:pos="1675" w:val="left" w:leader="none"/>
          <w:tab w:pos="2236" w:val="left" w:leader="none"/>
          <w:tab w:pos="2703" w:val="left" w:leader="none"/>
          <w:tab w:pos="3310" w:val="left" w:leader="none"/>
          <w:tab w:pos="3699" w:val="left" w:leader="none"/>
        </w:tabs>
        <w:spacing w:line="123" w:lineRule="exact" w:before="0"/>
        <w:ind w:left="562" w:right="0" w:firstLine="0"/>
        <w:jc w:val="left"/>
        <w:rPr>
          <w:sz w:val="12"/>
        </w:rPr>
      </w:pPr>
      <w:r>
        <w:rPr>
          <w:sz w:val="12"/>
        </w:rPr>
        <w:t>1996</w:t>
        <w:tab/>
        <w:t>97</w:t>
        <w:tab/>
        <w:t>98</w:t>
        <w:tab/>
        <w:t>99</w:t>
        <w:tab/>
        <w:t>2000</w:t>
        <w:tab/>
        <w:t>01</w:t>
        <w:tab/>
        <w:t>02</w:t>
      </w:r>
    </w:p>
    <w:p>
      <w:pPr>
        <w:spacing w:before="94"/>
        <w:ind w:left="3854" w:right="0" w:firstLine="0"/>
        <w:jc w:val="left"/>
        <w:rPr>
          <w:sz w:val="12"/>
        </w:rPr>
      </w:pPr>
      <w:r>
        <w:rPr/>
        <w:br w:type="column"/>
      </w:r>
      <w:r>
        <w:rPr>
          <w:sz w:val="12"/>
        </w:rPr>
        <w:t>1</w:t>
      </w:r>
    </w:p>
    <w:p>
      <w:pPr>
        <w:pStyle w:val="BodyText"/>
        <w:rPr>
          <w:sz w:val="12"/>
        </w:rPr>
      </w:pPr>
    </w:p>
    <w:p>
      <w:pPr>
        <w:pStyle w:val="BodyText"/>
        <w:spacing w:before="9"/>
        <w:rPr>
          <w:sz w:val="11"/>
        </w:rPr>
      </w:pPr>
    </w:p>
    <w:p>
      <w:pPr>
        <w:spacing w:before="0"/>
        <w:ind w:left="3854" w:right="0" w:firstLine="0"/>
        <w:jc w:val="left"/>
        <w:rPr>
          <w:sz w:val="12"/>
        </w:rPr>
      </w:pPr>
      <w:r>
        <w:rPr/>
        <w:drawing>
          <wp:anchor distT="0" distB="0" distL="0" distR="0" allowOverlap="1" layoutInCell="1" locked="0" behindDoc="0" simplePos="0" relativeHeight="16337408">
            <wp:simplePos x="0" y="0"/>
            <wp:positionH relativeFrom="page">
              <wp:posOffset>3607676</wp:posOffset>
            </wp:positionH>
            <wp:positionV relativeFrom="paragraph">
              <wp:posOffset>44946</wp:posOffset>
            </wp:positionV>
            <wp:extent cx="2430030" cy="8267"/>
            <wp:effectExtent l="0" t="0" r="0" b="0"/>
            <wp:wrapNone/>
            <wp:docPr id="243" name="image100.png"/>
            <wp:cNvGraphicFramePr>
              <a:graphicFrameLocks noChangeAspect="1"/>
            </wp:cNvGraphicFramePr>
            <a:graphic>
              <a:graphicData uri="http://schemas.openxmlformats.org/drawingml/2006/picture">
                <pic:pic>
                  <pic:nvPicPr>
                    <pic:cNvPr id="244" name="image100.png"/>
                    <pic:cNvPicPr/>
                  </pic:nvPicPr>
                  <pic:blipFill>
                    <a:blip r:embed="rId189" cstate="print"/>
                    <a:stretch>
                      <a:fillRect/>
                    </a:stretch>
                  </pic:blipFill>
                  <pic:spPr>
                    <a:xfrm>
                      <a:off x="0" y="0"/>
                      <a:ext cx="2430030" cy="8267"/>
                    </a:xfrm>
                    <a:prstGeom prst="rect">
                      <a:avLst/>
                    </a:prstGeom>
                  </pic:spPr>
                </pic:pic>
              </a:graphicData>
            </a:graphic>
          </wp:anchor>
        </w:drawing>
      </w:r>
      <w:r>
        <w:rPr>
          <w:w w:val="99"/>
          <w:sz w:val="12"/>
        </w:rPr>
        <w:t>0</w:t>
      </w:r>
    </w:p>
    <w:p>
      <w:pPr>
        <w:spacing w:before="31"/>
        <w:ind w:left="3784" w:right="0" w:firstLine="0"/>
        <w:jc w:val="left"/>
        <w:rPr>
          <w:sz w:val="16"/>
        </w:rPr>
      </w:pPr>
      <w:r>
        <w:rPr>
          <w:w w:val="99"/>
          <w:sz w:val="16"/>
        </w:rPr>
        <w:t>–</w:t>
      </w:r>
    </w:p>
    <w:p>
      <w:pPr>
        <w:spacing w:line="130" w:lineRule="exact" w:before="64"/>
        <w:ind w:left="3854" w:right="0" w:firstLine="0"/>
        <w:jc w:val="left"/>
        <w:rPr>
          <w:sz w:val="12"/>
        </w:rPr>
      </w:pPr>
      <w:r>
        <w:rPr/>
        <w:drawing>
          <wp:anchor distT="0" distB="0" distL="0" distR="0" allowOverlap="1" layoutInCell="1" locked="0" behindDoc="0" simplePos="0" relativeHeight="16336896">
            <wp:simplePos x="0" y="0"/>
            <wp:positionH relativeFrom="page">
              <wp:posOffset>3607676</wp:posOffset>
            </wp:positionH>
            <wp:positionV relativeFrom="paragraph">
              <wp:posOffset>29026</wp:posOffset>
            </wp:positionV>
            <wp:extent cx="2430030" cy="69392"/>
            <wp:effectExtent l="0" t="0" r="0" b="0"/>
            <wp:wrapNone/>
            <wp:docPr id="245" name="image101.png"/>
            <wp:cNvGraphicFramePr>
              <a:graphicFrameLocks noChangeAspect="1"/>
            </wp:cNvGraphicFramePr>
            <a:graphic>
              <a:graphicData uri="http://schemas.openxmlformats.org/drawingml/2006/picture">
                <pic:pic>
                  <pic:nvPicPr>
                    <pic:cNvPr id="246" name="image101.png"/>
                    <pic:cNvPicPr/>
                  </pic:nvPicPr>
                  <pic:blipFill>
                    <a:blip r:embed="rId190" cstate="print"/>
                    <a:stretch>
                      <a:fillRect/>
                    </a:stretch>
                  </pic:blipFill>
                  <pic:spPr>
                    <a:xfrm>
                      <a:off x="0" y="0"/>
                      <a:ext cx="2430030" cy="69392"/>
                    </a:xfrm>
                    <a:prstGeom prst="rect">
                      <a:avLst/>
                    </a:prstGeom>
                  </pic:spPr>
                </pic:pic>
              </a:graphicData>
            </a:graphic>
          </wp:anchor>
        </w:drawing>
      </w:r>
      <w:r>
        <w:rPr>
          <w:w w:val="99"/>
          <w:sz w:val="12"/>
        </w:rPr>
        <w:t>1</w:t>
      </w:r>
    </w:p>
    <w:p>
      <w:pPr>
        <w:tabs>
          <w:tab w:pos="887" w:val="left" w:leader="none"/>
          <w:tab w:pos="1408" w:val="left" w:leader="none"/>
          <w:tab w:pos="1945" w:val="left" w:leader="none"/>
          <w:tab w:pos="2440" w:val="left" w:leader="none"/>
          <w:tab w:pos="3061" w:val="left" w:leader="none"/>
          <w:tab w:pos="3509" w:val="left" w:leader="none"/>
        </w:tabs>
        <w:spacing w:line="130" w:lineRule="exact" w:before="0"/>
        <w:ind w:left="276" w:right="0" w:firstLine="0"/>
        <w:jc w:val="left"/>
        <w:rPr>
          <w:sz w:val="12"/>
        </w:rPr>
      </w:pPr>
      <w:r>
        <w:rPr>
          <w:sz w:val="12"/>
        </w:rPr>
        <w:t>1996</w:t>
        <w:tab/>
        <w:t>97</w:t>
        <w:tab/>
        <w:t>98</w:t>
        <w:tab/>
        <w:t>99</w:t>
        <w:tab/>
        <w:t>2000</w:t>
        <w:tab/>
        <w:t>01</w:t>
        <w:tab/>
        <w:t>02</w:t>
      </w:r>
    </w:p>
    <w:p>
      <w:pPr>
        <w:spacing w:after="0" w:line="130" w:lineRule="exact"/>
        <w:jc w:val="left"/>
        <w:rPr>
          <w:sz w:val="12"/>
        </w:rPr>
        <w:sectPr>
          <w:type w:val="continuous"/>
          <w:pgSz w:w="11900" w:h="16840"/>
          <w:pgMar w:top="1260" w:bottom="280" w:left="640" w:right="640"/>
          <w:cols w:num="2" w:equalWidth="0">
            <w:col w:w="4212" w:space="859"/>
            <w:col w:w="554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type w:val="continuous"/>
          <w:pgSz w:w="11900" w:h="16840"/>
          <w:pgMar w:top="1260" w:bottom="280" w:left="640" w:right="640"/>
        </w:sectPr>
      </w:pPr>
    </w:p>
    <w:p>
      <w:pPr>
        <w:pStyle w:val="BodyText"/>
        <w:spacing w:before="3"/>
        <w:rPr>
          <w:sz w:val="20"/>
        </w:rPr>
      </w:pPr>
    </w:p>
    <w:p>
      <w:pPr>
        <w:pStyle w:val="Heading6"/>
        <w:spacing w:before="1"/>
        <w:ind w:left="170"/>
      </w:pPr>
      <w:r>
        <w:rPr>
          <w:color w:val="0092C7"/>
        </w:rPr>
        <w:t>Table 6.C</w:t>
      </w:r>
    </w:p>
    <w:p>
      <w:pPr>
        <w:pStyle w:val="Heading6"/>
        <w:spacing w:line="249" w:lineRule="auto"/>
        <w:ind w:left="170"/>
        <w:rPr>
          <w:b w:val="0"/>
          <w:sz w:val="12"/>
        </w:rPr>
      </w:pPr>
      <w:r>
        <w:rPr>
          <w:color w:val="0092C7"/>
        </w:rPr>
        <w:t>Market</w:t>
      </w:r>
      <w:r>
        <w:rPr>
          <w:color w:val="0092C7"/>
          <w:spacing w:val="-8"/>
        </w:rPr>
        <w:t> </w:t>
      </w:r>
      <w:r>
        <w:rPr>
          <w:color w:val="0092C7"/>
        </w:rPr>
        <w:t>expectations</w:t>
      </w:r>
      <w:r>
        <w:rPr>
          <w:color w:val="0092C7"/>
          <w:spacing w:val="-7"/>
        </w:rPr>
        <w:t> </w:t>
      </w:r>
      <w:r>
        <w:rPr>
          <w:color w:val="0092C7"/>
        </w:rPr>
        <w:t>of</w:t>
      </w:r>
      <w:r>
        <w:rPr>
          <w:color w:val="0092C7"/>
          <w:spacing w:val="-7"/>
        </w:rPr>
        <w:t> </w:t>
      </w:r>
      <w:r>
        <w:rPr>
          <w:color w:val="0092C7"/>
        </w:rPr>
        <w:t>the</w:t>
      </w:r>
      <w:r>
        <w:rPr>
          <w:color w:val="0092C7"/>
          <w:spacing w:val="-7"/>
        </w:rPr>
        <w:t> </w:t>
      </w:r>
      <w:r>
        <w:rPr>
          <w:color w:val="0092C7"/>
          <w:spacing w:val="-2"/>
        </w:rPr>
        <w:t>Bank’s</w:t>
      </w:r>
      <w:r>
        <w:rPr>
          <w:color w:val="0092C7"/>
          <w:spacing w:val="-8"/>
        </w:rPr>
        <w:t> </w:t>
      </w:r>
      <w:r>
        <w:rPr>
          <w:color w:val="0092C7"/>
        </w:rPr>
        <w:t>official</w:t>
      </w:r>
      <w:r>
        <w:rPr>
          <w:color w:val="0092C7"/>
          <w:spacing w:val="-7"/>
        </w:rPr>
        <w:t> </w:t>
      </w:r>
      <w:r>
        <w:rPr>
          <w:color w:val="0092C7"/>
        </w:rPr>
        <w:t>interest rate</w:t>
      </w:r>
      <w:r>
        <w:rPr>
          <w:b w:val="0"/>
          <w:position w:val="4"/>
          <w:sz w:val="12"/>
        </w:rPr>
        <w:t>(a)</w:t>
      </w:r>
    </w:p>
    <w:p>
      <w:pPr>
        <w:spacing w:before="97"/>
        <w:ind w:left="170" w:right="0" w:firstLine="0"/>
        <w:jc w:val="left"/>
        <w:rPr>
          <w:sz w:val="14"/>
        </w:rPr>
      </w:pPr>
      <w:r>
        <w:rPr>
          <w:sz w:val="14"/>
        </w:rPr>
        <w:t>Per</w:t>
      </w:r>
      <w:r>
        <w:rPr>
          <w:spacing w:val="-7"/>
          <w:sz w:val="14"/>
        </w:rPr>
        <w:t> </w:t>
      </w:r>
      <w:r>
        <w:rPr>
          <w:sz w:val="14"/>
        </w:rPr>
        <w:t>cent</w:t>
      </w:r>
    </w:p>
    <w:p>
      <w:pPr>
        <w:tabs>
          <w:tab w:pos="839" w:val="left" w:leader="none"/>
          <w:tab w:pos="2629" w:val="left" w:leader="none"/>
          <w:tab w:pos="2889" w:val="left" w:leader="none"/>
          <w:tab w:pos="4069" w:val="left" w:leader="none"/>
        </w:tabs>
        <w:spacing w:line="160" w:lineRule="exact" w:before="119"/>
        <w:ind w:left="150" w:right="0" w:firstLine="0"/>
        <w:jc w:val="left"/>
        <w:rPr>
          <w:sz w:val="14"/>
        </w:rPr>
      </w:pPr>
      <w:r>
        <w:rPr>
          <w:spacing w:val="-15"/>
          <w:sz w:val="14"/>
          <w:u w:val="single"/>
        </w:rPr>
        <w:t> </w:t>
      </w:r>
      <w:r>
        <w:rPr>
          <w:sz w:val="14"/>
          <w:u w:val="single"/>
        </w:rPr>
        <w:t>2000</w:t>
        <w:tab/>
        <w:t>2001</w:t>
        <w:tab/>
      </w:r>
      <w:r>
        <w:rPr>
          <w:sz w:val="14"/>
        </w:rPr>
        <w:tab/>
      </w:r>
      <w:r>
        <w:rPr>
          <w:sz w:val="14"/>
          <w:u w:val="single"/>
        </w:rPr>
        <w:t>2002</w:t>
        <w:tab/>
      </w:r>
    </w:p>
    <w:p>
      <w:pPr>
        <w:tabs>
          <w:tab w:pos="1009" w:val="left" w:leader="none"/>
          <w:tab w:pos="1929" w:val="left" w:leader="none"/>
          <w:tab w:pos="2410" w:val="left" w:leader="none"/>
          <w:tab w:pos="2890" w:val="left" w:leader="none"/>
          <w:tab w:pos="3370" w:val="left" w:leader="none"/>
        </w:tabs>
        <w:spacing w:line="160" w:lineRule="exact" w:before="0"/>
        <w:ind w:left="150" w:right="0" w:firstLine="0"/>
        <w:jc w:val="left"/>
        <w:rPr>
          <w:sz w:val="14"/>
        </w:rPr>
      </w:pPr>
      <w:r>
        <w:rPr>
          <w:spacing w:val="-15"/>
          <w:sz w:val="14"/>
          <w:u w:val="single"/>
        </w:rPr>
        <w:t> </w:t>
      </w:r>
      <w:r>
        <w:rPr>
          <w:sz w:val="14"/>
          <w:u w:val="single"/>
        </w:rPr>
        <w:t>Q3   </w:t>
      </w:r>
      <w:r>
        <w:rPr>
          <w:sz w:val="14"/>
        </w:rPr>
        <w:t>  </w:t>
      </w:r>
      <w:r>
        <w:rPr>
          <w:spacing w:val="16"/>
          <w:sz w:val="14"/>
        </w:rPr>
        <w:t> </w:t>
      </w:r>
      <w:r>
        <w:rPr>
          <w:sz w:val="14"/>
          <w:u w:val="single"/>
        </w:rPr>
        <w:t>Q4</w:t>
      </w:r>
      <w:r>
        <w:rPr>
          <w:sz w:val="14"/>
        </w:rPr>
        <w:tab/>
      </w:r>
      <w:r>
        <w:rPr>
          <w:sz w:val="14"/>
          <w:u w:val="single"/>
        </w:rPr>
        <w:t>Q1   </w:t>
      </w:r>
      <w:r>
        <w:rPr>
          <w:sz w:val="14"/>
        </w:rPr>
        <w:t>   </w:t>
      </w:r>
      <w:r>
        <w:rPr>
          <w:spacing w:val="21"/>
          <w:sz w:val="14"/>
        </w:rPr>
        <w:t> </w:t>
      </w:r>
      <w:r>
        <w:rPr>
          <w:sz w:val="14"/>
          <w:u w:val="single"/>
        </w:rPr>
        <w:t>Q2</w:t>
      </w:r>
      <w:r>
        <w:rPr>
          <w:sz w:val="14"/>
        </w:rPr>
        <w:tab/>
      </w:r>
      <w:r>
        <w:rPr>
          <w:sz w:val="14"/>
          <w:u w:val="single"/>
        </w:rPr>
        <w:t>Q3</w:t>
      </w:r>
      <w:r>
        <w:rPr>
          <w:sz w:val="14"/>
        </w:rPr>
        <w:tab/>
      </w:r>
      <w:r>
        <w:rPr>
          <w:sz w:val="14"/>
          <w:u w:val="single"/>
        </w:rPr>
        <w:t>Q4</w:t>
      </w:r>
      <w:r>
        <w:rPr>
          <w:sz w:val="14"/>
        </w:rPr>
        <w:tab/>
      </w:r>
      <w:r>
        <w:rPr>
          <w:sz w:val="14"/>
          <w:u w:val="single"/>
        </w:rPr>
        <w:t>Q1</w:t>
      </w:r>
      <w:r>
        <w:rPr>
          <w:sz w:val="14"/>
        </w:rPr>
        <w:tab/>
      </w:r>
      <w:r>
        <w:rPr>
          <w:sz w:val="14"/>
          <w:u w:val="single"/>
        </w:rPr>
        <w:t>Q2 </w:t>
      </w:r>
      <w:r>
        <w:rPr>
          <w:sz w:val="14"/>
        </w:rPr>
        <w:t>      </w:t>
      </w:r>
      <w:r>
        <w:rPr>
          <w:spacing w:val="26"/>
          <w:sz w:val="14"/>
          <w:u w:val="single"/>
        </w:rPr>
        <w:t> </w:t>
      </w:r>
      <w:r>
        <w:rPr>
          <w:sz w:val="14"/>
          <w:u w:val="single"/>
        </w:rPr>
        <w:t>Q3</w:t>
      </w:r>
      <w:r>
        <w:rPr>
          <w:spacing w:val="-12"/>
          <w:sz w:val="14"/>
          <w:u w:val="single"/>
        </w:rPr>
        <w:t> </w:t>
      </w:r>
    </w:p>
    <w:p>
      <w:pPr>
        <w:tabs>
          <w:tab w:pos="569" w:val="left" w:leader="none"/>
          <w:tab w:pos="1009" w:val="left" w:leader="none"/>
          <w:tab w:pos="1449" w:val="left" w:leader="none"/>
          <w:tab w:pos="1929" w:val="left" w:leader="none"/>
          <w:tab w:pos="2409" w:val="left" w:leader="none"/>
          <w:tab w:pos="2889" w:val="left" w:leader="none"/>
          <w:tab w:pos="3369" w:val="left" w:leader="none"/>
          <w:tab w:pos="3849" w:val="left" w:leader="none"/>
        </w:tabs>
        <w:spacing w:before="119"/>
        <w:ind w:left="170" w:right="0" w:firstLine="0"/>
        <w:jc w:val="left"/>
        <w:rPr>
          <w:sz w:val="14"/>
        </w:rPr>
      </w:pPr>
      <w:r>
        <w:rPr>
          <w:sz w:val="14"/>
        </w:rPr>
        <w:t>6.0</w:t>
        <w:tab/>
        <w:t>6.1</w:t>
        <w:tab/>
        <w:t>6.2</w:t>
        <w:tab/>
        <w:t>6.2</w:t>
        <w:tab/>
        <w:t>6.2</w:t>
        <w:tab/>
        <w:t>6.1</w:t>
        <w:tab/>
        <w:t>6.1</w:t>
        <w:tab/>
        <w:t>6.0</w:t>
        <w:tab/>
        <w:t>5.9</w:t>
      </w:r>
    </w:p>
    <w:p>
      <w:pPr>
        <w:spacing w:line="208" w:lineRule="auto" w:before="133"/>
        <w:ind w:left="410" w:right="0" w:hanging="240"/>
        <w:jc w:val="left"/>
        <w:rPr>
          <w:sz w:val="12"/>
        </w:rPr>
      </w:pPr>
      <w:r>
        <w:rPr>
          <w:sz w:val="12"/>
        </w:rPr>
        <w:t>(a) Based on the interest rate available on gilt-edged securities, including those used as collateral in short-term repo contracts, plus a small upward adjustment to allow for the average difference between this rate and the Bank’s official interest rate. The data are 15-day averages to 2 August.</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72"/>
        <w:ind w:left="210"/>
      </w:pPr>
      <w:r>
        <w:rPr>
          <w:color w:val="0092C7"/>
        </w:rPr>
        <w:t>Chart 6.8</w:t>
      </w:r>
    </w:p>
    <w:p>
      <w:pPr>
        <w:pStyle w:val="Heading6"/>
        <w:spacing w:line="249" w:lineRule="auto"/>
        <w:ind w:left="210" w:right="634"/>
      </w:pPr>
      <w:r>
        <w:rPr>
          <w:color w:val="0092C7"/>
        </w:rPr>
        <w:t>Distribution of RPIX inflation forecasts for 2002 Q3</w:t>
      </w:r>
    </w:p>
    <w:p>
      <w:pPr>
        <w:pStyle w:val="BodyText"/>
        <w:spacing w:before="9"/>
        <w:rPr>
          <w:b/>
          <w:sz w:val="30"/>
        </w:rPr>
      </w:pPr>
      <w:r>
        <w:rPr/>
        <w:br w:type="column"/>
      </w:r>
      <w:r>
        <w:rPr>
          <w:b/>
          <w:sz w:val="30"/>
        </w:rPr>
      </w:r>
    </w:p>
    <w:p>
      <w:pPr>
        <w:spacing w:line="242" w:lineRule="auto" w:before="0"/>
        <w:ind w:left="150" w:right="521" w:firstLine="0"/>
        <w:jc w:val="left"/>
        <w:rPr>
          <w:sz w:val="24"/>
        </w:rPr>
      </w:pPr>
      <w:r>
        <w:rPr>
          <w:sz w:val="24"/>
        </w:rPr>
        <w:t>than short sterling futures rates, which had been used previously (see November 1999 </w:t>
      </w:r>
      <w:r>
        <w:rPr>
          <w:i/>
          <w:sz w:val="24"/>
        </w:rPr>
        <w:t>Inflation Report </w:t>
      </w:r>
      <w:r>
        <w:rPr>
          <w:sz w:val="24"/>
        </w:rPr>
        <w:t>for more details).</w:t>
      </w:r>
    </w:p>
    <w:p>
      <w:pPr>
        <w:pStyle w:val="BodyText"/>
        <w:spacing w:before="8"/>
        <w:rPr>
          <w:sz w:val="24"/>
        </w:rPr>
      </w:pPr>
    </w:p>
    <w:p>
      <w:pPr>
        <w:spacing w:line="242" w:lineRule="auto" w:before="0"/>
        <w:ind w:left="150" w:right="114" w:firstLine="0"/>
        <w:jc w:val="left"/>
        <w:rPr>
          <w:sz w:val="24"/>
        </w:rPr>
      </w:pPr>
      <w:r>
        <w:rPr>
          <w:sz w:val="24"/>
        </w:rPr>
        <w:t>The latest evidence from the gilt-repo curve implies that the market expects official rates to rise only slightly over the next year, peaking at around 6.25% in spring 2001 (see Table 6.C). As a result, the MPC’s projections under the assumption that official rates move in line with market expectations are close to those conditioned on the assumption of constant interest rates (see Charts 6.6 and 6.7). It should be noted that if short sterling futures rates were instead used to gauge market expectations, they would imply a slightly higher profile for the path of official rates over the next year or so.</w:t>
      </w:r>
    </w:p>
    <w:p>
      <w:pPr>
        <w:spacing w:after="0" w:line="242" w:lineRule="auto"/>
        <w:jc w:val="left"/>
        <w:rPr>
          <w:sz w:val="24"/>
        </w:rPr>
        <w:sectPr>
          <w:type w:val="continuous"/>
          <w:pgSz w:w="11900" w:h="16840"/>
          <w:pgMar w:top="1260" w:bottom="280" w:left="640" w:right="640"/>
          <w:cols w:num="2" w:equalWidth="0">
            <w:col w:w="4457" w:space="373"/>
            <w:col w:w="5790"/>
          </w:cols>
        </w:sectPr>
      </w:pPr>
    </w:p>
    <w:p>
      <w:pPr>
        <w:spacing w:before="117"/>
        <w:ind w:left="0" w:right="38" w:firstLine="0"/>
        <w:jc w:val="right"/>
        <w:rPr>
          <w:sz w:val="12"/>
        </w:rPr>
      </w:pPr>
      <w:r>
        <w:rPr/>
        <w:drawing>
          <wp:anchor distT="0" distB="0" distL="0" distR="0" allowOverlap="1" layoutInCell="1" locked="0" behindDoc="0" simplePos="0" relativeHeight="16340992">
            <wp:simplePos x="0" y="0"/>
            <wp:positionH relativeFrom="page">
              <wp:posOffset>601243</wp:posOffset>
            </wp:positionH>
            <wp:positionV relativeFrom="paragraph">
              <wp:posOffset>174088</wp:posOffset>
            </wp:positionV>
            <wp:extent cx="55029" cy="6349"/>
            <wp:effectExtent l="0" t="0" r="0" b="0"/>
            <wp:wrapNone/>
            <wp:docPr id="247" name="image12.png"/>
            <wp:cNvGraphicFramePr>
              <a:graphicFrameLocks noChangeAspect="1"/>
            </wp:cNvGraphicFramePr>
            <a:graphic>
              <a:graphicData uri="http://schemas.openxmlformats.org/drawingml/2006/picture">
                <pic:pic>
                  <pic:nvPicPr>
                    <pic:cNvPr id="248" name="image12.png"/>
                    <pic:cNvPicPr/>
                  </pic:nvPicPr>
                  <pic:blipFill>
                    <a:blip r:embed="rId35" cstate="print"/>
                    <a:stretch>
                      <a:fillRect/>
                    </a:stretch>
                  </pic:blipFill>
                  <pic:spPr>
                    <a:xfrm>
                      <a:off x="0" y="0"/>
                      <a:ext cx="55029" cy="6349"/>
                    </a:xfrm>
                    <a:prstGeom prst="rect">
                      <a:avLst/>
                    </a:prstGeom>
                  </pic:spPr>
                </pic:pic>
              </a:graphicData>
            </a:graphic>
          </wp:anchor>
        </w:drawing>
      </w:r>
      <w:r>
        <w:rPr>
          <w:sz w:val="12"/>
        </w:rPr>
        <w:t>Number of forecas</w:t>
      </w:r>
      <w:r>
        <w:rPr>
          <w:sz w:val="12"/>
          <w:u w:val="single"/>
        </w:rPr>
        <w:t>ts</w:t>
      </w:r>
      <w:r>
        <w:rPr>
          <w:sz w:val="12"/>
        </w:rPr>
        <w:t> </w:t>
      </w:r>
      <w:r>
        <w:rPr>
          <w:position w:val="-8"/>
          <w:sz w:val="12"/>
        </w:rPr>
        <w:t>16</w:t>
      </w:r>
    </w:p>
    <w:p>
      <w:pPr>
        <w:pStyle w:val="ListParagraph"/>
        <w:numPr>
          <w:ilvl w:val="1"/>
          <w:numId w:val="39"/>
        </w:numPr>
        <w:tabs>
          <w:tab w:pos="3756" w:val="left" w:leader="none"/>
          <w:tab w:pos="3757" w:val="left" w:leader="none"/>
          <w:tab w:pos="5826" w:val="left" w:leader="none"/>
        </w:tabs>
        <w:spacing w:line="240" w:lineRule="auto" w:before="45" w:after="0"/>
        <w:ind w:left="3756" w:right="0" w:hanging="3451"/>
        <w:jc w:val="left"/>
        <w:rPr>
          <w:b/>
          <w:color w:val="009391"/>
          <w:sz w:val="28"/>
        </w:rPr>
      </w:pPr>
      <w:r>
        <w:rPr>
          <w:b/>
          <w:color w:val="009391"/>
          <w:spacing w:val="-1"/>
          <w:sz w:val="28"/>
          <w:u w:val="thick" w:color="0092C7"/>
        </w:rPr>
        <w:br w:type="column"/>
      </w:r>
      <w:r>
        <w:rPr>
          <w:b/>
          <w:color w:val="009391"/>
          <w:sz w:val="28"/>
          <w:u w:val="thick" w:color="0092C7"/>
        </w:rPr>
        <w:t>Other</w:t>
      </w:r>
      <w:r>
        <w:rPr>
          <w:b/>
          <w:color w:val="009391"/>
          <w:spacing w:val="-23"/>
          <w:sz w:val="28"/>
          <w:u w:val="thick" w:color="0092C7"/>
        </w:rPr>
        <w:t> </w:t>
      </w:r>
      <w:r>
        <w:rPr>
          <w:b/>
          <w:color w:val="009391"/>
          <w:sz w:val="28"/>
          <w:u w:val="thick" w:color="0092C7"/>
        </w:rPr>
        <w:t>forecasts</w:t>
        <w:tab/>
      </w:r>
    </w:p>
    <w:p>
      <w:pPr>
        <w:spacing w:after="0" w:line="240" w:lineRule="auto"/>
        <w:jc w:val="left"/>
        <w:rPr>
          <w:sz w:val="28"/>
        </w:rPr>
        <w:sectPr>
          <w:type w:val="continuous"/>
          <w:pgSz w:w="11900" w:h="16840"/>
          <w:pgMar w:top="1260" w:bottom="280" w:left="640" w:right="640"/>
          <w:cols w:num="2" w:equalWidth="0">
            <w:col w:w="3666" w:space="1007"/>
            <w:col w:w="5947"/>
          </w:cols>
        </w:sect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spacing w:before="6"/>
        <w:rPr>
          <w:b/>
          <w:sz w:val="12"/>
        </w:rPr>
      </w:pPr>
    </w:p>
    <w:p>
      <w:pPr>
        <w:spacing w:before="1"/>
        <w:ind w:left="0" w:right="0" w:firstLine="0"/>
        <w:jc w:val="right"/>
        <w:rPr>
          <w:sz w:val="12"/>
        </w:rPr>
      </w:pPr>
      <w:r>
        <w:rPr>
          <w:sz w:val="12"/>
        </w:rPr>
        <w:t>1.5</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2"/>
        </w:rPr>
      </w:pPr>
    </w:p>
    <w:p>
      <w:pPr>
        <w:spacing w:before="1"/>
        <w:ind w:left="218" w:right="0" w:firstLine="0"/>
        <w:jc w:val="left"/>
        <w:rPr>
          <w:sz w:val="12"/>
        </w:rPr>
      </w:pPr>
      <w:r>
        <w:rPr>
          <w:sz w:val="12"/>
        </w:rPr>
        <w:t>1.8</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2"/>
        </w:rPr>
      </w:pPr>
    </w:p>
    <w:p>
      <w:pPr>
        <w:spacing w:before="1"/>
        <w:ind w:left="214" w:right="0" w:firstLine="0"/>
        <w:jc w:val="left"/>
        <w:rPr>
          <w:sz w:val="12"/>
        </w:rPr>
      </w:pPr>
      <w:r>
        <w:rPr>
          <w:sz w:val="12"/>
        </w:rPr>
        <w:t>2.1</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2"/>
        </w:rPr>
      </w:pPr>
    </w:p>
    <w:p>
      <w:pPr>
        <w:spacing w:before="1"/>
        <w:ind w:left="218" w:right="0" w:firstLine="0"/>
        <w:jc w:val="left"/>
        <w:rPr>
          <w:sz w:val="12"/>
        </w:rPr>
      </w:pPr>
      <w:r>
        <w:rPr>
          <w:sz w:val="12"/>
        </w:rPr>
        <w:t>2.4</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2"/>
        </w:rPr>
      </w:pPr>
    </w:p>
    <w:p>
      <w:pPr>
        <w:spacing w:before="1"/>
        <w:ind w:left="228" w:right="0" w:firstLine="0"/>
        <w:jc w:val="left"/>
        <w:rPr>
          <w:sz w:val="12"/>
        </w:rPr>
      </w:pPr>
      <w:r>
        <w:rPr>
          <w:sz w:val="12"/>
        </w:rPr>
        <w:t>2.7</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2"/>
        </w:rPr>
      </w:pPr>
    </w:p>
    <w:p>
      <w:pPr>
        <w:spacing w:before="1"/>
        <w:ind w:left="214" w:right="0" w:firstLine="0"/>
        <w:jc w:val="left"/>
        <w:rPr>
          <w:sz w:val="12"/>
        </w:rPr>
      </w:pPr>
      <w:r>
        <w:rPr>
          <w:sz w:val="12"/>
        </w:rPr>
        <w:t>3.0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2"/>
        </w:rPr>
      </w:pPr>
    </w:p>
    <w:p>
      <w:pPr>
        <w:spacing w:before="1"/>
        <w:ind w:left="206" w:right="0" w:firstLine="0"/>
        <w:jc w:val="left"/>
        <w:rPr>
          <w:sz w:val="12"/>
        </w:rPr>
      </w:pPr>
      <w:r>
        <w:rPr>
          <w:sz w:val="12"/>
        </w:rPr>
        <w:t>3.3</w:t>
      </w:r>
    </w:p>
    <w:p>
      <w:pPr>
        <w:pStyle w:val="BodyText"/>
        <w:spacing w:before="1"/>
        <w:rPr>
          <w:sz w:val="16"/>
        </w:rPr>
      </w:pPr>
      <w:r>
        <w:rPr/>
        <w:br w:type="column"/>
      </w:r>
      <w:r>
        <w:rPr>
          <w:sz w:val="16"/>
        </w:rPr>
      </w:r>
    </w:p>
    <w:p>
      <w:pPr>
        <w:spacing w:before="1"/>
        <w:ind w:left="497" w:right="0" w:firstLine="0"/>
        <w:jc w:val="left"/>
        <w:rPr>
          <w:sz w:val="12"/>
        </w:rPr>
      </w:pPr>
      <w:r>
        <w:rPr>
          <w:sz w:val="12"/>
        </w:rPr>
        <w:t>14</w:t>
      </w:r>
    </w:p>
    <w:p>
      <w:pPr>
        <w:pStyle w:val="BodyText"/>
        <w:rPr>
          <w:sz w:val="12"/>
        </w:rPr>
      </w:pPr>
    </w:p>
    <w:p>
      <w:pPr>
        <w:spacing w:before="94"/>
        <w:ind w:left="497" w:right="0" w:firstLine="0"/>
        <w:jc w:val="left"/>
        <w:rPr>
          <w:sz w:val="12"/>
        </w:rPr>
      </w:pPr>
      <w:r>
        <w:rPr/>
        <w:pict>
          <v:group style="position:absolute;margin-left:47.341999pt;margin-top:-10.517042pt;width:158.1pt;height:130.5pt;mso-position-horizontal-relative:page;mso-position-vertical-relative:paragraph;z-index:16340480" coordorigin="947,-210" coordsize="3162,2610">
            <v:shape style="position:absolute;left:946;top:-203;width:3162;height:2602" type="#_x0000_t75" stroked="false">
              <v:imagedata r:id="rId191" o:title=""/>
            </v:shape>
            <v:shape style="position:absolute;left:946;top:520;width:87;height:10" type="#_x0000_t75" stroked="false">
              <v:imagedata r:id="rId35" o:title=""/>
            </v:shape>
            <v:shape style="position:absolute;left:946;top:893;width:87;height:10" type="#_x0000_t75" stroked="false">
              <v:imagedata r:id="rId35" o:title=""/>
            </v:shape>
            <v:shape style="position:absolute;left:946;top:1243;width:87;height:10" type="#_x0000_t75" stroked="false">
              <v:imagedata r:id="rId36" o:title=""/>
            </v:shape>
            <v:shape style="position:absolute;left:946;top:1601;width:87;height:10" type="#_x0000_t75" stroked="false">
              <v:imagedata r:id="rId36" o:title=""/>
            </v:shape>
            <v:shape style="position:absolute;left:946;top:1970;width:87;height:10" type="#_x0000_t75" stroked="false">
              <v:imagedata r:id="rId36" o:title=""/>
            </v:shape>
            <v:shape style="position:absolute;left:946;top:-211;width:87;height:10" type="#_x0000_t75" stroked="false">
              <v:imagedata r:id="rId35" o:title=""/>
            </v:shape>
            <v:shape style="position:absolute;left:946;top:168;width:87;height:10" type="#_x0000_t75" stroked="false">
              <v:imagedata r:id="rId35" o:title=""/>
            </v:shape>
            <v:shape style="position:absolute;left:4021;top:520;width:87;height:10" type="#_x0000_t75" stroked="false">
              <v:imagedata r:id="rId35" o:title=""/>
            </v:shape>
            <v:shape style="position:absolute;left:4021;top:892;width:87;height:10" type="#_x0000_t75" stroked="false">
              <v:imagedata r:id="rId35" o:title=""/>
            </v:shape>
            <v:shape style="position:absolute;left:4021;top:1243;width:87;height:10" type="#_x0000_t75" stroked="false">
              <v:imagedata r:id="rId36" o:title=""/>
            </v:shape>
            <v:shape style="position:absolute;left:4021;top:1601;width:87;height:10" type="#_x0000_t75" stroked="false">
              <v:imagedata r:id="rId35" o:title=""/>
            </v:shape>
            <v:shape style="position:absolute;left:4021;top:1970;width:87;height:10" type="#_x0000_t75" stroked="false">
              <v:imagedata r:id="rId36" o:title=""/>
            </v:shape>
            <v:shape style="position:absolute;left:4021;top:-211;width:87;height:10" type="#_x0000_t75" stroked="false">
              <v:imagedata r:id="rId35" o:title=""/>
            </v:shape>
            <v:shape style="position:absolute;left:4021;top:168;width:87;height:10" type="#_x0000_t75" stroked="false">
              <v:imagedata r:id="rId35" o:title=""/>
            </v:shape>
            <w10:wrap type="none"/>
          </v:group>
        </w:pict>
      </w:r>
      <w:r>
        <w:rPr>
          <w:sz w:val="12"/>
        </w:rPr>
        <w:t>12</w:t>
      </w:r>
    </w:p>
    <w:p>
      <w:pPr>
        <w:pStyle w:val="BodyText"/>
        <w:rPr>
          <w:sz w:val="12"/>
        </w:rPr>
      </w:pPr>
    </w:p>
    <w:p>
      <w:pPr>
        <w:spacing w:before="76"/>
        <w:ind w:left="497" w:right="0" w:firstLine="0"/>
        <w:jc w:val="left"/>
        <w:rPr>
          <w:sz w:val="12"/>
        </w:rPr>
      </w:pPr>
      <w:r>
        <w:rPr>
          <w:sz w:val="12"/>
        </w:rPr>
        <w:t>10</w:t>
      </w:r>
    </w:p>
    <w:p>
      <w:pPr>
        <w:pStyle w:val="BodyText"/>
        <w:rPr>
          <w:sz w:val="12"/>
        </w:rPr>
      </w:pPr>
    </w:p>
    <w:p>
      <w:pPr>
        <w:spacing w:before="97"/>
        <w:ind w:left="557" w:right="0" w:firstLine="0"/>
        <w:jc w:val="left"/>
        <w:rPr>
          <w:sz w:val="12"/>
        </w:rPr>
      </w:pPr>
      <w:r>
        <w:rPr>
          <w:sz w:val="12"/>
        </w:rPr>
        <w:t>8</w:t>
      </w:r>
    </w:p>
    <w:p>
      <w:pPr>
        <w:pStyle w:val="BodyText"/>
        <w:rPr>
          <w:sz w:val="12"/>
        </w:rPr>
      </w:pPr>
    </w:p>
    <w:p>
      <w:pPr>
        <w:spacing w:before="79"/>
        <w:ind w:left="557" w:right="0" w:firstLine="0"/>
        <w:jc w:val="left"/>
        <w:rPr>
          <w:sz w:val="12"/>
        </w:rPr>
      </w:pPr>
      <w:r>
        <w:rPr>
          <w:sz w:val="12"/>
        </w:rPr>
        <w:t>6</w:t>
      </w:r>
    </w:p>
    <w:p>
      <w:pPr>
        <w:pStyle w:val="BodyText"/>
        <w:rPr>
          <w:sz w:val="12"/>
        </w:rPr>
      </w:pPr>
    </w:p>
    <w:p>
      <w:pPr>
        <w:spacing w:before="76"/>
        <w:ind w:left="557" w:right="0" w:firstLine="0"/>
        <w:jc w:val="left"/>
        <w:rPr>
          <w:sz w:val="12"/>
        </w:rPr>
      </w:pPr>
      <w:r>
        <w:rPr>
          <w:sz w:val="12"/>
        </w:rPr>
        <w:t>4</w:t>
      </w:r>
    </w:p>
    <w:p>
      <w:pPr>
        <w:pStyle w:val="BodyText"/>
        <w:rPr>
          <w:sz w:val="12"/>
        </w:rPr>
      </w:pPr>
    </w:p>
    <w:p>
      <w:pPr>
        <w:spacing w:before="97"/>
        <w:ind w:left="557" w:right="0" w:firstLine="0"/>
        <w:jc w:val="left"/>
        <w:rPr>
          <w:sz w:val="12"/>
        </w:rPr>
      </w:pPr>
      <w:r>
        <w:rPr>
          <w:sz w:val="12"/>
        </w:rPr>
        <w:t>2</w:t>
      </w:r>
    </w:p>
    <w:p>
      <w:pPr>
        <w:pStyle w:val="BodyText"/>
        <w:rPr>
          <w:sz w:val="12"/>
        </w:rPr>
      </w:pPr>
    </w:p>
    <w:p>
      <w:pPr>
        <w:spacing w:before="79"/>
        <w:ind w:left="557" w:right="0" w:firstLine="0"/>
        <w:jc w:val="left"/>
        <w:rPr>
          <w:sz w:val="12"/>
        </w:rPr>
      </w:pPr>
      <w:r>
        <w:rPr>
          <w:sz w:val="12"/>
        </w:rPr>
        <w:t>0</w:t>
      </w:r>
    </w:p>
    <w:p>
      <w:pPr>
        <w:spacing w:before="51"/>
        <w:ind w:left="235" w:right="232" w:firstLine="0"/>
        <w:jc w:val="center"/>
        <w:rPr>
          <w:sz w:val="12"/>
        </w:rPr>
      </w:pPr>
      <w:r>
        <w:rPr>
          <w:sz w:val="12"/>
        </w:rPr>
        <w:t>3.5</w:t>
      </w:r>
    </w:p>
    <w:p>
      <w:pPr>
        <w:pStyle w:val="BodyText"/>
        <w:spacing w:before="11"/>
        <w:rPr>
          <w:sz w:val="22"/>
        </w:rPr>
      </w:pPr>
      <w:r>
        <w:rPr/>
        <w:br w:type="column"/>
      </w:r>
      <w:r>
        <w:rPr>
          <w:sz w:val="22"/>
        </w:rPr>
      </w:r>
    </w:p>
    <w:p>
      <w:pPr>
        <w:spacing w:line="242" w:lineRule="auto" w:before="0"/>
        <w:ind w:left="375" w:right="136" w:firstLine="0"/>
        <w:jc w:val="left"/>
        <w:rPr>
          <w:sz w:val="24"/>
        </w:rPr>
      </w:pPr>
      <w:r>
        <w:rPr>
          <w:sz w:val="24"/>
        </w:rPr>
        <w:t>In late </w:t>
      </w:r>
      <w:r>
        <w:rPr>
          <w:spacing w:val="-4"/>
          <w:sz w:val="24"/>
        </w:rPr>
        <w:t>July, </w:t>
      </w:r>
      <w:r>
        <w:rPr>
          <w:sz w:val="24"/>
        </w:rPr>
        <w:t>the Bank asked a sample of external forecasters for their latest projections of inflation and output. Based on this </w:t>
      </w:r>
      <w:r>
        <w:rPr>
          <w:spacing w:val="-4"/>
          <w:sz w:val="24"/>
        </w:rPr>
        <w:t>survey, </w:t>
      </w:r>
      <w:r>
        <w:rPr>
          <w:sz w:val="24"/>
        </w:rPr>
        <w:t>the mean forecast for the twelve-month rate of RPIX inflation in 2000 Q4 was 2.1% (with a range of 1.5% to 2.7%), rising to 2.5% in 2002 Q3 (with a range of 1.9% to 3.0%). The distribution of central projections in 2002 Q3 is shown in Chart 6.8. Compared to the survey results in the May </w:t>
      </w:r>
      <w:r>
        <w:rPr>
          <w:i/>
          <w:sz w:val="24"/>
        </w:rPr>
        <w:t>Report</w:t>
      </w:r>
      <w:r>
        <w:rPr>
          <w:sz w:val="24"/>
        </w:rPr>
        <w:t>,</w:t>
      </w:r>
      <w:r>
        <w:rPr>
          <w:spacing w:val="-5"/>
          <w:sz w:val="24"/>
        </w:rPr>
        <w:t> </w:t>
      </w:r>
      <w:r>
        <w:rPr>
          <w:sz w:val="24"/>
        </w:rPr>
        <w:t>the</w:t>
      </w:r>
      <w:r>
        <w:rPr>
          <w:spacing w:val="-5"/>
          <w:sz w:val="24"/>
        </w:rPr>
        <w:t> </w:t>
      </w:r>
      <w:r>
        <w:rPr>
          <w:sz w:val="24"/>
        </w:rPr>
        <w:t>mean</w:t>
      </w:r>
      <w:r>
        <w:rPr>
          <w:spacing w:val="-5"/>
          <w:sz w:val="24"/>
        </w:rPr>
        <w:t> </w:t>
      </w:r>
      <w:r>
        <w:rPr>
          <w:sz w:val="24"/>
        </w:rPr>
        <w:t>forecast</w:t>
      </w:r>
      <w:r>
        <w:rPr>
          <w:spacing w:val="-5"/>
          <w:sz w:val="24"/>
        </w:rPr>
        <w:t> </w:t>
      </w:r>
      <w:r>
        <w:rPr>
          <w:sz w:val="24"/>
        </w:rPr>
        <w:t>for</w:t>
      </w:r>
      <w:r>
        <w:rPr>
          <w:spacing w:val="-5"/>
          <w:sz w:val="24"/>
        </w:rPr>
        <w:t> </w:t>
      </w:r>
      <w:r>
        <w:rPr>
          <w:sz w:val="24"/>
        </w:rPr>
        <w:t>inflation</w:t>
      </w:r>
      <w:r>
        <w:rPr>
          <w:spacing w:val="-6"/>
          <w:sz w:val="24"/>
        </w:rPr>
        <w:t> </w:t>
      </w:r>
      <w:r>
        <w:rPr>
          <w:sz w:val="24"/>
        </w:rPr>
        <w:t>two</w:t>
      </w:r>
      <w:r>
        <w:rPr>
          <w:spacing w:val="-5"/>
          <w:sz w:val="24"/>
        </w:rPr>
        <w:t> </w:t>
      </w:r>
      <w:r>
        <w:rPr>
          <w:sz w:val="24"/>
        </w:rPr>
        <w:t>years</w:t>
      </w:r>
      <w:r>
        <w:rPr>
          <w:spacing w:val="-5"/>
          <w:sz w:val="24"/>
        </w:rPr>
        <w:t> </w:t>
      </w:r>
      <w:r>
        <w:rPr>
          <w:sz w:val="24"/>
        </w:rPr>
        <w:t>ahead</w:t>
      </w:r>
      <w:r>
        <w:rPr>
          <w:spacing w:val="-5"/>
          <w:sz w:val="24"/>
        </w:rPr>
        <w:t> </w:t>
      </w:r>
      <w:r>
        <w:rPr>
          <w:sz w:val="24"/>
        </w:rPr>
        <w:t>is slightly </w:t>
      </w:r>
      <w:r>
        <w:rPr>
          <w:spacing w:val="-3"/>
          <w:sz w:val="24"/>
        </w:rPr>
        <w:t>higher, </w:t>
      </w:r>
      <w:r>
        <w:rPr>
          <w:sz w:val="24"/>
        </w:rPr>
        <w:t>and forecasts </w:t>
      </w:r>
      <w:r>
        <w:rPr>
          <w:spacing w:val="-3"/>
          <w:sz w:val="24"/>
        </w:rPr>
        <w:t>have </w:t>
      </w:r>
      <w:r>
        <w:rPr>
          <w:sz w:val="24"/>
        </w:rPr>
        <w:t>become a little</w:t>
      </w:r>
      <w:r>
        <w:rPr>
          <w:spacing w:val="-16"/>
          <w:sz w:val="24"/>
        </w:rPr>
        <w:t> </w:t>
      </w:r>
      <w:r>
        <w:rPr>
          <w:sz w:val="24"/>
        </w:rPr>
        <w:t>more</w:t>
      </w:r>
    </w:p>
    <w:p>
      <w:pPr>
        <w:spacing w:after="0" w:line="242" w:lineRule="auto"/>
        <w:jc w:val="left"/>
        <w:rPr>
          <w:sz w:val="24"/>
        </w:rPr>
        <w:sectPr>
          <w:type w:val="continuous"/>
          <w:pgSz w:w="11900" w:h="16840"/>
          <w:pgMar w:top="1260" w:bottom="280" w:left="640" w:right="640"/>
          <w:cols w:num="9" w:equalWidth="0">
            <w:col w:w="526" w:space="40"/>
            <w:col w:w="369" w:space="39"/>
            <w:col w:w="365" w:space="40"/>
            <w:col w:w="369" w:space="39"/>
            <w:col w:w="379" w:space="40"/>
            <w:col w:w="365" w:space="40"/>
            <w:col w:w="357" w:space="39"/>
            <w:col w:w="658" w:space="939"/>
            <w:col w:w="6016"/>
          </w:cols>
        </w:sectPr>
      </w:pPr>
    </w:p>
    <w:p>
      <w:pPr>
        <w:spacing w:before="21"/>
        <w:ind w:left="1414" w:right="0" w:firstLine="0"/>
        <w:jc w:val="left"/>
        <w:rPr>
          <w:sz w:val="12"/>
        </w:rPr>
      </w:pPr>
      <w:r>
        <w:rPr>
          <w:sz w:val="12"/>
        </w:rPr>
        <w:t>Range of forecasts</w:t>
      </w:r>
    </w:p>
    <w:p>
      <w:pPr>
        <w:pStyle w:val="BodyText"/>
        <w:spacing w:before="7"/>
        <w:rPr>
          <w:sz w:val="11"/>
        </w:rPr>
      </w:pPr>
    </w:p>
    <w:p>
      <w:pPr>
        <w:spacing w:before="0"/>
        <w:ind w:left="220" w:right="0" w:firstLine="0"/>
        <w:jc w:val="left"/>
        <w:rPr>
          <w:sz w:val="12"/>
        </w:rPr>
      </w:pPr>
      <w:r>
        <w:rPr>
          <w:sz w:val="12"/>
        </w:rPr>
        <w:t>Source: Survey of 28 outside forecasters as of 21 July 2000.</w:t>
      </w:r>
    </w:p>
    <w:p>
      <w:pPr>
        <w:spacing w:line="242" w:lineRule="auto" w:before="13"/>
        <w:ind w:left="220" w:right="0" w:firstLine="0"/>
        <w:jc w:val="left"/>
        <w:rPr>
          <w:sz w:val="24"/>
        </w:rPr>
      </w:pPr>
      <w:r>
        <w:rPr/>
        <w:br w:type="column"/>
      </w:r>
      <w:r>
        <w:rPr>
          <w:sz w:val="24"/>
        </w:rPr>
        <w:t>dispersed around the average. On average, external forecasters see a 46% probability of inflation being</w:t>
      </w:r>
    </w:p>
    <w:p>
      <w:pPr>
        <w:spacing w:after="0" w:line="242" w:lineRule="auto"/>
        <w:jc w:val="left"/>
        <w:rPr>
          <w:sz w:val="24"/>
        </w:rPr>
        <w:sectPr>
          <w:type w:val="continuous"/>
          <w:pgSz w:w="11900" w:h="16840"/>
          <w:pgMar w:top="1260" w:bottom="280" w:left="640" w:right="640"/>
          <w:cols w:num="2" w:equalWidth="0">
            <w:col w:w="3169" w:space="1591"/>
            <w:col w:w="5860"/>
          </w:cols>
        </w:sectPr>
      </w:pPr>
    </w:p>
    <w:p>
      <w:pPr>
        <w:pStyle w:val="BodyText"/>
        <w:rPr>
          <w:sz w:val="20"/>
        </w:rPr>
      </w:pPr>
    </w:p>
    <w:p>
      <w:pPr>
        <w:spacing w:after="0"/>
        <w:rPr>
          <w:sz w:val="20"/>
        </w:rPr>
        <w:sectPr>
          <w:pgSz w:w="11900" w:h="16840"/>
          <w:pgMar w:header="586" w:footer="592" w:top="780" w:bottom="780" w:left="640" w:right="640"/>
        </w:sectPr>
      </w:pPr>
    </w:p>
    <w:p>
      <w:pPr>
        <w:pStyle w:val="BodyText"/>
        <w:spacing w:before="1"/>
        <w:rPr>
          <w:sz w:val="21"/>
        </w:rPr>
      </w:pPr>
    </w:p>
    <w:p>
      <w:pPr>
        <w:pStyle w:val="Heading6"/>
        <w:spacing w:before="0"/>
        <w:ind w:left="174"/>
      </w:pPr>
      <w:r>
        <w:rPr>
          <w:color w:val="0092C7"/>
        </w:rPr>
        <w:t>Table 6.D</w:t>
      </w:r>
    </w:p>
    <w:p>
      <w:pPr>
        <w:pStyle w:val="Heading6"/>
        <w:spacing w:line="249" w:lineRule="auto"/>
        <w:ind w:left="174"/>
        <w:rPr>
          <w:b w:val="0"/>
          <w:sz w:val="12"/>
        </w:rPr>
      </w:pPr>
      <w:r>
        <w:rPr>
          <w:color w:val="0092C7"/>
        </w:rPr>
        <w:t>Other forecasters’ expectations of RPIX inflation and GDP growth</w:t>
      </w:r>
      <w:r>
        <w:rPr>
          <w:b w:val="0"/>
          <w:position w:val="4"/>
          <w:sz w:val="12"/>
        </w:rPr>
        <w:t>(a)</w:t>
      </w:r>
    </w:p>
    <w:p>
      <w:pPr>
        <w:spacing w:before="97"/>
        <w:ind w:left="174" w:right="0" w:firstLine="0"/>
        <w:jc w:val="left"/>
        <w:rPr>
          <w:b/>
          <w:sz w:val="14"/>
        </w:rPr>
      </w:pPr>
      <w:r>
        <w:rPr>
          <w:b/>
          <w:sz w:val="14"/>
        </w:rPr>
        <w:t>RPIX inflation</w:t>
      </w:r>
    </w:p>
    <w:p>
      <w:pPr>
        <w:tabs>
          <w:tab w:pos="1368" w:val="left" w:leader="none"/>
          <w:tab w:pos="4279" w:val="left" w:leader="none"/>
        </w:tabs>
        <w:spacing w:before="119"/>
        <w:ind w:left="0" w:right="38" w:firstLine="0"/>
        <w:jc w:val="right"/>
        <w:rPr>
          <w:sz w:val="14"/>
        </w:rPr>
      </w:pPr>
      <w:r>
        <w:rPr>
          <w:sz w:val="14"/>
        </w:rPr>
        <w:t>Probability,</w:t>
      </w:r>
      <w:r>
        <w:rPr>
          <w:spacing w:val="-6"/>
          <w:sz w:val="14"/>
        </w:rPr>
        <w:t> </w:t>
      </w:r>
      <w:r>
        <w:rPr>
          <w:sz w:val="14"/>
        </w:rPr>
        <w:t>per</w:t>
      </w:r>
      <w:r>
        <w:rPr>
          <w:spacing w:val="-7"/>
          <w:sz w:val="14"/>
        </w:rPr>
        <w:t> </w:t>
      </w:r>
      <w:r>
        <w:rPr>
          <w:sz w:val="14"/>
        </w:rPr>
        <w:t>cent</w:t>
        <w:tab/>
      </w:r>
      <w:r>
        <w:rPr>
          <w:sz w:val="14"/>
          <w:u w:val="single"/>
        </w:rPr>
        <w:t>Range:</w:t>
        <w:tab/>
      </w:r>
    </w:p>
    <w:p>
      <w:pPr>
        <w:tabs>
          <w:tab w:pos="524" w:val="left" w:leader="none"/>
          <w:tab w:pos="1090" w:val="left" w:leader="none"/>
          <w:tab w:pos="1619" w:val="left" w:leader="none"/>
          <w:tab w:pos="2585" w:val="left" w:leader="none"/>
        </w:tabs>
        <w:spacing w:before="19"/>
        <w:ind w:left="0" w:right="64" w:firstLine="0"/>
        <w:jc w:val="right"/>
        <w:rPr>
          <w:sz w:val="14"/>
        </w:rPr>
      </w:pPr>
      <w:r>
        <w:rPr/>
        <w:pict>
          <v:shape style="position:absolute;margin-left:38.223701pt;margin-top:8.247365pt;width:220.5pt;height:74.1pt;mso-position-horizontal-relative:page;mso-position-vertical-relative:paragraph;z-index:1635788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1"/>
                    <w:gridCol w:w="497"/>
                    <w:gridCol w:w="581"/>
                    <w:gridCol w:w="508"/>
                    <w:gridCol w:w="486"/>
                    <w:gridCol w:w="494"/>
                    <w:gridCol w:w="468"/>
                  </w:tblGrid>
                  <w:tr>
                    <w:trPr>
                      <w:trHeight w:val="155" w:hRule="atLeast"/>
                    </w:trPr>
                    <w:tc>
                      <w:tcPr>
                        <w:tcW w:w="1381" w:type="dxa"/>
                        <w:vMerge w:val="restart"/>
                      </w:tcPr>
                      <w:p>
                        <w:pPr>
                          <w:pStyle w:val="TableParagraph"/>
                          <w:spacing w:line="240" w:lineRule="auto"/>
                          <w:rPr>
                            <w:sz w:val="16"/>
                          </w:rPr>
                        </w:pPr>
                      </w:p>
                    </w:tc>
                    <w:tc>
                      <w:tcPr>
                        <w:tcW w:w="497" w:type="dxa"/>
                      </w:tcPr>
                      <w:p>
                        <w:pPr>
                          <w:pStyle w:val="TableParagraph"/>
                          <w:spacing w:line="135" w:lineRule="exact"/>
                          <w:ind w:left="49"/>
                          <w:rPr>
                            <w:sz w:val="14"/>
                          </w:rPr>
                        </w:pPr>
                        <w:r>
                          <w:rPr>
                            <w:sz w:val="14"/>
                          </w:rPr>
                          <w:t>than</w:t>
                        </w:r>
                      </w:p>
                    </w:tc>
                    <w:tc>
                      <w:tcPr>
                        <w:tcW w:w="581" w:type="dxa"/>
                      </w:tcPr>
                      <w:p>
                        <w:pPr>
                          <w:pStyle w:val="TableParagraph"/>
                          <w:spacing w:line="135" w:lineRule="exact"/>
                          <w:ind w:left="76"/>
                          <w:rPr>
                            <w:sz w:val="14"/>
                          </w:rPr>
                        </w:pPr>
                        <w:r>
                          <w:rPr>
                            <w:sz w:val="14"/>
                          </w:rPr>
                          <w:t>to</w:t>
                        </w:r>
                      </w:p>
                    </w:tc>
                    <w:tc>
                      <w:tcPr>
                        <w:tcW w:w="508" w:type="dxa"/>
                      </w:tcPr>
                      <w:p>
                        <w:pPr>
                          <w:pStyle w:val="TableParagraph"/>
                          <w:spacing w:line="135" w:lineRule="exact"/>
                          <w:ind w:left="61"/>
                          <w:rPr>
                            <w:sz w:val="14"/>
                          </w:rPr>
                        </w:pPr>
                        <w:r>
                          <w:rPr>
                            <w:sz w:val="14"/>
                          </w:rPr>
                          <w:t>to</w:t>
                        </w:r>
                      </w:p>
                    </w:tc>
                    <w:tc>
                      <w:tcPr>
                        <w:tcW w:w="1448" w:type="dxa"/>
                        <w:gridSpan w:val="3"/>
                      </w:tcPr>
                      <w:p>
                        <w:pPr>
                          <w:pStyle w:val="TableParagraph"/>
                          <w:tabs>
                            <w:tab w:pos="552" w:val="left" w:leader="none"/>
                            <w:tab w:pos="1048" w:val="left" w:leader="none"/>
                          </w:tabs>
                          <w:spacing w:line="135" w:lineRule="exact"/>
                          <w:ind w:left="82"/>
                          <w:rPr>
                            <w:sz w:val="14"/>
                          </w:rPr>
                        </w:pPr>
                        <w:r>
                          <w:rPr>
                            <w:sz w:val="14"/>
                          </w:rPr>
                          <w:t>to</w:t>
                          <w:tab/>
                          <w:t>to</w:t>
                          <w:tab/>
                          <w:t>than</w:t>
                        </w:r>
                      </w:p>
                    </w:tc>
                  </w:tr>
                  <w:tr>
                    <w:trPr>
                      <w:trHeight w:val="202" w:hRule="atLeast"/>
                    </w:trPr>
                    <w:tc>
                      <w:tcPr>
                        <w:tcW w:w="1381" w:type="dxa"/>
                        <w:vMerge/>
                        <w:tcBorders>
                          <w:top w:val="nil"/>
                        </w:tcBorders>
                      </w:tcPr>
                      <w:p>
                        <w:pPr>
                          <w:rPr>
                            <w:sz w:val="2"/>
                            <w:szCs w:val="2"/>
                          </w:rPr>
                        </w:pPr>
                      </w:p>
                    </w:tc>
                    <w:tc>
                      <w:tcPr>
                        <w:tcW w:w="497" w:type="dxa"/>
                      </w:tcPr>
                      <w:p>
                        <w:pPr>
                          <w:pStyle w:val="TableParagraph"/>
                          <w:spacing w:line="155" w:lineRule="exact"/>
                          <w:ind w:left="28"/>
                          <w:rPr>
                            <w:sz w:val="14"/>
                          </w:rPr>
                        </w:pPr>
                        <w:r>
                          <w:rPr>
                            <w:sz w:val="14"/>
                            <w:u w:val="single"/>
                          </w:rPr>
                          <w:t>1.5% </w:t>
                        </w:r>
                      </w:p>
                    </w:tc>
                    <w:tc>
                      <w:tcPr>
                        <w:tcW w:w="581" w:type="dxa"/>
                      </w:tcPr>
                      <w:p>
                        <w:pPr>
                          <w:pStyle w:val="TableParagraph"/>
                          <w:spacing w:line="155" w:lineRule="exact"/>
                          <w:ind w:left="76"/>
                          <w:rPr>
                            <w:sz w:val="14"/>
                          </w:rPr>
                        </w:pPr>
                        <w:r>
                          <w:rPr>
                            <w:sz w:val="14"/>
                            <w:u w:val="single"/>
                          </w:rPr>
                          <w:t>2.0% </w:t>
                        </w:r>
                      </w:p>
                    </w:tc>
                    <w:tc>
                      <w:tcPr>
                        <w:tcW w:w="508" w:type="dxa"/>
                      </w:tcPr>
                      <w:p>
                        <w:pPr>
                          <w:pStyle w:val="TableParagraph"/>
                          <w:spacing w:line="155" w:lineRule="exact"/>
                          <w:ind w:left="61"/>
                          <w:rPr>
                            <w:sz w:val="14"/>
                          </w:rPr>
                        </w:pPr>
                        <w:r>
                          <w:rPr>
                            <w:sz w:val="14"/>
                            <w:u w:val="single"/>
                          </w:rPr>
                          <w:t>2.5% </w:t>
                        </w:r>
                      </w:p>
                    </w:tc>
                    <w:tc>
                      <w:tcPr>
                        <w:tcW w:w="486" w:type="dxa"/>
                      </w:tcPr>
                      <w:p>
                        <w:pPr>
                          <w:pStyle w:val="TableParagraph"/>
                          <w:spacing w:line="155" w:lineRule="exact"/>
                          <w:ind w:left="81" w:right="72"/>
                          <w:jc w:val="center"/>
                          <w:rPr>
                            <w:sz w:val="14"/>
                          </w:rPr>
                        </w:pPr>
                        <w:r>
                          <w:rPr>
                            <w:sz w:val="14"/>
                            <w:u w:val="single"/>
                          </w:rPr>
                          <w:t>3.0% </w:t>
                        </w:r>
                      </w:p>
                    </w:tc>
                    <w:tc>
                      <w:tcPr>
                        <w:tcW w:w="494" w:type="dxa"/>
                      </w:tcPr>
                      <w:p>
                        <w:pPr>
                          <w:pStyle w:val="TableParagraph"/>
                          <w:spacing w:line="155" w:lineRule="exact"/>
                          <w:ind w:left="77" w:right="85"/>
                          <w:jc w:val="center"/>
                          <w:rPr>
                            <w:sz w:val="14"/>
                          </w:rPr>
                        </w:pPr>
                        <w:r>
                          <w:rPr>
                            <w:sz w:val="14"/>
                            <w:u w:val="single"/>
                          </w:rPr>
                          <w:t>3.5% </w:t>
                        </w:r>
                      </w:p>
                    </w:tc>
                    <w:tc>
                      <w:tcPr>
                        <w:tcW w:w="468" w:type="dxa"/>
                      </w:tcPr>
                      <w:p>
                        <w:pPr>
                          <w:pStyle w:val="TableParagraph"/>
                          <w:spacing w:line="155" w:lineRule="exact"/>
                          <w:ind w:left="74" w:right="61"/>
                          <w:jc w:val="center"/>
                          <w:rPr>
                            <w:sz w:val="14"/>
                          </w:rPr>
                        </w:pPr>
                        <w:r>
                          <w:rPr>
                            <w:sz w:val="14"/>
                            <w:u w:val="single"/>
                          </w:rPr>
                          <w:t>3.5% </w:t>
                        </w:r>
                      </w:p>
                    </w:tc>
                  </w:tr>
                  <w:tr>
                    <w:trPr>
                      <w:trHeight w:val="210" w:hRule="atLeast"/>
                    </w:trPr>
                    <w:tc>
                      <w:tcPr>
                        <w:tcW w:w="1381" w:type="dxa"/>
                      </w:tcPr>
                      <w:p>
                        <w:pPr>
                          <w:pStyle w:val="TableParagraph"/>
                          <w:spacing w:line="133" w:lineRule="exact" w:before="56"/>
                          <w:ind w:left="50"/>
                          <w:rPr>
                            <w:sz w:val="14"/>
                          </w:rPr>
                        </w:pPr>
                        <w:r>
                          <w:rPr>
                            <w:sz w:val="14"/>
                          </w:rPr>
                          <w:t>2000 Q4</w:t>
                        </w:r>
                      </w:p>
                    </w:tc>
                    <w:tc>
                      <w:tcPr>
                        <w:tcW w:w="497" w:type="dxa"/>
                      </w:tcPr>
                      <w:p>
                        <w:pPr>
                          <w:pStyle w:val="TableParagraph"/>
                          <w:spacing w:line="133" w:lineRule="exact" w:before="56"/>
                          <w:ind w:left="110"/>
                          <w:rPr>
                            <w:sz w:val="14"/>
                          </w:rPr>
                        </w:pPr>
                        <w:r>
                          <w:rPr>
                            <w:sz w:val="14"/>
                          </w:rPr>
                          <w:t>12</w:t>
                        </w:r>
                      </w:p>
                    </w:tc>
                    <w:tc>
                      <w:tcPr>
                        <w:tcW w:w="581" w:type="dxa"/>
                      </w:tcPr>
                      <w:p>
                        <w:pPr>
                          <w:pStyle w:val="TableParagraph"/>
                          <w:spacing w:line="133" w:lineRule="exact" w:before="56"/>
                          <w:ind w:left="148"/>
                          <w:rPr>
                            <w:sz w:val="14"/>
                          </w:rPr>
                        </w:pPr>
                        <w:r>
                          <w:rPr>
                            <w:sz w:val="14"/>
                          </w:rPr>
                          <w:t>23</w:t>
                        </w:r>
                      </w:p>
                    </w:tc>
                    <w:tc>
                      <w:tcPr>
                        <w:tcW w:w="508" w:type="dxa"/>
                      </w:tcPr>
                      <w:p>
                        <w:pPr>
                          <w:pStyle w:val="TableParagraph"/>
                          <w:spacing w:line="133" w:lineRule="exact" w:before="56"/>
                          <w:ind w:left="126"/>
                          <w:rPr>
                            <w:sz w:val="14"/>
                          </w:rPr>
                        </w:pPr>
                        <w:r>
                          <w:rPr>
                            <w:sz w:val="14"/>
                          </w:rPr>
                          <w:t>40</w:t>
                        </w:r>
                      </w:p>
                    </w:tc>
                    <w:tc>
                      <w:tcPr>
                        <w:tcW w:w="486" w:type="dxa"/>
                      </w:tcPr>
                      <w:p>
                        <w:pPr>
                          <w:pStyle w:val="TableParagraph"/>
                          <w:spacing w:line="133" w:lineRule="exact" w:before="56"/>
                          <w:ind w:left="81" w:right="178"/>
                          <w:jc w:val="center"/>
                          <w:rPr>
                            <w:sz w:val="14"/>
                          </w:rPr>
                        </w:pPr>
                        <w:r>
                          <w:rPr>
                            <w:sz w:val="14"/>
                          </w:rPr>
                          <w:t>18</w:t>
                        </w:r>
                      </w:p>
                    </w:tc>
                    <w:tc>
                      <w:tcPr>
                        <w:tcW w:w="494" w:type="dxa"/>
                      </w:tcPr>
                      <w:p>
                        <w:pPr>
                          <w:pStyle w:val="TableParagraph"/>
                          <w:spacing w:line="133" w:lineRule="exact" w:before="56"/>
                          <w:ind w:right="47"/>
                          <w:jc w:val="center"/>
                          <w:rPr>
                            <w:sz w:val="14"/>
                          </w:rPr>
                        </w:pPr>
                        <w:r>
                          <w:rPr>
                            <w:sz w:val="14"/>
                          </w:rPr>
                          <w:t>6</w:t>
                        </w:r>
                      </w:p>
                    </w:tc>
                    <w:tc>
                      <w:tcPr>
                        <w:tcW w:w="468" w:type="dxa"/>
                      </w:tcPr>
                      <w:p>
                        <w:pPr>
                          <w:pStyle w:val="TableParagraph"/>
                          <w:spacing w:line="133" w:lineRule="exact" w:before="56"/>
                          <w:ind w:right="5"/>
                          <w:jc w:val="center"/>
                          <w:rPr>
                            <w:sz w:val="14"/>
                          </w:rPr>
                        </w:pPr>
                        <w:r>
                          <w:rPr>
                            <w:sz w:val="14"/>
                          </w:rPr>
                          <w:t>2</w:t>
                        </w:r>
                      </w:p>
                    </w:tc>
                  </w:tr>
                  <w:tr>
                    <w:trPr>
                      <w:trHeight w:val="140" w:hRule="atLeast"/>
                    </w:trPr>
                    <w:tc>
                      <w:tcPr>
                        <w:tcW w:w="1381" w:type="dxa"/>
                      </w:tcPr>
                      <w:p>
                        <w:pPr>
                          <w:pStyle w:val="TableParagraph"/>
                          <w:ind w:left="50"/>
                          <w:rPr>
                            <w:sz w:val="14"/>
                          </w:rPr>
                        </w:pPr>
                        <w:r>
                          <w:rPr>
                            <w:sz w:val="14"/>
                          </w:rPr>
                          <w:t>2001 Q4</w:t>
                        </w:r>
                      </w:p>
                    </w:tc>
                    <w:tc>
                      <w:tcPr>
                        <w:tcW w:w="497" w:type="dxa"/>
                      </w:tcPr>
                      <w:p>
                        <w:pPr>
                          <w:pStyle w:val="TableParagraph"/>
                          <w:ind w:right="63"/>
                          <w:jc w:val="center"/>
                          <w:rPr>
                            <w:sz w:val="14"/>
                          </w:rPr>
                        </w:pPr>
                        <w:r>
                          <w:rPr>
                            <w:sz w:val="14"/>
                          </w:rPr>
                          <w:t>8</w:t>
                        </w:r>
                      </w:p>
                    </w:tc>
                    <w:tc>
                      <w:tcPr>
                        <w:tcW w:w="581" w:type="dxa"/>
                      </w:tcPr>
                      <w:p>
                        <w:pPr>
                          <w:pStyle w:val="TableParagraph"/>
                          <w:ind w:left="148"/>
                          <w:rPr>
                            <w:sz w:val="14"/>
                          </w:rPr>
                        </w:pPr>
                        <w:r>
                          <w:rPr>
                            <w:sz w:val="14"/>
                          </w:rPr>
                          <w:t>16</w:t>
                        </w:r>
                      </w:p>
                    </w:tc>
                    <w:tc>
                      <w:tcPr>
                        <w:tcW w:w="508" w:type="dxa"/>
                      </w:tcPr>
                      <w:p>
                        <w:pPr>
                          <w:pStyle w:val="TableParagraph"/>
                          <w:ind w:left="126"/>
                          <w:rPr>
                            <w:sz w:val="14"/>
                          </w:rPr>
                        </w:pPr>
                        <w:r>
                          <w:rPr>
                            <w:sz w:val="14"/>
                          </w:rPr>
                          <w:t>34</w:t>
                        </w:r>
                      </w:p>
                    </w:tc>
                    <w:tc>
                      <w:tcPr>
                        <w:tcW w:w="486" w:type="dxa"/>
                      </w:tcPr>
                      <w:p>
                        <w:pPr>
                          <w:pStyle w:val="TableParagraph"/>
                          <w:ind w:left="81" w:right="178"/>
                          <w:jc w:val="center"/>
                          <w:rPr>
                            <w:sz w:val="14"/>
                          </w:rPr>
                        </w:pPr>
                        <w:r>
                          <w:rPr>
                            <w:sz w:val="14"/>
                          </w:rPr>
                          <w:t>27</w:t>
                        </w:r>
                      </w:p>
                    </w:tc>
                    <w:tc>
                      <w:tcPr>
                        <w:tcW w:w="494" w:type="dxa"/>
                      </w:tcPr>
                      <w:p>
                        <w:pPr>
                          <w:pStyle w:val="TableParagraph"/>
                          <w:ind w:left="77" w:right="194"/>
                          <w:jc w:val="center"/>
                          <w:rPr>
                            <w:sz w:val="14"/>
                          </w:rPr>
                        </w:pPr>
                        <w:r>
                          <w:rPr>
                            <w:sz w:val="14"/>
                          </w:rPr>
                          <w:t>11</w:t>
                        </w:r>
                      </w:p>
                    </w:tc>
                    <w:tc>
                      <w:tcPr>
                        <w:tcW w:w="468" w:type="dxa"/>
                      </w:tcPr>
                      <w:p>
                        <w:pPr>
                          <w:pStyle w:val="TableParagraph"/>
                          <w:ind w:right="5"/>
                          <w:jc w:val="center"/>
                          <w:rPr>
                            <w:sz w:val="14"/>
                          </w:rPr>
                        </w:pPr>
                        <w:r>
                          <w:rPr>
                            <w:sz w:val="14"/>
                          </w:rPr>
                          <w:t>5</w:t>
                        </w:r>
                      </w:p>
                    </w:tc>
                  </w:tr>
                  <w:tr>
                    <w:trPr>
                      <w:trHeight w:val="230" w:hRule="atLeast"/>
                    </w:trPr>
                    <w:tc>
                      <w:tcPr>
                        <w:tcW w:w="1381" w:type="dxa"/>
                      </w:tcPr>
                      <w:p>
                        <w:pPr>
                          <w:pStyle w:val="TableParagraph"/>
                          <w:spacing w:line="148" w:lineRule="exact"/>
                          <w:ind w:left="50"/>
                          <w:rPr>
                            <w:sz w:val="12"/>
                          </w:rPr>
                        </w:pPr>
                        <w:r>
                          <w:rPr>
                            <w:sz w:val="14"/>
                          </w:rPr>
                          <w:t>2002 Q3 </w:t>
                        </w:r>
                        <w:r>
                          <w:rPr>
                            <w:sz w:val="12"/>
                          </w:rPr>
                          <w:t>(b)</w:t>
                        </w:r>
                      </w:p>
                    </w:tc>
                    <w:tc>
                      <w:tcPr>
                        <w:tcW w:w="497" w:type="dxa"/>
                      </w:tcPr>
                      <w:p>
                        <w:pPr>
                          <w:pStyle w:val="TableParagraph"/>
                          <w:spacing w:line="148" w:lineRule="exact"/>
                          <w:ind w:right="63"/>
                          <w:jc w:val="center"/>
                          <w:rPr>
                            <w:sz w:val="14"/>
                          </w:rPr>
                        </w:pPr>
                        <w:r>
                          <w:rPr>
                            <w:sz w:val="14"/>
                          </w:rPr>
                          <w:t>8</w:t>
                        </w:r>
                      </w:p>
                    </w:tc>
                    <w:tc>
                      <w:tcPr>
                        <w:tcW w:w="581" w:type="dxa"/>
                      </w:tcPr>
                      <w:p>
                        <w:pPr>
                          <w:pStyle w:val="TableParagraph"/>
                          <w:spacing w:line="148" w:lineRule="exact"/>
                          <w:ind w:left="148"/>
                          <w:rPr>
                            <w:sz w:val="14"/>
                          </w:rPr>
                        </w:pPr>
                        <w:r>
                          <w:rPr>
                            <w:sz w:val="14"/>
                          </w:rPr>
                          <w:t>14</w:t>
                        </w:r>
                      </w:p>
                    </w:tc>
                    <w:tc>
                      <w:tcPr>
                        <w:tcW w:w="508" w:type="dxa"/>
                      </w:tcPr>
                      <w:p>
                        <w:pPr>
                          <w:pStyle w:val="TableParagraph"/>
                          <w:spacing w:line="148" w:lineRule="exact"/>
                          <w:ind w:left="126"/>
                          <w:rPr>
                            <w:sz w:val="14"/>
                          </w:rPr>
                        </w:pPr>
                        <w:r>
                          <w:rPr>
                            <w:sz w:val="14"/>
                          </w:rPr>
                          <w:t>32</w:t>
                        </w:r>
                      </w:p>
                    </w:tc>
                    <w:tc>
                      <w:tcPr>
                        <w:tcW w:w="486" w:type="dxa"/>
                      </w:tcPr>
                      <w:p>
                        <w:pPr>
                          <w:pStyle w:val="TableParagraph"/>
                          <w:spacing w:line="148" w:lineRule="exact"/>
                          <w:ind w:left="81" w:right="179"/>
                          <w:jc w:val="center"/>
                          <w:rPr>
                            <w:sz w:val="14"/>
                          </w:rPr>
                        </w:pPr>
                        <w:r>
                          <w:rPr>
                            <w:sz w:val="14"/>
                          </w:rPr>
                          <w:t>28</w:t>
                        </w:r>
                      </w:p>
                    </w:tc>
                    <w:tc>
                      <w:tcPr>
                        <w:tcW w:w="494" w:type="dxa"/>
                      </w:tcPr>
                      <w:p>
                        <w:pPr>
                          <w:pStyle w:val="TableParagraph"/>
                          <w:spacing w:line="148" w:lineRule="exact"/>
                          <w:ind w:left="77" w:right="195"/>
                          <w:jc w:val="center"/>
                          <w:rPr>
                            <w:sz w:val="14"/>
                          </w:rPr>
                        </w:pPr>
                        <w:r>
                          <w:rPr>
                            <w:sz w:val="14"/>
                          </w:rPr>
                          <w:t>12</w:t>
                        </w:r>
                      </w:p>
                    </w:tc>
                    <w:tc>
                      <w:tcPr>
                        <w:tcW w:w="468" w:type="dxa"/>
                      </w:tcPr>
                      <w:p>
                        <w:pPr>
                          <w:pStyle w:val="TableParagraph"/>
                          <w:spacing w:line="148" w:lineRule="exact"/>
                          <w:ind w:right="5"/>
                          <w:jc w:val="center"/>
                          <w:rPr>
                            <w:sz w:val="14"/>
                          </w:rPr>
                        </w:pPr>
                        <w:r>
                          <w:rPr>
                            <w:sz w:val="14"/>
                          </w:rPr>
                          <w:t>6</w:t>
                        </w:r>
                      </w:p>
                    </w:tc>
                  </w:tr>
                  <w:tr>
                    <w:trPr>
                      <w:trHeight w:val="299" w:hRule="atLeast"/>
                    </w:trPr>
                    <w:tc>
                      <w:tcPr>
                        <w:tcW w:w="1381" w:type="dxa"/>
                      </w:tcPr>
                      <w:p>
                        <w:pPr>
                          <w:pStyle w:val="TableParagraph"/>
                          <w:spacing w:line="240" w:lineRule="auto" w:before="76"/>
                          <w:ind w:left="50"/>
                          <w:rPr>
                            <w:b/>
                            <w:sz w:val="14"/>
                          </w:rPr>
                        </w:pPr>
                        <w:r>
                          <w:rPr>
                            <w:b/>
                            <w:sz w:val="14"/>
                          </w:rPr>
                          <w:t>GDP growth</w:t>
                        </w:r>
                      </w:p>
                    </w:tc>
                    <w:tc>
                      <w:tcPr>
                        <w:tcW w:w="497" w:type="dxa"/>
                      </w:tcPr>
                      <w:p>
                        <w:pPr>
                          <w:pStyle w:val="TableParagraph"/>
                          <w:spacing w:line="240" w:lineRule="auto"/>
                          <w:rPr>
                            <w:sz w:val="16"/>
                          </w:rPr>
                        </w:pPr>
                      </w:p>
                    </w:tc>
                    <w:tc>
                      <w:tcPr>
                        <w:tcW w:w="581" w:type="dxa"/>
                      </w:tcPr>
                      <w:p>
                        <w:pPr>
                          <w:pStyle w:val="TableParagraph"/>
                          <w:spacing w:line="240" w:lineRule="auto"/>
                          <w:rPr>
                            <w:sz w:val="16"/>
                          </w:rPr>
                        </w:pPr>
                      </w:p>
                    </w:tc>
                    <w:tc>
                      <w:tcPr>
                        <w:tcW w:w="508" w:type="dxa"/>
                      </w:tcPr>
                      <w:p>
                        <w:pPr>
                          <w:pStyle w:val="TableParagraph"/>
                          <w:spacing w:line="240" w:lineRule="auto"/>
                          <w:rPr>
                            <w:sz w:val="16"/>
                          </w:rPr>
                        </w:pPr>
                      </w:p>
                    </w:tc>
                    <w:tc>
                      <w:tcPr>
                        <w:tcW w:w="486" w:type="dxa"/>
                      </w:tcPr>
                      <w:p>
                        <w:pPr>
                          <w:pStyle w:val="TableParagraph"/>
                          <w:spacing w:line="240" w:lineRule="auto"/>
                          <w:rPr>
                            <w:sz w:val="16"/>
                          </w:rPr>
                        </w:pPr>
                      </w:p>
                    </w:tc>
                    <w:tc>
                      <w:tcPr>
                        <w:tcW w:w="494" w:type="dxa"/>
                      </w:tcPr>
                      <w:p>
                        <w:pPr>
                          <w:pStyle w:val="TableParagraph"/>
                          <w:spacing w:line="240" w:lineRule="auto"/>
                          <w:rPr>
                            <w:sz w:val="16"/>
                          </w:rPr>
                        </w:pPr>
                      </w:p>
                    </w:tc>
                    <w:tc>
                      <w:tcPr>
                        <w:tcW w:w="468" w:type="dxa"/>
                      </w:tcPr>
                      <w:p>
                        <w:pPr>
                          <w:pStyle w:val="TableParagraph"/>
                          <w:spacing w:line="240" w:lineRule="auto"/>
                          <w:rPr>
                            <w:sz w:val="16"/>
                          </w:rPr>
                        </w:pPr>
                      </w:p>
                    </w:tc>
                  </w:tr>
                  <w:tr>
                    <w:trPr>
                      <w:trHeight w:val="239" w:hRule="atLeast"/>
                    </w:trPr>
                    <w:tc>
                      <w:tcPr>
                        <w:tcW w:w="1381" w:type="dxa"/>
                      </w:tcPr>
                      <w:p>
                        <w:pPr>
                          <w:pStyle w:val="TableParagraph"/>
                          <w:spacing w:line="240" w:lineRule="auto" w:before="56"/>
                          <w:ind w:left="50"/>
                          <w:rPr>
                            <w:sz w:val="14"/>
                          </w:rPr>
                        </w:pPr>
                        <w:r>
                          <w:rPr>
                            <w:sz w:val="14"/>
                          </w:rPr>
                          <w:t>Probability, per cent</w:t>
                        </w:r>
                      </w:p>
                    </w:tc>
                    <w:tc>
                      <w:tcPr>
                        <w:tcW w:w="497" w:type="dxa"/>
                        <w:tcBorders>
                          <w:bottom w:val="single" w:sz="2" w:space="0" w:color="000000"/>
                        </w:tcBorders>
                      </w:tcPr>
                      <w:p>
                        <w:pPr>
                          <w:pStyle w:val="TableParagraph"/>
                          <w:spacing w:line="240" w:lineRule="auto" w:before="56"/>
                          <w:ind w:left="22"/>
                          <w:rPr>
                            <w:sz w:val="14"/>
                          </w:rPr>
                        </w:pPr>
                        <w:r>
                          <w:rPr>
                            <w:sz w:val="14"/>
                          </w:rPr>
                          <w:t>Range:</w:t>
                        </w:r>
                      </w:p>
                    </w:tc>
                    <w:tc>
                      <w:tcPr>
                        <w:tcW w:w="581" w:type="dxa"/>
                        <w:tcBorders>
                          <w:bottom w:val="single" w:sz="2" w:space="0" w:color="000000"/>
                        </w:tcBorders>
                      </w:tcPr>
                      <w:p>
                        <w:pPr>
                          <w:pStyle w:val="TableParagraph"/>
                          <w:spacing w:line="240" w:lineRule="auto"/>
                          <w:rPr>
                            <w:sz w:val="16"/>
                          </w:rPr>
                        </w:pPr>
                      </w:p>
                    </w:tc>
                    <w:tc>
                      <w:tcPr>
                        <w:tcW w:w="508" w:type="dxa"/>
                        <w:tcBorders>
                          <w:bottom w:val="single" w:sz="2" w:space="0" w:color="000000"/>
                        </w:tcBorders>
                      </w:tcPr>
                      <w:p>
                        <w:pPr>
                          <w:pStyle w:val="TableParagraph"/>
                          <w:spacing w:line="240" w:lineRule="auto"/>
                          <w:rPr>
                            <w:sz w:val="16"/>
                          </w:rPr>
                        </w:pPr>
                      </w:p>
                    </w:tc>
                    <w:tc>
                      <w:tcPr>
                        <w:tcW w:w="486" w:type="dxa"/>
                        <w:tcBorders>
                          <w:bottom w:val="single" w:sz="2" w:space="0" w:color="000000"/>
                        </w:tcBorders>
                      </w:tcPr>
                      <w:p>
                        <w:pPr>
                          <w:pStyle w:val="TableParagraph"/>
                          <w:spacing w:line="240" w:lineRule="auto"/>
                          <w:rPr>
                            <w:sz w:val="16"/>
                          </w:rPr>
                        </w:pPr>
                      </w:p>
                    </w:tc>
                    <w:tc>
                      <w:tcPr>
                        <w:tcW w:w="494" w:type="dxa"/>
                        <w:tcBorders>
                          <w:bottom w:val="single" w:sz="2" w:space="0" w:color="000000"/>
                        </w:tcBorders>
                      </w:tcPr>
                      <w:p>
                        <w:pPr>
                          <w:pStyle w:val="TableParagraph"/>
                          <w:spacing w:line="240" w:lineRule="auto"/>
                          <w:rPr>
                            <w:sz w:val="16"/>
                          </w:rPr>
                        </w:pPr>
                      </w:p>
                    </w:tc>
                    <w:tc>
                      <w:tcPr>
                        <w:tcW w:w="468" w:type="dxa"/>
                        <w:tcBorders>
                          <w:bottom w:val="single" w:sz="2" w:space="0" w:color="000000"/>
                        </w:tcBorders>
                      </w:tcPr>
                      <w:p>
                        <w:pPr>
                          <w:pStyle w:val="TableParagraph"/>
                          <w:spacing w:line="240" w:lineRule="auto"/>
                          <w:rPr>
                            <w:sz w:val="16"/>
                          </w:rPr>
                        </w:pPr>
                      </w:p>
                    </w:tc>
                  </w:tr>
                </w:tbl>
                <w:p>
                  <w:pPr>
                    <w:pStyle w:val="BodyText"/>
                  </w:pPr>
                </w:p>
              </w:txbxContent>
            </v:textbox>
            <w10:wrap type="none"/>
          </v:shape>
        </w:pict>
      </w:r>
      <w:r>
        <w:rPr>
          <w:sz w:val="14"/>
        </w:rPr>
        <w:t>less</w:t>
        <w:tab/>
        <w:t>1.5%</w:t>
        <w:tab/>
        <w:t>2.0%</w:t>
        <w:tab/>
        <w:t>2.5%   </w:t>
      </w:r>
      <w:r>
        <w:rPr>
          <w:spacing w:val="33"/>
          <w:sz w:val="14"/>
        </w:rPr>
        <w:t> </w:t>
      </w:r>
      <w:r>
        <w:rPr>
          <w:sz w:val="14"/>
        </w:rPr>
        <w:t>3.0%</w:t>
        <w:tab/>
      </w:r>
      <w:r>
        <w:rPr>
          <w:spacing w:val="-1"/>
          <w:sz w:val="14"/>
        </w:rPr>
        <w:t>more</w:t>
      </w:r>
    </w:p>
    <w:p>
      <w:pPr>
        <w:spacing w:line="242" w:lineRule="auto" w:before="217"/>
        <w:ind w:left="174" w:right="276" w:firstLine="0"/>
        <w:jc w:val="left"/>
        <w:rPr>
          <w:sz w:val="24"/>
        </w:rPr>
      </w:pPr>
      <w:r>
        <w:rPr/>
        <w:br w:type="column"/>
      </w:r>
      <w:r>
        <w:rPr>
          <w:sz w:val="24"/>
        </w:rPr>
        <w:t>above 2.5% in 2002 Q3, and a 54% probability of</w:t>
      </w:r>
      <w:r>
        <w:rPr>
          <w:spacing w:val="-42"/>
          <w:sz w:val="24"/>
        </w:rPr>
        <w:t> </w:t>
      </w:r>
      <w:r>
        <w:rPr>
          <w:sz w:val="24"/>
        </w:rPr>
        <w:t>it being below (see </w:t>
      </w:r>
      <w:r>
        <w:rPr>
          <w:spacing w:val="-5"/>
          <w:sz w:val="24"/>
        </w:rPr>
        <w:t>Table</w:t>
      </w:r>
      <w:r>
        <w:rPr>
          <w:spacing w:val="-10"/>
          <w:sz w:val="24"/>
        </w:rPr>
        <w:t> </w:t>
      </w:r>
      <w:r>
        <w:rPr>
          <w:sz w:val="24"/>
        </w:rPr>
        <w:t>6.D).</w:t>
      </w:r>
    </w:p>
    <w:p>
      <w:pPr>
        <w:pStyle w:val="BodyText"/>
        <w:spacing w:before="6"/>
        <w:rPr>
          <w:sz w:val="24"/>
        </w:rPr>
      </w:pPr>
    </w:p>
    <w:p>
      <w:pPr>
        <w:spacing w:line="242" w:lineRule="auto" w:before="1"/>
        <w:ind w:left="174" w:right="185" w:firstLine="0"/>
        <w:jc w:val="left"/>
        <w:rPr>
          <w:sz w:val="24"/>
        </w:rPr>
      </w:pPr>
      <w:r>
        <w:rPr>
          <w:sz w:val="24"/>
        </w:rPr>
        <w:t>The</w:t>
      </w:r>
      <w:r>
        <w:rPr>
          <w:spacing w:val="-10"/>
          <w:sz w:val="24"/>
        </w:rPr>
        <w:t> </w:t>
      </w:r>
      <w:r>
        <w:rPr>
          <w:sz w:val="24"/>
        </w:rPr>
        <w:t>forecasters’</w:t>
      </w:r>
      <w:r>
        <w:rPr>
          <w:spacing w:val="-24"/>
          <w:sz w:val="24"/>
        </w:rPr>
        <w:t> </w:t>
      </w:r>
      <w:r>
        <w:rPr>
          <w:sz w:val="24"/>
        </w:rPr>
        <w:t>average</w:t>
      </w:r>
      <w:r>
        <w:rPr>
          <w:spacing w:val="-9"/>
          <w:sz w:val="24"/>
        </w:rPr>
        <w:t> </w:t>
      </w:r>
      <w:r>
        <w:rPr>
          <w:sz w:val="24"/>
        </w:rPr>
        <w:t>projection</w:t>
      </w:r>
      <w:r>
        <w:rPr>
          <w:spacing w:val="-9"/>
          <w:sz w:val="24"/>
        </w:rPr>
        <w:t> </w:t>
      </w:r>
      <w:r>
        <w:rPr>
          <w:sz w:val="24"/>
        </w:rPr>
        <w:t>for</w:t>
      </w:r>
      <w:r>
        <w:rPr>
          <w:spacing w:val="-9"/>
          <w:sz w:val="24"/>
        </w:rPr>
        <w:t> </w:t>
      </w:r>
      <w:r>
        <w:rPr>
          <w:sz w:val="24"/>
        </w:rPr>
        <w:t>four-quarter</w:t>
      </w:r>
      <w:r>
        <w:rPr>
          <w:spacing w:val="-10"/>
          <w:sz w:val="24"/>
        </w:rPr>
        <w:t> </w:t>
      </w:r>
      <w:r>
        <w:rPr>
          <w:sz w:val="24"/>
        </w:rPr>
        <w:t>GDP growth in 2000 Q4 was 2</w:t>
      </w:r>
      <w:r>
        <w:rPr>
          <w:position w:val="8"/>
          <w:sz w:val="12"/>
        </w:rPr>
        <w:t>3</w:t>
      </w:r>
      <w:r>
        <w:rPr>
          <w:sz w:val="24"/>
        </w:rPr>
        <w:t>/</w:t>
      </w:r>
      <w:r>
        <w:rPr>
          <w:sz w:val="12"/>
        </w:rPr>
        <w:t>4</w:t>
      </w:r>
      <w:r>
        <w:rPr>
          <w:sz w:val="24"/>
        </w:rPr>
        <w:t>% (with a range of 2% to 3</w:t>
      </w:r>
      <w:r>
        <w:rPr>
          <w:position w:val="8"/>
          <w:sz w:val="12"/>
        </w:rPr>
        <w:t>1</w:t>
      </w:r>
      <w:r>
        <w:rPr>
          <w:sz w:val="24"/>
        </w:rPr>
        <w:t>/</w:t>
      </w:r>
      <w:r>
        <w:rPr>
          <w:sz w:val="12"/>
        </w:rPr>
        <w:t>2</w:t>
      </w:r>
      <w:r>
        <w:rPr>
          <w:sz w:val="24"/>
        </w:rPr>
        <w:t>%) down from the 3% average forecast reported in </w:t>
      </w:r>
      <w:r>
        <w:rPr>
          <w:spacing w:val="-5"/>
          <w:sz w:val="24"/>
        </w:rPr>
        <w:t>May. </w:t>
      </w:r>
      <w:r>
        <w:rPr>
          <w:sz w:val="24"/>
        </w:rPr>
        <w:t>Growth is expected to slow to 2</w:t>
      </w:r>
      <w:r>
        <w:rPr>
          <w:position w:val="8"/>
          <w:sz w:val="12"/>
        </w:rPr>
        <w:t>1</w:t>
      </w:r>
      <w:r>
        <w:rPr>
          <w:sz w:val="24"/>
        </w:rPr>
        <w:t>/</w:t>
      </w:r>
      <w:r>
        <w:rPr>
          <w:sz w:val="12"/>
        </w:rPr>
        <w:t>4</w:t>
      </w:r>
      <w:r>
        <w:rPr>
          <w:sz w:val="24"/>
        </w:rPr>
        <w:t>% (with a range of 1</w:t>
      </w:r>
      <w:r>
        <w:rPr>
          <w:position w:val="8"/>
          <w:sz w:val="12"/>
        </w:rPr>
        <w:t>1</w:t>
      </w:r>
      <w:r>
        <w:rPr>
          <w:sz w:val="24"/>
        </w:rPr>
        <w:t>/</w:t>
      </w:r>
      <w:r>
        <w:rPr>
          <w:sz w:val="12"/>
        </w:rPr>
        <w:t>2</w:t>
      </w:r>
      <w:r>
        <w:rPr>
          <w:sz w:val="24"/>
        </w:rPr>
        <w:t>% to 3%) by 2002</w:t>
      </w:r>
      <w:r>
        <w:rPr>
          <w:spacing w:val="-2"/>
          <w:sz w:val="24"/>
        </w:rPr>
        <w:t> </w:t>
      </w:r>
      <w:r>
        <w:rPr>
          <w:sz w:val="24"/>
        </w:rPr>
        <w:t>Q3.</w:t>
      </w:r>
    </w:p>
    <w:p>
      <w:pPr>
        <w:pStyle w:val="BodyText"/>
        <w:spacing w:before="10"/>
        <w:rPr>
          <w:sz w:val="24"/>
        </w:rPr>
      </w:pPr>
    </w:p>
    <w:p>
      <w:pPr>
        <w:spacing w:before="0"/>
        <w:ind w:left="174" w:right="0" w:firstLine="0"/>
        <w:jc w:val="left"/>
        <w:rPr>
          <w:sz w:val="24"/>
        </w:rPr>
      </w:pPr>
      <w:r>
        <w:rPr>
          <w:sz w:val="24"/>
        </w:rPr>
        <w:t>The mean forecast for the official interest rate in</w:t>
      </w:r>
    </w:p>
    <w:p>
      <w:pPr>
        <w:spacing w:after="0"/>
        <w:jc w:val="left"/>
        <w:rPr>
          <w:sz w:val="24"/>
        </w:rPr>
        <w:sectPr>
          <w:type w:val="continuous"/>
          <w:pgSz w:w="11900" w:h="16840"/>
          <w:pgMar w:top="1260" w:bottom="280" w:left="640" w:right="640"/>
          <w:cols w:num="2" w:equalWidth="0">
            <w:col w:w="4495" w:space="285"/>
            <w:col w:w="5840"/>
          </w:cols>
        </w:sectPr>
      </w:pPr>
    </w:p>
    <w:p>
      <w:pPr>
        <w:tabs>
          <w:tab w:pos="8550" w:val="left" w:leader="none"/>
          <w:tab w:pos="9363" w:val="left" w:leader="none"/>
        </w:tabs>
        <w:spacing w:line="21" w:lineRule="exact" w:before="14"/>
        <w:ind w:left="6398" w:right="0" w:firstLine="0"/>
        <w:jc w:val="left"/>
        <w:rPr>
          <w:sz w:val="12"/>
        </w:rPr>
      </w:pPr>
      <w:r>
        <w:rPr>
          <w:sz w:val="12"/>
        </w:rPr>
        <w:t>1</w:t>
        <w:tab/>
        <w:t>3</w:t>
        <w:tab/>
        <w:t>3</w:t>
      </w:r>
    </w:p>
    <w:p>
      <w:pPr>
        <w:spacing w:after="0" w:line="21" w:lineRule="exact"/>
        <w:jc w:val="left"/>
        <w:rPr>
          <w:sz w:val="12"/>
        </w:rPr>
        <w:sectPr>
          <w:type w:val="continuous"/>
          <w:pgSz w:w="11900" w:h="16840"/>
          <w:pgMar w:top="1260" w:bottom="280" w:left="640" w:right="640"/>
        </w:sectPr>
      </w:pPr>
    </w:p>
    <w:p>
      <w:pPr>
        <w:pStyle w:val="BodyText"/>
        <w:spacing w:before="2"/>
        <w:rPr>
          <w:sz w:val="8"/>
        </w:rPr>
      </w:pPr>
    </w:p>
    <w:tbl>
      <w:tblPr>
        <w:tblW w:w="0" w:type="auto"/>
        <w:jc w:val="left"/>
        <w:tblInd w:w="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80"/>
        <w:gridCol w:w="555"/>
        <w:gridCol w:w="595"/>
        <w:gridCol w:w="506"/>
        <w:gridCol w:w="482"/>
        <w:gridCol w:w="499"/>
        <w:gridCol w:w="460"/>
      </w:tblGrid>
      <w:tr>
        <w:trPr>
          <w:trHeight w:val="499" w:hRule="atLeast"/>
        </w:trPr>
        <w:tc>
          <w:tcPr>
            <w:tcW w:w="1280" w:type="dxa"/>
          </w:tcPr>
          <w:p>
            <w:pPr>
              <w:pStyle w:val="TableParagraph"/>
              <w:spacing w:line="240" w:lineRule="auto"/>
              <w:rPr>
                <w:sz w:val="16"/>
              </w:rPr>
            </w:pPr>
          </w:p>
        </w:tc>
        <w:tc>
          <w:tcPr>
            <w:tcW w:w="555" w:type="dxa"/>
          </w:tcPr>
          <w:p>
            <w:pPr>
              <w:pStyle w:val="TableParagraph"/>
              <w:spacing w:line="208" w:lineRule="auto" w:before="13"/>
              <w:ind w:left="139" w:right="154"/>
              <w:rPr>
                <w:sz w:val="14"/>
              </w:rPr>
            </w:pPr>
            <w:r>
              <w:rPr>
                <w:sz w:val="14"/>
              </w:rPr>
              <w:t>less than</w:t>
            </w:r>
          </w:p>
          <w:p>
            <w:pPr>
              <w:pStyle w:val="TableParagraph"/>
              <w:spacing w:line="144" w:lineRule="exact"/>
              <w:ind w:left="100"/>
              <w:rPr>
                <w:sz w:val="14"/>
              </w:rPr>
            </w:pPr>
            <w:r>
              <w:rPr>
                <w:spacing w:val="3"/>
                <w:sz w:val="14"/>
                <w:u w:val="single"/>
              </w:rPr>
              <w:t> </w:t>
            </w:r>
            <w:r>
              <w:rPr>
                <w:sz w:val="14"/>
                <w:u w:val="single"/>
              </w:rPr>
              <w:t>0%</w:t>
            </w:r>
            <w:r>
              <w:rPr>
                <w:spacing w:val="-6"/>
                <w:sz w:val="14"/>
                <w:u w:val="single"/>
              </w:rPr>
              <w:t> </w:t>
            </w:r>
          </w:p>
        </w:tc>
        <w:tc>
          <w:tcPr>
            <w:tcW w:w="595" w:type="dxa"/>
          </w:tcPr>
          <w:p>
            <w:pPr>
              <w:pStyle w:val="TableParagraph"/>
              <w:spacing w:line="147" w:lineRule="exact"/>
              <w:ind w:left="127"/>
              <w:rPr>
                <w:sz w:val="14"/>
              </w:rPr>
            </w:pPr>
            <w:r>
              <w:rPr>
                <w:sz w:val="14"/>
              </w:rPr>
              <w:t>0%</w:t>
            </w:r>
          </w:p>
          <w:p>
            <w:pPr>
              <w:pStyle w:val="TableParagraph"/>
              <w:spacing w:line="140" w:lineRule="exact"/>
              <w:ind w:left="126"/>
              <w:rPr>
                <w:sz w:val="14"/>
              </w:rPr>
            </w:pPr>
            <w:r>
              <w:rPr>
                <w:sz w:val="14"/>
              </w:rPr>
              <w:t>to</w:t>
            </w:r>
          </w:p>
          <w:p>
            <w:pPr>
              <w:pStyle w:val="TableParagraph"/>
              <w:tabs>
                <w:tab w:pos="529" w:val="left" w:leader="none"/>
              </w:tabs>
              <w:spacing w:line="150" w:lineRule="exact"/>
              <w:ind w:left="95"/>
              <w:rPr>
                <w:sz w:val="14"/>
              </w:rPr>
            </w:pPr>
            <w:r>
              <w:rPr>
                <w:spacing w:val="-4"/>
                <w:sz w:val="14"/>
                <w:u w:val="single"/>
              </w:rPr>
              <w:t> </w:t>
            </w:r>
            <w:r>
              <w:rPr>
                <w:sz w:val="14"/>
                <w:u w:val="single"/>
              </w:rPr>
              <w:t>1%</w:t>
              <w:tab/>
            </w:r>
          </w:p>
        </w:tc>
        <w:tc>
          <w:tcPr>
            <w:tcW w:w="506" w:type="dxa"/>
          </w:tcPr>
          <w:p>
            <w:pPr>
              <w:pStyle w:val="TableParagraph"/>
              <w:spacing w:line="147" w:lineRule="exact"/>
              <w:ind w:left="67"/>
              <w:rPr>
                <w:sz w:val="14"/>
              </w:rPr>
            </w:pPr>
            <w:r>
              <w:rPr>
                <w:sz w:val="14"/>
              </w:rPr>
              <w:t>1%</w:t>
            </w:r>
          </w:p>
          <w:p>
            <w:pPr>
              <w:pStyle w:val="TableParagraph"/>
              <w:spacing w:line="140" w:lineRule="exact"/>
              <w:ind w:left="66"/>
              <w:rPr>
                <w:sz w:val="14"/>
              </w:rPr>
            </w:pPr>
            <w:r>
              <w:rPr>
                <w:sz w:val="14"/>
              </w:rPr>
              <w:t>to</w:t>
            </w:r>
          </w:p>
          <w:p>
            <w:pPr>
              <w:pStyle w:val="TableParagraph"/>
              <w:spacing w:line="150" w:lineRule="exact"/>
              <w:ind w:left="67"/>
              <w:rPr>
                <w:sz w:val="14"/>
              </w:rPr>
            </w:pPr>
            <w:r>
              <w:rPr>
                <w:sz w:val="14"/>
                <w:u w:val="single"/>
              </w:rPr>
              <w:t>2% </w:t>
            </w:r>
          </w:p>
        </w:tc>
        <w:tc>
          <w:tcPr>
            <w:tcW w:w="482" w:type="dxa"/>
          </w:tcPr>
          <w:p>
            <w:pPr>
              <w:pStyle w:val="TableParagraph"/>
              <w:spacing w:line="147" w:lineRule="exact"/>
              <w:ind w:left="135"/>
              <w:rPr>
                <w:sz w:val="14"/>
              </w:rPr>
            </w:pPr>
            <w:r>
              <w:rPr>
                <w:sz w:val="14"/>
              </w:rPr>
              <w:t>2%</w:t>
            </w:r>
          </w:p>
          <w:p>
            <w:pPr>
              <w:pStyle w:val="TableParagraph"/>
              <w:spacing w:line="140" w:lineRule="exact"/>
              <w:ind w:left="135"/>
              <w:rPr>
                <w:sz w:val="14"/>
              </w:rPr>
            </w:pPr>
            <w:r>
              <w:rPr>
                <w:sz w:val="14"/>
              </w:rPr>
              <w:t>to</w:t>
            </w:r>
          </w:p>
          <w:p>
            <w:pPr>
              <w:pStyle w:val="TableParagraph"/>
              <w:spacing w:line="150" w:lineRule="exact"/>
              <w:ind w:left="88"/>
              <w:rPr>
                <w:sz w:val="14"/>
              </w:rPr>
            </w:pPr>
            <w:r>
              <w:rPr>
                <w:sz w:val="14"/>
                <w:u w:val="single"/>
              </w:rPr>
              <w:t> 3% </w:t>
            </w:r>
          </w:p>
        </w:tc>
        <w:tc>
          <w:tcPr>
            <w:tcW w:w="499" w:type="dxa"/>
          </w:tcPr>
          <w:p>
            <w:pPr>
              <w:pStyle w:val="TableParagraph"/>
              <w:spacing w:line="147" w:lineRule="exact"/>
              <w:ind w:left="125"/>
              <w:rPr>
                <w:sz w:val="14"/>
              </w:rPr>
            </w:pPr>
            <w:r>
              <w:rPr>
                <w:sz w:val="14"/>
              </w:rPr>
              <w:t>3%</w:t>
            </w:r>
          </w:p>
          <w:p>
            <w:pPr>
              <w:pStyle w:val="TableParagraph"/>
              <w:spacing w:line="140" w:lineRule="exact"/>
              <w:ind w:left="125"/>
              <w:rPr>
                <w:sz w:val="14"/>
              </w:rPr>
            </w:pPr>
            <w:r>
              <w:rPr>
                <w:sz w:val="14"/>
              </w:rPr>
              <w:t>to</w:t>
            </w:r>
          </w:p>
          <w:p>
            <w:pPr>
              <w:pStyle w:val="TableParagraph"/>
              <w:spacing w:line="150" w:lineRule="exact"/>
              <w:ind w:left="72"/>
              <w:rPr>
                <w:sz w:val="14"/>
              </w:rPr>
            </w:pPr>
            <w:r>
              <w:rPr>
                <w:sz w:val="14"/>
                <w:u w:val="single"/>
              </w:rPr>
              <w:t>  4% </w:t>
            </w:r>
          </w:p>
        </w:tc>
        <w:tc>
          <w:tcPr>
            <w:tcW w:w="460" w:type="dxa"/>
          </w:tcPr>
          <w:p>
            <w:pPr>
              <w:pStyle w:val="TableParagraph"/>
              <w:spacing w:line="208" w:lineRule="auto" w:before="13"/>
              <w:ind w:left="82"/>
              <w:rPr>
                <w:sz w:val="14"/>
              </w:rPr>
            </w:pPr>
            <w:r>
              <w:rPr>
                <w:sz w:val="14"/>
              </w:rPr>
              <w:t>more than </w:t>
            </w:r>
            <w:r>
              <w:rPr>
                <w:sz w:val="14"/>
                <w:u w:val="single"/>
              </w:rPr>
              <w:t>4% </w:t>
            </w:r>
          </w:p>
        </w:tc>
      </w:tr>
      <w:tr>
        <w:trPr>
          <w:trHeight w:val="210" w:hRule="atLeast"/>
        </w:trPr>
        <w:tc>
          <w:tcPr>
            <w:tcW w:w="1280" w:type="dxa"/>
          </w:tcPr>
          <w:p>
            <w:pPr>
              <w:pStyle w:val="TableParagraph"/>
              <w:spacing w:line="133" w:lineRule="exact" w:before="56"/>
              <w:ind w:left="50"/>
              <w:rPr>
                <w:sz w:val="14"/>
              </w:rPr>
            </w:pPr>
            <w:r>
              <w:rPr>
                <w:sz w:val="14"/>
              </w:rPr>
              <w:t>2000 Q4</w:t>
            </w:r>
          </w:p>
        </w:tc>
        <w:tc>
          <w:tcPr>
            <w:tcW w:w="555" w:type="dxa"/>
          </w:tcPr>
          <w:p>
            <w:pPr>
              <w:pStyle w:val="TableParagraph"/>
              <w:spacing w:line="133" w:lineRule="exact" w:before="56"/>
              <w:ind w:left="78"/>
              <w:jc w:val="center"/>
              <w:rPr>
                <w:sz w:val="14"/>
              </w:rPr>
            </w:pPr>
            <w:r>
              <w:rPr>
                <w:sz w:val="14"/>
              </w:rPr>
              <w:t>1</w:t>
            </w:r>
          </w:p>
        </w:tc>
        <w:tc>
          <w:tcPr>
            <w:tcW w:w="595" w:type="dxa"/>
          </w:tcPr>
          <w:p>
            <w:pPr>
              <w:pStyle w:val="TableParagraph"/>
              <w:spacing w:line="133" w:lineRule="exact" w:before="56"/>
              <w:ind w:right="292"/>
              <w:jc w:val="right"/>
              <w:rPr>
                <w:sz w:val="14"/>
              </w:rPr>
            </w:pPr>
            <w:r>
              <w:rPr>
                <w:sz w:val="14"/>
              </w:rPr>
              <w:t>3</w:t>
            </w:r>
          </w:p>
        </w:tc>
        <w:tc>
          <w:tcPr>
            <w:tcW w:w="506" w:type="dxa"/>
          </w:tcPr>
          <w:p>
            <w:pPr>
              <w:pStyle w:val="TableParagraph"/>
              <w:spacing w:line="133" w:lineRule="exact" w:before="56"/>
              <w:ind w:left="84"/>
              <w:rPr>
                <w:sz w:val="14"/>
              </w:rPr>
            </w:pPr>
            <w:r>
              <w:rPr>
                <w:sz w:val="14"/>
              </w:rPr>
              <w:t>14</w:t>
            </w:r>
          </w:p>
        </w:tc>
        <w:tc>
          <w:tcPr>
            <w:tcW w:w="482" w:type="dxa"/>
          </w:tcPr>
          <w:p>
            <w:pPr>
              <w:pStyle w:val="TableParagraph"/>
              <w:spacing w:line="133" w:lineRule="exact" w:before="56"/>
              <w:ind w:left="150" w:right="152"/>
              <w:jc w:val="center"/>
              <w:rPr>
                <w:sz w:val="14"/>
              </w:rPr>
            </w:pPr>
            <w:r>
              <w:rPr>
                <w:sz w:val="14"/>
              </w:rPr>
              <w:t>45</w:t>
            </w:r>
          </w:p>
        </w:tc>
        <w:tc>
          <w:tcPr>
            <w:tcW w:w="499" w:type="dxa"/>
          </w:tcPr>
          <w:p>
            <w:pPr>
              <w:pStyle w:val="TableParagraph"/>
              <w:spacing w:line="133" w:lineRule="exact" w:before="56"/>
              <w:ind w:left="162" w:right="157"/>
              <w:jc w:val="center"/>
              <w:rPr>
                <w:sz w:val="14"/>
              </w:rPr>
            </w:pPr>
            <w:r>
              <w:rPr>
                <w:sz w:val="14"/>
              </w:rPr>
              <w:t>33</w:t>
            </w:r>
          </w:p>
        </w:tc>
        <w:tc>
          <w:tcPr>
            <w:tcW w:w="460" w:type="dxa"/>
          </w:tcPr>
          <w:p>
            <w:pPr>
              <w:pStyle w:val="TableParagraph"/>
              <w:spacing w:line="133" w:lineRule="exact" w:before="56"/>
              <w:ind w:left="76"/>
              <w:jc w:val="center"/>
              <w:rPr>
                <w:sz w:val="14"/>
              </w:rPr>
            </w:pPr>
            <w:r>
              <w:rPr>
                <w:sz w:val="14"/>
              </w:rPr>
              <w:t>4</w:t>
            </w:r>
          </w:p>
        </w:tc>
      </w:tr>
      <w:tr>
        <w:trPr>
          <w:trHeight w:val="140" w:hRule="atLeast"/>
        </w:trPr>
        <w:tc>
          <w:tcPr>
            <w:tcW w:w="1280" w:type="dxa"/>
          </w:tcPr>
          <w:p>
            <w:pPr>
              <w:pStyle w:val="TableParagraph"/>
              <w:ind w:left="50"/>
              <w:rPr>
                <w:sz w:val="14"/>
              </w:rPr>
            </w:pPr>
            <w:r>
              <w:rPr>
                <w:sz w:val="14"/>
              </w:rPr>
              <w:t>2001 Q4</w:t>
            </w:r>
          </w:p>
        </w:tc>
        <w:tc>
          <w:tcPr>
            <w:tcW w:w="555" w:type="dxa"/>
          </w:tcPr>
          <w:p>
            <w:pPr>
              <w:pStyle w:val="TableParagraph"/>
              <w:ind w:left="78"/>
              <w:jc w:val="center"/>
              <w:rPr>
                <w:sz w:val="14"/>
              </w:rPr>
            </w:pPr>
            <w:r>
              <w:rPr>
                <w:sz w:val="14"/>
              </w:rPr>
              <w:t>3</w:t>
            </w:r>
          </w:p>
        </w:tc>
        <w:tc>
          <w:tcPr>
            <w:tcW w:w="595" w:type="dxa"/>
          </w:tcPr>
          <w:p>
            <w:pPr>
              <w:pStyle w:val="TableParagraph"/>
              <w:ind w:right="292"/>
              <w:jc w:val="right"/>
              <w:rPr>
                <w:sz w:val="14"/>
              </w:rPr>
            </w:pPr>
            <w:r>
              <w:rPr>
                <w:sz w:val="14"/>
              </w:rPr>
              <w:t>9</w:t>
            </w:r>
          </w:p>
        </w:tc>
        <w:tc>
          <w:tcPr>
            <w:tcW w:w="506" w:type="dxa"/>
          </w:tcPr>
          <w:p>
            <w:pPr>
              <w:pStyle w:val="TableParagraph"/>
              <w:ind w:left="84"/>
              <w:rPr>
                <w:sz w:val="14"/>
              </w:rPr>
            </w:pPr>
            <w:r>
              <w:rPr>
                <w:sz w:val="14"/>
              </w:rPr>
              <w:t>27</w:t>
            </w:r>
          </w:p>
        </w:tc>
        <w:tc>
          <w:tcPr>
            <w:tcW w:w="482" w:type="dxa"/>
          </w:tcPr>
          <w:p>
            <w:pPr>
              <w:pStyle w:val="TableParagraph"/>
              <w:ind w:left="150" w:right="152"/>
              <w:jc w:val="center"/>
              <w:rPr>
                <w:sz w:val="14"/>
              </w:rPr>
            </w:pPr>
            <w:r>
              <w:rPr>
                <w:sz w:val="14"/>
              </w:rPr>
              <w:t>40</w:t>
            </w:r>
          </w:p>
        </w:tc>
        <w:tc>
          <w:tcPr>
            <w:tcW w:w="499" w:type="dxa"/>
          </w:tcPr>
          <w:p>
            <w:pPr>
              <w:pStyle w:val="TableParagraph"/>
              <w:ind w:left="162" w:right="157"/>
              <w:jc w:val="center"/>
              <w:rPr>
                <w:sz w:val="14"/>
              </w:rPr>
            </w:pPr>
            <w:r>
              <w:rPr>
                <w:sz w:val="14"/>
              </w:rPr>
              <w:t>16</w:t>
            </w:r>
          </w:p>
        </w:tc>
        <w:tc>
          <w:tcPr>
            <w:tcW w:w="460" w:type="dxa"/>
          </w:tcPr>
          <w:p>
            <w:pPr>
              <w:pStyle w:val="TableParagraph"/>
              <w:ind w:left="76"/>
              <w:jc w:val="center"/>
              <w:rPr>
                <w:sz w:val="14"/>
              </w:rPr>
            </w:pPr>
            <w:r>
              <w:rPr>
                <w:sz w:val="14"/>
              </w:rPr>
              <w:t>5</w:t>
            </w:r>
          </w:p>
        </w:tc>
      </w:tr>
      <w:tr>
        <w:trPr>
          <w:trHeight w:val="147" w:hRule="atLeast"/>
        </w:trPr>
        <w:tc>
          <w:tcPr>
            <w:tcW w:w="1280" w:type="dxa"/>
          </w:tcPr>
          <w:p>
            <w:pPr>
              <w:pStyle w:val="TableParagraph"/>
              <w:spacing w:line="128" w:lineRule="exact"/>
              <w:ind w:left="50"/>
              <w:rPr>
                <w:sz w:val="12"/>
              </w:rPr>
            </w:pPr>
            <w:r>
              <w:rPr>
                <w:sz w:val="14"/>
              </w:rPr>
              <w:t>2002 Q3 </w:t>
            </w:r>
            <w:r>
              <w:rPr>
                <w:sz w:val="12"/>
              </w:rPr>
              <w:t>(c)</w:t>
            </w:r>
          </w:p>
        </w:tc>
        <w:tc>
          <w:tcPr>
            <w:tcW w:w="555" w:type="dxa"/>
          </w:tcPr>
          <w:p>
            <w:pPr>
              <w:pStyle w:val="TableParagraph"/>
              <w:spacing w:line="128" w:lineRule="exact"/>
              <w:ind w:left="78"/>
              <w:jc w:val="center"/>
              <w:rPr>
                <w:sz w:val="14"/>
              </w:rPr>
            </w:pPr>
            <w:r>
              <w:rPr>
                <w:sz w:val="14"/>
              </w:rPr>
              <w:t>5</w:t>
            </w:r>
          </w:p>
        </w:tc>
        <w:tc>
          <w:tcPr>
            <w:tcW w:w="595" w:type="dxa"/>
          </w:tcPr>
          <w:p>
            <w:pPr>
              <w:pStyle w:val="TableParagraph"/>
              <w:spacing w:line="128" w:lineRule="exact"/>
              <w:ind w:right="292"/>
              <w:jc w:val="right"/>
              <w:rPr>
                <w:sz w:val="14"/>
              </w:rPr>
            </w:pPr>
            <w:r>
              <w:rPr>
                <w:sz w:val="14"/>
              </w:rPr>
              <w:t>11</w:t>
            </w:r>
          </w:p>
        </w:tc>
        <w:tc>
          <w:tcPr>
            <w:tcW w:w="506" w:type="dxa"/>
          </w:tcPr>
          <w:p>
            <w:pPr>
              <w:pStyle w:val="TableParagraph"/>
              <w:spacing w:line="128" w:lineRule="exact"/>
              <w:ind w:left="84"/>
              <w:rPr>
                <w:sz w:val="14"/>
              </w:rPr>
            </w:pPr>
            <w:r>
              <w:rPr>
                <w:sz w:val="14"/>
              </w:rPr>
              <w:t>27</w:t>
            </w:r>
          </w:p>
        </w:tc>
        <w:tc>
          <w:tcPr>
            <w:tcW w:w="482" w:type="dxa"/>
          </w:tcPr>
          <w:p>
            <w:pPr>
              <w:pStyle w:val="TableParagraph"/>
              <w:spacing w:line="128" w:lineRule="exact"/>
              <w:ind w:left="150" w:right="152"/>
              <w:jc w:val="center"/>
              <w:rPr>
                <w:sz w:val="14"/>
              </w:rPr>
            </w:pPr>
            <w:r>
              <w:rPr>
                <w:sz w:val="14"/>
              </w:rPr>
              <w:t>39</w:t>
            </w:r>
          </w:p>
        </w:tc>
        <w:tc>
          <w:tcPr>
            <w:tcW w:w="499" w:type="dxa"/>
          </w:tcPr>
          <w:p>
            <w:pPr>
              <w:pStyle w:val="TableParagraph"/>
              <w:spacing w:line="128" w:lineRule="exact"/>
              <w:ind w:left="162" w:right="157"/>
              <w:jc w:val="center"/>
              <w:rPr>
                <w:sz w:val="14"/>
              </w:rPr>
            </w:pPr>
            <w:r>
              <w:rPr>
                <w:sz w:val="14"/>
              </w:rPr>
              <w:t>15</w:t>
            </w:r>
          </w:p>
        </w:tc>
        <w:tc>
          <w:tcPr>
            <w:tcW w:w="460" w:type="dxa"/>
          </w:tcPr>
          <w:p>
            <w:pPr>
              <w:pStyle w:val="TableParagraph"/>
              <w:spacing w:line="128" w:lineRule="exact"/>
              <w:ind w:left="76"/>
              <w:jc w:val="center"/>
              <w:rPr>
                <w:sz w:val="14"/>
              </w:rPr>
            </w:pPr>
            <w:r>
              <w:rPr>
                <w:sz w:val="14"/>
              </w:rPr>
              <w:t>4</w:t>
            </w:r>
          </w:p>
        </w:tc>
      </w:tr>
    </w:tbl>
    <w:p>
      <w:pPr>
        <w:pStyle w:val="BodyText"/>
        <w:spacing w:before="6"/>
        <w:rPr>
          <w:sz w:val="11"/>
        </w:rPr>
      </w:pPr>
    </w:p>
    <w:p>
      <w:pPr>
        <w:pStyle w:val="ListParagraph"/>
        <w:numPr>
          <w:ilvl w:val="0"/>
          <w:numId w:val="43"/>
        </w:numPr>
        <w:tabs>
          <w:tab w:pos="415" w:val="left" w:leader="none"/>
        </w:tabs>
        <w:spacing w:line="208" w:lineRule="auto" w:before="0" w:after="0"/>
        <w:ind w:left="414" w:right="38" w:hanging="240"/>
        <w:jc w:val="left"/>
        <w:rPr>
          <w:sz w:val="12"/>
        </w:rPr>
      </w:pPr>
      <w:r>
        <w:rPr>
          <w:sz w:val="12"/>
        </w:rPr>
        <w:t>29 other forecasters provided the Bank with their assessment of the likelihood, at three time horizons, of expected twelve-month RPIX inflation and four-quarter output growth falling in the ranges shown above. This table shows the means of the responses for each range. For example, on average, forecasters assign a probability of</w:t>
      </w:r>
      <w:r>
        <w:rPr>
          <w:spacing w:val="-2"/>
          <w:sz w:val="12"/>
        </w:rPr>
        <w:t> </w:t>
      </w:r>
      <w:r>
        <w:rPr>
          <w:sz w:val="12"/>
        </w:rPr>
        <w:t>8%</w:t>
      </w:r>
      <w:r>
        <w:rPr>
          <w:spacing w:val="-2"/>
          <w:sz w:val="12"/>
        </w:rPr>
        <w:t> </w:t>
      </w:r>
      <w:r>
        <w:rPr>
          <w:sz w:val="12"/>
        </w:rPr>
        <w:t>to</w:t>
      </w:r>
      <w:r>
        <w:rPr>
          <w:spacing w:val="-2"/>
          <w:sz w:val="12"/>
        </w:rPr>
        <w:t> </w:t>
      </w:r>
      <w:r>
        <w:rPr>
          <w:sz w:val="12"/>
        </w:rPr>
        <w:t>inflation</w:t>
      </w:r>
      <w:r>
        <w:rPr>
          <w:spacing w:val="-1"/>
          <w:sz w:val="12"/>
        </w:rPr>
        <w:t> </w:t>
      </w:r>
      <w:r>
        <w:rPr>
          <w:sz w:val="12"/>
        </w:rPr>
        <w:t>turning</w:t>
      </w:r>
      <w:r>
        <w:rPr>
          <w:spacing w:val="-2"/>
          <w:sz w:val="12"/>
        </w:rPr>
        <w:t> </w:t>
      </w:r>
      <w:r>
        <w:rPr>
          <w:sz w:val="12"/>
        </w:rPr>
        <w:t>out</w:t>
      </w:r>
      <w:r>
        <w:rPr>
          <w:spacing w:val="-2"/>
          <w:sz w:val="12"/>
        </w:rPr>
        <w:t> </w:t>
      </w:r>
      <w:r>
        <w:rPr>
          <w:sz w:val="12"/>
        </w:rPr>
        <w:t>to</w:t>
      </w:r>
      <w:r>
        <w:rPr>
          <w:spacing w:val="-2"/>
          <w:sz w:val="12"/>
        </w:rPr>
        <w:t> </w:t>
      </w:r>
      <w:r>
        <w:rPr>
          <w:sz w:val="12"/>
        </w:rPr>
        <w:t>be</w:t>
      </w:r>
      <w:r>
        <w:rPr>
          <w:spacing w:val="-1"/>
          <w:sz w:val="12"/>
        </w:rPr>
        <w:t> </w:t>
      </w:r>
      <w:r>
        <w:rPr>
          <w:sz w:val="12"/>
        </w:rPr>
        <w:t>less</w:t>
      </w:r>
      <w:r>
        <w:rPr>
          <w:spacing w:val="-2"/>
          <w:sz w:val="12"/>
        </w:rPr>
        <w:t> </w:t>
      </w:r>
      <w:r>
        <w:rPr>
          <w:sz w:val="12"/>
        </w:rPr>
        <w:t>than</w:t>
      </w:r>
      <w:r>
        <w:rPr>
          <w:spacing w:val="-2"/>
          <w:sz w:val="12"/>
        </w:rPr>
        <w:t> </w:t>
      </w:r>
      <w:r>
        <w:rPr>
          <w:sz w:val="12"/>
        </w:rPr>
        <w:t>1.5%</w:t>
      </w:r>
      <w:r>
        <w:rPr>
          <w:spacing w:val="-2"/>
          <w:sz w:val="12"/>
        </w:rPr>
        <w:t> </w:t>
      </w:r>
      <w:r>
        <w:rPr>
          <w:sz w:val="12"/>
        </w:rPr>
        <w:t>in</w:t>
      </w:r>
      <w:r>
        <w:rPr>
          <w:spacing w:val="-1"/>
          <w:sz w:val="12"/>
        </w:rPr>
        <w:t> </w:t>
      </w:r>
      <w:r>
        <w:rPr>
          <w:sz w:val="12"/>
        </w:rPr>
        <w:t>2002</w:t>
      </w:r>
      <w:r>
        <w:rPr>
          <w:spacing w:val="-2"/>
          <w:sz w:val="12"/>
        </w:rPr>
        <w:t> </w:t>
      </w:r>
      <w:r>
        <w:rPr>
          <w:sz w:val="12"/>
        </w:rPr>
        <w:t>Q3.</w:t>
      </w:r>
    </w:p>
    <w:p>
      <w:pPr>
        <w:pStyle w:val="ListParagraph"/>
        <w:numPr>
          <w:ilvl w:val="0"/>
          <w:numId w:val="43"/>
        </w:numPr>
        <w:tabs>
          <w:tab w:pos="415" w:val="left" w:leader="none"/>
        </w:tabs>
        <w:spacing w:line="114" w:lineRule="exact" w:before="0" w:after="0"/>
        <w:ind w:left="414" w:right="0" w:hanging="241"/>
        <w:jc w:val="left"/>
        <w:rPr>
          <w:sz w:val="12"/>
        </w:rPr>
      </w:pPr>
      <w:r>
        <w:rPr>
          <w:sz w:val="12"/>
        </w:rPr>
        <w:t>28</w:t>
      </w:r>
      <w:r>
        <w:rPr>
          <w:spacing w:val="-14"/>
          <w:sz w:val="12"/>
        </w:rPr>
        <w:t> </w:t>
      </w:r>
      <w:r>
        <w:rPr>
          <w:sz w:val="12"/>
        </w:rPr>
        <w:t>forecasters.</w:t>
      </w:r>
    </w:p>
    <w:p>
      <w:pPr>
        <w:pStyle w:val="ListParagraph"/>
        <w:numPr>
          <w:ilvl w:val="0"/>
          <w:numId w:val="43"/>
        </w:numPr>
        <w:tabs>
          <w:tab w:pos="415" w:val="left" w:leader="none"/>
        </w:tabs>
        <w:spacing w:line="129" w:lineRule="exact" w:before="0" w:after="0"/>
        <w:ind w:left="414" w:right="0" w:hanging="241"/>
        <w:jc w:val="left"/>
        <w:rPr>
          <w:sz w:val="12"/>
        </w:rPr>
      </w:pPr>
      <w:r>
        <w:rPr>
          <w:sz w:val="12"/>
        </w:rPr>
        <w:t>25</w:t>
      </w:r>
      <w:r>
        <w:rPr>
          <w:spacing w:val="-14"/>
          <w:sz w:val="12"/>
        </w:rPr>
        <w:t> </w:t>
      </w:r>
      <w:r>
        <w:rPr>
          <w:sz w:val="12"/>
        </w:rPr>
        <w:t>forecasters.</w:t>
      </w:r>
    </w:p>
    <w:p>
      <w:pPr>
        <w:pStyle w:val="BodyText"/>
        <w:rPr>
          <w:sz w:val="12"/>
        </w:rPr>
      </w:pPr>
    </w:p>
    <w:p>
      <w:pPr>
        <w:pStyle w:val="BodyText"/>
        <w:rPr>
          <w:sz w:val="12"/>
        </w:rPr>
      </w:pPr>
    </w:p>
    <w:p>
      <w:pPr>
        <w:pStyle w:val="BodyText"/>
        <w:spacing w:before="2"/>
        <w:rPr>
          <w:sz w:val="12"/>
        </w:rPr>
      </w:pPr>
    </w:p>
    <w:p>
      <w:pPr>
        <w:pStyle w:val="Heading6"/>
        <w:spacing w:before="1"/>
        <w:ind w:left="174"/>
      </w:pPr>
      <w:r>
        <w:rPr>
          <w:color w:val="0092C7"/>
        </w:rPr>
        <w:t>Chart 6.9</w:t>
      </w:r>
    </w:p>
    <w:p>
      <w:pPr>
        <w:pStyle w:val="Heading6"/>
        <w:spacing w:line="249" w:lineRule="auto"/>
        <w:ind w:left="174" w:right="1169"/>
      </w:pPr>
      <w:r>
        <w:rPr>
          <w:color w:val="0092C7"/>
        </w:rPr>
        <w:t>Distribution of repo rate forecasts for 2002 Q3</w:t>
      </w:r>
    </w:p>
    <w:p>
      <w:pPr>
        <w:spacing w:line="246" w:lineRule="exact" w:before="0"/>
        <w:ind w:left="174" w:right="0" w:firstLine="0"/>
        <w:jc w:val="left"/>
        <w:rPr>
          <w:sz w:val="24"/>
        </w:rPr>
      </w:pPr>
      <w:r>
        <w:rPr/>
        <w:br w:type="column"/>
      </w:r>
      <w:r>
        <w:rPr>
          <w:sz w:val="24"/>
        </w:rPr>
        <w:t>2000 Q4 was 6 /</w:t>
      </w:r>
      <w:r>
        <w:rPr>
          <w:sz w:val="12"/>
        </w:rPr>
        <w:t>4</w:t>
      </w:r>
      <w:r>
        <w:rPr>
          <w:sz w:val="24"/>
        </w:rPr>
        <w:t>% (with a range of 5 /</w:t>
      </w:r>
      <w:r>
        <w:rPr>
          <w:sz w:val="12"/>
        </w:rPr>
        <w:t>4</w:t>
      </w:r>
      <w:r>
        <w:rPr>
          <w:sz w:val="24"/>
        </w:rPr>
        <w:t>% to 6 /</w:t>
      </w:r>
      <w:r>
        <w:rPr>
          <w:sz w:val="12"/>
        </w:rPr>
        <w:t>4</w:t>
      </w:r>
      <w:r>
        <w:rPr>
          <w:sz w:val="24"/>
        </w:rPr>
        <w:t>%),</w:t>
      </w:r>
    </w:p>
    <w:p>
      <w:pPr>
        <w:spacing w:line="242" w:lineRule="auto" w:before="4"/>
        <w:ind w:left="174" w:right="180" w:firstLine="0"/>
        <w:jc w:val="left"/>
        <w:rPr>
          <w:sz w:val="24"/>
        </w:rPr>
      </w:pPr>
      <w:r>
        <w:rPr>
          <w:sz w:val="24"/>
        </w:rPr>
        <w:t>falling to 6% by 2002 Q3 (with a range of 5% to 7%) (see Chart 6.9). This is slightly lower than the survey results reported in May. On average, forecasters assume that the sterling ERI will be 104 in 2000 Q4 (with a range of 101 to 110) and then fall to 100 (with a range of 94 to 108) by 2002 Q3 (see Chart 6.10).</w:t>
      </w:r>
    </w:p>
    <w:p>
      <w:pPr>
        <w:pStyle w:val="BodyText"/>
        <w:rPr>
          <w:sz w:val="25"/>
        </w:rPr>
      </w:pPr>
    </w:p>
    <w:p>
      <w:pPr>
        <w:spacing w:line="242" w:lineRule="auto" w:before="0"/>
        <w:ind w:left="174" w:right="276" w:firstLine="0"/>
        <w:jc w:val="left"/>
        <w:rPr>
          <w:b/>
          <w:sz w:val="24"/>
        </w:rPr>
      </w:pPr>
      <w:r>
        <w:rPr>
          <w:b/>
          <w:sz w:val="24"/>
        </w:rPr>
        <w:t>The implications of the latest projections for the stance of monetary policy are discussed in the </w:t>
      </w:r>
      <w:hyperlink w:history="true" w:anchor="_bookmark0">
        <w:r>
          <w:rPr>
            <w:b/>
            <w:color w:val="FF0000"/>
            <w:sz w:val="24"/>
          </w:rPr>
          <w:t>Overview</w:t>
        </w:r>
      </w:hyperlink>
      <w:r>
        <w:rPr>
          <w:b/>
          <w:color w:val="FF0000"/>
          <w:sz w:val="24"/>
        </w:rPr>
        <w:t> </w:t>
      </w:r>
      <w:r>
        <w:rPr>
          <w:b/>
          <w:sz w:val="24"/>
        </w:rPr>
        <w:t>at the beginning of this </w:t>
      </w:r>
      <w:r>
        <w:rPr>
          <w:b/>
          <w:i/>
          <w:sz w:val="24"/>
        </w:rPr>
        <w:t>Report</w:t>
      </w:r>
      <w:r>
        <w:rPr>
          <w:b/>
          <w:sz w:val="24"/>
        </w:rPr>
        <w:t>.</w:t>
      </w:r>
    </w:p>
    <w:p>
      <w:pPr>
        <w:spacing w:after="0" w:line="242" w:lineRule="auto"/>
        <w:jc w:val="left"/>
        <w:rPr>
          <w:sz w:val="24"/>
        </w:rPr>
        <w:sectPr>
          <w:type w:val="continuous"/>
          <w:pgSz w:w="11900" w:h="16840"/>
          <w:pgMar w:top="1260" w:bottom="280" w:left="640" w:right="640"/>
          <w:cols w:num="2" w:equalWidth="0">
            <w:col w:w="4478" w:space="302"/>
            <w:col w:w="5840"/>
          </w:cols>
        </w:sectPr>
      </w:pPr>
    </w:p>
    <w:p>
      <w:pPr>
        <w:spacing w:before="158"/>
        <w:ind w:left="2414" w:right="0" w:firstLine="0"/>
        <w:jc w:val="left"/>
        <w:rPr>
          <w:sz w:val="12"/>
        </w:rPr>
      </w:pPr>
      <w:r>
        <w:rPr/>
        <w:pict>
          <v:line style="position:absolute;mso-position-horizontal-relative:page;mso-position-vertical-relative:paragraph;z-index:16344576" from="47.82pt,15.203007pt" to="43.487pt,15.203007pt" stroked="true" strokeweight=".5pt" strokecolor="#000000">
            <v:stroke dashstyle="solid"/>
            <w10:wrap type="none"/>
          </v:line>
        </w:pict>
      </w:r>
      <w:r>
        <w:rPr>
          <w:sz w:val="12"/>
        </w:rPr>
        <w:t>Number of forecas</w:t>
      </w:r>
      <w:r>
        <w:rPr>
          <w:sz w:val="12"/>
          <w:u w:val="single"/>
        </w:rPr>
        <w:t>ts</w:t>
      </w:r>
      <w:r>
        <w:rPr>
          <w:sz w:val="12"/>
        </w:rPr>
        <w:t> </w:t>
      </w:r>
      <w:r>
        <w:rPr>
          <w:position w:val="-5"/>
          <w:sz w:val="12"/>
        </w:rPr>
        <w:t>9</w:t>
      </w:r>
    </w:p>
    <w:p>
      <w:pPr>
        <w:pStyle w:val="BodyText"/>
        <w:spacing w:before="7"/>
        <w:rPr>
          <w:sz w:val="15"/>
        </w:rPr>
      </w:pPr>
    </w:p>
    <w:p>
      <w:pPr>
        <w:spacing w:before="0"/>
        <w:ind w:left="3482" w:right="0" w:firstLine="0"/>
        <w:jc w:val="left"/>
        <w:rPr>
          <w:sz w:val="12"/>
        </w:rPr>
      </w:pPr>
      <w:r>
        <w:rPr/>
        <w:pict>
          <v:group style="position:absolute;margin-left:43.486pt;margin-top:3.451676pt;width:158.950pt;height:129.4pt;mso-position-horizontal-relative:page;mso-position-vertical-relative:paragraph;z-index:16341504" coordorigin="870,69" coordsize="3179,2588">
            <v:rect style="position:absolute;left:2033;top:2294;width:140;height:318" filled="true" fillcolor="#0099d9" stroked="false">
              <v:fill type="solid"/>
            </v:rect>
            <v:rect style="position:absolute;left:2033;top:2294;width:140;height:318" filled="false" stroked="true" strokeweight=".5pt" strokecolor="#000000">
              <v:stroke dashstyle="solid"/>
            </v:rect>
            <v:rect style="position:absolute;left:2165;top:1979;width:140;height:633" filled="true" fillcolor="#0099d9" stroked="false">
              <v:fill type="solid"/>
            </v:rect>
            <v:rect style="position:absolute;left:2165;top:1979;width:140;height:633" filled="false" stroked="true" strokeweight=".5pt" strokecolor="#000000">
              <v:stroke dashstyle="solid"/>
            </v:rect>
            <v:rect style="position:absolute;left:2312;top:74;width:140;height:2538" filled="true" fillcolor="#0099d9" stroked="false">
              <v:fill type="solid"/>
            </v:rect>
            <v:rect style="position:absolute;left:2312;top:74;width:140;height:2538" filled="false" stroked="true" strokeweight=".5pt" strokecolor="#000000">
              <v:stroke dashstyle="solid"/>
            </v:rect>
            <v:rect style="position:absolute;left:2455;top:704;width:140;height:1908" filled="true" fillcolor="#0099d9" stroked="false">
              <v:fill type="solid"/>
            </v:rect>
            <v:rect style="position:absolute;left:2455;top:704;width:140;height:1908" filled="false" stroked="true" strokeweight=".5pt" strokecolor="#000000">
              <v:stroke dashstyle="solid"/>
            </v:rect>
            <v:rect style="position:absolute;left:2597;top:1019;width:140;height:1593" filled="true" fillcolor="#0099d9" stroked="false">
              <v:fill type="solid"/>
            </v:rect>
            <v:rect style="position:absolute;left:2597;top:1019;width:140;height:1593" filled="false" stroked="true" strokeweight=".5pt" strokecolor="#000000">
              <v:stroke dashstyle="solid"/>
            </v:rect>
            <v:rect style="position:absolute;left:2745;top:2294;width:140;height:318" filled="true" fillcolor="#0099d9" stroked="false">
              <v:fill type="solid"/>
            </v:rect>
            <v:rect style="position:absolute;left:2745;top:2294;width:140;height:318" filled="false" stroked="true" strokeweight=".5pt" strokecolor="#000000">
              <v:stroke dashstyle="solid"/>
            </v:rect>
            <v:rect style="position:absolute;left:3036;top:1979;width:140;height:633" filled="true" fillcolor="#0099d9" stroked="false">
              <v:fill type="solid"/>
            </v:rect>
            <v:shape style="position:absolute;left:869;top:1979;width:3179;height:678" coordorigin="870,1979" coordsize="3179,678" path="m3037,1979l3176,1979,3176,2612,3037,2612,3037,1979xm956,2616l870,2616m1010,2604l1010,2657m4048,2616l3961,2616m1154,2604l1154,2657m1299,2604l1299,2657e" filled="false" stroked="true" strokeweight=".5pt" strokecolor="#000000">
              <v:path arrowok="t"/>
              <v:stroke dashstyle="solid"/>
            </v:shape>
            <v:line style="position:absolute" from="1004,2616" to="3903,2616" stroked="true" strokeweight=".5pt" strokecolor="#000000">
              <v:stroke dashstyle="solid"/>
            </v:line>
            <v:shape style="position:absolute;left:1443;top:2603;width:2460;height:54" coordorigin="1444,2604" coordsize="2460,54" path="m1444,2604l1444,2657m1588,2604l1588,2657m1733,2604l1733,2657m1878,2604l1878,2657m2022,2604l2022,2657m2167,2604l2167,2657m2312,2604l2312,2657m2456,2604l2456,2657m2601,2604l2601,2657m2746,2604l2746,2657m2891,2604l2891,2657m3035,2604l3035,2657m3180,2604l3180,2657m3325,2604l3325,2657m3469,2604l3469,2657m3614,2604l3614,2657m3759,2604l3759,2657m3903,2604l3903,2657e" filled="false" stroked="true" strokeweight=".5pt" strokecolor="#000000">
              <v:path arrowok="t"/>
              <v:stroke dashstyle="solid"/>
            </v:shape>
            <w10:wrap type="none"/>
          </v:group>
        </w:pict>
      </w:r>
      <w:r>
        <w:rPr/>
        <w:pict>
          <v:line style="position:absolute;mso-position-horizontal-relative:page;mso-position-vertical-relative:paragraph;z-index:16345088" from="47.82pt,3.885676pt" to="43.487pt,3.885676pt" stroked="true" strokeweight=".5pt" strokecolor="#000000">
            <v:stroke dashstyle="solid"/>
            <w10:wrap type="none"/>
          </v:line>
        </w:pict>
      </w:r>
      <w:r>
        <w:rPr/>
        <w:pict>
          <v:line style="position:absolute;mso-position-horizontal-relative:page;mso-position-vertical-relative:paragraph;z-index:16349184" from="202.403007pt,3.998676pt" to="198.070007pt,3.998676pt" stroked="true" strokeweight=".5pt" strokecolor="#000000">
            <v:stroke dashstyle="solid"/>
            <w10:wrap type="none"/>
          </v:line>
        </w:pict>
      </w:r>
      <w:r>
        <w:rPr>
          <w:sz w:val="12"/>
        </w:rPr>
        <w:t>8</w:t>
      </w:r>
    </w:p>
    <w:p>
      <w:pPr>
        <w:pStyle w:val="BodyText"/>
        <w:spacing w:before="5"/>
        <w:rPr>
          <w:sz w:val="15"/>
        </w:rPr>
      </w:pPr>
    </w:p>
    <w:p>
      <w:pPr>
        <w:spacing w:before="0"/>
        <w:ind w:left="3482" w:right="0" w:firstLine="0"/>
        <w:jc w:val="left"/>
        <w:rPr>
          <w:sz w:val="12"/>
        </w:rPr>
      </w:pPr>
      <w:r>
        <w:rPr/>
        <w:pict>
          <v:line style="position:absolute;mso-position-horizontal-relative:page;mso-position-vertical-relative:paragraph;z-index:16345600" from="47.82pt,3.167676pt" to="43.487pt,3.167676pt" stroked="true" strokeweight=".5pt" strokecolor="#000000">
            <v:stroke dashstyle="solid"/>
            <w10:wrap type="none"/>
          </v:line>
        </w:pict>
      </w:r>
      <w:r>
        <w:rPr/>
        <w:pict>
          <v:line style="position:absolute;mso-position-horizontal-relative:page;mso-position-vertical-relative:paragraph;z-index:16349696" from="202.403007pt,3.281676pt" to="198.070007pt,3.281676pt" stroked="true" strokeweight=".5pt" strokecolor="#000000">
            <v:stroke dashstyle="solid"/>
            <w10:wrap type="none"/>
          </v:line>
        </w:pict>
      </w:r>
      <w:r>
        <w:rPr>
          <w:sz w:val="12"/>
        </w:rPr>
        <w:t>7</w:t>
      </w:r>
    </w:p>
    <w:p>
      <w:pPr>
        <w:pStyle w:val="BodyText"/>
        <w:spacing w:before="4"/>
        <w:rPr>
          <w:sz w:val="15"/>
        </w:rPr>
      </w:pPr>
    </w:p>
    <w:p>
      <w:pPr>
        <w:spacing w:before="0"/>
        <w:ind w:left="3482" w:right="0" w:firstLine="0"/>
        <w:jc w:val="left"/>
        <w:rPr>
          <w:sz w:val="12"/>
        </w:rPr>
      </w:pPr>
      <w:r>
        <w:rPr/>
        <w:pict>
          <v:line style="position:absolute;mso-position-horizontal-relative:page;mso-position-vertical-relative:paragraph;z-index:16346112" from="47.82pt,3.834676pt" to="43.487pt,3.834676pt" stroked="true" strokeweight=".5pt" strokecolor="#000000">
            <v:stroke dashstyle="solid"/>
            <w10:wrap type="none"/>
          </v:line>
        </w:pict>
      </w:r>
      <w:r>
        <w:rPr/>
        <w:pict>
          <v:line style="position:absolute;mso-position-horizontal-relative:page;mso-position-vertical-relative:paragraph;z-index:16350208" from="202.403007pt,3.947676pt" to="198.070007pt,3.947676pt" stroked="true" strokeweight=".5pt" strokecolor="#000000">
            <v:stroke dashstyle="solid"/>
            <w10:wrap type="none"/>
          </v:line>
        </w:pict>
      </w:r>
      <w:r>
        <w:rPr>
          <w:sz w:val="12"/>
        </w:rPr>
        <w:t>6</w:t>
      </w:r>
    </w:p>
    <w:p>
      <w:pPr>
        <w:pStyle w:val="BodyText"/>
        <w:spacing w:before="5"/>
        <w:rPr>
          <w:sz w:val="15"/>
        </w:rPr>
      </w:pPr>
    </w:p>
    <w:p>
      <w:pPr>
        <w:spacing w:before="0"/>
        <w:ind w:left="3482" w:right="0" w:firstLine="0"/>
        <w:jc w:val="left"/>
        <w:rPr>
          <w:sz w:val="12"/>
        </w:rPr>
      </w:pPr>
      <w:r>
        <w:rPr/>
        <w:pict>
          <v:line style="position:absolute;mso-position-horizontal-relative:page;mso-position-vertical-relative:paragraph;z-index:16342016" from="47.82pt,3.445676pt" to="43.486pt,3.445676pt" stroked="true" strokeweight=".5pt" strokecolor="#000000">
            <v:stroke dashstyle="solid"/>
            <w10:wrap type="none"/>
          </v:line>
        </w:pict>
      </w:r>
      <w:r>
        <w:rPr/>
        <w:pict>
          <v:line style="position:absolute;mso-position-horizontal-relative:page;mso-position-vertical-relative:paragraph;z-index:16346624" from="202.403007pt,3.558676pt" to="198.070007pt,3.558676pt" stroked="true" strokeweight=".5pt" strokecolor="#000000">
            <v:stroke dashstyle="solid"/>
            <w10:wrap type="none"/>
          </v:line>
        </w:pict>
      </w:r>
      <w:r>
        <w:rPr>
          <w:sz w:val="12"/>
        </w:rPr>
        <w:t>5</w:t>
      </w:r>
    </w:p>
    <w:p>
      <w:pPr>
        <w:pStyle w:val="BodyText"/>
        <w:spacing w:before="10"/>
        <w:rPr>
          <w:sz w:val="16"/>
        </w:rPr>
      </w:pPr>
    </w:p>
    <w:p>
      <w:pPr>
        <w:spacing w:before="0"/>
        <w:ind w:left="3482" w:right="0" w:firstLine="0"/>
        <w:jc w:val="left"/>
        <w:rPr>
          <w:sz w:val="12"/>
        </w:rPr>
      </w:pPr>
      <w:r>
        <w:rPr/>
        <w:pict>
          <v:line style="position:absolute;mso-position-horizontal-relative:page;mso-position-vertical-relative:paragraph;z-index:16342528" from="47.82pt,3.552889pt" to="43.486pt,3.552889pt" stroked="true" strokeweight=".5pt" strokecolor="#000000">
            <v:stroke dashstyle="solid"/>
            <w10:wrap type="none"/>
          </v:line>
        </w:pict>
      </w:r>
      <w:r>
        <w:rPr/>
        <w:pict>
          <v:line style="position:absolute;mso-position-horizontal-relative:page;mso-position-vertical-relative:paragraph;z-index:16347136" from="202.403007pt,3.66589pt" to="198.070007pt,3.66589pt" stroked="true" strokeweight=".5pt" strokecolor="#000000">
            <v:stroke dashstyle="solid"/>
            <w10:wrap type="none"/>
          </v:line>
        </w:pict>
      </w:r>
      <w:r>
        <w:rPr>
          <w:sz w:val="12"/>
        </w:rPr>
        <w:t>4</w:t>
      </w:r>
    </w:p>
    <w:p>
      <w:pPr>
        <w:pStyle w:val="BodyText"/>
        <w:spacing w:before="5"/>
        <w:rPr>
          <w:sz w:val="15"/>
        </w:rPr>
      </w:pPr>
    </w:p>
    <w:p>
      <w:pPr>
        <w:spacing w:before="0"/>
        <w:ind w:left="3482" w:right="0" w:firstLine="0"/>
        <w:jc w:val="left"/>
        <w:rPr>
          <w:sz w:val="12"/>
        </w:rPr>
      </w:pPr>
      <w:r>
        <w:rPr/>
        <w:pict>
          <v:line style="position:absolute;mso-position-horizontal-relative:page;mso-position-vertical-relative:paragraph;z-index:16343040" from="47.82pt,3.784889pt" to="43.486pt,3.784889pt" stroked="true" strokeweight=".5pt" strokecolor="#000000">
            <v:stroke dashstyle="solid"/>
            <w10:wrap type="none"/>
          </v:line>
        </w:pict>
      </w:r>
      <w:r>
        <w:rPr/>
        <w:pict>
          <v:line style="position:absolute;mso-position-horizontal-relative:page;mso-position-vertical-relative:paragraph;z-index:16347648" from="202.403007pt,3.897889pt" to="198.070007pt,3.897889pt" stroked="true" strokeweight=".5pt" strokecolor="#000000">
            <v:stroke dashstyle="solid"/>
            <w10:wrap type="none"/>
          </v:line>
        </w:pict>
      </w:r>
      <w:r>
        <w:rPr>
          <w:sz w:val="12"/>
        </w:rPr>
        <w:t>3</w:t>
      </w:r>
    </w:p>
    <w:p>
      <w:pPr>
        <w:pStyle w:val="BodyText"/>
        <w:spacing w:before="4"/>
        <w:rPr>
          <w:sz w:val="15"/>
        </w:rPr>
      </w:pPr>
    </w:p>
    <w:p>
      <w:pPr>
        <w:spacing w:before="1"/>
        <w:ind w:left="3482" w:right="0" w:firstLine="0"/>
        <w:jc w:val="left"/>
        <w:rPr>
          <w:sz w:val="12"/>
        </w:rPr>
      </w:pPr>
      <w:r>
        <w:rPr/>
        <w:pict>
          <v:line style="position:absolute;mso-position-horizontal-relative:page;mso-position-vertical-relative:paragraph;z-index:16343552" from="47.82pt,3.551889pt" to="43.486pt,3.551889pt" stroked="true" strokeweight=".5pt" strokecolor="#000000">
            <v:stroke dashstyle="solid"/>
            <w10:wrap type="none"/>
          </v:line>
        </w:pict>
      </w:r>
      <w:r>
        <w:rPr/>
        <w:pict>
          <v:line style="position:absolute;mso-position-horizontal-relative:page;mso-position-vertical-relative:paragraph;z-index:16348160" from="202.403007pt,3.664889pt" to="198.070007pt,3.664889pt" stroked="true" strokeweight=".5pt" strokecolor="#000000">
            <v:stroke dashstyle="solid"/>
            <w10:wrap type="none"/>
          </v:line>
        </w:pict>
      </w:r>
      <w:r>
        <w:rPr>
          <w:sz w:val="12"/>
        </w:rPr>
        <w:t>2</w:t>
      </w:r>
    </w:p>
    <w:p>
      <w:pPr>
        <w:pStyle w:val="BodyText"/>
        <w:spacing w:before="4"/>
        <w:rPr>
          <w:sz w:val="15"/>
        </w:rPr>
      </w:pPr>
    </w:p>
    <w:p>
      <w:pPr>
        <w:spacing w:before="0"/>
        <w:ind w:left="3482" w:right="0" w:firstLine="0"/>
        <w:jc w:val="left"/>
        <w:rPr>
          <w:sz w:val="12"/>
        </w:rPr>
      </w:pPr>
      <w:r>
        <w:rPr/>
        <w:pict>
          <v:line style="position:absolute;mso-position-horizontal-relative:page;mso-position-vertical-relative:paragraph;z-index:16344064" from="47.82pt,3.463889pt" to="43.486pt,3.463889pt" stroked="true" strokeweight=".5pt" strokecolor="#000000">
            <v:stroke dashstyle="solid"/>
            <w10:wrap type="none"/>
          </v:line>
        </w:pict>
      </w:r>
      <w:r>
        <w:rPr/>
        <w:pict>
          <v:line style="position:absolute;mso-position-horizontal-relative:page;mso-position-vertical-relative:paragraph;z-index:16348672" from="202.403007pt,3.57689pt" to="198.070007pt,3.57689pt" stroked="true" strokeweight=".5pt" strokecolor="#000000">
            <v:stroke dashstyle="solid"/>
            <w10:wrap type="none"/>
          </v:line>
        </w:pict>
      </w:r>
      <w:r>
        <w:rPr>
          <w:sz w:val="12"/>
        </w:rPr>
        <w:t>1</w:t>
      </w:r>
    </w:p>
    <w:p>
      <w:pPr>
        <w:spacing w:after="0"/>
        <w:jc w:val="left"/>
        <w:rPr>
          <w:sz w:val="12"/>
        </w:rPr>
        <w:sectPr>
          <w:type w:val="continuous"/>
          <w:pgSz w:w="11900" w:h="16840"/>
          <w:pgMar w:top="1260" w:bottom="280" w:left="640" w:right="640"/>
        </w:sectPr>
      </w:pPr>
    </w:p>
    <w:p>
      <w:pPr>
        <w:pStyle w:val="BodyText"/>
        <w:rPr>
          <w:sz w:val="12"/>
        </w:rPr>
      </w:pPr>
    </w:p>
    <w:p>
      <w:pPr>
        <w:pStyle w:val="BodyText"/>
        <w:spacing w:before="1"/>
        <w:rPr>
          <w:sz w:val="17"/>
        </w:rPr>
      </w:pPr>
    </w:p>
    <w:p>
      <w:pPr>
        <w:spacing w:line="132" w:lineRule="exact" w:before="0"/>
        <w:ind w:left="330" w:right="0" w:firstLine="0"/>
        <w:jc w:val="left"/>
        <w:rPr>
          <w:sz w:val="12"/>
        </w:rPr>
      </w:pPr>
      <w:r>
        <w:rPr>
          <w:sz w:val="12"/>
        </w:rPr>
        <w:t>2.8 3.4 4.0 4.6</w:t>
      </w:r>
    </w:p>
    <w:p>
      <w:pPr>
        <w:pStyle w:val="BodyText"/>
        <w:rPr>
          <w:sz w:val="12"/>
        </w:rPr>
      </w:pPr>
      <w:r>
        <w:rPr/>
        <w:br w:type="column"/>
      </w:r>
      <w:r>
        <w:rPr>
          <w:sz w:val="12"/>
        </w:rPr>
      </w:r>
    </w:p>
    <w:p>
      <w:pPr>
        <w:pStyle w:val="BodyText"/>
        <w:spacing w:before="1"/>
        <w:rPr>
          <w:sz w:val="17"/>
        </w:rPr>
      </w:pPr>
    </w:p>
    <w:p>
      <w:pPr>
        <w:spacing w:line="132" w:lineRule="exact" w:before="0"/>
        <w:ind w:left="111" w:right="0" w:firstLine="0"/>
        <w:jc w:val="left"/>
        <w:rPr>
          <w:sz w:val="12"/>
        </w:rPr>
      </w:pPr>
      <w:r>
        <w:rPr>
          <w:sz w:val="12"/>
        </w:rPr>
        <w:t>5.2</w:t>
      </w:r>
    </w:p>
    <w:p>
      <w:pPr>
        <w:pStyle w:val="BodyText"/>
        <w:rPr>
          <w:sz w:val="12"/>
        </w:rPr>
      </w:pPr>
      <w:r>
        <w:rPr/>
        <w:br w:type="column"/>
      </w:r>
      <w:r>
        <w:rPr>
          <w:sz w:val="12"/>
        </w:rPr>
      </w:r>
    </w:p>
    <w:p>
      <w:pPr>
        <w:pStyle w:val="BodyText"/>
        <w:spacing w:before="1"/>
        <w:rPr>
          <w:sz w:val="17"/>
        </w:rPr>
      </w:pPr>
    </w:p>
    <w:p>
      <w:pPr>
        <w:spacing w:line="132" w:lineRule="exact" w:before="0"/>
        <w:ind w:left="113" w:right="0" w:firstLine="0"/>
        <w:jc w:val="left"/>
        <w:rPr>
          <w:sz w:val="12"/>
        </w:rPr>
      </w:pPr>
      <w:r>
        <w:rPr>
          <w:sz w:val="12"/>
        </w:rPr>
        <w:t>5.8</w:t>
      </w:r>
    </w:p>
    <w:p>
      <w:pPr>
        <w:pStyle w:val="BodyText"/>
        <w:rPr>
          <w:sz w:val="12"/>
        </w:rPr>
      </w:pPr>
      <w:r>
        <w:rPr/>
        <w:br w:type="column"/>
      </w:r>
      <w:r>
        <w:rPr>
          <w:sz w:val="12"/>
        </w:rPr>
      </w:r>
    </w:p>
    <w:p>
      <w:pPr>
        <w:pStyle w:val="BodyText"/>
        <w:spacing w:before="1"/>
        <w:rPr>
          <w:sz w:val="17"/>
        </w:rPr>
      </w:pPr>
    </w:p>
    <w:p>
      <w:pPr>
        <w:pStyle w:val="ListParagraph"/>
        <w:numPr>
          <w:ilvl w:val="1"/>
          <w:numId w:val="39"/>
        </w:numPr>
        <w:tabs>
          <w:tab w:pos="256" w:val="left" w:leader="none"/>
        </w:tabs>
        <w:spacing w:line="132" w:lineRule="exact" w:before="0" w:after="0"/>
        <w:ind w:left="256" w:right="0" w:hanging="152"/>
        <w:jc w:val="left"/>
        <w:rPr>
          <w:sz w:val="10"/>
        </w:rPr>
      </w:pPr>
      <w:r>
        <w:rPr>
          <w:sz w:val="12"/>
        </w:rPr>
        <w:t>6.4</w:t>
      </w:r>
    </w:p>
    <w:p>
      <w:pPr>
        <w:pStyle w:val="BodyText"/>
        <w:rPr>
          <w:sz w:val="12"/>
        </w:rPr>
      </w:pPr>
      <w:r>
        <w:rPr/>
        <w:br w:type="column"/>
      </w:r>
      <w:r>
        <w:rPr>
          <w:sz w:val="12"/>
        </w:rPr>
      </w:r>
    </w:p>
    <w:p>
      <w:pPr>
        <w:pStyle w:val="BodyText"/>
        <w:spacing w:before="1"/>
        <w:rPr>
          <w:sz w:val="17"/>
        </w:rPr>
      </w:pPr>
    </w:p>
    <w:p>
      <w:pPr>
        <w:spacing w:line="132" w:lineRule="exact" w:before="0"/>
        <w:ind w:left="67" w:right="0" w:firstLine="0"/>
        <w:jc w:val="left"/>
        <w:rPr>
          <w:sz w:val="12"/>
        </w:rPr>
      </w:pPr>
      <w:r>
        <w:rPr>
          <w:sz w:val="12"/>
        </w:rPr>
        <w:t>7.0</w:t>
      </w:r>
    </w:p>
    <w:p>
      <w:pPr>
        <w:pStyle w:val="BodyText"/>
        <w:rPr>
          <w:sz w:val="12"/>
        </w:rPr>
      </w:pPr>
      <w:r>
        <w:rPr/>
        <w:br w:type="column"/>
      </w:r>
      <w:r>
        <w:rPr>
          <w:sz w:val="12"/>
        </w:rPr>
      </w:r>
    </w:p>
    <w:p>
      <w:pPr>
        <w:pStyle w:val="BodyText"/>
        <w:spacing w:before="1"/>
        <w:rPr>
          <w:sz w:val="17"/>
        </w:rPr>
      </w:pPr>
    </w:p>
    <w:p>
      <w:pPr>
        <w:spacing w:line="132" w:lineRule="exact" w:before="0"/>
        <w:ind w:left="102" w:right="0" w:firstLine="0"/>
        <w:jc w:val="left"/>
        <w:rPr>
          <w:sz w:val="12"/>
        </w:rPr>
      </w:pPr>
      <w:r>
        <w:rPr>
          <w:sz w:val="12"/>
        </w:rPr>
        <w:t>7.6 8.2</w:t>
      </w:r>
    </w:p>
    <w:p>
      <w:pPr>
        <w:pStyle w:val="BodyText"/>
        <w:spacing w:before="4"/>
        <w:rPr>
          <w:sz w:val="15"/>
        </w:rPr>
      </w:pPr>
      <w:r>
        <w:rPr/>
        <w:br w:type="column"/>
      </w:r>
      <w:r>
        <w:rPr>
          <w:sz w:val="15"/>
        </w:rPr>
      </w:r>
    </w:p>
    <w:p>
      <w:pPr>
        <w:spacing w:before="1"/>
        <w:ind w:left="383" w:right="0" w:firstLine="0"/>
        <w:jc w:val="left"/>
        <w:rPr>
          <w:sz w:val="12"/>
        </w:rPr>
      </w:pPr>
      <w:r>
        <w:rPr>
          <w:sz w:val="12"/>
        </w:rPr>
        <w:t>0</w:t>
      </w:r>
    </w:p>
    <w:p>
      <w:pPr>
        <w:spacing w:line="132" w:lineRule="exact" w:before="19"/>
        <w:ind w:left="104" w:right="0" w:firstLine="0"/>
        <w:jc w:val="left"/>
        <w:rPr>
          <w:sz w:val="12"/>
        </w:rPr>
      </w:pPr>
      <w:r>
        <w:rPr>
          <w:sz w:val="12"/>
        </w:rPr>
        <w:t>8.8</w:t>
      </w:r>
    </w:p>
    <w:p>
      <w:pPr>
        <w:spacing w:after="0" w:line="132" w:lineRule="exact"/>
        <w:jc w:val="left"/>
        <w:rPr>
          <w:sz w:val="12"/>
        </w:rPr>
        <w:sectPr>
          <w:type w:val="continuous"/>
          <w:pgSz w:w="11900" w:h="16840"/>
          <w:pgMar w:top="1260" w:bottom="280" w:left="640" w:right="640"/>
          <w:cols w:num="7" w:equalWidth="0">
            <w:col w:w="1324" w:space="40"/>
            <w:col w:w="262" w:space="39"/>
            <w:col w:w="264" w:space="39"/>
            <w:col w:w="255" w:space="40"/>
            <w:col w:w="218" w:space="40"/>
            <w:col w:w="538" w:space="40"/>
            <w:col w:w="7521"/>
          </w:cols>
        </w:sectPr>
      </w:pPr>
    </w:p>
    <w:p>
      <w:pPr>
        <w:spacing w:line="133" w:lineRule="exact" w:before="0"/>
        <w:ind w:left="1363" w:right="0" w:firstLine="0"/>
        <w:jc w:val="left"/>
        <w:rPr>
          <w:sz w:val="12"/>
        </w:rPr>
      </w:pPr>
      <w:r>
        <w:rPr>
          <w:sz w:val="12"/>
        </w:rPr>
        <w:t>Range of forecasts</w:t>
      </w:r>
    </w:p>
    <w:p>
      <w:pPr>
        <w:spacing w:before="84"/>
        <w:ind w:left="174" w:right="0" w:firstLine="0"/>
        <w:jc w:val="left"/>
        <w:rPr>
          <w:sz w:val="12"/>
        </w:rPr>
      </w:pPr>
      <w:r>
        <w:rPr>
          <w:sz w:val="12"/>
        </w:rPr>
        <w:t>Source: Survey of 25 outside forecasters as of 21 July 2000.</w:t>
      </w:r>
    </w:p>
    <w:p>
      <w:pPr>
        <w:pStyle w:val="BodyText"/>
        <w:rPr>
          <w:sz w:val="12"/>
        </w:rPr>
      </w:pPr>
    </w:p>
    <w:p>
      <w:pPr>
        <w:pStyle w:val="Heading6"/>
        <w:spacing w:before="95"/>
        <w:ind w:left="184"/>
      </w:pPr>
      <w:r>
        <w:rPr>
          <w:color w:val="0092C7"/>
        </w:rPr>
        <w:t>Chart 6.10</w:t>
      </w:r>
    </w:p>
    <w:p>
      <w:pPr>
        <w:pStyle w:val="Heading6"/>
        <w:spacing w:line="249" w:lineRule="auto"/>
        <w:ind w:left="184" w:right="7073"/>
      </w:pPr>
      <w:r>
        <w:rPr>
          <w:color w:val="0092C7"/>
        </w:rPr>
        <w:t>Distribution</w:t>
      </w:r>
      <w:r>
        <w:rPr>
          <w:color w:val="0092C7"/>
          <w:spacing w:val="-10"/>
        </w:rPr>
        <w:t> </w:t>
      </w:r>
      <w:r>
        <w:rPr>
          <w:color w:val="0092C7"/>
        </w:rPr>
        <w:t>of</w:t>
      </w:r>
      <w:r>
        <w:rPr>
          <w:color w:val="0092C7"/>
          <w:spacing w:val="-10"/>
        </w:rPr>
        <w:t> </w:t>
      </w:r>
      <w:r>
        <w:rPr>
          <w:color w:val="0092C7"/>
        </w:rPr>
        <w:t>sterling</w:t>
      </w:r>
      <w:r>
        <w:rPr>
          <w:color w:val="0092C7"/>
          <w:spacing w:val="-9"/>
        </w:rPr>
        <w:t> </w:t>
      </w:r>
      <w:r>
        <w:rPr>
          <w:color w:val="0092C7"/>
        </w:rPr>
        <w:t>ERI</w:t>
      </w:r>
      <w:r>
        <w:rPr>
          <w:color w:val="0092C7"/>
          <w:spacing w:val="-10"/>
        </w:rPr>
        <w:t> </w:t>
      </w:r>
      <w:r>
        <w:rPr>
          <w:color w:val="0092C7"/>
        </w:rPr>
        <w:t>forecasts for 2002</w:t>
      </w:r>
      <w:r>
        <w:rPr>
          <w:color w:val="0092C7"/>
          <w:spacing w:val="-1"/>
        </w:rPr>
        <w:t> </w:t>
      </w:r>
      <w:r>
        <w:rPr>
          <w:color w:val="0092C7"/>
        </w:rPr>
        <w:t>Q3</w:t>
      </w:r>
    </w:p>
    <w:p>
      <w:pPr>
        <w:spacing w:line="114" w:lineRule="exact" w:before="106"/>
        <w:ind w:left="2386" w:right="0" w:firstLine="0"/>
        <w:jc w:val="left"/>
        <w:rPr>
          <w:sz w:val="12"/>
        </w:rPr>
      </w:pPr>
      <w:r>
        <w:rPr>
          <w:sz w:val="12"/>
        </w:rPr>
        <w:t>Number of forecasts</w:t>
      </w:r>
    </w:p>
    <w:p>
      <w:pPr>
        <w:spacing w:line="114" w:lineRule="exact" w:before="0"/>
        <w:ind w:left="3421" w:right="0" w:firstLine="0"/>
        <w:jc w:val="left"/>
        <w:rPr>
          <w:sz w:val="12"/>
        </w:rPr>
      </w:pPr>
      <w:r>
        <w:rPr/>
        <w:pict>
          <v:line style="position:absolute;mso-position-horizontal-relative:page;mso-position-vertical-relative:paragraph;z-index:16354304" from="47.735001pt,2.491693pt" to="43.401001pt,2.491693pt" stroked="true" strokeweight=".5pt" strokecolor="#000000">
            <v:stroke dashstyle="solid"/>
            <w10:wrap type="none"/>
          </v:line>
        </w:pict>
      </w:r>
      <w:r>
        <w:rPr/>
        <w:pict>
          <v:line style="position:absolute;mso-position-horizontal-relative:page;mso-position-vertical-relative:paragraph;z-index:16357376" from="200.0pt,2.463693pt" to="195.666pt,2.463693pt" stroked="true" strokeweight=".5pt" strokecolor="#000000">
            <v:stroke dashstyle="solid"/>
            <w10:wrap type="none"/>
          </v:line>
        </w:pict>
      </w:r>
      <w:r>
        <w:rPr>
          <w:sz w:val="12"/>
        </w:rPr>
        <w:t>6</w:t>
      </w:r>
    </w:p>
    <w:p>
      <w:pPr>
        <w:pStyle w:val="BodyText"/>
        <w:spacing w:before="3"/>
        <w:rPr>
          <w:sz w:val="21"/>
        </w:rPr>
      </w:pPr>
    </w:p>
    <w:p>
      <w:pPr>
        <w:spacing w:before="95"/>
        <w:ind w:left="3421" w:right="0" w:firstLine="0"/>
        <w:jc w:val="left"/>
        <w:rPr>
          <w:sz w:val="12"/>
        </w:rPr>
      </w:pPr>
      <w:r>
        <w:rPr/>
        <w:pict>
          <v:group style="position:absolute;margin-left:51.645pt;margin-top:7.847076pt;width:148.4pt;height:121.25pt;mso-position-horizontal-relative:page;mso-position-vertical-relative:paragraph;z-index:16350720" coordorigin="1033,157" coordsize="2968,2425">
            <v:rect style="position:absolute;left:2011;top:1576;width:135;height:958" filled="true" fillcolor="#9ed01a" stroked="false">
              <v:fill type="solid"/>
            </v:rect>
            <v:rect style="position:absolute;left:2011;top:1576;width:135;height:958" filled="false" stroked="true" strokeweight=".5pt" strokecolor="#000000">
              <v:stroke dashstyle="solid"/>
            </v:rect>
            <v:rect style="position:absolute;left:2154;top:639;width:138;height:1895" filled="true" fillcolor="#9ed01a" stroked="false">
              <v:fill type="solid"/>
            </v:rect>
            <v:rect style="position:absolute;left:2154;top:639;width:138;height:1895" filled="false" stroked="true" strokeweight=".5pt" strokecolor="#000000">
              <v:stroke dashstyle="solid"/>
            </v:rect>
            <v:rect style="position:absolute;left:2299;top:639;width:135;height:1895" filled="true" fillcolor="#9ed01a" stroked="false">
              <v:fill type="solid"/>
            </v:rect>
            <v:rect style="position:absolute;left:2299;top:639;width:135;height:1895" filled="false" stroked="true" strokeweight=".5pt" strokecolor="#000000">
              <v:stroke dashstyle="solid"/>
            </v:rect>
            <v:rect style="position:absolute;left:2441;top:161;width:128;height:2373" filled="true" fillcolor="#9ed01a" stroked="false">
              <v:fill type="solid"/>
            </v:rect>
            <v:rect style="position:absolute;left:2441;top:161;width:128;height:2373" filled="false" stroked="true" strokeweight=".5pt" strokecolor="#000000">
              <v:stroke dashstyle="solid"/>
            </v:rect>
            <v:rect style="position:absolute;left:2576;top:161;width:135;height:2373" filled="true" fillcolor="#9ed01a" stroked="false">
              <v:fill type="solid"/>
            </v:rect>
            <v:rect style="position:absolute;left:2576;top:161;width:135;height:2373" filled="false" stroked="true" strokeweight=".5pt" strokecolor="#000000">
              <v:stroke dashstyle="solid"/>
            </v:rect>
            <v:rect style="position:absolute;left:2719;top:1576;width:135;height:958" filled="true" fillcolor="#9ed01a" stroked="false">
              <v:fill type="solid"/>
            </v:rect>
            <v:rect style="position:absolute;left:2719;top:1576;width:135;height:958" filled="false" stroked="true" strokeweight=".5pt" strokecolor="#000000">
              <v:stroke dashstyle="solid"/>
            </v:rect>
            <v:rect style="position:absolute;left:2861;top:2054;width:138;height:480" filled="true" fillcolor="#9ed01a" stroked="false">
              <v:fill type="solid"/>
            </v:rect>
            <v:shape style="position:absolute;left:1037;top:2054;width:2963;height:527" coordorigin="1038,2054" coordsize="2963,527" path="m2862,2054l2999,2054,2999,2534,2862,2534,2862,2054xm1038,2528l1038,2581m3844,2528l3844,2581m4000,2530l3913,2530m1178,2528l1178,2581m1319,2528l1319,2581e" filled="false" stroked="true" strokeweight=".5pt" strokecolor="#000000">
              <v:path arrowok="t"/>
              <v:stroke dashstyle="solid"/>
            </v:shape>
            <v:line style="position:absolute" from="1033,2533" to="3843,2533" stroked="true" strokeweight=".5pt" strokecolor="#000000">
              <v:stroke dashstyle="solid"/>
            </v:line>
            <v:shape style="position:absolute;left:1458;top:2528;width:2246;height:54" coordorigin="1459,2528" coordsize="2246,54" path="m1459,2528l1459,2581m1599,2528l1599,2581m1740,2528l1740,2581m1880,2528l1880,2581m2020,2528l2020,2581m2160,2528l2160,2581m2301,2528l2301,2581m2441,2528l2441,2581m2581,2528l2581,2581m2722,2528l2722,2581m2862,2528l2862,2581m3002,2528l3002,2581m3143,2528l3143,2581m3283,2528l3283,2581m3423,2528l3423,2581m3564,2528l3564,2581m3704,2528l3704,2581e" filled="false" stroked="true" strokeweight=".5pt" strokecolor="#000000">
              <v:path arrowok="t"/>
              <v:stroke dashstyle="solid"/>
            </v:shape>
            <w10:wrap type="none"/>
          </v:group>
        </w:pict>
      </w:r>
      <w:r>
        <w:rPr/>
        <w:pict>
          <v:line style="position:absolute;mso-position-horizontal-relative:page;mso-position-vertical-relative:paragraph;z-index:16351232" from="47.735001pt,8.335076pt" to="43.401001pt,8.335076pt" stroked="true" strokeweight=".5pt" strokecolor="#000000">
            <v:stroke dashstyle="solid"/>
            <w10:wrap type="none"/>
          </v:line>
        </w:pict>
      </w:r>
      <w:r>
        <w:rPr/>
        <w:pict>
          <v:line style="position:absolute;mso-position-horizontal-relative:page;mso-position-vertical-relative:paragraph;z-index:16354816" from="200.0pt,8.307076pt" to="195.666pt,8.307076pt" stroked="true" strokeweight=".5pt" strokecolor="#000000">
            <v:stroke dashstyle="solid"/>
            <w10:wrap type="none"/>
          </v:line>
        </w:pict>
      </w:r>
      <w:r>
        <w:rPr>
          <w:sz w:val="12"/>
        </w:rPr>
        <w:t>5</w:t>
      </w:r>
    </w:p>
    <w:p>
      <w:pPr>
        <w:pStyle w:val="BodyText"/>
        <w:spacing w:before="3"/>
        <w:rPr>
          <w:sz w:val="21"/>
        </w:rPr>
      </w:pPr>
    </w:p>
    <w:p>
      <w:pPr>
        <w:spacing w:before="95"/>
        <w:ind w:left="3421" w:right="0" w:firstLine="0"/>
        <w:jc w:val="left"/>
        <w:rPr>
          <w:sz w:val="12"/>
        </w:rPr>
      </w:pPr>
      <w:r>
        <w:rPr/>
        <w:pict>
          <v:line style="position:absolute;mso-position-horizontal-relative:page;mso-position-vertical-relative:paragraph;z-index:16351744" from="47.735001pt,8.136878pt" to="43.401001pt,8.136878pt" stroked="true" strokeweight=".5pt" strokecolor="#000000">
            <v:stroke dashstyle="solid"/>
            <w10:wrap type="none"/>
          </v:line>
        </w:pict>
      </w:r>
      <w:r>
        <w:rPr/>
        <w:pict>
          <v:line style="position:absolute;mso-position-horizontal-relative:page;mso-position-vertical-relative:paragraph;z-index:16355328" from="200.0pt,8.108878pt" to="195.666pt,8.108878pt" stroked="true" strokeweight=".5pt" strokecolor="#000000">
            <v:stroke dashstyle="solid"/>
            <w10:wrap type="none"/>
          </v:line>
        </w:pict>
      </w:r>
      <w:r>
        <w:rPr>
          <w:sz w:val="12"/>
        </w:rPr>
        <w:t>4</w:t>
      </w:r>
    </w:p>
    <w:p>
      <w:pPr>
        <w:pStyle w:val="BodyText"/>
        <w:spacing w:before="1"/>
        <w:rPr>
          <w:sz w:val="21"/>
        </w:rPr>
      </w:pPr>
    </w:p>
    <w:p>
      <w:pPr>
        <w:spacing w:before="95"/>
        <w:ind w:left="3421" w:right="0" w:firstLine="0"/>
        <w:jc w:val="left"/>
        <w:rPr>
          <w:sz w:val="12"/>
        </w:rPr>
      </w:pPr>
      <w:r>
        <w:rPr/>
        <w:pict>
          <v:line style="position:absolute;mso-position-horizontal-relative:page;mso-position-vertical-relative:paragraph;z-index:16352256" from="47.735001pt,8.377076pt" to="43.401001pt,8.377076pt" stroked="true" strokeweight=".5pt" strokecolor="#000000">
            <v:stroke dashstyle="solid"/>
            <w10:wrap type="none"/>
          </v:line>
        </w:pict>
      </w:r>
      <w:r>
        <w:rPr/>
        <w:pict>
          <v:line style="position:absolute;mso-position-horizontal-relative:page;mso-position-vertical-relative:paragraph;z-index:16355840" from="200.0pt,8.348077pt" to="195.666pt,8.348077pt" stroked="true" strokeweight=".5pt" strokecolor="#000000">
            <v:stroke dashstyle="solid"/>
            <w10:wrap type="none"/>
          </v:line>
        </w:pict>
      </w:r>
      <w:r>
        <w:rPr>
          <w:sz w:val="12"/>
        </w:rPr>
        <w:t>3</w:t>
      </w:r>
    </w:p>
    <w:p>
      <w:pPr>
        <w:pStyle w:val="BodyText"/>
        <w:spacing w:before="11"/>
        <w:rPr>
          <w:sz w:val="19"/>
        </w:rPr>
      </w:pPr>
    </w:p>
    <w:p>
      <w:pPr>
        <w:spacing w:before="95"/>
        <w:ind w:left="3421" w:right="0" w:firstLine="0"/>
        <w:jc w:val="left"/>
        <w:rPr>
          <w:sz w:val="12"/>
        </w:rPr>
      </w:pPr>
      <w:r>
        <w:rPr/>
        <w:pict>
          <v:line style="position:absolute;mso-position-horizontal-relative:page;mso-position-vertical-relative:paragraph;z-index:16352768" from="47.735001pt,7.864878pt" to="43.401001pt,7.864878pt" stroked="true" strokeweight=".5pt" strokecolor="#000000">
            <v:stroke dashstyle="solid"/>
            <w10:wrap type="none"/>
          </v:line>
        </w:pict>
      </w:r>
      <w:r>
        <w:rPr/>
        <w:pict>
          <v:line style="position:absolute;mso-position-horizontal-relative:page;mso-position-vertical-relative:paragraph;z-index:16356352" from="200.0pt,7.835878pt" to="195.666pt,7.835878pt" stroked="true" strokeweight=".5pt" strokecolor="#000000">
            <v:stroke dashstyle="solid"/>
            <w10:wrap type="none"/>
          </v:line>
        </w:pict>
      </w:r>
      <w:r>
        <w:rPr>
          <w:sz w:val="12"/>
        </w:rPr>
        <w:t>2</w:t>
      </w:r>
    </w:p>
    <w:p>
      <w:pPr>
        <w:pStyle w:val="BodyText"/>
        <w:spacing w:before="3"/>
        <w:rPr>
          <w:sz w:val="21"/>
        </w:rPr>
      </w:pPr>
    </w:p>
    <w:p>
      <w:pPr>
        <w:spacing w:before="95"/>
        <w:ind w:left="3421" w:right="0" w:firstLine="0"/>
        <w:jc w:val="left"/>
        <w:rPr>
          <w:sz w:val="12"/>
        </w:rPr>
      </w:pPr>
      <w:r>
        <w:rPr/>
        <w:pict>
          <v:line style="position:absolute;mso-position-horizontal-relative:page;mso-position-vertical-relative:paragraph;z-index:16353280" from="47.735001pt,8.581679pt" to="43.401001pt,8.581679pt" stroked="true" strokeweight=".5pt" strokecolor="#000000">
            <v:stroke dashstyle="solid"/>
            <w10:wrap type="none"/>
          </v:line>
        </w:pict>
      </w:r>
      <w:r>
        <w:rPr/>
        <w:pict>
          <v:line style="position:absolute;mso-position-horizontal-relative:page;mso-position-vertical-relative:paragraph;z-index:16356864" from="200.0pt,8.553679pt" to="195.666pt,8.553679pt" stroked="true" strokeweight=".5pt" strokecolor="#000000">
            <v:stroke dashstyle="solid"/>
            <w10:wrap type="none"/>
          </v:line>
        </w:pict>
      </w:r>
      <w:r>
        <w:rPr>
          <w:sz w:val="12"/>
        </w:rPr>
        <w:t>1</w:t>
      </w:r>
    </w:p>
    <w:p>
      <w:pPr>
        <w:pStyle w:val="BodyText"/>
        <w:spacing w:before="3"/>
        <w:rPr>
          <w:sz w:val="21"/>
        </w:rPr>
      </w:pPr>
    </w:p>
    <w:p>
      <w:pPr>
        <w:spacing w:before="95"/>
        <w:ind w:left="3421" w:right="0" w:firstLine="0"/>
        <w:jc w:val="left"/>
        <w:rPr>
          <w:sz w:val="12"/>
        </w:rPr>
      </w:pPr>
      <w:r>
        <w:rPr/>
        <w:pict>
          <v:line style="position:absolute;mso-position-horizontal-relative:page;mso-position-vertical-relative:paragraph;z-index:16353792" from="47.735001pt,8.028481pt" to="43.401001pt,8.028481pt" stroked="true" strokeweight=".5pt" strokecolor="#000000">
            <v:stroke dashstyle="solid"/>
            <w10:wrap type="none"/>
          </v:line>
        </w:pict>
      </w:r>
      <w:r>
        <w:rPr>
          <w:sz w:val="12"/>
        </w:rPr>
        <w:t>0</w:t>
      </w:r>
    </w:p>
    <w:p>
      <w:pPr>
        <w:spacing w:before="4"/>
        <w:ind w:left="340" w:right="0" w:firstLine="0"/>
        <w:jc w:val="left"/>
        <w:rPr>
          <w:sz w:val="12"/>
        </w:rPr>
      </w:pPr>
      <w:r>
        <w:rPr>
          <w:sz w:val="12"/>
        </w:rPr>
        <w:t>80 84 88 92 96 100 104 108 112 116 120</w:t>
      </w:r>
    </w:p>
    <w:p>
      <w:pPr>
        <w:spacing w:before="12"/>
        <w:ind w:left="1432" w:right="0" w:firstLine="0"/>
        <w:jc w:val="left"/>
        <w:rPr>
          <w:sz w:val="12"/>
        </w:rPr>
      </w:pPr>
      <w:r>
        <w:rPr>
          <w:sz w:val="12"/>
        </w:rPr>
        <w:t>Range of forecasts</w:t>
      </w:r>
    </w:p>
    <w:p>
      <w:pPr>
        <w:pStyle w:val="BodyText"/>
        <w:spacing w:before="9"/>
        <w:rPr>
          <w:sz w:val="11"/>
        </w:rPr>
      </w:pPr>
    </w:p>
    <w:p>
      <w:pPr>
        <w:spacing w:before="1"/>
        <w:ind w:left="174" w:right="0" w:firstLine="0"/>
        <w:jc w:val="left"/>
        <w:rPr>
          <w:sz w:val="12"/>
        </w:rPr>
      </w:pPr>
      <w:r>
        <w:rPr>
          <w:sz w:val="12"/>
        </w:rPr>
        <w:t>Source: Survey of 23 outside forecasters as of 21 July 2000.</w:t>
      </w:r>
    </w:p>
    <w:p>
      <w:pPr>
        <w:spacing w:after="0"/>
        <w:jc w:val="left"/>
        <w:rPr>
          <w:sz w:val="12"/>
        </w:rPr>
        <w:sectPr>
          <w:type w:val="continuous"/>
          <w:pgSz w:w="11900" w:h="16840"/>
          <w:pgMar w:top="1260" w:bottom="280" w:left="640" w:right="640"/>
        </w:sectPr>
      </w:pPr>
    </w:p>
    <w:p>
      <w:pPr>
        <w:pStyle w:val="BodyText"/>
        <w:rPr>
          <w:sz w:val="20"/>
        </w:rPr>
      </w:pPr>
    </w:p>
    <w:p>
      <w:pPr>
        <w:pStyle w:val="BodyText"/>
        <w:spacing w:before="10"/>
      </w:pPr>
    </w:p>
    <w:p>
      <w:pPr>
        <w:spacing w:before="90"/>
        <w:ind w:left="1975" w:right="1982" w:firstLine="0"/>
        <w:jc w:val="center"/>
        <w:rPr>
          <w:b/>
          <w:sz w:val="24"/>
        </w:rPr>
      </w:pPr>
      <w:bookmarkStart w:name="The MPC’s forecasting record" w:id="83"/>
      <w:bookmarkEnd w:id="83"/>
      <w:r>
        <w:rPr/>
      </w:r>
      <w:bookmarkStart w:name="_bookmark35" w:id="84"/>
      <w:bookmarkEnd w:id="84"/>
      <w:r>
        <w:rPr/>
      </w:r>
      <w:bookmarkStart w:name="_bookmark36" w:id="85"/>
      <w:bookmarkEnd w:id="85"/>
      <w:r>
        <w:rPr/>
      </w:r>
      <w:r>
        <w:rPr>
          <w:b/>
          <w:color w:val="009391"/>
          <w:sz w:val="24"/>
        </w:rPr>
        <w:t>The MPC’s forecasting record</w:t>
      </w:r>
    </w:p>
    <w:p>
      <w:pPr>
        <w:pStyle w:val="BodyText"/>
        <w:rPr>
          <w:b/>
          <w:sz w:val="20"/>
        </w:rPr>
      </w:pPr>
    </w:p>
    <w:p>
      <w:pPr>
        <w:spacing w:after="0"/>
        <w:rPr>
          <w:sz w:val="20"/>
        </w:rPr>
        <w:sectPr>
          <w:headerReference w:type="default" r:id="rId192"/>
          <w:headerReference w:type="even" r:id="rId193"/>
          <w:footerReference w:type="default" r:id="rId194"/>
          <w:footerReference w:type="even" r:id="rId195"/>
          <w:pgSz w:w="11900" w:h="16840"/>
          <w:pgMar w:header="586" w:footer="612" w:top="780" w:bottom="800" w:left="640" w:right="640"/>
          <w:pgNumType w:start="63"/>
        </w:sectPr>
      </w:pPr>
    </w:p>
    <w:p>
      <w:pPr>
        <w:spacing w:line="242" w:lineRule="auto" w:before="224"/>
        <w:ind w:left="405" w:right="17" w:firstLine="0"/>
        <w:jc w:val="left"/>
        <w:rPr>
          <w:sz w:val="24"/>
        </w:rPr>
      </w:pPr>
      <w:r>
        <w:rPr/>
        <w:pict>
          <v:group style="position:absolute;margin-left:39.279999pt;margin-top:40.5pt;width:518pt;height:741pt;mso-position-horizontal-relative:page;mso-position-vertical-relative:page;z-index:-22939648" coordorigin="786,810" coordsize="10360,14820">
            <v:shape style="position:absolute;left:795;top:820;width:10340;height:14800" coordorigin="796,820" coordsize="10340,14800" path="m11136,820l5972,820,5959,820,796,820,796,8206,796,8234,796,15620,5958,15620,5972,15620,11136,15620,11136,8234,11136,8206,11136,820xe" filled="true" fillcolor="#d7e8e7" stroked="false">
              <v:path arrowok="t"/>
              <v:fill type="solid"/>
            </v:shape>
            <v:shape style="position:absolute;left:885;top:952;width:10161;height:14535" coordorigin="885,953" coordsize="10161,14535" path="m5965,953l885,8220,5965,15487,11046,8220,5965,953xe" filled="true" fillcolor="#d9e8e7" stroked="false">
              <v:path arrowok="t"/>
              <v:fill type="solid"/>
            </v:shape>
            <v:shape style="position:absolute;left:984;top:1095;width:9962;height:14250" coordorigin="985,1095" coordsize="9962,14250" path="m5965,1095l985,8220,5965,15345,10946,8220,5965,1095xe" filled="true" fillcolor="#dae9e8" stroked="false">
              <v:path arrowok="t"/>
              <v:fill type="solid"/>
            </v:shape>
            <v:shape style="position:absolute;left:1084;top:1237;width:9763;height:13965" coordorigin="1084,1238" coordsize="9763,13965" path="m5965,1238l1084,8220,5965,15202,10846,8220,5965,1238xe" filled="true" fillcolor="#daeae8" stroked="false">
              <v:path arrowok="t"/>
              <v:fill type="solid"/>
            </v:shape>
            <v:shape style="position:absolute;left:1183;top:1380;width:9563;height:13680" coordorigin="1184,1380" coordsize="9563,13680" path="m5965,1380l1184,8220,5965,15060,10747,8220,5965,1380xe" filled="true" fillcolor="#dbeae8" stroked="false">
              <v:path arrowok="t"/>
              <v:fill type="solid"/>
            </v:shape>
            <v:shape style="position:absolute;left:1283;top:1522;width:9364;height:13395" coordorigin="1284,1523" coordsize="9364,13395" path="m5965,1523l1284,8220,5965,14917,10647,8220,5965,1523xe" filled="true" fillcolor="#dcebe9" stroked="false">
              <v:path arrowok="t"/>
              <v:fill type="solid"/>
            </v:shape>
            <v:shape style="position:absolute;left:1383;top:1665;width:9165;height:13110" coordorigin="1383,1665" coordsize="9165,13110" path="m5965,1665l1383,8220,5965,14775,10548,8220,5965,1665xe" filled="true" fillcolor="#ddebe9" stroked="false">
              <v:path arrowok="t"/>
              <v:fill type="solid"/>
            </v:shape>
            <v:shape style="position:absolute;left:1482;top:1807;width:8966;height:12825" coordorigin="1483,1808" coordsize="8966,12825" path="m5965,1808l1483,8220,5965,14633,10448,8220,5965,1808xe" filled="true" fillcolor="#ddebea" stroked="false">
              <v:path arrowok="t"/>
              <v:fill type="solid"/>
            </v:shape>
            <v:shape style="position:absolute;left:1582;top:1950;width:8766;height:12540" coordorigin="1582,1950" coordsize="8766,12540" path="m5965,1950l1582,8220,5965,14490,10348,8220,5965,1950xe" filled="true" fillcolor="#dfebea" stroked="false">
              <v:path arrowok="t"/>
              <v:fill type="solid"/>
            </v:shape>
            <v:shape style="position:absolute;left:1682;top:2092;width:8567;height:12255" coordorigin="1682,2093" coordsize="8567,12255" path="m10249,8220l5965,2093,1682,8220,5965,14348,10249,8220xe" filled="true" fillcolor="#dfeceb" stroked="false">
              <v:path arrowok="t"/>
              <v:fill type="solid"/>
            </v:shape>
            <v:shape style="position:absolute;left:1881;top:2377;width:8169;height:11685" coordorigin="1881,2378" coordsize="8169,11685" path="m5965,2378l1881,8220,5965,14063,10050,8220,5965,2378xe" filled="true" fillcolor="#e0eceb" stroked="false">
              <v:path arrowok="t"/>
              <v:fill type="solid"/>
            </v:shape>
            <v:shape style="position:absolute;left:1980;top:2520;width:7970;height:11400" coordorigin="1981,2520" coordsize="7970,11400" path="m5965,2520l1981,8220,5965,13920,9950,8220,5965,2520xe" filled="true" fillcolor="#e0edeb" stroked="false">
              <v:path arrowok="t"/>
              <v:fill type="solid"/>
            </v:shape>
            <v:shape style="position:absolute;left:2080;top:2662;width:7770;height:11115" coordorigin="2080,2663" coordsize="7770,11115" path="m5965,2663l2080,8220,5965,13778,9850,8220,5965,2663xe" filled="true" fillcolor="#e1edeb" stroked="false">
              <v:path arrowok="t"/>
              <v:fill type="solid"/>
            </v:shape>
            <v:shape style="position:absolute;left:2180;top:2805;width:7571;height:10830" coordorigin="2180,2805" coordsize="7571,10830" path="m5965,2805l2180,8220,5965,13635,9751,8220,5965,2805xe" filled="true" fillcolor="#e2edec" stroked="false">
              <v:path arrowok="t"/>
              <v:fill type="solid"/>
            </v:shape>
            <v:shape style="position:absolute;left:2279;top:2947;width:7372;height:10545" coordorigin="2280,2948" coordsize="7372,10545" path="m5965,2948l2280,8220,5965,13493,9651,8220,5965,2948xe" filled="true" fillcolor="#e3eeec" stroked="false">
              <v:path arrowok="t"/>
              <v:fill type="solid"/>
            </v:shape>
            <v:shape style="position:absolute;left:2379;top:3090;width:7173;height:10260" coordorigin="2379,3090" coordsize="7173,10260" path="m5965,3090l2379,8220,5965,13350,9551,8220,5965,3090xe" filled="true" fillcolor="#e4efed" stroked="false">
              <v:path arrowok="t"/>
              <v:fill type="solid"/>
            </v:shape>
            <v:shape style="position:absolute;left:2478;top:3232;width:6973;height:9975" coordorigin="2479,3233" coordsize="6973,9975" path="m5965,3233l2479,8220,5965,13208,9452,8220,5965,3233xe" filled="true" fillcolor="#e6efed" stroked="false">
              <v:path arrowok="t"/>
              <v:fill type="solid"/>
            </v:shape>
            <v:shape style="position:absolute;left:2578;top:3375;width:6774;height:9690" coordorigin="2579,3375" coordsize="6774,9690" path="m5965,3375l2579,8220,5965,13065,9352,8220,5965,3375xe" filled="true" fillcolor="#e6efee" stroked="false">
              <v:path arrowok="t"/>
              <v:fill type="solid"/>
            </v:shape>
            <v:shape style="position:absolute;left:2678;top:3517;width:6575;height:9405" coordorigin="2678,3518" coordsize="6575,9405" path="m5965,3518l2678,8220,5965,12923,9253,8220,5965,3518xe" filled="true" fillcolor="#e7f0ee" stroked="false">
              <v:path arrowok="t"/>
              <v:fill type="solid"/>
            </v:shape>
            <v:shape style="position:absolute;left:2777;top:3660;width:6376;height:9120" coordorigin="2778,3660" coordsize="6376,9120" path="m9153,8220l5965,3660,2778,8220,5965,12780,9153,8220xe" filled="true" fillcolor="#e8f0ee" stroked="false">
              <v:path arrowok="t"/>
              <v:fill type="solid"/>
            </v:shape>
            <v:shape style="position:absolute;left:2977;top:3945;width:5977;height:8550" coordorigin="2977,3945" coordsize="5977,8550" path="m5965,3945l2977,8220,5965,12495,8954,8220,5965,3945xe" filled="true" fillcolor="#eaf1f0" stroked="false">
              <v:path arrowok="t"/>
              <v:fill type="solid"/>
            </v:shape>
            <v:shape style="position:absolute;left:3076;top:4087;width:5778;height:8265" coordorigin="3077,4088" coordsize="5778,8265" path="m8854,8220l5965,4088,3077,8220,5965,12353,8854,8220xe" filled="true" fillcolor="#ebf3f0" stroked="false">
              <v:path arrowok="t"/>
              <v:fill type="solid"/>
            </v:shape>
            <v:shape style="position:absolute;left:3275;top:4372;width:5380;height:7695" coordorigin="3276,4373" coordsize="5380,7695" path="m5965,4373l3276,8220,5965,12068,8655,8220,5965,4373xe" filled="true" fillcolor="#ebf4f1" stroked="false">
              <v:path arrowok="t"/>
              <v:fill type="solid"/>
            </v:shape>
            <v:shape style="position:absolute;left:3375;top:4515;width:5180;height:7410" coordorigin="3375,4515" coordsize="5180,7410" path="m5965,4515l3375,8220,5965,11925,8555,8220,5965,4515xe" filled="true" fillcolor="#ecf4f1" stroked="false">
              <v:path arrowok="t"/>
              <v:fill type="solid"/>
            </v:shape>
            <v:shape style="position:absolute;left:3475;top:4657;width:4981;height:7125" coordorigin="3475,4658" coordsize="4981,7125" path="m5965,4658l3475,8220,5965,11783,8456,8220,5965,4658xe" filled="true" fillcolor="#ecf4f3" stroked="false">
              <v:path arrowok="t"/>
              <v:fill type="solid"/>
            </v:shape>
            <v:shape style="position:absolute;left:3574;top:4800;width:4782;height:6840" coordorigin="3575,4800" coordsize="4782,6840" path="m5965,4800l3575,8220,5965,11640,8356,8220,5965,4800xe" filled="true" fillcolor="#edf5f3" stroked="false">
              <v:path arrowok="t"/>
              <v:fill type="solid"/>
            </v:shape>
            <v:shape style="position:absolute;left:3674;top:4942;width:4583;height:6555" coordorigin="3674,4943" coordsize="4583,6555" path="m5965,4943l3674,8220,5965,11498,8257,8220,5965,4943xe" filled="true" fillcolor="#eef5f4" stroked="false">
              <v:path arrowok="t"/>
              <v:fill type="solid"/>
            </v:shape>
            <v:shape style="position:absolute;left:3773;top:5085;width:4383;height:6270" coordorigin="3774,5085" coordsize="4383,6270" path="m5965,5085l3774,8220,5965,11355,8157,8220,5965,5085xe" filled="true" fillcolor="#eff6f4" stroked="false">
              <v:path arrowok="t"/>
              <v:fill type="solid"/>
            </v:shape>
            <v:shape style="position:absolute;left:3873;top:5227;width:4184;height:5985" coordorigin="3874,5228" coordsize="4184,5985" path="m5965,5228l3874,8220,5965,11213,8057,8220,5965,5228xe" filled="true" fillcolor="#eff6f5" stroked="false">
              <v:path arrowok="t"/>
              <v:fill type="solid"/>
            </v:shape>
            <v:shape style="position:absolute;left:3973;top:5370;width:3985;height:5700" coordorigin="3973,5370" coordsize="3985,5700" path="m5965,5370l3973,8220,5965,11070,7958,8220,5965,5370xe" filled="true" fillcolor="#f0f7f6" stroked="false">
              <v:path arrowok="t"/>
              <v:fill type="solid"/>
            </v:shape>
            <v:shape style="position:absolute;left:4072;top:5512;width:3786;height:5415" coordorigin="4073,5513" coordsize="3786,5415" path="m7858,8220l5965,5513,4073,8220,5965,10928,7858,8220xe" filled="true" fillcolor="#f1f7f6" stroked="false">
              <v:path arrowok="t"/>
              <v:fill type="solid"/>
            </v:shape>
            <v:shape style="position:absolute;left:4271;top:5797;width:3387;height:4845" coordorigin="4272,5798" coordsize="3387,4845" path="m5965,5798l4272,8220,5965,10643,7659,8220,5965,5798xe" filled="true" fillcolor="#f4f8f7" stroked="false">
              <v:path arrowok="t"/>
              <v:fill type="solid"/>
            </v:shape>
            <v:shape style="position:absolute;left:4371;top:5940;width:3188;height:4560" coordorigin="4372,5940" coordsize="3188,4560" path="m5965,5940l4372,8220,5965,10500,7559,8220,5965,5940xe" filled="true" fillcolor="#f4f8f8" stroked="false">
              <v:path arrowok="t"/>
              <v:fill type="solid"/>
            </v:shape>
            <v:shape style="position:absolute;left:4471;top:6082;width:2989;height:4275" coordorigin="4471,6083" coordsize="2989,4275" path="m5965,6083l4471,8220,5965,10358,7460,8220,5965,6083xe" filled="true" fillcolor="#f5f8f8" stroked="false">
              <v:path arrowok="t"/>
              <v:fill type="solid"/>
            </v:shape>
            <v:shape style="position:absolute;left:4570;top:6225;width:2790;height:3990" coordorigin="4571,6225" coordsize="2790,3990" path="m7360,8220l5965,6225,4571,8220,5965,10215,7360,8220xe" filled="true" fillcolor="#f6f8f8" stroked="false">
              <v:path arrowok="t"/>
              <v:fill type="solid"/>
            </v:shape>
            <v:shape style="position:absolute;left:4770;top:6510;width:2391;height:3420" coordorigin="4770,6510" coordsize="2391,3420" path="m5965,6510l4770,8220,5965,9930,7161,8220,5965,6510xe" filled="true" fillcolor="#f7f9f8" stroked="false">
              <v:path arrowok="t"/>
              <v:fill type="solid"/>
            </v:shape>
            <v:shape style="position:absolute;left:4869;top:6652;width:2192;height:3135" coordorigin="4870,6653" coordsize="2192,3135" path="m5965,6653l4870,8220,5965,9788,7061,8220,5965,6653xe" filled="true" fillcolor="#f8f9f8" stroked="false">
              <v:path arrowok="t"/>
              <v:fill type="solid"/>
            </v:shape>
            <v:shape style="position:absolute;left:4969;top:6795;width:1993;height:2850" coordorigin="4969,6795" coordsize="1993,2850" path="m5965,6795l4969,8220,5965,9645,6962,8220,5965,6795xe" filled="true" fillcolor="#f8fafa" stroked="false">
              <v:path arrowok="t"/>
              <v:fill type="solid"/>
            </v:shape>
            <v:shape style="position:absolute;left:5068;top:6937;width:1794;height:2565" coordorigin="5069,6938" coordsize="1794,2565" path="m5965,6938l5069,8220,5965,9503,6862,8220,5965,6938xe" filled="true" fillcolor="#f8fbfa" stroked="false">
              <v:path arrowok="t"/>
              <v:fill type="solid"/>
            </v:shape>
            <v:shape style="position:absolute;left:5168;top:7080;width:1594;height:2280" coordorigin="5169,7080" coordsize="1594,2280" path="m5965,7080l5169,8220,5965,9360,6762,8220,5965,7080xe" filled="true" fillcolor="#f9fbfa" stroked="false">
              <v:path arrowok="t"/>
              <v:fill type="solid"/>
            </v:shape>
            <v:shape style="position:absolute;left:5268;top:7222;width:1395;height:1995" coordorigin="5268,7223" coordsize="1395,1995" path="m5965,7223l5268,8220,5965,9218,6663,8220,5965,7223xe" filled="true" fillcolor="#fafbfb" stroked="false">
              <v:path arrowok="t"/>
              <v:fill type="solid"/>
            </v:shape>
            <v:shape style="position:absolute;left:5367;top:7365;width:1196;height:1710" coordorigin="5368,7365" coordsize="1196,1710" path="m5965,7365l5368,8220,5965,9075,6563,8220,5965,7365xe" filled="true" fillcolor="#fafcfb" stroked="false">
              <v:path arrowok="t"/>
              <v:fill type="solid"/>
            </v:shape>
            <v:shape style="position:absolute;left:5467;top:7507;width:997;height:1425" coordorigin="5467,7508" coordsize="997,1425" path="m5965,7508l5467,8220,5965,8933,6463,8220,5965,7508xe" filled="true" fillcolor="#fbfcfc" stroked="false">
              <v:path arrowok="t"/>
              <v:fill type="solid"/>
            </v:shape>
            <v:shape style="position:absolute;left:5566;top:7650;width:797;height:1140" coordorigin="5567,7650" coordsize="797,1140" path="m5965,7650l5567,8220,5965,8790,6364,8220,5965,7650xe" filled="true" fillcolor="#fcfdfd" stroked="false">
              <v:path arrowok="t"/>
              <v:fill type="solid"/>
            </v:shape>
            <v:shape style="position:absolute;left:5666;top:7792;width:598;height:855" coordorigin="5667,7793" coordsize="598,855" path="m5965,7793l5667,8220,5965,8648,6264,8220,5965,7793xe" filled="true" fillcolor="#fdfdfd" stroked="false">
              <v:path arrowok="t"/>
              <v:fill type="solid"/>
            </v:shape>
            <v:shape style="position:absolute;left:5766;top:7935;width:399;height:570" coordorigin="5766,7935" coordsize="399,570" path="m5965,7935l5766,8220,5965,8505,6165,8220,5965,7935xe" filled="true" fillcolor="#fdfffd" stroked="false">
              <v:path arrowok="t"/>
              <v:fill type="solid"/>
            </v:shape>
            <v:shape style="position:absolute;left:5865;top:8077;width:200;height:285" coordorigin="5866,8078" coordsize="200,285" path="m5965,8078l5866,8220,5965,8363,6065,8220,5965,8078xe" filled="true" fillcolor="#ffffff" stroked="false">
              <v:path arrowok="t"/>
              <v:fill type="solid"/>
            </v:shape>
            <v:rect style="position:absolute;left:795;top:820;width:10340;height:14800" filled="false" stroked="true" strokeweight="1pt" strokecolor="#009391">
              <v:stroke dashstyle="solid"/>
            </v:rect>
            <w10:wrap type="none"/>
          </v:group>
        </w:pict>
      </w:r>
      <w:r>
        <w:rPr>
          <w:sz w:val="24"/>
        </w:rPr>
        <w:t>Forecasts are central to the conduct of monetary policy given that it takes time for interest rates to affect inflation. This box compares the MPC’s past projections with outturns for RPIX inflation and GDP growth, and considers which risks highlighted in past </w:t>
      </w:r>
      <w:r>
        <w:rPr>
          <w:i/>
          <w:sz w:val="24"/>
        </w:rPr>
        <w:t>Inflation Report </w:t>
      </w:r>
      <w:r>
        <w:rPr>
          <w:sz w:val="24"/>
        </w:rPr>
        <w:t>forecasts have materialised. The Committee’s projections are conditioned on assumptions about economic variables, such as the exchange rate and the world economic outlook, and about structural economic relationships. If these assumptions prove to be accurate then ideally the projections themselves should be relatively close to outturns. However, should circumstances or structural relationships</w:t>
      </w:r>
    </w:p>
    <w:p>
      <w:pPr>
        <w:spacing w:line="242" w:lineRule="auto" w:before="19"/>
        <w:ind w:left="405" w:right="17" w:firstLine="0"/>
        <w:jc w:val="left"/>
        <w:rPr>
          <w:sz w:val="24"/>
        </w:rPr>
      </w:pPr>
      <w:r>
        <w:rPr>
          <w:sz w:val="24"/>
        </w:rPr>
        <w:t>change unexpectedly then it is likely that the eventual outcomes will differ from the projections.</w:t>
      </w:r>
    </w:p>
    <w:p>
      <w:pPr>
        <w:pStyle w:val="BodyText"/>
        <w:spacing w:before="2"/>
        <w:rPr>
          <w:sz w:val="28"/>
        </w:rPr>
      </w:pPr>
    </w:p>
    <w:p>
      <w:pPr>
        <w:spacing w:line="242" w:lineRule="auto" w:before="0"/>
        <w:ind w:left="405" w:right="174" w:firstLine="0"/>
        <w:jc w:val="both"/>
        <w:rPr>
          <w:sz w:val="24"/>
        </w:rPr>
      </w:pPr>
      <w:r>
        <w:rPr>
          <w:sz w:val="24"/>
        </w:rPr>
        <w:t>The Committee’s projections are presented as fan charts, rather than point forecasts, because the outlook is highly uncertain. The fan charts represent the probability distributions of likely outcomes for inflation and GDP which</w:t>
      </w:r>
    </w:p>
    <w:p>
      <w:pPr>
        <w:spacing w:line="242" w:lineRule="auto" w:before="6"/>
        <w:ind w:left="405" w:right="215" w:firstLine="0"/>
        <w:jc w:val="left"/>
        <w:rPr>
          <w:sz w:val="24"/>
        </w:rPr>
      </w:pPr>
      <w:r>
        <w:rPr>
          <w:sz w:val="24"/>
        </w:rPr>
        <w:t>reflect this uncertainty. The central projection (the modal or most likely path) always lies in the darkest band of the fan chart. If the balance of risks around the modal forecast is judged to be on the upside, the mean projection (ie average expected outcome) will</w:t>
      </w:r>
    </w:p>
    <w:p>
      <w:pPr>
        <w:spacing w:line="242" w:lineRule="auto" w:before="8"/>
        <w:ind w:left="405" w:right="-16" w:firstLine="0"/>
        <w:jc w:val="left"/>
        <w:rPr>
          <w:sz w:val="24"/>
        </w:rPr>
      </w:pPr>
      <w:r>
        <w:rPr>
          <w:sz w:val="24"/>
        </w:rPr>
        <w:t>lie above the mode, and if the risks are weighted to the downside, the mean will lie below the mode.</w:t>
      </w:r>
    </w:p>
    <w:p>
      <w:pPr>
        <w:pStyle w:val="BodyText"/>
        <w:spacing w:before="2"/>
        <w:rPr>
          <w:sz w:val="28"/>
        </w:rPr>
      </w:pPr>
    </w:p>
    <w:p>
      <w:pPr>
        <w:spacing w:line="242" w:lineRule="auto" w:before="0"/>
        <w:ind w:left="405" w:right="17" w:firstLine="0"/>
        <w:jc w:val="left"/>
        <w:rPr>
          <w:sz w:val="24"/>
        </w:rPr>
      </w:pPr>
      <w:r>
        <w:rPr>
          <w:sz w:val="24"/>
        </w:rPr>
        <w:t>In the eight fan charts published between August 1997 and May 1999, three quarters of the time the inflation outturn has been within the </w:t>
      </w:r>
      <w:r>
        <w:rPr>
          <w:spacing w:val="-4"/>
          <w:sz w:val="24"/>
        </w:rPr>
        <w:t>five </w:t>
      </w:r>
      <w:r>
        <w:rPr>
          <w:sz w:val="24"/>
        </w:rPr>
        <w:t>central bands which cover 50% of the probability distribution around the modal projections. Half of the time the outturn has been within the three central bands covering 30% of the distribution. The fan chart variances are based on forecast errors made </w:t>
      </w:r>
      <w:r>
        <w:rPr>
          <w:spacing w:val="-3"/>
          <w:sz w:val="24"/>
        </w:rPr>
        <w:t>over </w:t>
      </w:r>
      <w:r>
        <w:rPr>
          <w:sz w:val="24"/>
        </w:rPr>
        <w:t>the previous ten years. Because outturns </w:t>
      </w:r>
      <w:r>
        <w:rPr>
          <w:spacing w:val="-3"/>
          <w:sz w:val="24"/>
        </w:rPr>
        <w:t>have </w:t>
      </w:r>
      <w:r>
        <w:rPr>
          <w:sz w:val="24"/>
        </w:rPr>
        <w:t>tended to lie close to the centre of the fan</w:t>
      </w:r>
      <w:r>
        <w:rPr>
          <w:spacing w:val="-42"/>
          <w:sz w:val="24"/>
        </w:rPr>
        <w:t> </w:t>
      </w:r>
      <w:r>
        <w:rPr>
          <w:sz w:val="24"/>
        </w:rPr>
        <w:t>charts, this suggests that forecast errors</w:t>
      </w:r>
      <w:r>
        <w:rPr>
          <w:spacing w:val="-12"/>
          <w:sz w:val="24"/>
        </w:rPr>
        <w:t> </w:t>
      </w:r>
      <w:r>
        <w:rPr>
          <w:sz w:val="24"/>
        </w:rPr>
        <w:t>since</w:t>
      </w:r>
    </w:p>
    <w:p>
      <w:pPr>
        <w:spacing w:before="15"/>
        <w:ind w:left="405" w:right="0" w:firstLine="0"/>
        <w:jc w:val="left"/>
        <w:rPr>
          <w:sz w:val="24"/>
        </w:rPr>
      </w:pPr>
      <w:r>
        <w:rPr>
          <w:sz w:val="24"/>
        </w:rPr>
        <w:t>August 1997 have been smaller than in the past.</w:t>
      </w:r>
    </w:p>
    <w:p>
      <w:pPr>
        <w:spacing w:line="242" w:lineRule="auto" w:before="224"/>
        <w:ind w:left="405" w:right="397" w:firstLine="0"/>
        <w:jc w:val="left"/>
        <w:rPr>
          <w:sz w:val="24"/>
        </w:rPr>
      </w:pPr>
      <w:r>
        <w:rPr/>
        <w:br w:type="column"/>
      </w:r>
      <w:r>
        <w:rPr>
          <w:sz w:val="24"/>
        </w:rPr>
        <w:t>Over that period inflation has been unusually stable.</w:t>
      </w:r>
    </w:p>
    <w:p>
      <w:pPr>
        <w:pStyle w:val="BodyText"/>
        <w:spacing w:before="4"/>
        <w:rPr>
          <w:sz w:val="26"/>
        </w:rPr>
      </w:pPr>
    </w:p>
    <w:p>
      <w:pPr>
        <w:spacing w:line="242" w:lineRule="auto" w:before="0"/>
        <w:ind w:left="405" w:right="413" w:firstLine="0"/>
        <w:jc w:val="left"/>
        <w:rPr>
          <w:sz w:val="24"/>
        </w:rPr>
      </w:pPr>
      <w:r>
        <w:rPr>
          <w:sz w:val="24"/>
        </w:rPr>
        <w:t>In the August 1999 </w:t>
      </w:r>
      <w:r>
        <w:rPr>
          <w:i/>
          <w:sz w:val="24"/>
        </w:rPr>
        <w:t>Inflation Report, </w:t>
      </w:r>
      <w:r>
        <w:rPr>
          <w:sz w:val="24"/>
        </w:rPr>
        <w:t>an assessment was made of the </w:t>
      </w:r>
      <w:r>
        <w:rPr>
          <w:spacing w:val="-4"/>
          <w:sz w:val="24"/>
        </w:rPr>
        <w:t>MPC’s </w:t>
      </w:r>
      <w:r>
        <w:rPr>
          <w:sz w:val="24"/>
        </w:rPr>
        <w:t>first four projections (from the </w:t>
      </w:r>
      <w:r>
        <w:rPr>
          <w:i/>
          <w:sz w:val="24"/>
        </w:rPr>
        <w:t>Inflation Reports </w:t>
      </w:r>
      <w:r>
        <w:rPr>
          <w:sz w:val="24"/>
        </w:rPr>
        <w:t>published between August 1997 and May </w:t>
      </w:r>
      <w:r>
        <w:rPr>
          <w:spacing w:val="-3"/>
          <w:sz w:val="24"/>
        </w:rPr>
        <w:t>1998). </w:t>
      </w:r>
      <w:r>
        <w:rPr>
          <w:sz w:val="24"/>
        </w:rPr>
        <w:t>The assessment found that inflation outturns four quarters ahead had been broadly in line with the </w:t>
      </w:r>
      <w:r>
        <w:rPr>
          <w:spacing w:val="-4"/>
          <w:sz w:val="24"/>
        </w:rPr>
        <w:t>MPC’s </w:t>
      </w:r>
      <w:r>
        <w:rPr>
          <w:sz w:val="24"/>
        </w:rPr>
        <w:t>mean projections, but 0.2% higher than the projected modes. This was consistent with the Committee’s belief that the risks,</w:t>
      </w:r>
      <w:r>
        <w:rPr>
          <w:spacing w:val="-8"/>
          <w:sz w:val="24"/>
        </w:rPr>
        <w:t> </w:t>
      </w:r>
      <w:r>
        <w:rPr>
          <w:sz w:val="24"/>
        </w:rPr>
        <w:t>relative</w:t>
      </w:r>
      <w:r>
        <w:rPr>
          <w:spacing w:val="-8"/>
          <w:sz w:val="24"/>
        </w:rPr>
        <w:t> </w:t>
      </w:r>
      <w:r>
        <w:rPr>
          <w:sz w:val="24"/>
        </w:rPr>
        <w:t>to</w:t>
      </w:r>
      <w:r>
        <w:rPr>
          <w:spacing w:val="-8"/>
          <w:sz w:val="24"/>
        </w:rPr>
        <w:t> </w:t>
      </w:r>
      <w:r>
        <w:rPr>
          <w:sz w:val="24"/>
        </w:rPr>
        <w:t>their</w:t>
      </w:r>
      <w:r>
        <w:rPr>
          <w:spacing w:val="-8"/>
          <w:sz w:val="24"/>
        </w:rPr>
        <w:t> </w:t>
      </w:r>
      <w:r>
        <w:rPr>
          <w:sz w:val="24"/>
        </w:rPr>
        <w:t>central</w:t>
      </w:r>
      <w:r>
        <w:rPr>
          <w:spacing w:val="-8"/>
          <w:sz w:val="24"/>
        </w:rPr>
        <w:t> </w:t>
      </w:r>
      <w:r>
        <w:rPr>
          <w:sz w:val="24"/>
        </w:rPr>
        <w:t>(modal)</w:t>
      </w:r>
      <w:r>
        <w:rPr>
          <w:spacing w:val="-8"/>
          <w:sz w:val="24"/>
        </w:rPr>
        <w:t> </w:t>
      </w:r>
      <w:r>
        <w:rPr>
          <w:sz w:val="24"/>
        </w:rPr>
        <w:t>projection, were on the upside. There were offsetting influences </w:t>
      </w:r>
      <w:r>
        <w:rPr>
          <w:spacing w:val="-3"/>
          <w:sz w:val="24"/>
        </w:rPr>
        <w:t>over </w:t>
      </w:r>
      <w:r>
        <w:rPr>
          <w:sz w:val="24"/>
        </w:rPr>
        <w:t>that period in terms of the main assumptions. The </w:t>
      </w:r>
      <w:r>
        <w:rPr>
          <w:spacing w:val="-3"/>
          <w:sz w:val="24"/>
        </w:rPr>
        <w:t>effective </w:t>
      </w:r>
      <w:r>
        <w:rPr>
          <w:sz w:val="24"/>
        </w:rPr>
        <w:t>exchange rate had been consistently above the</w:t>
      </w:r>
      <w:r>
        <w:rPr>
          <w:spacing w:val="-8"/>
          <w:sz w:val="24"/>
        </w:rPr>
        <w:t> </w:t>
      </w:r>
      <w:r>
        <w:rPr>
          <w:spacing w:val="-4"/>
          <w:sz w:val="24"/>
        </w:rPr>
        <w:t>MPC’s</w:t>
      </w:r>
    </w:p>
    <w:p>
      <w:pPr>
        <w:spacing w:line="242" w:lineRule="auto" w:before="18"/>
        <w:ind w:left="405" w:right="461" w:firstLine="0"/>
        <w:jc w:val="left"/>
        <w:rPr>
          <w:sz w:val="24"/>
        </w:rPr>
      </w:pPr>
      <w:r>
        <w:rPr>
          <w:sz w:val="24"/>
        </w:rPr>
        <w:t>expectations (putting downwards pressure on price inflation), while growth in earnings had tended to be stronger than forecast (putting upwards pressure on inflation). There were no systematic errors in the MPC’s one-year-ahead GDP mean (and mode) projections. But domestic demand had been stronger than expected, offset by weaker-than-expected net trade.</w:t>
      </w:r>
    </w:p>
    <w:p>
      <w:pPr>
        <w:pStyle w:val="BodyText"/>
        <w:spacing w:before="9"/>
        <w:rPr>
          <w:sz w:val="28"/>
        </w:rPr>
      </w:pPr>
    </w:p>
    <w:p>
      <w:pPr>
        <w:spacing w:line="242" w:lineRule="auto" w:before="0"/>
        <w:ind w:left="405" w:right="416" w:firstLine="0"/>
        <w:jc w:val="left"/>
        <w:rPr>
          <w:sz w:val="24"/>
        </w:rPr>
      </w:pPr>
      <w:r>
        <w:rPr>
          <w:sz w:val="24"/>
        </w:rPr>
        <w:t>Updating this analysis for the eight projections made between August 1997 and May 1999, on average the inflation outturn was 0.3% below the one-year-ahead mean projections (eg the August 1997 </w:t>
      </w:r>
      <w:r>
        <w:rPr>
          <w:i/>
          <w:sz w:val="24"/>
        </w:rPr>
        <w:t>Inflation Report </w:t>
      </w:r>
      <w:r>
        <w:rPr>
          <w:sz w:val="24"/>
        </w:rPr>
        <w:t>forecast of inflation in 1998 Q3), and 0.1% below the mode projections. (See Charts A and B for mean projections compared with outturns.) We can only compare the two-year-ahead forecasts with outturns for four forecasts (August 1997 to</w:t>
      </w:r>
    </w:p>
    <w:p>
      <w:pPr>
        <w:spacing w:line="242" w:lineRule="auto" w:before="13"/>
        <w:ind w:left="405" w:right="397" w:firstLine="0"/>
        <w:jc w:val="left"/>
        <w:rPr>
          <w:sz w:val="24"/>
        </w:rPr>
      </w:pPr>
      <w:r>
        <w:rPr>
          <w:sz w:val="24"/>
        </w:rPr>
        <w:t>May 1998). For this small sample of forecasts, actual inflation was 0.7% below the</w:t>
      </w:r>
    </w:p>
    <w:p>
      <w:pPr>
        <w:spacing w:line="242" w:lineRule="auto" w:before="2"/>
        <w:ind w:left="405" w:right="809" w:firstLine="0"/>
        <w:jc w:val="left"/>
        <w:rPr>
          <w:sz w:val="24"/>
        </w:rPr>
      </w:pPr>
      <w:r>
        <w:rPr>
          <w:sz w:val="24"/>
        </w:rPr>
        <w:t>two-year-ahead mean projection and 0.4% below the mode.</w:t>
      </w:r>
    </w:p>
    <w:p>
      <w:pPr>
        <w:pStyle w:val="BodyText"/>
        <w:spacing w:before="4"/>
        <w:rPr>
          <w:sz w:val="26"/>
        </w:rPr>
      </w:pPr>
    </w:p>
    <w:p>
      <w:pPr>
        <w:spacing w:line="242" w:lineRule="auto" w:before="0"/>
        <w:ind w:left="405" w:right="430" w:firstLine="0"/>
        <w:jc w:val="left"/>
        <w:rPr>
          <w:sz w:val="24"/>
        </w:rPr>
      </w:pPr>
      <w:r>
        <w:rPr>
          <w:sz w:val="24"/>
        </w:rPr>
        <w:t>In general, the modal inflation forecast has been closer to actual outturns than the mean projection. This is because the MPC judged the risks to the central projection to be on the upside, largely because of the risk that the</w:t>
      </w:r>
    </w:p>
    <w:p>
      <w:pPr>
        <w:spacing w:after="0" w:line="242" w:lineRule="auto"/>
        <w:jc w:val="left"/>
        <w:rPr>
          <w:sz w:val="24"/>
        </w:rPr>
        <w:sectPr>
          <w:type w:val="continuous"/>
          <w:pgSz w:w="11900" w:h="16840"/>
          <w:pgMar w:top="1260" w:bottom="280" w:left="640" w:right="640"/>
          <w:cols w:num="2" w:equalWidth="0">
            <w:col w:w="5061" w:space="79"/>
            <w:col w:w="548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pgSz w:w="11900" w:h="16840"/>
          <w:pgMar w:header="586" w:footer="592" w:top="780" w:bottom="780" w:left="640" w:right="640"/>
        </w:sectPr>
      </w:pPr>
    </w:p>
    <w:p>
      <w:pPr>
        <w:pStyle w:val="BodyText"/>
        <w:spacing w:before="7"/>
        <w:rPr>
          <w:sz w:val="20"/>
        </w:rPr>
      </w:pPr>
      <w:r>
        <w:rPr/>
        <w:pict>
          <v:group style="position:absolute;margin-left:38.220001pt;margin-top:41pt;width:518pt;height:740pt;mso-position-horizontal-relative:page;mso-position-vertical-relative:page;z-index:-22913024" coordorigin="764,820" coordsize="10360,14800">
            <v:shape style="position:absolute;left:774;top:830;width:10340;height:14780" coordorigin="774,830" coordsize="10340,14780" path="m11114,830l5951,830,5937,830,774,830,774,8206,774,8234,774,15610,5937,15610,5951,15610,11114,15610,11114,830xe" filled="true" fillcolor="#d7e8e7" stroked="false">
              <v:path arrowok="t"/>
              <v:fill type="solid"/>
            </v:shape>
            <v:shape style="position:absolute;left:864;top:962;width:10161;height:14516" coordorigin="864,962" coordsize="10161,14516" path="m5944,962l864,8220,5944,15478,11025,8220,5944,962xe" filled="true" fillcolor="#d9e8e7" stroked="false">
              <v:path arrowok="t"/>
              <v:fill type="solid"/>
            </v:shape>
            <v:shape style="position:absolute;left:963;top:1104;width:9962;height:14231" coordorigin="964,1105" coordsize="9962,14231" path="m5944,1105l964,8220,5944,15335,10925,8220,5944,1105xe" filled="true" fillcolor="#dae9e8" stroked="false">
              <v:path arrowok="t"/>
              <v:fill type="solid"/>
            </v:shape>
            <v:shape style="position:absolute;left:1063;top:1246;width:9763;height:13947" coordorigin="1063,1247" coordsize="9763,13947" path="m5944,1247l1063,8220,5944,15193,10825,8220,5944,1247xe" filled="true" fillcolor="#daeae8" stroked="false">
              <v:path arrowok="t"/>
              <v:fill type="solid"/>
            </v:shape>
            <v:shape style="position:absolute;left:1162;top:1389;width:9563;height:13662" coordorigin="1163,1389" coordsize="9563,13662" path="m5944,1389l1163,8220,5944,15051,10726,8220,5944,1389xe" filled="true" fillcolor="#dbeae8" stroked="false">
              <v:path arrowok="t"/>
              <v:fill type="solid"/>
            </v:shape>
            <v:shape style="position:absolute;left:1262;top:1531;width:9364;height:13377" coordorigin="1263,1532" coordsize="9364,13377" path="m5944,1532l1263,8220,5944,14908,10626,8220,5944,1532xe" filled="true" fillcolor="#dcebe9" stroked="false">
              <v:path arrowok="t"/>
              <v:fill type="solid"/>
            </v:shape>
            <v:shape style="position:absolute;left:1362;top:1673;width:9165;height:13093" coordorigin="1362,1674" coordsize="9165,13093" path="m5944,1674l1362,8220,5944,14766,10527,8220,5944,1674xe" filled="true" fillcolor="#ddebe9" stroked="false">
              <v:path arrowok="t"/>
              <v:fill type="solid"/>
            </v:shape>
            <v:shape style="position:absolute;left:1461;top:1816;width:8966;height:12808" coordorigin="1462,1816" coordsize="8966,12808" path="m5944,1816l1462,8220,5944,14624,10427,8220,5944,1816xe" filled="true" fillcolor="#ddebea" stroked="false">
              <v:path arrowok="t"/>
              <v:fill type="solid"/>
            </v:shape>
            <v:shape style="position:absolute;left:1561;top:1958;width:8766;height:12523" coordorigin="1561,1958" coordsize="8766,12523" path="m5944,1958l1561,8220,5944,14481,10327,8220,5944,1958xe" filled="true" fillcolor="#dfebea" stroked="false">
              <v:path arrowok="t"/>
              <v:fill type="solid"/>
            </v:shape>
            <v:shape style="position:absolute;left:1661;top:2100;width:8567;height:12239" coordorigin="1661,2101" coordsize="8567,12239" path="m10228,8220l5944,2101,1661,8220,5944,14339,10228,8220xe" filled="true" fillcolor="#dfeceb" stroked="false">
              <v:path arrowok="t"/>
              <v:fill type="solid"/>
            </v:shape>
            <v:shape style="position:absolute;left:1860;top:2385;width:8169;height:11670" coordorigin="1860,2385" coordsize="8169,11670" path="m5944,2385l1860,8220,5944,14055,10029,8220,5944,2385xe" filled="true" fillcolor="#e0eceb" stroked="false">
              <v:path arrowok="t"/>
              <v:fill type="solid"/>
            </v:shape>
            <v:shape style="position:absolute;left:1959;top:2527;width:7970;height:11385" coordorigin="1960,2528" coordsize="7970,11385" path="m5944,2528l1960,8220,5944,13912,9929,8220,5944,2528xe" filled="true" fillcolor="#e0edeb" stroked="false">
              <v:path arrowok="t"/>
              <v:fill type="solid"/>
            </v:shape>
            <v:shape style="position:absolute;left:2059;top:2670;width:7770;height:11100" coordorigin="2059,2670" coordsize="7770,11100" path="m5944,2670l2059,8220,5944,13770,9829,8220,5944,2670xe" filled="true" fillcolor="#e1edeb" stroked="false">
              <v:path arrowok="t"/>
              <v:fill type="solid"/>
            </v:shape>
            <v:shape style="position:absolute;left:2159;top:2812;width:7571;height:10816" coordorigin="2159,2812" coordsize="7571,10816" path="m5944,2812l2159,8220,5944,13628,9730,8220,5944,2812xe" filled="true" fillcolor="#e2edec" stroked="false">
              <v:path arrowok="t"/>
              <v:fill type="solid"/>
            </v:shape>
            <v:shape style="position:absolute;left:2258;top:2954;width:7372;height:10531" coordorigin="2259,2955" coordsize="7372,10531" path="m5944,2955l2259,8220,5944,13485,9630,8220,5944,2955xe" filled="true" fillcolor="#e3eeec" stroked="false">
              <v:path arrowok="t"/>
              <v:fill type="solid"/>
            </v:shape>
            <v:shape style="position:absolute;left:2358;top:3096;width:7173;height:10247" coordorigin="2358,3097" coordsize="7173,10247" path="m5944,3097l2358,8220,5944,13343,9530,8220,5944,3097xe" filled="true" fillcolor="#e4efed" stroked="false">
              <v:path arrowok="t"/>
              <v:fill type="solid"/>
            </v:shape>
            <v:shape style="position:absolute;left:2457;top:3239;width:6973;height:9962" coordorigin="2458,3239" coordsize="6973,9962" path="m5944,3239l2458,8220,5944,13201,9431,8220,5944,3239xe" filled="true" fillcolor="#e6efed" stroked="false">
              <v:path arrowok="t"/>
              <v:fill type="solid"/>
            </v:shape>
            <v:shape style="position:absolute;left:2557;top:3381;width:6774;height:9677" coordorigin="2558,3382" coordsize="6774,9677" path="m5944,3382l2558,8220,5944,13058,9331,8220,5944,3382xe" filled="true" fillcolor="#e6efee" stroked="false">
              <v:path arrowok="t"/>
              <v:fill type="solid"/>
            </v:shape>
            <v:shape style="position:absolute;left:2657;top:3523;width:6575;height:9393" coordorigin="2657,3524" coordsize="6575,9393" path="m5944,3524l2657,8220,5944,12916,9232,8220,5944,3524xe" filled="true" fillcolor="#e7f0ee" stroked="false">
              <v:path arrowok="t"/>
              <v:fill type="solid"/>
            </v:shape>
            <v:shape style="position:absolute;left:2756;top:3666;width:6376;height:9108" coordorigin="2757,3666" coordsize="6376,9108" path="m9132,8220l5944,3666,2757,8220,5944,12774,9132,8220xe" filled="true" fillcolor="#e8f0ee" stroked="false">
              <v:path arrowok="t"/>
              <v:fill type="solid"/>
            </v:shape>
            <v:shape style="position:absolute;left:2955;top:3950;width:5977;height:8539" coordorigin="2956,3951" coordsize="5977,8539" path="m5944,3951l2956,8220,5944,12489,8933,8220,5944,3951xe" filled="true" fillcolor="#eaf1f0" stroked="false">
              <v:path arrowok="t"/>
              <v:fill type="solid"/>
            </v:shape>
            <v:shape style="position:absolute;left:3055;top:4093;width:5778;height:8254" coordorigin="3056,4093" coordsize="5778,8254" path="m8833,8220l5944,4093,3056,8220,5944,12347,8833,8220xe" filled="true" fillcolor="#ebf3f0" stroked="false">
              <v:path arrowok="t"/>
              <v:fill type="solid"/>
            </v:shape>
            <v:shape style="position:absolute;left:3254;top:4377;width:5380;height:7685" coordorigin="3255,4378" coordsize="5380,7685" path="m5944,4378l3255,8220,5944,12062,8634,8220,5944,4378xe" filled="true" fillcolor="#ebf4f1" stroked="false">
              <v:path arrowok="t"/>
              <v:fill type="solid"/>
            </v:shape>
            <v:shape style="position:absolute;left:3354;top:4520;width:5180;height:7400" coordorigin="3354,4520" coordsize="5180,7400" path="m5944,4520l3354,8220,5944,11920,8534,8220,5944,4520xe" filled="true" fillcolor="#ecf4f1" stroked="false">
              <v:path arrowok="t"/>
              <v:fill type="solid"/>
            </v:shape>
            <v:shape style="position:absolute;left:3454;top:4662;width:4981;height:7116" coordorigin="3454,4662" coordsize="4981,7116" path="m5944,4662l3454,8220,5944,11778,8435,8220,5944,4662xe" filled="true" fillcolor="#ecf4f3" stroked="false">
              <v:path arrowok="t"/>
              <v:fill type="solid"/>
            </v:shape>
            <v:shape style="position:absolute;left:3553;top:4804;width:4782;height:6831" coordorigin="3554,4805" coordsize="4782,6831" path="m5944,4805l3554,8220,5944,11635,8335,8220,5944,4805xe" filled="true" fillcolor="#edf5f3" stroked="false">
              <v:path arrowok="t"/>
              <v:fill type="solid"/>
            </v:shape>
            <v:shape style="position:absolute;left:3653;top:4946;width:4583;height:6547" coordorigin="3653,4947" coordsize="4583,6547" path="m5944,4947l3653,8220,5944,11493,8236,8220,5944,4947xe" filled="true" fillcolor="#eef5f4" stroked="false">
              <v:path arrowok="t"/>
              <v:fill type="solid"/>
            </v:shape>
            <v:shape style="position:absolute;left:3752;top:5089;width:4383;height:6262" coordorigin="3753,5089" coordsize="4383,6262" path="m5944,5089l3753,8220,5944,11351,8136,8220,5944,5089xe" filled="true" fillcolor="#eff6f4" stroked="false">
              <v:path arrowok="t"/>
              <v:fill type="solid"/>
            </v:shape>
            <v:shape style="position:absolute;left:3852;top:5231;width:4184;height:5977" coordorigin="3853,5232" coordsize="4184,5977" path="m5944,5232l3853,8220,5944,11208,8036,8220,5944,5232xe" filled="true" fillcolor="#eff6f5" stroked="false">
              <v:path arrowok="t"/>
              <v:fill type="solid"/>
            </v:shape>
            <v:shape style="position:absolute;left:3952;top:5373;width:3985;height:5693" coordorigin="3952,5374" coordsize="3985,5693" path="m5944,5374l3952,8220,5944,11066,7937,8220,5944,5374xe" filled="true" fillcolor="#f0f7f6" stroked="false">
              <v:path arrowok="t"/>
              <v:fill type="solid"/>
            </v:shape>
            <v:shape style="position:absolute;left:4051;top:5516;width:3786;height:5408" coordorigin="4052,5516" coordsize="3786,5408" path="m7837,8220l5944,5516,4052,8220,5944,10924,7837,8220xe" filled="true" fillcolor="#f1f7f6" stroked="false">
              <v:path arrowok="t"/>
              <v:fill type="solid"/>
            </v:shape>
            <v:shape style="position:absolute;left:4250;top:5800;width:3387;height:4839" coordorigin="4251,5801" coordsize="3387,4839" path="m5944,5801l4251,8220,5944,10639,7638,8220,5944,5801xe" filled="true" fillcolor="#f4f8f7" stroked="false">
              <v:path arrowok="t"/>
              <v:fill type="solid"/>
            </v:shape>
            <v:shape style="position:absolute;left:4350;top:5943;width:3188;height:4554" coordorigin="4351,5943" coordsize="3188,4554" path="m5944,5943l4351,8220,5944,10497,7538,8220,5944,5943xe" filled="true" fillcolor="#f4f8f8" stroked="false">
              <v:path arrowok="t"/>
              <v:fill type="solid"/>
            </v:shape>
            <v:shape style="position:absolute;left:4450;top:6085;width:2989;height:4270" coordorigin="4450,6085" coordsize="2989,4270" path="m5944,6085l4450,8220,5944,10355,7439,8220,5944,6085xe" filled="true" fillcolor="#f5f8f8" stroked="false">
              <v:path arrowok="t"/>
              <v:fill type="solid"/>
            </v:shape>
            <v:shape style="position:absolute;left:4549;top:6227;width:2790;height:3985" coordorigin="4550,6228" coordsize="2790,3985" path="m7339,8220l5944,6228,4550,8220,5944,10212,7339,8220xe" filled="true" fillcolor="#f6f8f8" stroked="false">
              <v:path arrowok="t"/>
              <v:fill type="solid"/>
            </v:shape>
            <v:shape style="position:absolute;left:4749;top:6512;width:2391;height:3416" coordorigin="4749,6512" coordsize="2391,3416" path="m5944,6512l4749,8220,5944,9928,7140,8220,5944,6512xe" filled="true" fillcolor="#f7f9f8" stroked="false">
              <v:path arrowok="t"/>
              <v:fill type="solid"/>
            </v:shape>
            <v:shape style="position:absolute;left:4848;top:6654;width:2192;height:3131" coordorigin="4849,6655" coordsize="2192,3131" path="m5944,6655l4849,8220,5944,9785,7040,8220,5944,6655xe" filled="true" fillcolor="#f8f9f8" stroked="false">
              <v:path arrowok="t"/>
              <v:fill type="solid"/>
            </v:shape>
            <v:shape style="position:absolute;left:4948;top:6796;width:1993;height:2847" coordorigin="4948,6797" coordsize="1993,2847" path="m5944,6797l4948,8220,5944,9643,6941,8220,5944,6797xe" filled="true" fillcolor="#f8fafa" stroked="false">
              <v:path arrowok="t"/>
              <v:fill type="solid"/>
            </v:shape>
            <v:shape style="position:absolute;left:5047;top:6939;width:1794;height:2562" coordorigin="5048,6939" coordsize="1794,2562" path="m5944,6939l5048,8220,5944,9501,6841,8220,5944,6939xe" filled="true" fillcolor="#f8fbfa" stroked="false">
              <v:path arrowok="t"/>
              <v:fill type="solid"/>
            </v:shape>
            <v:shape style="position:absolute;left:5147;top:7081;width:1594;height:2277" coordorigin="5147,7082" coordsize="1594,2277" path="m5944,7082l5147,8220,5944,9358,6741,8220,5944,7082xe" filled="true" fillcolor="#f9fbfa" stroked="false">
              <v:path arrowok="t"/>
              <v:fill type="solid"/>
            </v:shape>
            <v:shape style="position:absolute;left:5247;top:7223;width:1395;height:1993" coordorigin="5247,7224" coordsize="1395,1993" path="m5944,7224l5247,8220,5944,9216,6642,8220,5944,7224xe" filled="true" fillcolor="#fafbfb" stroked="false">
              <v:path arrowok="t"/>
              <v:fill type="solid"/>
            </v:shape>
            <v:shape style="position:absolute;left:5346;top:7366;width:1196;height:1708" coordorigin="5347,7366" coordsize="1196,1708" path="m5944,7366l5347,8220,5944,9074,6542,8220,5944,7366xe" filled="true" fillcolor="#fafcfb" stroked="false">
              <v:path arrowok="t"/>
              <v:fill type="solid"/>
            </v:shape>
            <v:shape style="position:absolute;left:5446;top:7508;width:997;height:1424" coordorigin="5446,7508" coordsize="997,1424" path="m5944,7508l5446,8220,5944,8931,6442,8220,5944,7508xe" filled="true" fillcolor="#fbfcfc" stroked="false">
              <v:path arrowok="t"/>
              <v:fill type="solid"/>
            </v:shape>
            <v:shape style="position:absolute;left:5545;top:7650;width:797;height:1139" coordorigin="5546,7651" coordsize="797,1139" path="m5944,7651l5546,8220,5944,8789,6343,8220,5944,7651xe" filled="true" fillcolor="#fcfdfd" stroked="false">
              <v:path arrowok="t"/>
              <v:fill type="solid"/>
            </v:shape>
            <v:shape style="position:absolute;left:5645;top:7793;width:598;height:854" coordorigin="5646,7793" coordsize="598,854" path="m5944,7793l5646,8220,5944,8647,6243,8220,5944,7793xe" filled="true" fillcolor="#fdfdfd" stroked="false">
              <v:path arrowok="t"/>
              <v:fill type="solid"/>
            </v:shape>
            <v:shape style="position:absolute;left:5745;top:7935;width:399;height:570" coordorigin="5745,7935" coordsize="399,570" path="m5944,7935l5745,8220,5944,8505,6144,8220,5944,7935xe" filled="true" fillcolor="#fdfffd" stroked="false">
              <v:path arrowok="t"/>
              <v:fill type="solid"/>
            </v:shape>
            <v:shape style="position:absolute;left:5844;top:8077;width:200;height:285" coordorigin="5845,8078" coordsize="200,285" path="m5944,8078l5845,8220,5944,8362,6044,8220,5944,8078xe" filled="true" fillcolor="#ffffff" stroked="false">
              <v:path arrowok="t"/>
              <v:fill type="solid"/>
            </v:shape>
            <v:rect style="position:absolute;left:774;top:830;width:10340;height:14780" filled="false" stroked="true" strokeweight="1pt" strokecolor="#009391">
              <v:stroke dashstyle="solid"/>
            </v:rect>
            <v:shape style="position:absolute;left:994;top:1314;width:4701;height:4290" coordorigin="994,1315" coordsize="4701,4290" path="m5694,2042l5694,2042,5694,1315,994,1315,994,2051,994,2051,994,5605,5590,5605,5694,5605,5694,5544,5694,2042xe" filled="true" fillcolor="#ffffff" stroked="false">
              <v:path arrowok="t"/>
              <v:fill type="solid"/>
            </v:shape>
            <v:line style="position:absolute" from="4825,3702" to="4852,3702" stroked="true" strokeweight=".62pt" strokecolor="#000000">
              <v:stroke dashstyle="solid"/>
            </v:line>
            <v:shape style="position:absolute;left:1522;top:2964;width:2483;height:1148" coordorigin="1522,2964" coordsize="2483,1148" path="m1522,3620l1800,3435m1800,3435l2070,3836m2070,3836l2347,3948m2347,3948l2625,4071m2625,4071l2902,4112m2902,4112l3172,3876m3172,3876l3447,3548m3447,3548l3725,3272m3725,3272l4005,2964e" filled="false" stroked="true" strokeweight="1pt" strokecolor="#c0a2c7">
              <v:path arrowok="t"/>
              <v:stroke dashstyle="solid"/>
            </v:shape>
            <v:shape style="position:absolute;left:1799;top:3261;width:825;height:123" coordorigin="1800,3262" coordsize="825,123" path="m1800,3262l2070,3384m2070,3384l2347,3322m2347,3322l2625,3272e" filled="false" stroked="true" strokeweight="1pt" strokecolor="#a4a4a4">
              <v:path arrowok="t"/>
              <v:stroke dashstyle="solid"/>
            </v:shape>
            <v:line style="position:absolute" from="2615,3281" to="2912,3281" stroked="true" strokeweight="1.96pt" strokecolor="#a4a4a4">
              <v:stroke dashstyle="solid"/>
            </v:line>
            <v:shape style="position:absolute;left:2902;top:3230;width:1373;height:236" coordorigin="2902,3231" coordsize="1373,236" path="m2902,3291l3172,3231m3172,3231l3447,3384m3447,3384l3725,3425m3725,3425l4005,3394m4005,3394l4275,3466e" filled="false" stroked="true" strokeweight="1pt" strokecolor="#a4a4a4">
              <v:path arrowok="t"/>
              <v:stroke dashstyle="solid"/>
            </v:shape>
            <v:shape style="position:absolute;left:2069;top:2983;width:2483;height:718" coordorigin="2070,2984" coordsize="2483,718" path="m2070,3291l2347,3507m2347,3507l2625,3425m2625,3425l2902,3701m2902,3701l3172,3641m3172,3641l3447,3600m3725,3600l4005,3425m4005,3425l4275,3240m4275,3240l4552,2984e" filled="false" stroked="true" strokeweight="1pt" strokecolor="#f6bd61">
              <v:path arrowok="t"/>
              <v:stroke dashstyle="solid"/>
            </v:shape>
            <v:shape style="position:absolute;left:2347;top:3362;width:2483;height:821" coordorigin="2347,3363" coordsize="2483,821" path="m2347,3569l2625,3363m2625,3363l2902,4112m2902,4112l3172,4184m3172,4184l3447,4121m3447,4121l3725,4184m3725,4184l4005,4102m4005,4102l4275,3968m4275,3968l4552,3783m4552,3783l4830,3488e" filled="false" stroked="true" strokeweight="1pt" strokecolor="#006caa">
              <v:path arrowok="t"/>
              <v:stroke dashstyle="solid"/>
            </v:shape>
            <v:line style="position:absolute" from="2897,3640" to="3177,3640" stroked="true" strokeweight="1.58pt" strokecolor="#411f7b">
              <v:stroke dashstyle="solid"/>
            </v:line>
            <v:shape style="position:absolute;left:1244;top:3189;width:555;height:430" coordorigin="1245,3190" coordsize="555,430" path="m1245,3190l1522,3620m1522,3620l1800,3262e" filled="false" stroked="true" strokeweight="1pt" strokecolor="#de0035">
              <v:path arrowok="t"/>
              <v:stroke dashstyle="solid"/>
            </v:shape>
            <v:line style="position:absolute" from="1790,3276" to="2080,3276" stroked="true" strokeweight="2.44pt" strokecolor="#de0035">
              <v:stroke dashstyle="solid"/>
            </v:line>
            <v:shape style="position:absolute;left:2069;top:3086;width:833;height:543" coordorigin="2070,3087" coordsize="833,543" path="m2070,3291l2347,3569m2347,3569l2625,3087m2625,3087l2902,3629e" filled="false" stroked="true" strokeweight="1pt" strokecolor="#de0035">
              <v:path arrowok="t"/>
              <v:stroke dashstyle="solid"/>
            </v:shape>
            <v:line style="position:absolute" from="3162,3656" to="3457,3656" stroked="true" strokeweight="1.48pt" strokecolor="#de0035">
              <v:stroke dashstyle="solid"/>
            </v:line>
            <v:shape style="position:absolute;left:3447;top:3660;width:558;height:492" coordorigin="3447,3660" coordsize="558,492" path="m3447,3660l3725,3968m3725,3968l4005,4152e" filled="false" stroked="true" strokeweight="1pt" strokecolor="#de0035">
              <v:path arrowok="t"/>
              <v:stroke dashstyle="solid"/>
            </v:shape>
            <v:line style="position:absolute" from="3995,4157" to="4285,4157" stroked="true" strokeweight="1.48pt" strokecolor="#de0035">
              <v:stroke dashstyle="solid"/>
            </v:line>
            <v:shape style="position:absolute;left:4274;top:4161;width:555;height:135" coordorigin="4275,4162" coordsize="555,135" path="m4275,4162l4552,4256m4552,4256l4830,4296e" filled="false" stroked="true" strokeweight="1pt" strokecolor="#de0035">
              <v:path arrowok="t"/>
              <v:stroke dashstyle="solid"/>
            </v:shape>
            <v:shape style="position:absolute;left:1163;top:3701;width:3853;height:1521" coordorigin="1164,3701" coordsize="3853,1521" path="m4830,3701l1290,3704m4996,5100l4996,5126,4976,5141,5016,5154,4976,5174,5016,5190,4993,5199,4992,5222m1184,5095l1184,5121,1164,5136,1204,5149,1164,5169,1204,5185,1180,5194,1180,5217e" filled="false" stroked="true" strokeweight=".5pt" strokecolor="#000000">
              <v:path arrowok="t"/>
              <v:stroke dashstyle="solid"/>
            </v:shape>
            <v:shape style="position:absolute;left:1087;top:2299;width:3902;height:2932" coordorigin="1088,2299" coordsize="3902,2932" path="m1179,2299l1093,2299m1175,3000l1088,3000m1175,3709l1088,3709m1175,4399l1088,4399m1175,5096l1088,5096m1244,5134l1244,5230m1505,5179l1505,5230m1765,5179l1765,5230m2025,5179l2025,5230m2285,5134l2285,5230m4819,5177l4819,5228m4989,3000l4903,3000m4989,3709l4903,3709m4989,4399l4903,4399m4989,5096l4903,5096e" filled="false" stroked="true" strokeweight=".5pt" strokecolor="#000000">
              <v:path arrowok="t"/>
              <v:stroke dashstyle="solid"/>
            </v:shape>
            <v:line style="position:absolute" from="1084,5226" to="4995,5226" stroked="true" strokeweight=".5pt" strokecolor="#000000">
              <v:stroke dashstyle="solid"/>
            </v:line>
            <v:shape style="position:absolute;left:2569;top:5119;width:1977;height:105" coordorigin="2569,5120" coordsize="1977,105" path="m2569,5173l2569,5225m2853,5173l2853,5225m3137,5173l3137,5225m3422,5129l3422,5225m3693,5165l3693,5216m3977,5165l3977,5216m4262,5165l4262,5216m4546,5120l4546,5216e" filled="false" stroked="true" strokeweight=".5pt" strokecolor="#000000">
              <v:path arrowok="t"/>
              <v:stroke dashstyle="solid"/>
            </v:shape>
            <v:shape style="position:absolute;left:980;top:5735;width:4700;height:4245" coordorigin="980,5735" coordsize="4700,4245" path="m5680,5735l980,5735,980,6475,980,6485,980,9980,5670,9980,5670,6485,5680,6485,5680,5735xe" filled="true" fillcolor="#ffffff" stroked="false">
              <v:path arrowok="t"/>
              <v:fill type="solid"/>
            </v:shape>
            <v:shape style="position:absolute;left:2605;top:7425;width:2208;height:603" coordorigin="2606,7425" coordsize="2208,603" path="m2606,7497l2881,8027m2881,8027l3166,7886m3166,7886l3441,7679m3441,7679l3713,7475m3713,7475l3988,7425m3988,7425l4263,7507m4263,7507l4538,7569m4538,7569l4813,7711e" filled="false" stroked="true" strokeweight="1pt" strokecolor="#c0a2c7">
              <v:path arrowok="t"/>
              <v:stroke dashstyle="solid"/>
            </v:shape>
            <v:shape style="position:absolute;left:2880;top:7609;width:1933;height:459" coordorigin="2881,7610" coordsize="1933,459" path="m2881,8049l3166,7999m3166,7999l3441,7915m3441,7915l3713,7679m3713,7679l3988,7610m3988,7610l4263,7804m4263,7804l4538,7915m4538,7915l4813,8068e" filled="false" stroked="true" strokeweight="1pt" strokecolor="#a4a4a4">
              <v:path arrowok="t"/>
              <v:stroke dashstyle="solid"/>
            </v:shape>
            <v:shape style="position:absolute;left:3165;top:7885;width:1648;height:214" coordorigin="3166,7886" coordsize="1648,214" path="m3166,8068l3441,8099m3441,8099l3713,8018m3713,8018l3988,7977m3988,7977l4263,7886m4263,7886l4538,7999m4538,7999l4813,8099e" filled="false" stroked="true" strokeweight="1pt" strokecolor="#f6bd61">
              <v:path arrowok="t"/>
              <v:stroke dashstyle="solid"/>
            </v:shape>
            <v:line style="position:absolute" from="3431,8090" to="3723,8090" stroked="true" strokeweight="1.959pt" strokecolor="#006caa">
              <v:stroke dashstyle="solid"/>
            </v:line>
            <v:shape style="position:absolute;left:3713;top:8099;width:1100;height:288" coordorigin="3713,8099" coordsize="1100,288" path="m3713,8099l3988,8162m3988,8162l4263,8193m4263,8193l4538,8387m4538,8387l4813,8335e" filled="false" stroked="true" strokeweight="1pt" strokecolor="#006caa">
              <v:path arrowok="t"/>
              <v:stroke dashstyle="solid"/>
            </v:shape>
            <v:shape style="position:absolute;left:1230;top:7609;width:550;height:418" coordorigin="1231,7610" coordsize="550,418" path="m1231,7610l1506,8027m1506,8027l1781,7679e" filled="false" stroked="true" strokeweight="1pt" strokecolor="#de0035">
              <v:path arrowok="t"/>
              <v:stroke dashstyle="solid"/>
            </v:shape>
            <v:line style="position:absolute" from="1771,7690" to="2066,7690" stroked="true" strokeweight="2.081pt" strokecolor="#de0035">
              <v:stroke dashstyle="solid"/>
            </v:line>
            <v:shape style="position:absolute;left:2055;top:7497;width:825;height:552" coordorigin="2056,7497" coordsize="825,552" path="m2056,7701l2331,7987m2331,7987l2606,7497m2606,7497l2881,8049e" filled="false" stroked="true" strokeweight="1pt" strokecolor="#de0035">
              <v:path arrowok="t"/>
              <v:stroke dashstyle="solid"/>
            </v:shape>
            <v:line style="position:absolute" from="2871,8059" to="3176,8059" stroked="true" strokeweight="1.96pt" strokecolor="#de0035">
              <v:stroke dashstyle="solid"/>
            </v:line>
            <v:line style="position:absolute" from="3156,8074" to="3451,8074" stroked="true" strokeweight="1.601pt" strokecolor="#de0035">
              <v:stroke dashstyle="solid"/>
            </v:line>
            <v:shape style="position:absolute;left:3440;top:8080;width:548;height:480" coordorigin="3441,8080" coordsize="548,480" path="m3441,8080l3713,8387m3713,8387l3988,8560e" filled="false" stroked="true" strokeweight="1pt" strokecolor="#de0035">
              <v:path arrowok="t"/>
              <v:stroke dashstyle="solid"/>
            </v:shape>
            <v:line style="position:absolute" from="3978,8570" to="4273,8570" stroked="true" strokeweight="1.959pt" strokecolor="#de0035">
              <v:stroke dashstyle="solid"/>
            </v:line>
            <v:shape style="position:absolute;left:4263;top:8579;width:550;height:135" coordorigin="4263,8579" coordsize="550,135" path="m4263,8579l4538,8673m4538,8673l4813,8714e" filled="false" stroked="true" strokeweight="1pt" strokecolor="#de0035">
              <v:path arrowok="t"/>
              <v:stroke dashstyle="solid"/>
            </v:shape>
            <v:shape style="position:absolute;left:1090;top:6705;width:3887;height:2930" coordorigin="1090,6706" coordsize="3887,2930" path="m1182,6706l1096,6706m1182,7420l1096,7420m1182,8125l1096,8125m1182,8817l1096,8817m1182,9492l1096,9492m1228,9539l1228,9635m1504,9584l1504,9635m1779,9584l1779,9635m2054,9584l2054,9635m2329,9539l2329,9635m4972,7424l4885,7424m4972,8129l4885,8129m4972,8821l4885,8821m4972,9497l4885,9497m1090,9630l4977,9630m2616,9584l2616,9635m2892,9584l2892,9635m3167,9584l3167,9635m3442,9539l3442,9635m3706,9584l3706,9635m3981,9584l3981,9635m4256,9584l4256,9635m4531,9539l4531,9635m4821,9584l4821,9635m1240,8127l4834,8127e" filled="false" stroked="true" strokeweight=".5pt" strokecolor="#000000">
              <v:path arrowok="t"/>
              <v:stroke dashstyle="solid"/>
            </v:shape>
            <v:shape style="position:absolute;left:1163;top:9490;width:3832;height:136" coordorigin="1163,9490" coordsize="3832,136" path="m4975,9504l4975,9530,4955,9545,4995,9559,4955,9578,4995,9594,4972,9603,4971,9626m1183,9490l1183,9516,1163,9532,1203,9545,1163,9564,1203,9580,1180,9590,1180,9612e" filled="false" stroked="true" strokeweight=".5pt" strokecolor="#000000">
              <v:path arrowok="t"/>
              <v:stroke dashstyle="solid"/>
            </v:shape>
            <v:shape style="position:absolute;left:6124;top:1300;width:4700;height:4320" coordorigin="6124,1300" coordsize="4700,4320" path="m10824,1300l6124,1300,6124,2010,6124,2060,6124,5620,10824,5620,10824,2060,10824,2010,10824,1300xe" filled="true" fillcolor="#ffffff" stroked="false">
              <v:path arrowok="t"/>
              <v:fill type="solid"/>
            </v:shape>
            <v:line style="position:absolute" from="8772,4095" to="9064,4040" stroked="true" strokeweight=".5pt" strokecolor="#000000">
              <v:stroke dashstyle="solid"/>
            </v:line>
            <v:shape style="position:absolute;left:6341;top:2655;width:3633;height:1440" coordorigin="6342,2655" coordsize="3633,1440" path="m6342,3140l6649,2915m6649,2915l6942,2655m6942,2655l7249,2903m7249,2903l7554,3118m7554,3118l7852,3240m7852,3240l8157,3613m8157,3613l8464,3848m8464,3848l8772,4095m9064,4040l9372,3690m9372,3690l9677,3343m9677,3343l9974,3230e" filled="false" stroked="true" strokeweight="1pt" strokecolor="#de0035">
              <v:path arrowok="t"/>
              <v:stroke dashstyle="solid"/>
            </v:shape>
            <v:shape style="position:absolute;left:6341;top:2982;width:1510;height:978" coordorigin="6342,2983" coordsize="1510,978" path="m6342,3150l6649,2983m6649,2983l6942,2985m6942,2983l7249,3343m7249,3343l7554,3623m7554,3623l7852,3960e" filled="false" stroked="true" strokeweight="1pt" strokecolor="#c0a2c7">
              <v:path arrowok="t"/>
              <v:stroke dashstyle="solid"/>
            </v:shape>
            <v:line style="position:absolute" from="7842,3971" to="8167,3971" stroked="true" strokeweight="2.125pt" strokecolor="#c0a2c7">
              <v:stroke dashstyle="solid"/>
            </v:line>
            <v:shape style="position:absolute;left:8156;top:3465;width:1215;height:518" coordorigin="8157,3465" coordsize="1215,518" path="m8157,3983l8464,3973m8464,3973l8772,3838m8772,3838l9064,3623m9064,3623l9372,3465e" filled="false" stroked="true" strokeweight="1pt" strokecolor="#c0a2c7">
              <v:path arrowok="t"/>
              <v:stroke dashstyle="solid"/>
            </v:shape>
            <v:shape style="position:absolute;left:6341;top:2610;width:600;height:563" coordorigin="6342,2610" coordsize="600,563" path="m6342,3173l6649,2938m6649,2938l6942,2610e" filled="false" stroked="true" strokeweight="1pt" strokecolor="#a4a4a4">
              <v:path arrowok="t"/>
              <v:stroke dashstyle="solid"/>
            </v:shape>
            <v:line style="position:absolute" from="6932,2594" to="7259,2594" stroked="true" strokeweight="2.625pt" strokecolor="#a4a4a4">
              <v:stroke dashstyle="solid"/>
            </v:line>
            <v:shape style="position:absolute;left:7249;top:2577;width:2428;height:1698" coordorigin="7249,2578" coordsize="2428,1698" path="m7249,2578l7554,2880m7554,2880l7852,3320m7852,3320l8157,3780m8157,3780l8464,4275m8464,4275l8772,4185m8772,4185l9064,3995m9064,3995l9372,3770m9372,3770l9677,3478e" filled="false" stroked="true" strokeweight="1pt" strokecolor="#a4a4a4">
              <v:path arrowok="t"/>
              <v:stroke dashstyle="solid"/>
            </v:shape>
            <v:shape style="position:absolute;left:6341;top:2757;width:3633;height:1395" coordorigin="6342,2758" coordsize="3633,1395" path="m6342,3263l6649,2903m6649,2903l6942,2758m6942,2758l7249,3128m7249,3128l7554,3208m7554,3208l7852,3668m7852,3668l8157,4028m8157,4028l8464,4118m8464,4118l8772,4153m8772,4153l9064,4028m9064,4028l9372,3803m9372,3803l9677,3635m9677,3635l9974,3523e" filled="false" stroked="true" strokeweight="1pt" strokecolor="#f6bd61">
              <v:path arrowok="t"/>
              <v:stroke dashstyle="solid"/>
            </v:shape>
            <v:shape style="position:absolute;left:6341;top:2960;width:2123;height:1135" coordorigin="6342,2960" coordsize="2123,1135" path="m6342,3388l6649,3140m6649,3140l6942,2960m6942,2960l7249,3275m7249,3275l7554,3285m7554,3285l7852,3623m7852,3623l8157,3983m8157,3983l8464,4095e" filled="false" stroked="true" strokeweight="1pt" strokecolor="#006caa">
              <v:path arrowok="t"/>
              <v:stroke dashstyle="solid"/>
            </v:shape>
            <v:line style="position:absolute" from="8454,4079" to="8782,4079" stroked="true" strokeweight="2.625pt" strokecolor="#006caa">
              <v:stroke dashstyle="solid"/>
            </v:line>
            <v:shape style="position:absolute;left:8771;top:3522;width:1203;height:540" coordorigin="8772,3523" coordsize="1203,540" path="m8772,4063l9064,4028m9064,4028l9372,3793m9372,3793l9677,3635m9677,3635l9974,3523e" filled="false" stroked="true" strokeweight="1pt" strokecolor="#006caa">
              <v:path arrowok="t"/>
              <v:stroke dashstyle="solid"/>
            </v:shape>
            <v:shape style="position:absolute;left:6188;top:2243;width:3947;height:2901" coordorigin="6188,2243" coordsize="3947,2901" path="m6275,3518l6188,3518m6275,3852l6188,3852m6275,4188l6188,4188m6275,4491l6188,4491m6275,4799l6188,4799m6275,5133l6188,5133m6337,5043l6337,5143m6944,5090l6944,5143m6641,5090l6641,5143m7247,5090l7247,5143m7550,5043l7550,5143m6275,2243l6188,2243m6275,2564l6188,2564m6275,2901l6188,2901m6275,3204l6188,3204m10135,3518l10049,3518m10135,3852l10049,3852m10135,4188l10049,4188m10135,4491l10049,4491m10135,4799l10049,4799m10135,5133l10049,5133m10135,2564l10049,2564m10135,2901l10049,2901m10135,3204l10049,3204e" filled="false" stroked="true" strokeweight=".5pt" strokecolor="#000000">
              <v:path arrowok="t"/>
              <v:stroke dashstyle="solid"/>
            </v:shape>
            <v:line style="position:absolute" from="6337,5138" to="9971,5138" stroked="true" strokeweight=".5pt" strokecolor="#000000">
              <v:stroke dashstyle="solid"/>
            </v:line>
            <v:shape style="position:absolute;left:7811;top:4133;width:2160;height:1010" coordorigin="7811,4134" coordsize="2160,1010" path="m8163,5090l8163,5143m7860,5090l7860,5143m8466,5090l8466,5143m8770,5043l8770,5143m9364,5090l9364,5143m9061,5090l9061,5143m9667,5090l9667,5143m9971,5043l9971,5143m7811,4643l8151,4134e" filled="false" stroked="true" strokeweight=".5pt" strokecolor="#000000">
              <v:path arrowok="t"/>
              <v:stroke dashstyle="solid"/>
            </v:shape>
            <v:shape style="position:absolute;left:8120;top:4077;width:68;height:85" coordorigin="8121,4077" coordsize="68,85" path="m8188,4077l8121,4134,8162,4162,8181,4096,8185,4086,8188,4077xe" filled="true" fillcolor="#000000" stroked="false">
              <v:path arrowok="t"/>
              <v:fill type="solid"/>
            </v:shape>
            <v:shape style="position:absolute;left:6134;top:5760;width:4681;height:4240" coordorigin="6134,5760" coordsize="4681,4240" path="m10815,6520l10814,6520,10814,5760,6134,5760,6134,6560,6135,6560,6135,10000,10815,10000,10815,6520xe" filled="true" fillcolor="#ffffff" stroked="false">
              <v:path arrowok="t"/>
              <v:fill type="solid"/>
            </v:shape>
            <v:shape style="position:absolute;left:6387;top:7430;width:3623;height:1515" coordorigin="6387,7430" coordsize="3623,1515" path="m6387,7883l6687,7630m6687,7630l6995,7430m6995,7430l7295,7750m7295,7750l7592,7740m7592,7740l7902,8005m7902,8005l8200,8393m8200,8393l8497,8623m8497,8623l8797,8800m8797,8800l9105,8945m9105,8945l9402,8890m9402,8890l9702,8735m9702,8735l10010,8645e" filled="false" stroked="true" strokeweight="1pt" strokecolor="#c0a2c7">
              <v:path arrowok="t"/>
              <v:stroke dashstyle="solid"/>
            </v:shape>
            <v:shape style="position:absolute;left:6387;top:7110;width:3623;height:2078" coordorigin="6387,7110" coordsize="3623,2078" path="m6387,7993l6687,7420m6687,7420l6995,7143m6995,7143l7295,7110m7295,7110l7592,7253m7592,7253l7902,7740m7902,7740l8200,8083m8200,8083l8497,8413m8497,8413l8797,8878m8797,8878l9105,9065m9105,9065l9402,9188m9402,9188l9702,9088m9702,9088l10010,8900e" filled="false" stroked="true" strokeweight="1pt" strokecolor="#a4a4a4">
              <v:path arrowok="t"/>
              <v:stroke dashstyle="solid"/>
            </v:shape>
            <v:shape style="position:absolute;left:6387;top:7087;width:3623;height:2145" coordorigin="6387,7088" coordsize="3623,2145" path="m6387,7905l6687,7453m6687,7453l6995,7230m6995,7230l7295,7088m7295,7088l7592,7498m7592,7498l7902,7850m7902,7850l8200,8170m8200,8170l8497,8603m8497,8603l8797,8910m8797,8910l9105,9178m9105,9178l9402,9233m9402,9233l9702,9143m9702,9143l10010,8813e" filled="false" stroked="true" strokeweight="1pt" strokecolor="#f6bd61">
              <v:path arrowok="t"/>
              <v:stroke dashstyle="solid"/>
            </v:shape>
            <v:shape style="position:absolute;left:6387;top:7120;width:3623;height:2035" coordorigin="6387,7120" coordsize="3623,2035" path="m6387,7805l6687,7363m6687,7363l6995,7198m6995,7198l7295,7120m7295,7120l7592,7685m7592,7685l7902,8148m7902,8148l8200,8490m8200,8490l8497,8945m8497,8945l8797,9155m8797,9155l9105,9110m9105,9110l9402,8978m9402,8978l9702,8823m9702,8823l10010,8623e" filled="false" stroked="true" strokeweight="1pt" strokecolor="#006caa">
              <v:path arrowok="t"/>
              <v:stroke dashstyle="solid"/>
            </v:shape>
            <v:shape style="position:absolute;left:6387;top:7142;width:3623;height:1460" coordorigin="6387,7143" coordsize="3623,1460" path="m8200,8105l8497,8348m6387,7630l6687,7398m6687,7398l6995,7143m6995,7143l7295,7385m7295,7385l7592,7608m7592,7608l7902,7728m7902,7728l8200,8105m8497,8348l8797,8603m8797,8603l9105,8535m9105,8535l9402,8183m9402,8183l9702,7840m9702,7840l10010,7718e" filled="false" stroked="true" strokeweight="1pt" strokecolor="#de0035">
              <v:path arrowok="t"/>
              <v:stroke dashstyle="solid"/>
            </v:shape>
            <v:shape style="position:absolute;left:6250;top:6772;width:3911;height:2882" coordorigin="6250,6772" coordsize="3911,2882" path="m6337,8050l6250,8050m6337,8386l6250,8386m6337,8683l6250,8683m6337,9025l6250,9025m6337,9337l6250,9337m6337,9650l6250,9650m6388,9554l6388,9654m6691,9601l6691,9654m6994,9601l6994,9654m7297,9601l7297,9654m7599,9554l7599,9654m6337,6772l6250,6772m6337,7089l6250,7089m6337,7408l6250,7408m6337,7728l6250,7728m10161,8051l10074,8051m10161,8387l10074,8387m10161,8684l10074,8684m10161,9025l10074,9025m10161,9338l10074,9338m10161,9650l10074,9650m10161,7090l10074,7090m10161,7409l10074,7409m10161,7729l10074,7729e" filled="false" stroked="true" strokeweight=".5pt" strokecolor="#000000">
              <v:path arrowok="t"/>
              <v:stroke dashstyle="solid"/>
            </v:shape>
            <v:line style="position:absolute" from="6388,9650" to="10015,9650" stroked="true" strokeweight=".5pt" strokecolor="#000000">
              <v:stroke dashstyle="solid"/>
            </v:line>
            <v:shape style="position:absolute;left:7905;top:9554;width:2108;height:100" coordorigin="7905,9554" coordsize="2108,100" path="m7905,9601l7905,9654m8208,9601l8208,9654m8511,9601l8511,9654m8814,9554l8814,9654m9105,9601l9105,9654m9407,9601l9407,9654m9710,9601l9710,9654m10013,9554l10013,9654e" filled="false" stroked="true" strokeweight=".5pt" strokecolor="#000000">
              <v:path arrowok="t"/>
              <v:stroke dashstyle="solid"/>
            </v:shape>
            <v:shape style="position:absolute;left:1000;top:5600;width:9875;height:4400" coordorigin="1000,5600" coordsize="9875,4400" path="m1000,5600l5714,5600m1000,5720l5714,5720m1000,9980l5714,9980m6143,5620l10857,5620m6143,5740l10857,5740m6160,10000l10874,10000e" filled="false" stroked="true" strokeweight=".125pt" strokecolor="#000000">
              <v:path arrowok="t"/>
              <v:stroke dashstyle="solid"/>
            </v:shape>
            <v:shape style="position:absolute;left:1014;top:1296;width:4182;height:1063" type="#_x0000_t202" filled="false" stroked="false">
              <v:textbox inset="0,0,0,0">
                <w:txbxContent>
                  <w:p>
                    <w:pPr>
                      <w:spacing w:line="221" w:lineRule="exact" w:before="0"/>
                      <w:ind w:left="0" w:right="0" w:firstLine="0"/>
                      <w:jc w:val="left"/>
                      <w:rPr>
                        <w:b/>
                        <w:sz w:val="20"/>
                      </w:rPr>
                    </w:pPr>
                    <w:r>
                      <w:rPr>
                        <w:b/>
                        <w:color w:val="0092C7"/>
                        <w:sz w:val="20"/>
                      </w:rPr>
                      <w:t>Chart A</w:t>
                    </w:r>
                  </w:p>
                  <w:p>
                    <w:pPr>
                      <w:spacing w:line="249" w:lineRule="auto" w:before="10"/>
                      <w:ind w:left="0" w:right="0" w:hanging="1"/>
                      <w:jc w:val="left"/>
                      <w:rPr>
                        <w:b/>
                        <w:sz w:val="20"/>
                      </w:rPr>
                    </w:pPr>
                    <w:r>
                      <w:rPr>
                        <w:b/>
                        <w:color w:val="0092C7"/>
                        <w:sz w:val="20"/>
                      </w:rPr>
                      <w:t>August 1997–May 1998 </w:t>
                    </w:r>
                    <w:r>
                      <w:rPr>
                        <w:b/>
                        <w:i/>
                        <w:color w:val="0092C7"/>
                        <w:sz w:val="20"/>
                      </w:rPr>
                      <w:t>Inflation Report </w:t>
                    </w:r>
                    <w:r>
                      <w:rPr>
                        <w:b/>
                        <w:color w:val="0092C7"/>
                        <w:sz w:val="20"/>
                      </w:rPr>
                      <w:t>mean RPIX inflation projections and outturns</w:t>
                    </w:r>
                  </w:p>
                  <w:p>
                    <w:pPr>
                      <w:spacing w:line="237" w:lineRule="auto" w:before="145"/>
                      <w:ind w:left="2243" w:right="0" w:firstLine="0"/>
                      <w:jc w:val="left"/>
                      <w:rPr>
                        <w:sz w:val="12"/>
                      </w:rPr>
                    </w:pPr>
                    <w:r>
                      <w:rPr>
                        <w:sz w:val="12"/>
                      </w:rPr>
                      <w:t>Percentage changes on a year earl</w:t>
                    </w:r>
                    <w:r>
                      <w:rPr>
                        <w:sz w:val="12"/>
                        <w:u w:val="single"/>
                      </w:rPr>
                      <w:t>ie</w:t>
                    </w:r>
                    <w:r>
                      <w:rPr>
                        <w:sz w:val="12"/>
                      </w:rPr>
                      <w:t>r </w:t>
                    </w:r>
                    <w:r>
                      <w:rPr>
                        <w:position w:val="-6"/>
                        <w:sz w:val="12"/>
                      </w:rPr>
                      <w:t>3.5</w:t>
                    </w:r>
                  </w:p>
                </w:txbxContent>
              </v:textbox>
              <w10:wrap type="none"/>
            </v:shape>
            <v:shape style="position:absolute;left:3440;top:2893;width:527;height:133" type="#_x0000_t202" filled="false" stroked="false">
              <v:textbox inset="0,0,0,0">
                <w:txbxContent>
                  <w:p>
                    <w:pPr>
                      <w:spacing w:line="133" w:lineRule="exact" w:before="0"/>
                      <w:ind w:left="0" w:right="0" w:firstLine="0"/>
                      <w:jc w:val="left"/>
                      <w:rPr>
                        <w:sz w:val="12"/>
                      </w:rPr>
                    </w:pPr>
                    <w:r>
                      <w:rPr>
                        <w:sz w:val="12"/>
                      </w:rPr>
                      <w:t>Aug. 1997</w:t>
                    </w:r>
                  </w:p>
                </w:txbxContent>
              </v:textbox>
              <w10:wrap type="none"/>
            </v:shape>
            <v:shape style="position:absolute;left:4197;top:2849;width:500;height:133" type="#_x0000_t202" filled="false" stroked="false">
              <v:textbox inset="0,0,0,0">
                <w:txbxContent>
                  <w:p>
                    <w:pPr>
                      <w:spacing w:line="133" w:lineRule="exact" w:before="0"/>
                      <w:ind w:left="0" w:right="0" w:firstLine="0"/>
                      <w:jc w:val="left"/>
                      <w:rPr>
                        <w:sz w:val="12"/>
                      </w:rPr>
                    </w:pPr>
                    <w:r>
                      <w:rPr>
                        <w:sz w:val="12"/>
                      </w:rPr>
                      <w:t>Feb. 1998</w:t>
                    </w:r>
                  </w:p>
                </w:txbxContent>
              </v:textbox>
              <w10:wrap type="none"/>
            </v:shape>
            <v:shape style="position:absolute;left:5026;top:2929;width:170;height:133" type="#_x0000_t202" filled="false" stroked="false">
              <v:textbox inset="0,0,0,0">
                <w:txbxContent>
                  <w:p>
                    <w:pPr>
                      <w:spacing w:line="133" w:lineRule="exact" w:before="0"/>
                      <w:ind w:left="0" w:right="0" w:firstLine="0"/>
                      <w:jc w:val="left"/>
                      <w:rPr>
                        <w:sz w:val="12"/>
                      </w:rPr>
                    </w:pPr>
                    <w:r>
                      <w:rPr>
                        <w:sz w:val="12"/>
                      </w:rPr>
                      <w:t>3.0</w:t>
                    </w:r>
                  </w:p>
                </w:txbxContent>
              </v:textbox>
              <w10:wrap type="none"/>
            </v:shape>
            <v:shape style="position:absolute;left:3437;top:3463;width:1760;height:998" type="#_x0000_t202" filled="false" stroked="false">
              <v:textbox inset="0,0,0,0">
                <w:txbxContent>
                  <w:p>
                    <w:pPr>
                      <w:tabs>
                        <w:tab w:pos="297" w:val="left" w:leader="none"/>
                        <w:tab w:pos="633" w:val="left" w:leader="none"/>
                      </w:tabs>
                      <w:spacing w:line="133" w:lineRule="exact" w:before="0"/>
                      <w:ind w:left="0" w:right="0" w:firstLine="0"/>
                      <w:jc w:val="left"/>
                      <w:rPr>
                        <w:sz w:val="12"/>
                      </w:rPr>
                    </w:pPr>
                    <w:r>
                      <w:rPr>
                        <w:sz w:val="12"/>
                        <w:u w:val="thick" w:color="F6BD61"/>
                      </w:rPr>
                      <w:t> </w:t>
                      <w:tab/>
                    </w:r>
                    <w:r>
                      <w:rPr>
                        <w:sz w:val="12"/>
                      </w:rPr>
                      <w:tab/>
                      <w:t>Nov. 1997</w:t>
                    </w:r>
                  </w:p>
                  <w:p>
                    <w:pPr>
                      <w:spacing w:before="45"/>
                      <w:ind w:left="1589" w:right="0" w:firstLine="0"/>
                      <w:jc w:val="left"/>
                      <w:rPr>
                        <w:sz w:val="12"/>
                      </w:rPr>
                    </w:pPr>
                    <w:r>
                      <w:rPr>
                        <w:sz w:val="12"/>
                      </w:rPr>
                      <w:t>2.5</w:t>
                    </w:r>
                  </w:p>
                  <w:p>
                    <w:pPr>
                      <w:spacing w:before="89"/>
                      <w:ind w:left="711" w:right="0" w:firstLine="0"/>
                      <w:jc w:val="center"/>
                      <w:rPr>
                        <w:sz w:val="12"/>
                      </w:rPr>
                    </w:pPr>
                    <w:r>
                      <w:rPr>
                        <w:sz w:val="12"/>
                      </w:rPr>
                      <w:t>May 1998</w:t>
                    </w:r>
                  </w:p>
                  <w:p>
                    <w:pPr>
                      <w:spacing w:line="240" w:lineRule="auto" w:before="0"/>
                      <w:rPr>
                        <w:sz w:val="12"/>
                      </w:rPr>
                    </w:pPr>
                  </w:p>
                  <w:p>
                    <w:pPr>
                      <w:spacing w:line="240" w:lineRule="auto" w:before="6"/>
                      <w:rPr>
                        <w:sz w:val="15"/>
                      </w:rPr>
                    </w:pPr>
                  </w:p>
                  <w:p>
                    <w:pPr>
                      <w:tabs>
                        <w:tab w:pos="1568" w:val="left" w:leader="none"/>
                      </w:tabs>
                      <w:spacing w:before="0"/>
                      <w:ind w:left="808" w:right="0" w:firstLine="0"/>
                      <w:jc w:val="center"/>
                      <w:rPr>
                        <w:sz w:val="12"/>
                      </w:rPr>
                    </w:pPr>
                    <w:r>
                      <w:rPr>
                        <w:sz w:val="12"/>
                      </w:rPr>
                      <w:t>Outturn</w:t>
                      <w:tab/>
                      <w:t>2.0</w:t>
                    </w:r>
                  </w:p>
                </w:txbxContent>
              </v:textbox>
              <w10:wrap type="none"/>
            </v:shape>
            <v:shape style="position:absolute;left:5026;top:5026;width:170;height:294" type="#_x0000_t202" filled="false" stroked="false">
              <v:textbox inset="0,0,0,0">
                <w:txbxContent>
                  <w:p>
                    <w:pPr>
                      <w:spacing w:line="133" w:lineRule="exact" w:before="0"/>
                      <w:ind w:left="0" w:right="0" w:firstLine="0"/>
                      <w:jc w:val="left"/>
                      <w:rPr>
                        <w:sz w:val="12"/>
                      </w:rPr>
                    </w:pPr>
                    <w:r>
                      <w:rPr>
                        <w:sz w:val="12"/>
                      </w:rPr>
                      <w:t>1.5</w:t>
                    </w:r>
                  </w:p>
                  <w:p>
                    <w:pPr>
                      <w:spacing w:before="22"/>
                      <w:ind w:left="0" w:right="0" w:firstLine="0"/>
                      <w:jc w:val="left"/>
                      <w:rPr>
                        <w:sz w:val="12"/>
                      </w:rPr>
                    </w:pPr>
                    <w:r>
                      <w:rPr>
                        <w:sz w:val="12"/>
                      </w:rPr>
                      <w:t>0.0</w:t>
                    </w:r>
                  </w:p>
                </w:txbxContent>
              </v:textbox>
              <w10:wrap type="none"/>
            </v:shape>
            <v:shape style="position:absolute;left:1690;top:5300;width:260;height:133" type="#_x0000_t202" filled="false" stroked="false">
              <v:textbox inset="0,0,0,0">
                <w:txbxContent>
                  <w:p>
                    <w:pPr>
                      <w:spacing w:line="133" w:lineRule="exact" w:before="0"/>
                      <w:ind w:left="0" w:right="0" w:firstLine="0"/>
                      <w:jc w:val="left"/>
                      <w:rPr>
                        <w:sz w:val="12"/>
                      </w:rPr>
                    </w:pPr>
                    <w:r>
                      <w:rPr>
                        <w:sz w:val="12"/>
                      </w:rPr>
                      <w:t>1997</w:t>
                    </w:r>
                  </w:p>
                </w:txbxContent>
              </v:textbox>
              <w10:wrap type="none"/>
            </v:shape>
            <v:shape style="position:absolute;left:2809;top:5300;width:140;height:133" type="#_x0000_t202" filled="false" stroked="false">
              <v:textbox inset="0,0,0,0">
                <w:txbxContent>
                  <w:p>
                    <w:pPr>
                      <w:spacing w:line="133" w:lineRule="exact" w:before="0"/>
                      <w:ind w:left="0" w:right="0" w:firstLine="0"/>
                      <w:jc w:val="left"/>
                      <w:rPr>
                        <w:sz w:val="12"/>
                      </w:rPr>
                    </w:pPr>
                    <w:r>
                      <w:rPr>
                        <w:sz w:val="12"/>
                      </w:rPr>
                      <w:t>98</w:t>
                    </w:r>
                  </w:p>
                </w:txbxContent>
              </v:textbox>
              <w10:wrap type="none"/>
            </v:shape>
            <v:shape style="position:absolute;left:3945;top:5300;width:140;height:133" type="#_x0000_t202" filled="false" stroked="false">
              <v:textbox inset="0,0,0,0">
                <w:txbxContent>
                  <w:p>
                    <w:pPr>
                      <w:spacing w:line="133" w:lineRule="exact" w:before="0"/>
                      <w:ind w:left="0" w:right="0" w:firstLine="0"/>
                      <w:jc w:val="left"/>
                      <w:rPr>
                        <w:sz w:val="12"/>
                      </w:rPr>
                    </w:pPr>
                    <w:r>
                      <w:rPr>
                        <w:sz w:val="12"/>
                      </w:rPr>
                      <w:t>99</w:t>
                    </w:r>
                  </w:p>
                </w:txbxContent>
              </v:textbox>
              <w10:wrap type="none"/>
            </v:shape>
            <v:shape style="position:absolute;left:4648;top:5300;width:260;height:133" type="#_x0000_t202" filled="false" stroked="false">
              <v:textbox inset="0,0,0,0">
                <w:txbxContent>
                  <w:p>
                    <w:pPr>
                      <w:spacing w:line="133" w:lineRule="exact" w:before="0"/>
                      <w:ind w:left="0" w:right="0" w:firstLine="0"/>
                      <w:jc w:val="left"/>
                      <w:rPr>
                        <w:sz w:val="12"/>
                      </w:rPr>
                    </w:pPr>
                    <w:r>
                      <w:rPr>
                        <w:sz w:val="12"/>
                      </w:rPr>
                      <w:t>2000</w:t>
                    </w:r>
                  </w:p>
                </w:txbxContent>
              </v:textbox>
              <w10:wrap type="none"/>
            </v:shape>
            <v:shape style="position:absolute;left:6144;top:1281;width:4005;height:949" type="#_x0000_t202" filled="false" stroked="false">
              <v:textbox inset="0,0,0,0">
                <w:txbxContent>
                  <w:p>
                    <w:pPr>
                      <w:spacing w:line="221" w:lineRule="exact" w:before="0"/>
                      <w:ind w:left="0" w:right="0" w:firstLine="0"/>
                      <w:jc w:val="left"/>
                      <w:rPr>
                        <w:b/>
                        <w:sz w:val="20"/>
                      </w:rPr>
                    </w:pPr>
                    <w:r>
                      <w:rPr>
                        <w:b/>
                        <w:color w:val="0092C7"/>
                        <w:sz w:val="20"/>
                      </w:rPr>
                      <w:t>Chart C</w:t>
                    </w:r>
                  </w:p>
                  <w:p>
                    <w:pPr>
                      <w:spacing w:before="10"/>
                      <w:ind w:left="0" w:right="0" w:firstLine="0"/>
                      <w:jc w:val="left"/>
                      <w:rPr>
                        <w:b/>
                        <w:i/>
                        <w:sz w:val="20"/>
                      </w:rPr>
                    </w:pPr>
                    <w:r>
                      <w:rPr>
                        <w:b/>
                        <w:color w:val="0092C7"/>
                        <w:sz w:val="20"/>
                      </w:rPr>
                      <w:t>August 1997–May 1998 </w:t>
                    </w:r>
                    <w:r>
                      <w:rPr>
                        <w:b/>
                        <w:i/>
                        <w:color w:val="0092C7"/>
                        <w:sz w:val="20"/>
                      </w:rPr>
                      <w:t>Inflation Report</w:t>
                    </w:r>
                  </w:p>
                  <w:p>
                    <w:pPr>
                      <w:spacing w:before="10"/>
                      <w:ind w:left="0" w:right="0" w:firstLine="0"/>
                      <w:jc w:val="left"/>
                      <w:rPr>
                        <w:b/>
                        <w:sz w:val="20"/>
                      </w:rPr>
                    </w:pPr>
                    <w:r>
                      <w:rPr>
                        <w:b/>
                        <w:color w:val="0092C7"/>
                        <w:sz w:val="20"/>
                      </w:rPr>
                      <w:t>mean GDP projections and outturns</w:t>
                    </w:r>
                  </w:p>
                  <w:p>
                    <w:pPr>
                      <w:spacing w:before="109"/>
                      <w:ind w:left="2235" w:right="0" w:firstLine="0"/>
                      <w:jc w:val="left"/>
                      <w:rPr>
                        <w:sz w:val="12"/>
                      </w:rPr>
                    </w:pPr>
                    <w:r>
                      <w:rPr>
                        <w:sz w:val="12"/>
                      </w:rPr>
                      <w:t>Percentage changes on a year earli</w:t>
                    </w:r>
                    <w:r>
                      <w:rPr>
                        <w:sz w:val="12"/>
                        <w:u w:val="single"/>
                      </w:rPr>
                      <w:t>er</w:t>
                    </w:r>
                  </w:p>
                </w:txbxContent>
              </v:textbox>
              <w10:wrap type="none"/>
            </v:shape>
            <v:shape style="position:absolute;left:10185;top:2193;width:170;height:448" type="#_x0000_t202" filled="false" stroked="false">
              <v:textbox inset="0,0,0,0">
                <w:txbxContent>
                  <w:p>
                    <w:pPr>
                      <w:spacing w:line="133" w:lineRule="exact" w:before="0"/>
                      <w:ind w:left="0" w:right="0" w:firstLine="0"/>
                      <w:jc w:val="left"/>
                      <w:rPr>
                        <w:sz w:val="12"/>
                      </w:rPr>
                    </w:pPr>
                    <w:r>
                      <w:rPr>
                        <w:sz w:val="12"/>
                      </w:rPr>
                      <w:t>4.5</w:t>
                    </w:r>
                  </w:p>
                  <w:p>
                    <w:pPr>
                      <w:spacing w:line="240" w:lineRule="auto" w:before="4"/>
                      <w:rPr>
                        <w:sz w:val="15"/>
                      </w:rPr>
                    </w:pPr>
                  </w:p>
                  <w:p>
                    <w:pPr>
                      <w:spacing w:before="0"/>
                      <w:ind w:left="0" w:right="0" w:firstLine="0"/>
                      <w:jc w:val="left"/>
                      <w:rPr>
                        <w:sz w:val="12"/>
                      </w:rPr>
                    </w:pPr>
                    <w:r>
                      <w:rPr>
                        <w:sz w:val="12"/>
                      </w:rPr>
                      <w:t>4.0</w:t>
                    </w:r>
                  </w:p>
                </w:txbxContent>
              </v:textbox>
              <w10:wrap type="none"/>
            </v:shape>
            <v:shape style="position:absolute;left:7529;top:2695;width:527;height:133" type="#_x0000_t202" filled="false" stroked="false">
              <v:textbox inset="0,0,0,0">
                <w:txbxContent>
                  <w:p>
                    <w:pPr>
                      <w:spacing w:line="133" w:lineRule="exact" w:before="0"/>
                      <w:ind w:left="0" w:right="0" w:firstLine="0"/>
                      <w:jc w:val="left"/>
                      <w:rPr>
                        <w:sz w:val="12"/>
                      </w:rPr>
                    </w:pPr>
                    <w:r>
                      <w:rPr>
                        <w:sz w:val="12"/>
                      </w:rPr>
                      <w:t>Nov. 1997</w:t>
                    </w:r>
                  </w:p>
                </w:txbxContent>
              </v:textbox>
              <w10:wrap type="none"/>
            </v:shape>
            <v:shape style="position:absolute;left:9496;top:2823;width:859;height:458" type="#_x0000_t202" filled="false" stroked="false">
              <v:textbox inset="0,0,0,0">
                <w:txbxContent>
                  <w:p>
                    <w:pPr>
                      <w:spacing w:line="133" w:lineRule="exact" w:before="0"/>
                      <w:ind w:left="0" w:right="18" w:firstLine="0"/>
                      <w:jc w:val="right"/>
                      <w:rPr>
                        <w:sz w:val="12"/>
                      </w:rPr>
                    </w:pPr>
                    <w:r>
                      <w:rPr>
                        <w:sz w:val="12"/>
                      </w:rPr>
                      <w:t>3.5</w:t>
                    </w:r>
                  </w:p>
                  <w:p>
                    <w:pPr>
                      <w:spacing w:line="240" w:lineRule="auto" w:before="6"/>
                      <w:rPr>
                        <w:sz w:val="14"/>
                      </w:rPr>
                    </w:pPr>
                  </w:p>
                  <w:p>
                    <w:pPr>
                      <w:tabs>
                        <w:tab w:pos="688" w:val="left" w:leader="none"/>
                      </w:tabs>
                      <w:spacing w:before="0"/>
                      <w:ind w:left="0" w:right="0" w:firstLine="0"/>
                      <w:jc w:val="left"/>
                      <w:rPr>
                        <w:sz w:val="12"/>
                      </w:rPr>
                    </w:pPr>
                    <w:r>
                      <w:rPr>
                        <w:position w:val="2"/>
                        <w:sz w:val="12"/>
                      </w:rPr>
                      <w:t>Outturn</w:t>
                      <w:tab/>
                    </w:r>
                    <w:r>
                      <w:rPr>
                        <w:sz w:val="12"/>
                      </w:rPr>
                      <w:t>3.0</w:t>
                    </w:r>
                  </w:p>
                </w:txbxContent>
              </v:textbox>
              <w10:wrap type="none"/>
            </v:shape>
            <v:shape style="position:absolute;left:8630;top:3458;width:527;height:133" type="#_x0000_t202" filled="false" stroked="false">
              <v:textbox inset="0,0,0,0">
                <w:txbxContent>
                  <w:p>
                    <w:pPr>
                      <w:spacing w:line="133" w:lineRule="exact" w:before="0"/>
                      <w:ind w:left="0" w:right="0" w:firstLine="0"/>
                      <w:jc w:val="left"/>
                      <w:rPr>
                        <w:sz w:val="12"/>
                      </w:rPr>
                    </w:pPr>
                    <w:r>
                      <w:rPr>
                        <w:sz w:val="12"/>
                      </w:rPr>
                      <w:t>Aug. 1997</w:t>
                    </w:r>
                  </w:p>
                </w:txbxContent>
              </v:textbox>
              <w10:wrap type="none"/>
            </v:shape>
            <v:shape style="position:absolute;left:10185;top:3463;width:170;height:133" type="#_x0000_t202" filled="false" stroked="false">
              <v:textbox inset="0,0,0,0">
                <w:txbxContent>
                  <w:p>
                    <w:pPr>
                      <w:spacing w:line="133" w:lineRule="exact" w:before="0"/>
                      <w:ind w:left="0" w:right="0" w:firstLine="0"/>
                      <w:jc w:val="left"/>
                      <w:rPr>
                        <w:sz w:val="12"/>
                      </w:rPr>
                    </w:pPr>
                    <w:r>
                      <w:rPr>
                        <w:sz w:val="12"/>
                      </w:rPr>
                      <w:t>2.5</w:t>
                    </w:r>
                  </w:p>
                </w:txbxContent>
              </v:textbox>
              <w10:wrap type="none"/>
            </v:shape>
            <v:shape style="position:absolute;left:9448;top:3734;width:510;height:133" type="#_x0000_t202" filled="false" stroked="false">
              <v:textbox inset="0,0,0,0">
                <w:txbxContent>
                  <w:p>
                    <w:pPr>
                      <w:spacing w:line="133" w:lineRule="exact" w:before="0"/>
                      <w:ind w:left="0" w:right="0" w:firstLine="0"/>
                      <w:jc w:val="left"/>
                      <w:rPr>
                        <w:sz w:val="12"/>
                      </w:rPr>
                    </w:pPr>
                    <w:r>
                      <w:rPr>
                        <w:sz w:val="12"/>
                      </w:rPr>
                      <w:t>May 1998</w:t>
                    </w:r>
                  </w:p>
                </w:txbxContent>
              </v:textbox>
              <w10:wrap type="none"/>
            </v:shape>
            <v:shape style="position:absolute;left:10185;top:3778;width:170;height:776" type="#_x0000_t202" filled="false" stroked="false">
              <v:textbox inset="0,0,0,0">
                <w:txbxContent>
                  <w:p>
                    <w:pPr>
                      <w:spacing w:line="133" w:lineRule="exact" w:before="0"/>
                      <w:ind w:left="0" w:right="0" w:firstLine="0"/>
                      <w:jc w:val="left"/>
                      <w:rPr>
                        <w:sz w:val="12"/>
                      </w:rPr>
                    </w:pPr>
                    <w:r>
                      <w:rPr>
                        <w:sz w:val="12"/>
                      </w:rPr>
                      <w:t>2.0</w:t>
                    </w:r>
                  </w:p>
                  <w:p>
                    <w:pPr>
                      <w:spacing w:line="240" w:lineRule="auto" w:before="4"/>
                      <w:rPr>
                        <w:sz w:val="15"/>
                      </w:rPr>
                    </w:pPr>
                  </w:p>
                  <w:p>
                    <w:pPr>
                      <w:spacing w:before="0"/>
                      <w:ind w:left="0" w:right="0" w:firstLine="0"/>
                      <w:jc w:val="left"/>
                      <w:rPr>
                        <w:sz w:val="12"/>
                      </w:rPr>
                    </w:pPr>
                    <w:r>
                      <w:rPr>
                        <w:sz w:val="12"/>
                      </w:rPr>
                      <w:t>1.5</w:t>
                    </w:r>
                  </w:p>
                  <w:p>
                    <w:pPr>
                      <w:spacing w:line="240" w:lineRule="auto" w:before="6"/>
                      <w:rPr>
                        <w:sz w:val="16"/>
                      </w:rPr>
                    </w:pPr>
                  </w:p>
                  <w:p>
                    <w:pPr>
                      <w:spacing w:before="0"/>
                      <w:ind w:left="0" w:right="0" w:firstLine="0"/>
                      <w:jc w:val="left"/>
                      <w:rPr>
                        <w:sz w:val="12"/>
                      </w:rPr>
                    </w:pPr>
                    <w:r>
                      <w:rPr>
                        <w:sz w:val="12"/>
                      </w:rPr>
                      <w:t>1.0</w:t>
                    </w:r>
                  </w:p>
                </w:txbxContent>
              </v:textbox>
              <w10:wrap type="none"/>
            </v:shape>
            <v:shape style="position:absolute;left:7607;top:4631;width:500;height:133" type="#_x0000_t202" filled="false" stroked="false">
              <v:textbox inset="0,0,0,0">
                <w:txbxContent>
                  <w:p>
                    <w:pPr>
                      <w:spacing w:line="133" w:lineRule="exact" w:before="0"/>
                      <w:ind w:left="0" w:right="0" w:firstLine="0"/>
                      <w:jc w:val="left"/>
                      <w:rPr>
                        <w:sz w:val="12"/>
                      </w:rPr>
                    </w:pPr>
                    <w:r>
                      <w:rPr>
                        <w:sz w:val="12"/>
                      </w:rPr>
                      <w:t>Feb. 1998</w:t>
                    </w:r>
                  </w:p>
                </w:txbxContent>
              </v:textbox>
              <w10:wrap type="none"/>
            </v:shape>
            <v:shape style="position:absolute;left:10185;top:4735;width:170;height:448" type="#_x0000_t202" filled="false" stroked="false">
              <v:textbox inset="0,0,0,0">
                <w:txbxContent>
                  <w:p>
                    <w:pPr>
                      <w:spacing w:line="133" w:lineRule="exact" w:before="0"/>
                      <w:ind w:left="0" w:right="0" w:firstLine="0"/>
                      <w:jc w:val="left"/>
                      <w:rPr>
                        <w:sz w:val="12"/>
                      </w:rPr>
                    </w:pPr>
                    <w:r>
                      <w:rPr>
                        <w:sz w:val="12"/>
                      </w:rPr>
                      <w:t>0.5</w:t>
                    </w:r>
                  </w:p>
                  <w:p>
                    <w:pPr>
                      <w:spacing w:line="240" w:lineRule="auto" w:before="4"/>
                      <w:rPr>
                        <w:sz w:val="15"/>
                      </w:rPr>
                    </w:pPr>
                  </w:p>
                  <w:p>
                    <w:pPr>
                      <w:spacing w:before="0"/>
                      <w:ind w:left="0" w:right="0" w:firstLine="0"/>
                      <w:jc w:val="left"/>
                      <w:rPr>
                        <w:sz w:val="12"/>
                      </w:rPr>
                    </w:pPr>
                    <w:r>
                      <w:rPr>
                        <w:sz w:val="12"/>
                      </w:rPr>
                      <w:t>0.0</w:t>
                    </w:r>
                  </w:p>
                </w:txbxContent>
              </v:textbox>
              <w10:wrap type="none"/>
            </v:shape>
            <v:shape style="position:absolute;left:6839;top:5208;width:260;height:133" type="#_x0000_t202" filled="false" stroked="false">
              <v:textbox inset="0,0,0,0">
                <w:txbxContent>
                  <w:p>
                    <w:pPr>
                      <w:spacing w:line="133" w:lineRule="exact" w:before="0"/>
                      <w:ind w:left="0" w:right="0" w:firstLine="0"/>
                      <w:jc w:val="left"/>
                      <w:rPr>
                        <w:sz w:val="12"/>
                      </w:rPr>
                    </w:pPr>
                    <w:r>
                      <w:rPr>
                        <w:sz w:val="12"/>
                      </w:rPr>
                      <w:t>1997</w:t>
                    </w:r>
                  </w:p>
                </w:txbxContent>
              </v:textbox>
              <w10:wrap type="none"/>
            </v:shape>
            <v:shape style="position:absolute;left:8071;top:5208;width:140;height:133" type="#_x0000_t202" filled="false" stroked="false">
              <v:textbox inset="0,0,0,0">
                <w:txbxContent>
                  <w:p>
                    <w:pPr>
                      <w:spacing w:line="133" w:lineRule="exact" w:before="0"/>
                      <w:ind w:left="0" w:right="0" w:firstLine="0"/>
                      <w:jc w:val="left"/>
                      <w:rPr>
                        <w:sz w:val="12"/>
                      </w:rPr>
                    </w:pPr>
                    <w:r>
                      <w:rPr>
                        <w:sz w:val="12"/>
                      </w:rPr>
                      <w:t>98</w:t>
                    </w:r>
                  </w:p>
                </w:txbxContent>
              </v:textbox>
              <w10:wrap type="none"/>
            </v:shape>
            <v:shape style="position:absolute;left:9269;top:5208;width:140;height:133" type="#_x0000_t202" filled="false" stroked="false">
              <v:textbox inset="0,0,0,0">
                <w:txbxContent>
                  <w:p>
                    <w:pPr>
                      <w:spacing w:line="133" w:lineRule="exact" w:before="0"/>
                      <w:ind w:left="0" w:right="0" w:firstLine="0"/>
                      <w:jc w:val="left"/>
                      <w:rPr>
                        <w:sz w:val="12"/>
                      </w:rPr>
                    </w:pPr>
                    <w:r>
                      <w:rPr>
                        <w:sz w:val="12"/>
                      </w:rPr>
                      <w:t>99</w:t>
                    </w:r>
                  </w:p>
                </w:txbxContent>
              </v:textbox>
              <w10:wrap type="none"/>
            </v:shape>
            <v:shape style="position:absolute;left:9896;top:5208;width:260;height:133" type="#_x0000_t202" filled="false" stroked="false">
              <v:textbox inset="0,0,0,0">
                <w:txbxContent>
                  <w:p>
                    <w:pPr>
                      <w:spacing w:line="133" w:lineRule="exact" w:before="0"/>
                      <w:ind w:left="0" w:right="0" w:firstLine="0"/>
                      <w:jc w:val="left"/>
                      <w:rPr>
                        <w:sz w:val="12"/>
                      </w:rPr>
                    </w:pPr>
                    <w:r>
                      <w:rPr>
                        <w:sz w:val="12"/>
                      </w:rPr>
                      <w:t>2000</w:t>
                    </w:r>
                  </w:p>
                </w:txbxContent>
              </v:textbox>
              <w10:wrap type="none"/>
            </v:shape>
            <v:shape style="position:absolute;left:1000;top:5716;width:4186;height:1059" type="#_x0000_t202" filled="false" stroked="false">
              <v:textbox inset="0,0,0,0">
                <w:txbxContent>
                  <w:p>
                    <w:pPr>
                      <w:spacing w:line="221" w:lineRule="exact" w:before="0"/>
                      <w:ind w:left="0" w:right="0" w:firstLine="0"/>
                      <w:jc w:val="left"/>
                      <w:rPr>
                        <w:b/>
                        <w:sz w:val="20"/>
                      </w:rPr>
                    </w:pPr>
                    <w:r>
                      <w:rPr>
                        <w:b/>
                        <w:color w:val="0092C7"/>
                        <w:sz w:val="20"/>
                      </w:rPr>
                      <w:t>Chart B</w:t>
                    </w:r>
                  </w:p>
                  <w:p>
                    <w:pPr>
                      <w:spacing w:line="249" w:lineRule="auto" w:before="10"/>
                      <w:ind w:left="0" w:right="0" w:hanging="1"/>
                      <w:jc w:val="left"/>
                      <w:rPr>
                        <w:b/>
                        <w:sz w:val="20"/>
                      </w:rPr>
                    </w:pPr>
                    <w:r>
                      <w:rPr>
                        <w:b/>
                        <w:color w:val="0092C7"/>
                        <w:sz w:val="20"/>
                      </w:rPr>
                      <w:t>August 1998–May 1999 </w:t>
                    </w:r>
                    <w:r>
                      <w:rPr>
                        <w:b/>
                        <w:i/>
                        <w:color w:val="0092C7"/>
                        <w:sz w:val="20"/>
                      </w:rPr>
                      <w:t>Inflation Report </w:t>
                    </w:r>
                    <w:r>
                      <w:rPr>
                        <w:b/>
                        <w:color w:val="0092C7"/>
                        <w:sz w:val="20"/>
                      </w:rPr>
                      <w:t>mean RPIX inflation projections and outturns</w:t>
                    </w:r>
                  </w:p>
                  <w:p>
                    <w:pPr>
                      <w:spacing w:before="128"/>
                      <w:ind w:left="2216" w:right="0" w:firstLine="0"/>
                      <w:jc w:val="left"/>
                      <w:rPr>
                        <w:sz w:val="12"/>
                      </w:rPr>
                    </w:pPr>
                    <w:r>
                      <w:rPr>
                        <w:sz w:val="12"/>
                      </w:rPr>
                      <w:t>Percentage changes on a year earli</w:t>
                    </w:r>
                    <w:r>
                      <w:rPr>
                        <w:sz w:val="12"/>
                        <w:u w:val="single"/>
                      </w:rPr>
                      <w:t>er</w:t>
                    </w:r>
                    <w:r>
                      <w:rPr>
                        <w:sz w:val="12"/>
                      </w:rPr>
                      <w:t> </w:t>
                    </w:r>
                    <w:r>
                      <w:rPr>
                        <w:position w:val="-7"/>
                        <w:sz w:val="12"/>
                      </w:rPr>
                      <w:t>3.5</w:t>
                    </w:r>
                  </w:p>
                </w:txbxContent>
              </v:textbox>
              <w10:wrap type="none"/>
            </v:shape>
            <v:shape style="position:absolute;left:4112;top:7327;width:1074;height:513" type="#_x0000_t202" filled="false" stroked="false">
              <v:textbox inset="0,0,0,0">
                <w:txbxContent>
                  <w:p>
                    <w:pPr>
                      <w:tabs>
                        <w:tab w:pos="903" w:val="left" w:leader="none"/>
                      </w:tabs>
                      <w:spacing w:line="228" w:lineRule="auto" w:before="0"/>
                      <w:ind w:left="0" w:right="18" w:firstLine="0"/>
                      <w:jc w:val="center"/>
                      <w:rPr>
                        <w:sz w:val="12"/>
                      </w:rPr>
                    </w:pPr>
                    <w:r>
                      <w:rPr>
                        <w:sz w:val="12"/>
                      </w:rPr>
                      <w:t>Aug. 1998</w:t>
                      <w:tab/>
                    </w:r>
                    <w:r>
                      <w:rPr>
                        <w:spacing w:val="-6"/>
                        <w:position w:val="-2"/>
                        <w:sz w:val="12"/>
                      </w:rPr>
                      <w:t>3.0</w:t>
                    </w:r>
                  </w:p>
                  <w:p>
                    <w:pPr>
                      <w:spacing w:line="240" w:lineRule="auto" w:before="4"/>
                      <w:rPr>
                        <w:sz w:val="18"/>
                      </w:rPr>
                    </w:pPr>
                  </w:p>
                  <w:p>
                    <w:pPr>
                      <w:spacing w:before="1"/>
                      <w:ind w:left="0" w:right="117" w:firstLine="0"/>
                      <w:jc w:val="center"/>
                      <w:rPr>
                        <w:sz w:val="12"/>
                      </w:rPr>
                    </w:pPr>
                    <w:r>
                      <w:rPr>
                        <w:sz w:val="12"/>
                      </w:rPr>
                      <w:t>Nov. 1998</w:t>
                    </w:r>
                  </w:p>
                </w:txbxContent>
              </v:textbox>
              <w10:wrap type="none"/>
            </v:shape>
            <v:shape style="position:absolute;left:3608;top:7817;width:500;height:133" type="#_x0000_t202" filled="false" stroked="false">
              <v:textbox inset="0,0,0,0">
                <w:txbxContent>
                  <w:p>
                    <w:pPr>
                      <w:spacing w:line="133" w:lineRule="exact" w:before="0"/>
                      <w:ind w:left="0" w:right="0" w:firstLine="0"/>
                      <w:jc w:val="left"/>
                      <w:rPr>
                        <w:sz w:val="12"/>
                      </w:rPr>
                    </w:pPr>
                    <w:r>
                      <w:rPr>
                        <w:sz w:val="12"/>
                      </w:rPr>
                      <w:t>Feb. 1999</w:t>
                    </w:r>
                  </w:p>
                </w:txbxContent>
              </v:textbox>
              <w10:wrap type="none"/>
            </v:shape>
            <v:shape style="position:absolute;left:5015;top:8063;width:170;height:133" type="#_x0000_t202" filled="false" stroked="false">
              <v:textbox inset="0,0,0,0">
                <w:txbxContent>
                  <w:p>
                    <w:pPr>
                      <w:spacing w:line="133" w:lineRule="exact" w:before="0"/>
                      <w:ind w:left="0" w:right="0" w:firstLine="0"/>
                      <w:jc w:val="left"/>
                      <w:rPr>
                        <w:sz w:val="12"/>
                      </w:rPr>
                    </w:pPr>
                    <w:r>
                      <w:rPr>
                        <w:sz w:val="12"/>
                      </w:rPr>
                      <w:t>2.5</w:t>
                    </w:r>
                  </w:p>
                </w:txbxContent>
              </v:textbox>
              <w10:wrap type="none"/>
            </v:shape>
            <v:shape style="position:absolute;left:3893;top:8283;width:510;height:133" type="#_x0000_t202" filled="false" stroked="false">
              <v:textbox inset="0,0,0,0">
                <w:txbxContent>
                  <w:p>
                    <w:pPr>
                      <w:spacing w:line="133" w:lineRule="exact" w:before="0"/>
                      <w:ind w:left="0" w:right="0" w:firstLine="0"/>
                      <w:jc w:val="left"/>
                      <w:rPr>
                        <w:sz w:val="12"/>
                      </w:rPr>
                    </w:pPr>
                    <w:r>
                      <w:rPr>
                        <w:sz w:val="12"/>
                      </w:rPr>
                      <w:t>May 1999</w:t>
                    </w:r>
                  </w:p>
                </w:txbxContent>
              </v:textbox>
              <w10:wrap type="none"/>
            </v:shape>
            <v:shape style="position:absolute;left:4370;top:8695;width:394;height:133" type="#_x0000_t202" filled="false" stroked="false">
              <v:textbox inset="0,0,0,0">
                <w:txbxContent>
                  <w:p>
                    <w:pPr>
                      <w:spacing w:line="133" w:lineRule="exact" w:before="0"/>
                      <w:ind w:left="0" w:right="0" w:firstLine="0"/>
                      <w:jc w:val="left"/>
                      <w:rPr>
                        <w:sz w:val="12"/>
                      </w:rPr>
                    </w:pPr>
                    <w:r>
                      <w:rPr>
                        <w:sz w:val="12"/>
                      </w:rPr>
                      <w:t>Outturn</w:t>
                    </w:r>
                  </w:p>
                </w:txbxContent>
              </v:textbox>
              <w10:wrap type="none"/>
            </v:shape>
            <v:shape style="position:absolute;left:5015;top:8735;width:170;height:133" type="#_x0000_t202" filled="false" stroked="false">
              <v:textbox inset="0,0,0,0">
                <w:txbxContent>
                  <w:p>
                    <w:pPr>
                      <w:spacing w:line="133" w:lineRule="exact" w:before="0"/>
                      <w:ind w:left="0" w:right="0" w:firstLine="0"/>
                      <w:jc w:val="left"/>
                      <w:rPr>
                        <w:sz w:val="12"/>
                      </w:rPr>
                    </w:pPr>
                    <w:r>
                      <w:rPr>
                        <w:sz w:val="12"/>
                      </w:rPr>
                      <w:t>2.0</w:t>
                    </w:r>
                  </w:p>
                </w:txbxContent>
              </v:textbox>
              <w10:wrap type="none"/>
            </v:shape>
            <v:shape style="position:absolute;left:5015;top:9422;width:176;height:285" type="#_x0000_t202" filled="false" stroked="false">
              <v:textbox inset="0,0,0,0">
                <w:txbxContent>
                  <w:p>
                    <w:pPr>
                      <w:spacing w:line="133" w:lineRule="exact" w:before="0"/>
                      <w:ind w:left="0" w:right="0" w:firstLine="0"/>
                      <w:jc w:val="left"/>
                      <w:rPr>
                        <w:sz w:val="12"/>
                      </w:rPr>
                    </w:pPr>
                    <w:r>
                      <w:rPr>
                        <w:sz w:val="12"/>
                      </w:rPr>
                      <w:t>1.5</w:t>
                    </w:r>
                  </w:p>
                  <w:p>
                    <w:pPr>
                      <w:spacing w:before="14"/>
                      <w:ind w:left="5" w:right="0" w:firstLine="0"/>
                      <w:jc w:val="left"/>
                      <w:rPr>
                        <w:sz w:val="12"/>
                      </w:rPr>
                    </w:pPr>
                    <w:r>
                      <w:rPr>
                        <w:sz w:val="12"/>
                      </w:rPr>
                      <w:t>0.0</w:t>
                    </w:r>
                  </w:p>
                </w:txbxContent>
              </v:textbox>
              <w10:wrap type="none"/>
            </v:shape>
            <v:shape style="position:absolute;left:1628;top:9668;width:260;height:133" type="#_x0000_t202" filled="false" stroked="false">
              <v:textbox inset="0,0,0,0">
                <w:txbxContent>
                  <w:p>
                    <w:pPr>
                      <w:spacing w:line="133" w:lineRule="exact" w:before="0"/>
                      <w:ind w:left="0" w:right="0" w:firstLine="0"/>
                      <w:jc w:val="left"/>
                      <w:rPr>
                        <w:sz w:val="12"/>
                      </w:rPr>
                    </w:pPr>
                    <w:r>
                      <w:rPr>
                        <w:sz w:val="12"/>
                      </w:rPr>
                      <w:t>1997</w:t>
                    </w:r>
                  </w:p>
                </w:txbxContent>
              </v:textbox>
              <w10:wrap type="none"/>
            </v:shape>
            <v:shape style="position:absolute;left:2837;top:9668;width:140;height:133" type="#_x0000_t202" filled="false" stroked="false">
              <v:textbox inset="0,0,0,0">
                <w:txbxContent>
                  <w:p>
                    <w:pPr>
                      <w:spacing w:line="133" w:lineRule="exact" w:before="0"/>
                      <w:ind w:left="0" w:right="0" w:firstLine="0"/>
                      <w:jc w:val="left"/>
                      <w:rPr>
                        <w:sz w:val="12"/>
                      </w:rPr>
                    </w:pPr>
                    <w:r>
                      <w:rPr>
                        <w:sz w:val="12"/>
                      </w:rPr>
                      <w:t>98</w:t>
                    </w:r>
                  </w:p>
                </w:txbxContent>
              </v:textbox>
              <w10:wrap type="none"/>
            </v:shape>
            <v:shape style="position:absolute;left:3923;top:9668;width:140;height:133" type="#_x0000_t202" filled="false" stroked="false">
              <v:textbox inset="0,0,0,0">
                <w:txbxContent>
                  <w:p>
                    <w:pPr>
                      <w:spacing w:line="133" w:lineRule="exact" w:before="0"/>
                      <w:ind w:left="0" w:right="0" w:firstLine="0"/>
                      <w:jc w:val="left"/>
                      <w:rPr>
                        <w:sz w:val="12"/>
                      </w:rPr>
                    </w:pPr>
                    <w:r>
                      <w:rPr>
                        <w:sz w:val="12"/>
                      </w:rPr>
                      <w:t>99</w:t>
                    </w:r>
                  </w:p>
                </w:txbxContent>
              </v:textbox>
              <w10:wrap type="none"/>
            </v:shape>
            <v:shape style="position:absolute;left:4526;top:9668;width:260;height:133" type="#_x0000_t202" filled="false" stroked="false">
              <v:textbox inset="0,0,0,0">
                <w:txbxContent>
                  <w:p>
                    <w:pPr>
                      <w:spacing w:line="133" w:lineRule="exact" w:before="0"/>
                      <w:ind w:left="0" w:right="0" w:firstLine="0"/>
                      <w:jc w:val="left"/>
                      <w:rPr>
                        <w:sz w:val="12"/>
                      </w:rPr>
                    </w:pPr>
                    <w:r>
                      <w:rPr>
                        <w:sz w:val="12"/>
                      </w:rPr>
                      <w:t>2000</w:t>
                    </w:r>
                  </w:p>
                </w:txbxContent>
              </v:textbox>
              <w10:wrap type="none"/>
            </v:shape>
            <v:shape style="position:absolute;left:6154;top:5741;width:4013;height:1014" type="#_x0000_t202" filled="false" stroked="false">
              <v:textbox inset="0,0,0,0">
                <w:txbxContent>
                  <w:p>
                    <w:pPr>
                      <w:spacing w:line="221" w:lineRule="exact" w:before="0"/>
                      <w:ind w:left="0" w:right="0" w:firstLine="0"/>
                      <w:jc w:val="left"/>
                      <w:rPr>
                        <w:b/>
                        <w:sz w:val="20"/>
                      </w:rPr>
                    </w:pPr>
                    <w:r>
                      <w:rPr>
                        <w:b/>
                        <w:color w:val="0092C7"/>
                        <w:sz w:val="20"/>
                      </w:rPr>
                      <w:t>Chart D</w:t>
                    </w:r>
                  </w:p>
                  <w:p>
                    <w:pPr>
                      <w:spacing w:before="10"/>
                      <w:ind w:left="0" w:right="0" w:firstLine="0"/>
                      <w:jc w:val="left"/>
                      <w:rPr>
                        <w:b/>
                        <w:i/>
                        <w:sz w:val="20"/>
                      </w:rPr>
                    </w:pPr>
                    <w:r>
                      <w:rPr>
                        <w:b/>
                        <w:color w:val="0092C7"/>
                        <w:sz w:val="20"/>
                      </w:rPr>
                      <w:t>August 1998–May 1999 </w:t>
                    </w:r>
                    <w:r>
                      <w:rPr>
                        <w:b/>
                        <w:i/>
                        <w:color w:val="0092C7"/>
                        <w:sz w:val="20"/>
                      </w:rPr>
                      <w:t>Inflation Report</w:t>
                    </w:r>
                  </w:p>
                  <w:p>
                    <w:pPr>
                      <w:spacing w:before="10"/>
                      <w:ind w:left="0" w:right="0" w:firstLine="0"/>
                      <w:jc w:val="left"/>
                      <w:rPr>
                        <w:b/>
                        <w:sz w:val="20"/>
                      </w:rPr>
                    </w:pPr>
                    <w:r>
                      <w:rPr>
                        <w:b/>
                        <w:color w:val="0092C7"/>
                        <w:sz w:val="20"/>
                      </w:rPr>
                      <w:t>mean GDP projections and outturns</w:t>
                    </w:r>
                  </w:p>
                  <w:p>
                    <w:pPr>
                      <w:spacing w:before="174"/>
                      <w:ind w:left="2243" w:right="0" w:firstLine="0"/>
                      <w:jc w:val="left"/>
                      <w:rPr>
                        <w:sz w:val="12"/>
                      </w:rPr>
                    </w:pPr>
                    <w:r>
                      <w:rPr>
                        <w:sz w:val="12"/>
                      </w:rPr>
                      <w:t>Percentage changes on a year earli</w:t>
                    </w:r>
                    <w:r>
                      <w:rPr>
                        <w:sz w:val="12"/>
                        <w:u w:val="single"/>
                      </w:rPr>
                      <w:t>er</w:t>
                    </w:r>
                  </w:p>
                </w:txbxContent>
              </v:textbox>
              <w10:wrap type="none"/>
            </v:shape>
            <v:shape style="position:absolute;left:10211;top:6716;width:170;height:448" type="#_x0000_t202" filled="false" stroked="false">
              <v:textbox inset="0,0,0,0">
                <w:txbxContent>
                  <w:p>
                    <w:pPr>
                      <w:spacing w:line="133" w:lineRule="exact" w:before="0"/>
                      <w:ind w:left="0" w:right="0" w:firstLine="0"/>
                      <w:jc w:val="left"/>
                      <w:rPr>
                        <w:sz w:val="12"/>
                      </w:rPr>
                    </w:pPr>
                    <w:r>
                      <w:rPr>
                        <w:sz w:val="12"/>
                      </w:rPr>
                      <w:t>4.5</w:t>
                    </w:r>
                  </w:p>
                  <w:p>
                    <w:pPr>
                      <w:spacing w:line="240" w:lineRule="auto" w:before="4"/>
                      <w:rPr>
                        <w:sz w:val="15"/>
                      </w:rPr>
                    </w:pPr>
                  </w:p>
                  <w:p>
                    <w:pPr>
                      <w:spacing w:before="0"/>
                      <w:ind w:left="0" w:right="0" w:firstLine="0"/>
                      <w:jc w:val="left"/>
                      <w:rPr>
                        <w:sz w:val="12"/>
                      </w:rPr>
                    </w:pPr>
                    <w:r>
                      <w:rPr>
                        <w:sz w:val="12"/>
                      </w:rPr>
                      <w:t>4.0</w:t>
                    </w:r>
                  </w:p>
                </w:txbxContent>
              </v:textbox>
              <w10:wrap type="none"/>
            </v:shape>
            <v:shape style="position:absolute;left:7647;top:7177;width:527;height:133" type="#_x0000_t202" filled="false" stroked="false">
              <v:textbox inset="0,0,0,0">
                <w:txbxContent>
                  <w:p>
                    <w:pPr>
                      <w:spacing w:line="133" w:lineRule="exact" w:before="0"/>
                      <w:ind w:left="0" w:right="0" w:firstLine="0"/>
                      <w:jc w:val="left"/>
                      <w:rPr>
                        <w:sz w:val="12"/>
                      </w:rPr>
                    </w:pPr>
                    <w:r>
                      <w:rPr>
                        <w:sz w:val="12"/>
                      </w:rPr>
                      <w:t>Nov. 1998</w:t>
                    </w:r>
                  </w:p>
                </w:txbxContent>
              </v:textbox>
              <w10:wrap type="none"/>
            </v:shape>
            <v:shape style="position:absolute;left:10211;top:7346;width:170;height:133" type="#_x0000_t202" filled="false" stroked="false">
              <v:textbox inset="0,0,0,0">
                <w:txbxContent>
                  <w:p>
                    <w:pPr>
                      <w:spacing w:line="133" w:lineRule="exact" w:before="0"/>
                      <w:ind w:left="0" w:right="0" w:firstLine="0"/>
                      <w:jc w:val="left"/>
                      <w:rPr>
                        <w:sz w:val="12"/>
                      </w:rPr>
                    </w:pPr>
                    <w:r>
                      <w:rPr>
                        <w:sz w:val="12"/>
                      </w:rPr>
                      <w:t>3.5</w:t>
                    </w:r>
                  </w:p>
                </w:txbxContent>
              </v:textbox>
              <w10:wrap type="none"/>
            </v:shape>
            <v:shape style="position:absolute;left:9554;top:7615;width:394;height:133" type="#_x0000_t202" filled="false" stroked="false">
              <v:textbox inset="0,0,0,0">
                <w:txbxContent>
                  <w:p>
                    <w:pPr>
                      <w:spacing w:line="133" w:lineRule="exact" w:before="0"/>
                      <w:ind w:left="0" w:right="0" w:firstLine="0"/>
                      <w:jc w:val="left"/>
                      <w:rPr>
                        <w:sz w:val="12"/>
                      </w:rPr>
                    </w:pPr>
                    <w:r>
                      <w:rPr>
                        <w:sz w:val="12"/>
                      </w:rPr>
                      <w:t>Outturn</w:t>
                    </w:r>
                  </w:p>
                </w:txbxContent>
              </v:textbox>
              <w10:wrap type="none"/>
            </v:shape>
            <v:shape style="position:absolute;left:10211;top:7671;width:170;height:763" type="#_x0000_t202" filled="false" stroked="false">
              <v:textbox inset="0,0,0,0">
                <w:txbxContent>
                  <w:p>
                    <w:pPr>
                      <w:spacing w:line="133" w:lineRule="exact" w:before="0"/>
                      <w:ind w:left="0" w:right="0" w:firstLine="0"/>
                      <w:jc w:val="left"/>
                      <w:rPr>
                        <w:sz w:val="12"/>
                      </w:rPr>
                    </w:pPr>
                    <w:r>
                      <w:rPr>
                        <w:sz w:val="12"/>
                      </w:rPr>
                      <w:t>3.0</w:t>
                    </w:r>
                  </w:p>
                  <w:p>
                    <w:pPr>
                      <w:spacing w:line="240" w:lineRule="auto" w:before="4"/>
                      <w:rPr>
                        <w:sz w:val="15"/>
                      </w:rPr>
                    </w:pPr>
                  </w:p>
                  <w:p>
                    <w:pPr>
                      <w:spacing w:before="0"/>
                      <w:ind w:left="0" w:right="0" w:firstLine="0"/>
                      <w:jc w:val="left"/>
                      <w:rPr>
                        <w:sz w:val="12"/>
                      </w:rPr>
                    </w:pPr>
                    <w:r>
                      <w:rPr>
                        <w:sz w:val="12"/>
                      </w:rPr>
                      <w:t>2.5</w:t>
                    </w:r>
                  </w:p>
                  <w:p>
                    <w:pPr>
                      <w:spacing w:line="240" w:lineRule="auto" w:before="5"/>
                      <w:rPr>
                        <w:sz w:val="15"/>
                      </w:rPr>
                    </w:pPr>
                  </w:p>
                  <w:p>
                    <w:pPr>
                      <w:spacing w:before="0"/>
                      <w:ind w:left="0" w:right="0" w:firstLine="0"/>
                      <w:jc w:val="left"/>
                      <w:rPr>
                        <w:sz w:val="12"/>
                      </w:rPr>
                    </w:pPr>
                    <w:r>
                      <w:rPr>
                        <w:sz w:val="12"/>
                      </w:rPr>
                      <w:t>2.0</w:t>
                    </w:r>
                  </w:p>
                </w:txbxContent>
              </v:textbox>
              <w10:wrap type="none"/>
            </v:shape>
            <v:shape style="position:absolute;left:8924;top:8700;width:527;height:133" type="#_x0000_t202" filled="false" stroked="false">
              <v:textbox inset="0,0,0,0">
                <w:txbxContent>
                  <w:p>
                    <w:pPr>
                      <w:spacing w:line="133" w:lineRule="exact" w:before="0"/>
                      <w:ind w:left="0" w:right="0" w:firstLine="0"/>
                      <w:jc w:val="left"/>
                      <w:rPr>
                        <w:sz w:val="12"/>
                      </w:rPr>
                    </w:pPr>
                    <w:r>
                      <w:rPr>
                        <w:sz w:val="12"/>
                      </w:rPr>
                      <w:t>Aug. 1998</w:t>
                    </w:r>
                  </w:p>
                </w:txbxContent>
              </v:textbox>
              <w10:wrap type="none"/>
            </v:shape>
            <v:shape style="position:absolute;left:10211;top:8616;width:170;height:461" type="#_x0000_t202" filled="false" stroked="false">
              <v:textbox inset="0,0,0,0">
                <w:txbxContent>
                  <w:p>
                    <w:pPr>
                      <w:spacing w:line="133" w:lineRule="exact" w:before="0"/>
                      <w:ind w:left="0" w:right="0" w:firstLine="0"/>
                      <w:jc w:val="left"/>
                      <w:rPr>
                        <w:sz w:val="12"/>
                      </w:rPr>
                    </w:pPr>
                    <w:r>
                      <w:rPr>
                        <w:sz w:val="12"/>
                      </w:rPr>
                      <w:t>1.5</w:t>
                    </w:r>
                  </w:p>
                  <w:p>
                    <w:pPr>
                      <w:spacing w:line="240" w:lineRule="auto" w:before="5"/>
                      <w:rPr>
                        <w:sz w:val="16"/>
                      </w:rPr>
                    </w:pPr>
                  </w:p>
                  <w:p>
                    <w:pPr>
                      <w:spacing w:before="0"/>
                      <w:ind w:left="0" w:right="0" w:firstLine="0"/>
                      <w:jc w:val="left"/>
                      <w:rPr>
                        <w:sz w:val="12"/>
                      </w:rPr>
                    </w:pPr>
                    <w:r>
                      <w:rPr>
                        <w:sz w:val="12"/>
                      </w:rPr>
                      <w:t>1.0</w:t>
                    </w:r>
                  </w:p>
                </w:txbxContent>
              </v:textbox>
              <w10:wrap type="none"/>
            </v:shape>
            <v:shape style="position:absolute;left:8292;top:9142;width:510;height:133" type="#_x0000_t202" filled="false" stroked="false">
              <v:textbox inset="0,0,0,0">
                <w:txbxContent>
                  <w:p>
                    <w:pPr>
                      <w:spacing w:line="133" w:lineRule="exact" w:before="0"/>
                      <w:ind w:left="0" w:right="0" w:firstLine="0"/>
                      <w:jc w:val="left"/>
                      <w:rPr>
                        <w:sz w:val="12"/>
                      </w:rPr>
                    </w:pPr>
                    <w:r>
                      <w:rPr>
                        <w:sz w:val="12"/>
                      </w:rPr>
                      <w:t>May 1999</w:t>
                    </w:r>
                  </w:p>
                </w:txbxContent>
              </v:textbox>
              <w10:wrap type="none"/>
            </v:shape>
            <v:shape style="position:absolute;left:9257;top:9255;width:500;height:133" type="#_x0000_t202" filled="false" stroked="false">
              <v:textbox inset="0,0,0,0">
                <w:txbxContent>
                  <w:p>
                    <w:pPr>
                      <w:spacing w:line="133" w:lineRule="exact" w:before="0"/>
                      <w:ind w:left="0" w:right="0" w:firstLine="0"/>
                      <w:jc w:val="left"/>
                      <w:rPr>
                        <w:sz w:val="12"/>
                      </w:rPr>
                    </w:pPr>
                    <w:r>
                      <w:rPr>
                        <w:sz w:val="12"/>
                      </w:rPr>
                      <w:t>Feb. 1999</w:t>
                    </w:r>
                  </w:p>
                </w:txbxContent>
              </v:textbox>
              <w10:wrap type="none"/>
            </v:shape>
            <v:shape style="position:absolute;left:10211;top:9258;width:170;height:448" type="#_x0000_t202" filled="false" stroked="false">
              <v:textbox inset="0,0,0,0">
                <w:txbxContent>
                  <w:p>
                    <w:pPr>
                      <w:spacing w:line="133" w:lineRule="exact" w:before="0"/>
                      <w:ind w:left="0" w:right="0" w:firstLine="0"/>
                      <w:jc w:val="left"/>
                      <w:rPr>
                        <w:sz w:val="12"/>
                      </w:rPr>
                    </w:pPr>
                    <w:r>
                      <w:rPr>
                        <w:sz w:val="12"/>
                      </w:rPr>
                      <w:t>0.5</w:t>
                    </w:r>
                  </w:p>
                  <w:p>
                    <w:pPr>
                      <w:spacing w:line="240" w:lineRule="auto" w:before="4"/>
                      <w:rPr>
                        <w:sz w:val="15"/>
                      </w:rPr>
                    </w:pPr>
                  </w:p>
                  <w:p>
                    <w:pPr>
                      <w:spacing w:before="0"/>
                      <w:ind w:left="0" w:right="0" w:firstLine="0"/>
                      <w:jc w:val="left"/>
                      <w:rPr>
                        <w:sz w:val="12"/>
                      </w:rPr>
                    </w:pPr>
                    <w:r>
                      <w:rPr>
                        <w:sz w:val="12"/>
                      </w:rPr>
                      <w:t>0.0</w:t>
                    </w:r>
                  </w:p>
                </w:txbxContent>
              </v:textbox>
              <w10:wrap type="none"/>
            </v:shape>
            <v:shape style="position:absolute;left:6879;top:9728;width:260;height:133" type="#_x0000_t202" filled="false" stroked="false">
              <v:textbox inset="0,0,0,0">
                <w:txbxContent>
                  <w:p>
                    <w:pPr>
                      <w:spacing w:line="133" w:lineRule="exact" w:before="0"/>
                      <w:ind w:left="0" w:right="0" w:firstLine="0"/>
                      <w:jc w:val="left"/>
                      <w:rPr>
                        <w:sz w:val="12"/>
                      </w:rPr>
                    </w:pPr>
                    <w:r>
                      <w:rPr>
                        <w:sz w:val="12"/>
                      </w:rPr>
                      <w:t>1997</w:t>
                    </w:r>
                  </w:p>
                </w:txbxContent>
              </v:textbox>
              <w10:wrap type="none"/>
            </v:shape>
            <v:shape style="position:absolute;left:8112;top:9728;width:140;height:133" type="#_x0000_t202" filled="false" stroked="false">
              <v:textbox inset="0,0,0,0">
                <w:txbxContent>
                  <w:p>
                    <w:pPr>
                      <w:spacing w:line="133" w:lineRule="exact" w:before="0"/>
                      <w:ind w:left="0" w:right="0" w:firstLine="0"/>
                      <w:jc w:val="left"/>
                      <w:rPr>
                        <w:sz w:val="12"/>
                      </w:rPr>
                    </w:pPr>
                    <w:r>
                      <w:rPr>
                        <w:sz w:val="12"/>
                      </w:rPr>
                      <w:t>98</w:t>
                    </w:r>
                  </w:p>
                </w:txbxContent>
              </v:textbox>
              <w10:wrap type="none"/>
            </v:shape>
            <v:shape style="position:absolute;left:9309;top:9728;width:140;height:133" type="#_x0000_t202" filled="false" stroked="false">
              <v:textbox inset="0,0,0,0">
                <w:txbxContent>
                  <w:p>
                    <w:pPr>
                      <w:spacing w:line="133" w:lineRule="exact" w:before="0"/>
                      <w:ind w:left="0" w:right="0" w:firstLine="0"/>
                      <w:jc w:val="left"/>
                      <w:rPr>
                        <w:sz w:val="12"/>
                      </w:rPr>
                    </w:pPr>
                    <w:r>
                      <w:rPr>
                        <w:sz w:val="12"/>
                      </w:rPr>
                      <w:t>99</w:t>
                    </w:r>
                  </w:p>
                </w:txbxContent>
              </v:textbox>
              <w10:wrap type="none"/>
            </v:shape>
            <v:shape style="position:absolute;left:9877;top:9718;width:260;height:133" type="#_x0000_t202" filled="false" stroked="false">
              <v:textbox inset="0,0,0,0">
                <w:txbxContent>
                  <w:p>
                    <w:pPr>
                      <w:spacing w:line="133" w:lineRule="exact" w:before="0"/>
                      <w:ind w:left="0" w:right="0" w:firstLine="0"/>
                      <w:jc w:val="left"/>
                      <w:rPr>
                        <w:sz w:val="12"/>
                      </w:rPr>
                    </w:pPr>
                    <w:r>
                      <w:rPr>
                        <w:sz w:val="12"/>
                      </w:rPr>
                      <w:t>2000</w:t>
                    </w:r>
                  </w:p>
                </w:txbxContent>
              </v:textbox>
              <w10:wrap type="none"/>
            </v:shape>
            <w10:wrap type="none"/>
          </v:group>
        </w:pict>
      </w:r>
    </w:p>
    <w:p>
      <w:pPr>
        <w:spacing w:line="242" w:lineRule="auto" w:before="1"/>
        <w:ind w:left="374" w:right="0" w:firstLine="0"/>
        <w:jc w:val="left"/>
        <w:rPr>
          <w:sz w:val="24"/>
        </w:rPr>
      </w:pPr>
      <w:r>
        <w:rPr>
          <w:sz w:val="24"/>
        </w:rPr>
        <w:t>sterling exchange rate might depreciate sharply. Up to 2000 Q2 this did not occur; indeed, the exchange rate tended to be higher than the central assumption.</w:t>
      </w:r>
    </w:p>
    <w:p>
      <w:pPr>
        <w:pStyle w:val="BodyText"/>
        <w:spacing w:before="9"/>
        <w:rPr>
          <w:sz w:val="24"/>
        </w:rPr>
      </w:pPr>
    </w:p>
    <w:p>
      <w:pPr>
        <w:spacing w:line="242" w:lineRule="auto" w:before="0"/>
        <w:ind w:left="374" w:right="180" w:firstLine="0"/>
        <w:jc w:val="left"/>
        <w:rPr>
          <w:sz w:val="24"/>
        </w:rPr>
      </w:pPr>
      <w:r>
        <w:rPr>
          <w:sz w:val="24"/>
        </w:rPr>
        <w:t>Charts C and D compare mean projections for annual GDP growth with outturns. Modal projections were close to mean projections, as risks to growth were generally fairly evenly balanced. Chart C shows that projections made between August 1997 and May 1998 gave a good indication of future GDP growth, although growth was stronger than expected towards the end of 1999. However, Chart D shows that projections made between</w:t>
      </w:r>
    </w:p>
    <w:p>
      <w:pPr>
        <w:spacing w:line="242" w:lineRule="auto" w:before="12"/>
        <w:ind w:left="374" w:right="33" w:firstLine="0"/>
        <w:jc w:val="left"/>
        <w:rPr>
          <w:sz w:val="24"/>
        </w:rPr>
      </w:pPr>
      <w:r>
        <w:rPr>
          <w:sz w:val="24"/>
        </w:rPr>
        <w:t>August 1998 and May 1999 under-forecast GDP growth during 1999. Revisions to data account for a proportion of the apparent error.</w:t>
      </w:r>
    </w:p>
    <w:p>
      <w:pPr>
        <w:pStyle w:val="BodyText"/>
        <w:spacing w:before="5"/>
        <w:rPr>
          <w:sz w:val="22"/>
        </w:rPr>
      </w:pPr>
      <w:r>
        <w:rPr/>
        <w:br w:type="column"/>
      </w:r>
      <w:r>
        <w:rPr>
          <w:sz w:val="22"/>
        </w:rPr>
      </w:r>
    </w:p>
    <w:p>
      <w:pPr>
        <w:spacing w:line="242" w:lineRule="auto" w:before="0"/>
        <w:ind w:left="374" w:right="740" w:firstLine="0"/>
        <w:jc w:val="left"/>
        <w:rPr>
          <w:sz w:val="24"/>
        </w:rPr>
      </w:pPr>
      <w:r>
        <w:rPr>
          <w:sz w:val="24"/>
        </w:rPr>
        <w:t>In terms of demand components, the stronger-than-expected GDP growth was due</w:t>
      </w:r>
    </w:p>
    <w:p>
      <w:pPr>
        <w:spacing w:line="242" w:lineRule="auto" w:before="2"/>
        <w:ind w:left="374" w:right="540" w:firstLine="0"/>
        <w:jc w:val="left"/>
        <w:rPr>
          <w:sz w:val="24"/>
        </w:rPr>
      </w:pPr>
      <w:r>
        <w:rPr>
          <w:sz w:val="24"/>
        </w:rPr>
        <w:t>to the unexpected strength of consumption and to a lesser extent private investment. In contrast, net trade was weaker than had been projected.</w:t>
      </w:r>
    </w:p>
    <w:p>
      <w:pPr>
        <w:pStyle w:val="BodyText"/>
        <w:spacing w:before="9"/>
        <w:rPr>
          <w:sz w:val="24"/>
        </w:rPr>
      </w:pPr>
    </w:p>
    <w:p>
      <w:pPr>
        <w:spacing w:line="242" w:lineRule="auto" w:before="0"/>
        <w:ind w:left="374" w:right="774" w:firstLine="0"/>
        <w:jc w:val="left"/>
        <w:rPr>
          <w:sz w:val="24"/>
        </w:rPr>
      </w:pPr>
      <w:r>
        <w:rPr>
          <w:sz w:val="24"/>
        </w:rPr>
        <w:t>What were the main determinants of these errors? Can they largely be accounted for by unpredictable shocks to the conditioning assumptions? Or do they indicate that the relationship between the conditioning assumptions and inflation and output has changed?  These questions are hard to answer definitively; they matter because it is important to learn from past</w:t>
      </w:r>
      <w:r>
        <w:rPr>
          <w:spacing w:val="-16"/>
          <w:sz w:val="24"/>
        </w:rPr>
        <w:t> </w:t>
      </w:r>
      <w:r>
        <w:rPr>
          <w:sz w:val="24"/>
        </w:rPr>
        <w:t>forecasting</w:t>
      </w:r>
    </w:p>
    <w:p>
      <w:pPr>
        <w:spacing w:line="242" w:lineRule="auto" w:before="12"/>
        <w:ind w:left="374" w:right="397" w:firstLine="0"/>
        <w:jc w:val="left"/>
        <w:rPr>
          <w:sz w:val="24"/>
        </w:rPr>
      </w:pPr>
      <w:r>
        <w:rPr>
          <w:sz w:val="24"/>
        </w:rPr>
        <w:t>experience in order to improve future forecast performance.</w:t>
      </w:r>
    </w:p>
    <w:p>
      <w:pPr>
        <w:spacing w:after="0" w:line="242" w:lineRule="auto"/>
        <w:jc w:val="left"/>
        <w:rPr>
          <w:sz w:val="24"/>
        </w:rPr>
        <w:sectPr>
          <w:type w:val="continuous"/>
          <w:pgSz w:w="11900" w:h="16840"/>
          <w:pgMar w:top="1260" w:bottom="280" w:left="640" w:right="640"/>
          <w:cols w:num="2" w:equalWidth="0">
            <w:col w:w="4993" w:space="147"/>
            <w:col w:w="5480"/>
          </w:cols>
        </w:sectPr>
      </w:pPr>
    </w:p>
    <w:p>
      <w:pPr>
        <w:pStyle w:val="BodyText"/>
        <w:rPr>
          <w:sz w:val="20"/>
        </w:rPr>
      </w:pPr>
    </w:p>
    <w:p>
      <w:pPr>
        <w:spacing w:after="0"/>
        <w:rPr>
          <w:sz w:val="20"/>
        </w:rPr>
        <w:sectPr>
          <w:pgSz w:w="11900" w:h="16840"/>
          <w:pgMar w:header="586" w:footer="612" w:top="780" w:bottom="800" w:left="640" w:right="640"/>
        </w:sectPr>
      </w:pPr>
    </w:p>
    <w:p>
      <w:pPr>
        <w:pStyle w:val="BodyText"/>
        <w:spacing w:before="5"/>
        <w:rPr>
          <w:sz w:val="21"/>
        </w:rPr>
      </w:pPr>
    </w:p>
    <w:p>
      <w:pPr>
        <w:spacing w:line="242" w:lineRule="auto" w:before="1"/>
        <w:ind w:left="405" w:right="101" w:firstLine="0"/>
        <w:jc w:val="left"/>
        <w:rPr>
          <w:sz w:val="24"/>
        </w:rPr>
      </w:pPr>
      <w:r>
        <w:rPr/>
        <w:pict>
          <v:group style="position:absolute;margin-left:39.279999pt;margin-top:-22.134876pt;width:516pt;height:549pt;mso-position-horizontal-relative:page;mso-position-vertical-relative:paragraph;z-index:-22912512" coordorigin="786,-443" coordsize="10320,10980">
            <v:shape style="position:absolute;left:795;top:-433;width:10300;height:10960" coordorigin="796,-433" coordsize="10300,10960" path="m11096,-433l5955,-433,5936,-433,796,-433,796,5036,796,5058,796,10527,5936,10527,5955,10527,11096,10527,11096,5058,11096,5037,11096,-433xe" filled="true" fillcolor="#d7e8e7" stroked="false">
              <v:path arrowok="t"/>
              <v:fill type="solid"/>
            </v:shape>
            <v:shape style="position:absolute;left:884;top:-338;width:10122;height:10769" coordorigin="885,-337" coordsize="10122,10769" path="m5945,-337l885,5047,5945,10432,11006,5047,5945,-337xe" filled="true" fillcolor="#d9e8e7" stroked="false">
              <v:path arrowok="t"/>
              <v:fill type="solid"/>
            </v:shape>
            <v:shape style="position:absolute;left:983;top:-232;width:9923;height:10558" coordorigin="984,-232" coordsize="9923,10558" path="m5945,-232l984,5047,5945,10326,10907,5047,5945,-232xe" filled="true" fillcolor="#dae9e8" stroked="false">
              <v:path arrowok="t"/>
              <v:fill type="solid"/>
            </v:shape>
            <v:shape style="position:absolute;left:1083;top:-126;width:9725;height:10347" coordorigin="1083,-126" coordsize="9725,10347" path="m5945,-126l1083,5047,5945,10220,10808,5047,5945,-126xe" filled="true" fillcolor="#daeae8" stroked="false">
              <v:path arrowok="t"/>
              <v:fill type="solid"/>
            </v:shape>
            <v:shape style="position:absolute;left:1182;top:-21;width:9527;height:10136" coordorigin="1182,-20" coordsize="9527,10136" path="m5945,-20l1182,5047,5945,10115,10708,5047,5945,-20xe" filled="true" fillcolor="#dbeae8" stroked="false">
              <v:path arrowok="t"/>
              <v:fill type="solid"/>
            </v:shape>
            <v:shape style="position:absolute;left:1281;top:85;width:9328;height:9925" coordorigin="1282,85" coordsize="9328,9925" path="m5945,85l1282,5047,5945,10009,10609,5047,5945,85xe" filled="true" fillcolor="#dcebe9" stroked="false">
              <v:path arrowok="t"/>
              <v:fill type="solid"/>
            </v:shape>
            <v:shape style="position:absolute;left:1380;top:190;width:9130;height:9713" coordorigin="1381,191" coordsize="9130,9713" path="m5945,191l1381,5047,5945,9904,10510,5047,5945,191xe" filled="true" fillcolor="#ddebe9" stroked="false">
              <v:path arrowok="t"/>
              <v:fill type="solid"/>
            </v:shape>
            <v:shape style="position:absolute;left:1480;top:296;width:8931;height:9502" coordorigin="1480,296" coordsize="8931,9502" path="m5945,296l1480,5047,5945,9798,10411,5047,5945,296xe" filled="true" fillcolor="#ddebea" stroked="false">
              <v:path arrowok="t"/>
              <v:fill type="solid"/>
            </v:shape>
            <v:shape style="position:absolute;left:1579;top:401;width:8733;height:9291" coordorigin="1579,402" coordsize="8733,9291" path="m5945,402l1579,5047,5945,9693,10312,5047,5945,402xe" filled="true" fillcolor="#dfebea" stroked="false">
              <v:path arrowok="t"/>
              <v:fill type="solid"/>
            </v:shape>
            <v:shape style="position:absolute;left:1678;top:507;width:8534;height:9080" coordorigin="1679,507" coordsize="8534,9080" path="m10212,5047l5945,507,1679,5047,5945,9587,10212,5047xe" filled="true" fillcolor="#dfeceb" stroked="false">
              <v:path arrowok="t"/>
              <v:fill type="solid"/>
            </v:shape>
            <v:shape style="position:absolute;left:1877;top:718;width:8137;height:8658" coordorigin="1877,719" coordsize="8137,8658" path="m5945,719l1877,5047,5945,9376,10014,5047,5945,719xe" filled="true" fillcolor="#e0eceb" stroked="false">
              <v:path arrowok="t"/>
              <v:fill type="solid"/>
            </v:shape>
            <v:shape style="position:absolute;left:1976;top:824;width:7939;height:8447" coordorigin="1976,824" coordsize="7939,8447" path="m5945,824l1976,5047,5945,9270,9915,5047,5945,824xe" filled="true" fillcolor="#e0edeb" stroked="false">
              <v:path arrowok="t"/>
              <v:fill type="solid"/>
            </v:shape>
            <v:shape style="position:absolute;left:2075;top:929;width:7740;height:8235" coordorigin="2076,930" coordsize="7740,8235" path="m5945,930l2076,5047,5945,9165,9815,5047,5945,930xe" filled="true" fillcolor="#e1edeb" stroked="false">
              <v:path arrowok="t"/>
              <v:fill type="solid"/>
            </v:shape>
            <v:shape style="position:absolute;left:2174;top:1035;width:7542;height:8024" coordorigin="2175,1035" coordsize="7542,8024" path="m5945,1035l2175,5047,5945,9059,9716,5047,5945,1035xe" filled="true" fillcolor="#e2edec" stroked="false">
              <v:path arrowok="t"/>
              <v:fill type="solid"/>
            </v:shape>
            <v:shape style="position:absolute;left:2273;top:1140;width:7343;height:7813" coordorigin="2274,1141" coordsize="7343,7813" path="m5945,1141l2274,5047,5945,8953,9617,5047,5945,1141xe" filled="true" fillcolor="#e3eeec" stroked="false">
              <v:path arrowok="t"/>
              <v:fill type="solid"/>
            </v:shape>
            <v:shape style="position:absolute;left:2373;top:1246;width:7145;height:7602" coordorigin="2373,1246" coordsize="7145,7602" path="m5945,1246l2373,5047,5945,8848,9518,5047,5945,1246xe" filled="true" fillcolor="#e4efed" stroked="false">
              <v:path arrowok="t"/>
              <v:fill type="solid"/>
            </v:shape>
            <v:shape style="position:absolute;left:2472;top:1352;width:6947;height:7391" coordorigin="2472,1352" coordsize="6947,7391" path="m5945,1352l2472,5047,5945,8742,9418,5047,5945,1352xe" filled="true" fillcolor="#e6efed" stroked="false">
              <v:path arrowok="t"/>
              <v:fill type="solid"/>
            </v:shape>
            <v:shape style="position:absolute;left:2571;top:1457;width:6748;height:7180" coordorigin="2572,1458" coordsize="6748,7180" path="m5945,1458l2572,5047,5945,8637,9319,5047,5945,1458xe" filled="true" fillcolor="#e6efee" stroked="false">
              <v:path arrowok="t"/>
              <v:fill type="solid"/>
            </v:shape>
            <v:shape style="position:absolute;left:2670;top:1563;width:6550;height:6968" coordorigin="2671,1563" coordsize="6550,6968" path="m5945,1563l2671,5047,5945,8531,9220,5047,5945,1563xe" filled="true" fillcolor="#e7f0ee" stroked="false">
              <v:path arrowok="t"/>
              <v:fill type="solid"/>
            </v:shape>
            <v:shape style="position:absolute;left:2770;top:1668;width:6351;height:6757" coordorigin="2770,1669" coordsize="6351,6757" path="m9121,5047l5945,1669,2770,5047,5945,8426,9121,5047xe" filled="true" fillcolor="#e8f0ee" stroked="false">
              <v:path arrowok="t"/>
              <v:fill type="solid"/>
            </v:shape>
            <v:shape style="position:absolute;left:2968;top:1879;width:5954;height:6335" coordorigin="2969,1880" coordsize="5954,6335" path="m5945,1880l2969,5047,5945,8214,8922,5047,5945,1880xe" filled="true" fillcolor="#eaf1f0" stroked="false">
              <v:path arrowok="t"/>
              <v:fill type="solid"/>
            </v:shape>
            <v:shape style="position:absolute;left:3067;top:1985;width:5756;height:6124" coordorigin="3068,1986" coordsize="5756,6124" path="m8823,5047l5945,1986,3068,5047,5945,8109,8823,5047xe" filled="true" fillcolor="#ebf3f0" stroked="false">
              <v:path arrowok="t"/>
              <v:fill type="solid"/>
            </v:shape>
            <v:shape style="position:absolute;left:3266;top:2196;width:5359;height:5702" coordorigin="3266,2197" coordsize="5359,5702" path="m5945,2197l3266,5047,5945,7898,8625,5047,5945,2197xe" filled="true" fillcolor="#ebf4f1" stroked="false">
              <v:path arrowok="t"/>
              <v:fill type="solid"/>
            </v:shape>
            <v:shape style="position:absolute;left:3365;top:2302;width:5160;height:5490" coordorigin="3365,2302" coordsize="5160,5490" path="m5945,2302l3365,5047,5945,7792,8525,5047,5945,2302xe" filled="true" fillcolor="#ecf4f1" stroked="false">
              <v:path arrowok="t"/>
              <v:fill type="solid"/>
            </v:shape>
            <v:shape style="position:absolute;left:3464;top:2407;width:4962;height:5279" coordorigin="3465,2408" coordsize="4962,5279" path="m5945,2408l3465,5047,5945,7687,8426,5047,5945,2408xe" filled="true" fillcolor="#ecf4f3" stroked="false">
              <v:path arrowok="t"/>
              <v:fill type="solid"/>
            </v:shape>
            <v:shape style="position:absolute;left:3563;top:2513;width:4764;height:5068" coordorigin="3564,2513" coordsize="4764,5068" path="m5945,2513l3564,5047,5945,7581,8327,5047,5945,2513xe" filled="true" fillcolor="#edf5f3" stroked="false">
              <v:path arrowok="t"/>
              <v:fill type="solid"/>
            </v:shape>
            <v:shape style="position:absolute;left:3663;top:2618;width:4565;height:4857" coordorigin="3663,2619" coordsize="4565,4857" path="m5945,2619l3663,5047,5945,7475,8228,5047,5945,2619xe" filled="true" fillcolor="#eef5f4" stroked="false">
              <v:path arrowok="t"/>
              <v:fill type="solid"/>
            </v:shape>
            <v:shape style="position:absolute;left:3762;top:2724;width:4367;height:4646" coordorigin="3762,2725" coordsize="4367,4646" path="m5945,2725l3762,5047,5945,7370,8128,5047,5945,2725xe" filled="true" fillcolor="#eff6f4" stroked="false">
              <v:path arrowok="t"/>
              <v:fill type="solid"/>
            </v:shape>
            <v:shape style="position:absolute;left:3861;top:2830;width:4168;height:4435" coordorigin="3862,2830" coordsize="4168,4435" path="m5945,2830l3862,5047,5945,7264,8029,5047,5945,2830xe" filled="true" fillcolor="#eff6f5" stroked="false">
              <v:path arrowok="t"/>
              <v:fill type="solid"/>
            </v:shape>
            <v:shape style="position:absolute;left:3960;top:2935;width:3970;height:4223" coordorigin="3961,2936" coordsize="3970,4223" path="m5945,2936l3961,5047,5945,7159,7930,5047,5945,2936xe" filled="true" fillcolor="#f0f7f6" stroked="false">
              <v:path arrowok="t"/>
              <v:fill type="solid"/>
            </v:shape>
            <v:shape style="position:absolute;left:4060;top:3041;width:3771;height:4012" coordorigin="4060,3041" coordsize="3771,4012" path="m7831,5047l5945,3041,4060,5047,5945,7053,7831,5047xe" filled="true" fillcolor="#f1f7f6" stroked="false">
              <v:path arrowok="t"/>
              <v:fill type="solid"/>
            </v:shape>
            <v:shape style="position:absolute;left:4258;top:3252;width:3374;height:3590" coordorigin="4259,3252" coordsize="3374,3590" path="m5945,3252l4259,5047,5945,6842,7632,5047,5945,3252xe" filled="true" fillcolor="#f4f8f7" stroked="false">
              <v:path arrowok="t"/>
              <v:fill type="solid"/>
            </v:shape>
            <v:shape style="position:absolute;left:4357;top:3358;width:3176;height:3379" coordorigin="4358,3358" coordsize="3176,3379" path="m5945,3358l4358,5047,5945,6736,7533,5047,5945,3358xe" filled="true" fillcolor="#f4f8f8" stroked="false">
              <v:path arrowok="t"/>
              <v:fill type="solid"/>
            </v:shape>
            <v:shape style="position:absolute;left:4457;top:3463;width:2977;height:3168" coordorigin="4457,3464" coordsize="2977,3168" path="m5945,3464l4457,5047,5945,6631,7434,5047,5945,3464xe" filled="true" fillcolor="#f5f8f8" stroked="false">
              <v:path arrowok="t"/>
              <v:fill type="solid"/>
            </v:shape>
            <v:shape style="position:absolute;left:4556;top:3569;width:2779;height:2957" coordorigin="4556,3569" coordsize="2779,2957" path="m7335,5047l5945,3569,4556,5047,5945,6525,7335,5047xe" filled="true" fillcolor="#f6f8f8" stroked="false">
              <v:path arrowok="t"/>
              <v:fill type="solid"/>
            </v:shape>
            <v:shape style="position:absolute;left:4754;top:3780;width:2382;height:2534" coordorigin="4755,3780" coordsize="2382,2534" path="m5945,3780l4755,5047,5945,6314,7136,5047,5945,3780xe" filled="true" fillcolor="#f7f9f8" stroked="false">
              <v:path arrowok="t"/>
              <v:fill type="solid"/>
            </v:shape>
            <v:shape style="position:absolute;left:4853;top:3885;width:2184;height:2323" coordorigin="4854,3886" coordsize="2184,2323" path="m5945,3886l4854,5047,5945,6209,7037,5047,5945,3886xe" filled="true" fillcolor="#f8f9f8" stroked="false">
              <v:path arrowok="t"/>
              <v:fill type="solid"/>
            </v:shape>
            <v:shape style="position:absolute;left:4953;top:3991;width:1985;height:2112" coordorigin="4953,3991" coordsize="1985,2112" path="m5945,3991l4953,5047,5945,6103,6938,5047,5945,3991xe" filled="true" fillcolor="#f8fafa" stroked="false">
              <v:path arrowok="t"/>
              <v:fill type="solid"/>
            </v:shape>
            <v:shape style="position:absolute;left:5052;top:4097;width:1787;height:1901" coordorigin="5052,4097" coordsize="1787,1901" path="m5945,4097l5052,5047,5945,5997,6839,5047,5945,4097xe" filled="true" fillcolor="#f8fbfa" stroked="false">
              <v:path arrowok="t"/>
              <v:fill type="solid"/>
            </v:shape>
            <v:shape style="position:absolute;left:5151;top:4202;width:1588;height:1690" coordorigin="5152,4203" coordsize="1588,1690" path="m5945,4203l5152,5047,5945,5892,6739,5047,5945,4203xe" filled="true" fillcolor="#f9fbfa" stroked="false">
              <v:path arrowok="t"/>
              <v:fill type="solid"/>
            </v:shape>
            <v:shape style="position:absolute;left:5250;top:4308;width:1390;height:1479" coordorigin="5251,4308" coordsize="1390,1479" path="m5945,4308l5251,5047,5945,5786,6640,5047,5945,4308xe" filled="true" fillcolor="#fafbfb" stroked="false">
              <v:path arrowok="t"/>
              <v:fill type="solid"/>
            </v:shape>
            <v:shape style="position:absolute;left:5350;top:4413;width:1191;height:1267" coordorigin="5350,4414" coordsize="1191,1267" path="m5945,4414l5350,5047,5945,5681,6541,5047,5945,4414xe" filled="true" fillcolor="#fafcfb" stroked="false">
              <v:path arrowok="t"/>
              <v:fill type="solid"/>
            </v:shape>
            <v:shape style="position:absolute;left:5449;top:4519;width:993;height:1056" coordorigin="5449,4519" coordsize="993,1056" path="m5945,4519l5449,5047,5945,5575,6442,5047,5945,4519xe" filled="true" fillcolor="#fbfcfc" stroked="false">
              <v:path arrowok="t"/>
              <v:fill type="solid"/>
            </v:shape>
            <v:shape style="position:absolute;left:5548;top:4624;width:794;height:845" coordorigin="5549,4625" coordsize="794,845" path="m5945,4625l5549,5047,5945,5470,6342,5047,5945,4625xe" filled="true" fillcolor="#fcfdfd" stroked="false">
              <v:path arrowok="t"/>
              <v:fill type="solid"/>
            </v:shape>
            <v:shape style="position:absolute;left:5647;top:4730;width:596;height:634" coordorigin="5648,4730" coordsize="596,634" path="m5945,4730l5648,5047,5945,5364,6243,5047,5945,4730xe" filled="true" fillcolor="#fdfdfd" stroked="false">
              <v:path arrowok="t"/>
              <v:fill type="solid"/>
            </v:shape>
            <v:shape style="position:absolute;left:5747;top:4836;width:397;height:423" coordorigin="5747,4836" coordsize="397,423" path="m5945,4836l5747,5047,5945,5258,6144,5047,5945,4836xe" filled="true" fillcolor="#fdfffd" stroked="false">
              <v:path arrowok="t"/>
              <v:fill type="solid"/>
            </v:shape>
            <v:shape style="position:absolute;left:5846;top:4941;width:199;height:212" coordorigin="5846,4942" coordsize="199,212" path="m5945,4942l5846,5047,5945,5153,6045,5047,5945,4942xe" filled="true" fillcolor="#ffffff" stroked="false">
              <v:path arrowok="t"/>
              <v:fill type="solid"/>
            </v:shape>
            <v:rect style="position:absolute;left:795;top:-433;width:10300;height:10960" filled="false" stroked="true" strokeweight="1pt" strokecolor="#009391">
              <v:stroke dashstyle="solid"/>
            </v:rect>
            <v:line style="position:absolute" from="1000,10017" to="10840,10017" stroked="true" strokeweight=".125pt" strokecolor="#000000">
              <v:stroke dashstyle="solid"/>
            </v:line>
            <w10:wrap type="none"/>
          </v:group>
        </w:pict>
      </w:r>
      <w:r>
        <w:rPr>
          <w:sz w:val="24"/>
        </w:rPr>
        <w:t>Some forecasting errors are easier to identify than others. The forecasts considered in this box were based on the assumption that the future</w:t>
      </w:r>
      <w:r>
        <w:rPr>
          <w:spacing w:val="-7"/>
          <w:sz w:val="24"/>
        </w:rPr>
        <w:t> </w:t>
      </w:r>
      <w:r>
        <w:rPr>
          <w:sz w:val="24"/>
        </w:rPr>
        <w:t>path</w:t>
      </w:r>
      <w:r>
        <w:rPr>
          <w:spacing w:val="-6"/>
          <w:sz w:val="24"/>
        </w:rPr>
        <w:t> </w:t>
      </w:r>
      <w:r>
        <w:rPr>
          <w:sz w:val="24"/>
        </w:rPr>
        <w:t>for</w:t>
      </w:r>
      <w:r>
        <w:rPr>
          <w:spacing w:val="-7"/>
          <w:sz w:val="24"/>
        </w:rPr>
        <w:t> </w:t>
      </w:r>
      <w:r>
        <w:rPr>
          <w:sz w:val="24"/>
        </w:rPr>
        <w:t>the</w:t>
      </w:r>
      <w:r>
        <w:rPr>
          <w:spacing w:val="-6"/>
          <w:sz w:val="24"/>
        </w:rPr>
        <w:t> </w:t>
      </w:r>
      <w:r>
        <w:rPr>
          <w:sz w:val="24"/>
        </w:rPr>
        <w:t>sterling</w:t>
      </w:r>
      <w:r>
        <w:rPr>
          <w:spacing w:val="-7"/>
          <w:sz w:val="24"/>
        </w:rPr>
        <w:t> </w:t>
      </w:r>
      <w:r>
        <w:rPr>
          <w:sz w:val="24"/>
        </w:rPr>
        <w:t>exchange</w:t>
      </w:r>
      <w:r>
        <w:rPr>
          <w:spacing w:val="-6"/>
          <w:sz w:val="24"/>
        </w:rPr>
        <w:t> </w:t>
      </w:r>
      <w:r>
        <w:rPr>
          <w:sz w:val="24"/>
        </w:rPr>
        <w:t>rate</w:t>
      </w:r>
      <w:r>
        <w:rPr>
          <w:spacing w:val="-7"/>
          <w:sz w:val="24"/>
        </w:rPr>
        <w:t> </w:t>
      </w:r>
      <w:r>
        <w:rPr>
          <w:sz w:val="24"/>
        </w:rPr>
        <w:t>moves in line with interest rate differentials.</w:t>
      </w:r>
      <w:r>
        <w:rPr>
          <w:position w:val="5"/>
          <w:sz w:val="16"/>
        </w:rPr>
        <w:t>(1) </w:t>
      </w:r>
      <w:r>
        <w:rPr>
          <w:sz w:val="24"/>
        </w:rPr>
        <w:t>The </w:t>
      </w:r>
      <w:r>
        <w:rPr>
          <w:spacing w:val="-3"/>
          <w:sz w:val="24"/>
        </w:rPr>
        <w:t>effective </w:t>
      </w:r>
      <w:r>
        <w:rPr>
          <w:sz w:val="24"/>
        </w:rPr>
        <w:t>exchange rate (ERI) index has generally been stronger than under this assumption, with a mean error across all forecasts and forecast horizons of 4%. The unexpected strength of the sterling ERI reflected strength against the euro, while the exchange rate against the dollar was broadly in line with the Committee’s</w:t>
      </w:r>
      <w:r>
        <w:rPr>
          <w:spacing w:val="-13"/>
          <w:sz w:val="24"/>
        </w:rPr>
        <w:t> </w:t>
      </w:r>
      <w:r>
        <w:rPr>
          <w:sz w:val="24"/>
        </w:rPr>
        <w:t>assumption.</w:t>
      </w:r>
    </w:p>
    <w:p>
      <w:pPr>
        <w:spacing w:line="242" w:lineRule="auto" w:before="16"/>
        <w:ind w:left="405" w:right="38" w:firstLine="0"/>
        <w:jc w:val="left"/>
        <w:rPr>
          <w:sz w:val="24"/>
        </w:rPr>
      </w:pPr>
      <w:r>
        <w:rPr>
          <w:spacing w:val="-3"/>
          <w:sz w:val="24"/>
        </w:rPr>
        <w:t>Sterling’s </w:t>
      </w:r>
      <w:r>
        <w:rPr>
          <w:sz w:val="24"/>
        </w:rPr>
        <w:t>unexpected strength partly explains why net trade has contributed more </w:t>
      </w:r>
      <w:r>
        <w:rPr>
          <w:spacing w:val="-3"/>
          <w:sz w:val="24"/>
        </w:rPr>
        <w:t>negatively </w:t>
      </w:r>
      <w:r>
        <w:rPr>
          <w:sz w:val="24"/>
        </w:rPr>
        <w:t>to GDP growth than had been forecast by the MPC. But the unexpected strength in domestic demand, which boosted import growth, was</w:t>
      </w:r>
      <w:r>
        <w:rPr>
          <w:spacing w:val="-41"/>
          <w:sz w:val="24"/>
        </w:rPr>
        <w:t> </w:t>
      </w:r>
      <w:r>
        <w:rPr>
          <w:sz w:val="24"/>
        </w:rPr>
        <w:t>also a</w:t>
      </w:r>
      <w:r>
        <w:rPr>
          <w:spacing w:val="-1"/>
          <w:sz w:val="24"/>
        </w:rPr>
        <w:t> </w:t>
      </w:r>
      <w:r>
        <w:rPr>
          <w:spacing w:val="-3"/>
          <w:sz w:val="24"/>
        </w:rPr>
        <w:t>factor.</w:t>
      </w:r>
    </w:p>
    <w:p>
      <w:pPr>
        <w:pStyle w:val="BodyText"/>
        <w:rPr>
          <w:sz w:val="25"/>
        </w:rPr>
      </w:pPr>
    </w:p>
    <w:p>
      <w:pPr>
        <w:spacing w:line="242" w:lineRule="auto" w:before="0"/>
        <w:ind w:left="405" w:right="65" w:firstLine="0"/>
        <w:jc w:val="left"/>
        <w:rPr>
          <w:sz w:val="24"/>
        </w:rPr>
      </w:pPr>
      <w:r>
        <w:rPr>
          <w:sz w:val="24"/>
        </w:rPr>
        <w:t>UK retail price inflation reflects domestic and international inflationary pressures. One measure of domestic inflationary pressure is the growth in unit labour costs, which is measured by earnings inflation less productivity growth. Earnings growth in early 1999 was weaker than assumed in most of the projections. But unit labour costs have been broadly in line with the projections over the past two years. However, UK import prices were considerably weaker than projected. This reflected the unexpected strength of sterling and, despite the recent doubling of oil prices, generally</w:t>
      </w:r>
    </w:p>
    <w:p>
      <w:pPr>
        <w:spacing w:line="242" w:lineRule="auto" w:before="17"/>
        <w:ind w:left="405" w:right="38" w:firstLine="0"/>
        <w:jc w:val="left"/>
        <w:rPr>
          <w:sz w:val="24"/>
        </w:rPr>
      </w:pPr>
      <w:r>
        <w:rPr>
          <w:sz w:val="24"/>
        </w:rPr>
        <w:t>weaker-than-expected world commodity and manufactured goods prices.</w:t>
      </w:r>
    </w:p>
    <w:p>
      <w:pPr>
        <w:pStyle w:val="BodyText"/>
        <w:spacing w:before="6"/>
        <w:rPr>
          <w:sz w:val="21"/>
        </w:rPr>
      </w:pPr>
      <w:r>
        <w:rPr/>
        <w:br w:type="column"/>
      </w:r>
      <w:r>
        <w:rPr>
          <w:sz w:val="21"/>
        </w:rPr>
      </w:r>
    </w:p>
    <w:p>
      <w:pPr>
        <w:spacing w:line="242" w:lineRule="auto" w:before="0"/>
        <w:ind w:left="405" w:right="419" w:firstLine="0"/>
        <w:jc w:val="left"/>
        <w:rPr>
          <w:sz w:val="24"/>
        </w:rPr>
      </w:pPr>
      <w:r>
        <w:rPr>
          <w:sz w:val="24"/>
        </w:rPr>
        <w:t>The MPC base the projections on a conditioning assumption of constant official interest rates (projections based on market interest rates are also shown). But as different shocks hit the </w:t>
      </w:r>
      <w:r>
        <w:rPr>
          <w:spacing w:val="-3"/>
          <w:sz w:val="24"/>
        </w:rPr>
        <w:t>economy, </w:t>
      </w:r>
      <w:r>
        <w:rPr>
          <w:sz w:val="24"/>
        </w:rPr>
        <w:t>the Committee may change interest rates. For the forecasts considered here, actual official interest rates were generally</w:t>
      </w:r>
      <w:r>
        <w:rPr>
          <w:spacing w:val="-21"/>
          <w:sz w:val="24"/>
        </w:rPr>
        <w:t> </w:t>
      </w:r>
      <w:r>
        <w:rPr>
          <w:sz w:val="24"/>
        </w:rPr>
        <w:t>lower</w:t>
      </w:r>
    </w:p>
    <w:p>
      <w:pPr>
        <w:spacing w:line="242" w:lineRule="auto" w:before="9"/>
        <w:ind w:left="405" w:right="600" w:firstLine="0"/>
        <w:jc w:val="left"/>
        <w:rPr>
          <w:sz w:val="24"/>
        </w:rPr>
      </w:pPr>
      <w:r>
        <w:rPr>
          <w:sz w:val="24"/>
        </w:rPr>
        <w:t>than was assumed in the projections.  This was because the MPC responded to the substantial deterioration in prospects for</w:t>
      </w:r>
      <w:r>
        <w:rPr>
          <w:spacing w:val="-40"/>
          <w:sz w:val="24"/>
        </w:rPr>
        <w:t> </w:t>
      </w:r>
      <w:r>
        <w:rPr>
          <w:sz w:val="24"/>
        </w:rPr>
        <w:t>world growth and the related weakening in external pressures on inflation by reducing</w:t>
      </w:r>
      <w:r>
        <w:rPr>
          <w:spacing w:val="-18"/>
          <w:sz w:val="24"/>
        </w:rPr>
        <w:t> </w:t>
      </w:r>
      <w:r>
        <w:rPr>
          <w:sz w:val="24"/>
        </w:rPr>
        <w:t>interest</w:t>
      </w:r>
    </w:p>
    <w:p>
      <w:pPr>
        <w:spacing w:line="242" w:lineRule="auto" w:before="6"/>
        <w:ind w:left="405" w:right="419" w:firstLine="0"/>
        <w:jc w:val="left"/>
        <w:rPr>
          <w:sz w:val="24"/>
        </w:rPr>
      </w:pPr>
      <w:r>
        <w:rPr>
          <w:sz w:val="24"/>
        </w:rPr>
        <w:t>rates in late 1998 and early 1999 by 2</w:t>
      </w:r>
      <w:r>
        <w:rPr>
          <w:position w:val="8"/>
          <w:sz w:val="12"/>
        </w:rPr>
        <w:t>1</w:t>
      </w:r>
      <w:r>
        <w:rPr>
          <w:sz w:val="24"/>
        </w:rPr>
        <w:t>/</w:t>
      </w:r>
      <w:r>
        <w:rPr>
          <w:sz w:val="12"/>
        </w:rPr>
        <w:t>2</w:t>
      </w:r>
      <w:r>
        <w:rPr>
          <w:sz w:val="24"/>
        </w:rPr>
        <w:t>%. This can help explain why consumption growth in 1999 was stronger than had been projected</w:t>
      </w:r>
    </w:p>
    <w:p>
      <w:pPr>
        <w:spacing w:line="242" w:lineRule="auto" w:before="3"/>
        <w:ind w:left="405" w:right="600" w:firstLine="0"/>
        <w:jc w:val="left"/>
        <w:rPr>
          <w:sz w:val="24"/>
        </w:rPr>
      </w:pPr>
      <w:r>
        <w:rPr>
          <w:sz w:val="24"/>
        </w:rPr>
        <w:t>on the basis of unchanged nominal interest rates. A further reason for the strength in consumption was the stronger-than-expected growth in equity and house prices over this period.</w:t>
      </w:r>
    </w:p>
    <w:p>
      <w:pPr>
        <w:pStyle w:val="BodyText"/>
        <w:spacing w:before="11"/>
        <w:rPr>
          <w:sz w:val="24"/>
        </w:rPr>
      </w:pPr>
    </w:p>
    <w:p>
      <w:pPr>
        <w:spacing w:line="242" w:lineRule="auto" w:before="0"/>
        <w:ind w:left="405" w:right="419" w:firstLine="0"/>
        <w:jc w:val="left"/>
        <w:rPr>
          <w:sz w:val="24"/>
        </w:rPr>
      </w:pPr>
      <w:r>
        <w:rPr>
          <w:sz w:val="24"/>
        </w:rPr>
        <w:t>It is too early to draw strong conclusions about the Committee’s forecasting record. It is</w:t>
      </w:r>
    </w:p>
    <w:p>
      <w:pPr>
        <w:spacing w:line="242" w:lineRule="auto" w:before="2"/>
        <w:ind w:left="405" w:right="713" w:firstLine="0"/>
        <w:jc w:val="left"/>
        <w:rPr>
          <w:sz w:val="24"/>
        </w:rPr>
      </w:pPr>
      <w:r>
        <w:rPr>
          <w:sz w:val="24"/>
        </w:rPr>
        <w:t>clear that output was stronger and inflation was weaker than expected in 1999, and at the start of 2000, with weaker-than-anticipated imported inflation a major, though not the only, factor. The Committee will continue to monitor forecast performance carefully to learn from past errors. However, to date, average errors have been small relative to past experience, and outturns have</w:t>
      </w:r>
    </w:p>
    <w:p>
      <w:pPr>
        <w:spacing w:line="242" w:lineRule="auto" w:before="12"/>
        <w:ind w:left="405" w:right="419" w:firstLine="0"/>
        <w:jc w:val="left"/>
        <w:rPr>
          <w:sz w:val="24"/>
        </w:rPr>
      </w:pPr>
      <w:r>
        <w:rPr>
          <w:sz w:val="24"/>
        </w:rPr>
        <w:t>generally been well within the range of uncertainty suggested by the Committee’s fan charts.</w:t>
      </w:r>
    </w:p>
    <w:p>
      <w:pPr>
        <w:spacing w:after="0" w:line="242" w:lineRule="auto"/>
        <w:jc w:val="left"/>
        <w:rPr>
          <w:sz w:val="24"/>
        </w:rPr>
        <w:sectPr>
          <w:type w:val="continuous"/>
          <w:pgSz w:w="11900" w:h="16840"/>
          <w:pgMar w:top="1260" w:bottom="280" w:left="640" w:right="640"/>
          <w:cols w:num="2" w:equalWidth="0">
            <w:col w:w="5089" w:space="41"/>
            <w:col w:w="5490"/>
          </w:cols>
        </w:sectPr>
      </w:pPr>
    </w:p>
    <w:p>
      <w:pPr>
        <w:pStyle w:val="BodyText"/>
        <w:spacing w:before="11"/>
        <w:rPr>
          <w:sz w:val="11"/>
        </w:rPr>
      </w:pPr>
    </w:p>
    <w:p>
      <w:pPr>
        <w:pStyle w:val="ListParagraph"/>
        <w:numPr>
          <w:ilvl w:val="2"/>
          <w:numId w:val="39"/>
        </w:numPr>
        <w:tabs>
          <w:tab w:pos="641" w:val="left" w:leader="none"/>
        </w:tabs>
        <w:spacing w:line="208" w:lineRule="auto" w:before="113" w:after="0"/>
        <w:ind w:left="640" w:right="885" w:hanging="240"/>
        <w:jc w:val="left"/>
        <w:rPr>
          <w:sz w:val="16"/>
        </w:rPr>
      </w:pPr>
      <w:r>
        <w:rPr>
          <w:sz w:val="16"/>
        </w:rPr>
        <w:t>Since</w:t>
      </w:r>
      <w:r>
        <w:rPr>
          <w:spacing w:val="-6"/>
          <w:sz w:val="16"/>
        </w:rPr>
        <w:t> </w:t>
      </w:r>
      <w:r>
        <w:rPr>
          <w:sz w:val="16"/>
        </w:rPr>
        <w:t>November</w:t>
      </w:r>
      <w:r>
        <w:rPr>
          <w:spacing w:val="-5"/>
          <w:sz w:val="16"/>
        </w:rPr>
        <w:t> </w:t>
      </w:r>
      <w:r>
        <w:rPr>
          <w:sz w:val="16"/>
        </w:rPr>
        <w:t>1999,</w:t>
      </w:r>
      <w:r>
        <w:rPr>
          <w:spacing w:val="-4"/>
          <w:sz w:val="16"/>
        </w:rPr>
        <w:t> </w:t>
      </w:r>
      <w:r>
        <w:rPr>
          <w:sz w:val="16"/>
        </w:rPr>
        <w:t>the</w:t>
      </w:r>
      <w:r>
        <w:rPr>
          <w:spacing w:val="-6"/>
          <w:sz w:val="16"/>
        </w:rPr>
        <w:t> </w:t>
      </w:r>
      <w:r>
        <w:rPr>
          <w:sz w:val="16"/>
        </w:rPr>
        <w:t>Committee</w:t>
      </w:r>
      <w:r>
        <w:rPr>
          <w:spacing w:val="-5"/>
          <w:sz w:val="16"/>
        </w:rPr>
        <w:t> </w:t>
      </w:r>
      <w:r>
        <w:rPr>
          <w:sz w:val="16"/>
        </w:rPr>
        <w:t>has</w:t>
      </w:r>
      <w:r>
        <w:rPr>
          <w:spacing w:val="-5"/>
          <w:sz w:val="16"/>
        </w:rPr>
        <w:t> </w:t>
      </w:r>
      <w:r>
        <w:rPr>
          <w:sz w:val="16"/>
        </w:rPr>
        <w:t>assumed</w:t>
      </w:r>
      <w:r>
        <w:rPr>
          <w:spacing w:val="-5"/>
          <w:sz w:val="16"/>
        </w:rPr>
        <w:t> </w:t>
      </w:r>
      <w:r>
        <w:rPr>
          <w:sz w:val="16"/>
        </w:rPr>
        <w:t>that</w:t>
      </w:r>
      <w:r>
        <w:rPr>
          <w:spacing w:val="-6"/>
          <w:sz w:val="16"/>
        </w:rPr>
        <w:t> </w:t>
      </w:r>
      <w:r>
        <w:rPr>
          <w:sz w:val="16"/>
        </w:rPr>
        <w:t>the</w:t>
      </w:r>
      <w:r>
        <w:rPr>
          <w:spacing w:val="-5"/>
          <w:sz w:val="16"/>
        </w:rPr>
        <w:t> </w:t>
      </w:r>
      <w:r>
        <w:rPr>
          <w:sz w:val="16"/>
        </w:rPr>
        <w:t>future</w:t>
      </w:r>
      <w:r>
        <w:rPr>
          <w:spacing w:val="-5"/>
          <w:sz w:val="16"/>
        </w:rPr>
        <w:t> </w:t>
      </w:r>
      <w:r>
        <w:rPr>
          <w:sz w:val="16"/>
        </w:rPr>
        <w:t>path</w:t>
      </w:r>
      <w:r>
        <w:rPr>
          <w:spacing w:val="-5"/>
          <w:sz w:val="16"/>
        </w:rPr>
        <w:t> </w:t>
      </w:r>
      <w:r>
        <w:rPr>
          <w:sz w:val="16"/>
        </w:rPr>
        <w:t>of</w:t>
      </w:r>
      <w:r>
        <w:rPr>
          <w:spacing w:val="-6"/>
          <w:sz w:val="16"/>
        </w:rPr>
        <w:t> </w:t>
      </w:r>
      <w:r>
        <w:rPr>
          <w:sz w:val="16"/>
        </w:rPr>
        <w:t>the</w:t>
      </w:r>
      <w:r>
        <w:rPr>
          <w:spacing w:val="-5"/>
          <w:sz w:val="16"/>
        </w:rPr>
        <w:t> </w:t>
      </w:r>
      <w:r>
        <w:rPr>
          <w:sz w:val="16"/>
        </w:rPr>
        <w:t>effective</w:t>
      </w:r>
      <w:r>
        <w:rPr>
          <w:spacing w:val="-5"/>
          <w:sz w:val="16"/>
        </w:rPr>
        <w:t> </w:t>
      </w:r>
      <w:r>
        <w:rPr>
          <w:sz w:val="16"/>
        </w:rPr>
        <w:t>exchange</w:t>
      </w:r>
      <w:r>
        <w:rPr>
          <w:spacing w:val="-5"/>
          <w:sz w:val="16"/>
        </w:rPr>
        <w:t> </w:t>
      </w:r>
      <w:r>
        <w:rPr>
          <w:sz w:val="16"/>
        </w:rPr>
        <w:t>rate</w:t>
      </w:r>
      <w:r>
        <w:rPr>
          <w:spacing w:val="-6"/>
          <w:sz w:val="16"/>
        </w:rPr>
        <w:t> </w:t>
      </w:r>
      <w:r>
        <w:rPr>
          <w:sz w:val="16"/>
        </w:rPr>
        <w:t>will</w:t>
      </w:r>
      <w:r>
        <w:rPr>
          <w:spacing w:val="-5"/>
          <w:sz w:val="16"/>
        </w:rPr>
        <w:t> </w:t>
      </w:r>
      <w:r>
        <w:rPr>
          <w:sz w:val="16"/>
        </w:rPr>
        <w:t>be</w:t>
      </w:r>
      <w:r>
        <w:rPr>
          <w:spacing w:val="-5"/>
          <w:sz w:val="16"/>
        </w:rPr>
        <w:t> </w:t>
      </w:r>
      <w:r>
        <w:rPr>
          <w:sz w:val="16"/>
        </w:rPr>
        <w:t>an</w:t>
      </w:r>
      <w:r>
        <w:rPr>
          <w:spacing w:val="-5"/>
          <w:sz w:val="16"/>
        </w:rPr>
        <w:t> </w:t>
      </w:r>
      <w:r>
        <w:rPr>
          <w:sz w:val="16"/>
        </w:rPr>
        <w:t>average</w:t>
      </w:r>
      <w:r>
        <w:rPr>
          <w:spacing w:val="-6"/>
          <w:sz w:val="16"/>
        </w:rPr>
        <w:t> </w:t>
      </w:r>
      <w:r>
        <w:rPr>
          <w:sz w:val="16"/>
        </w:rPr>
        <w:t>of</w:t>
      </w:r>
      <w:r>
        <w:rPr>
          <w:spacing w:val="-5"/>
          <w:sz w:val="16"/>
        </w:rPr>
        <w:t> </w:t>
      </w:r>
      <w:r>
        <w:rPr>
          <w:sz w:val="16"/>
        </w:rPr>
        <w:t>a</w:t>
      </w:r>
      <w:r>
        <w:rPr>
          <w:spacing w:val="-5"/>
          <w:sz w:val="16"/>
        </w:rPr>
        <w:t> </w:t>
      </w:r>
      <w:r>
        <w:rPr>
          <w:sz w:val="16"/>
        </w:rPr>
        <w:t>constant</w:t>
      </w:r>
      <w:r>
        <w:rPr>
          <w:spacing w:val="-5"/>
          <w:sz w:val="16"/>
        </w:rPr>
        <w:t> </w:t>
      </w:r>
      <w:r>
        <w:rPr>
          <w:sz w:val="16"/>
        </w:rPr>
        <w:t>nominal rate and a path related to the pattern of market interest rate</w:t>
      </w:r>
      <w:r>
        <w:rPr>
          <w:spacing w:val="-18"/>
          <w:sz w:val="16"/>
        </w:rPr>
        <w:t> </w:t>
      </w:r>
      <w:r>
        <w:rPr>
          <w:sz w:val="16"/>
        </w:rPr>
        <w:t>differentials.</w:t>
      </w:r>
    </w:p>
    <w:p>
      <w:pPr>
        <w:spacing w:after="0" w:line="208" w:lineRule="auto"/>
        <w:jc w:val="left"/>
        <w:rPr>
          <w:sz w:val="16"/>
        </w:rPr>
        <w:sectPr>
          <w:type w:val="continuous"/>
          <w:pgSz w:w="11900" w:h="16840"/>
          <w:pgMar w:top="1260" w:bottom="280" w:left="640" w:right="64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spacing w:before="6"/>
        <w:rPr>
          <w:sz w:val="29"/>
        </w:rPr>
      </w:pPr>
    </w:p>
    <w:p>
      <w:pPr>
        <w:spacing w:after="0"/>
        <w:rPr>
          <w:sz w:val="29"/>
        </w:rPr>
        <w:sectPr>
          <w:headerReference w:type="default" r:id="rId196"/>
          <w:footerReference w:type="default" r:id="rId197"/>
          <w:footerReference w:type="even" r:id="rId198"/>
          <w:pgSz w:w="11900" w:h="16840"/>
          <w:pgMar w:header="0" w:footer="612" w:top="800" w:bottom="800" w:left="640" w:right="640"/>
          <w:pgNumType w:start="67"/>
        </w:sectPr>
      </w:pPr>
    </w:p>
    <w:p>
      <w:pPr>
        <w:spacing w:line="409" w:lineRule="exact" w:before="85"/>
        <w:ind w:left="183" w:right="0" w:firstLine="0"/>
        <w:jc w:val="left"/>
        <w:rPr>
          <w:b/>
          <w:sz w:val="36"/>
        </w:rPr>
      </w:pPr>
      <w:bookmarkStart w:name="Agents' summary of business conditions" w:id="86"/>
      <w:bookmarkEnd w:id="86"/>
      <w:r>
        <w:rPr/>
      </w:r>
      <w:bookmarkStart w:name="_bookmark37" w:id="87"/>
      <w:bookmarkEnd w:id="87"/>
      <w:r>
        <w:rPr/>
      </w:r>
      <w:r>
        <w:rPr>
          <w:b/>
          <w:color w:val="006CB4"/>
          <w:sz w:val="36"/>
        </w:rPr>
        <w:t>BANK OF ENGLAND</w:t>
      </w:r>
    </w:p>
    <w:p>
      <w:pPr>
        <w:spacing w:line="249" w:lineRule="auto" w:before="0"/>
        <w:ind w:left="183" w:right="15" w:firstLine="0"/>
        <w:jc w:val="left"/>
        <w:rPr>
          <w:b/>
          <w:sz w:val="48"/>
        </w:rPr>
      </w:pPr>
      <w:r>
        <w:rPr>
          <w:b/>
          <w:color w:val="006CB4"/>
          <w:spacing w:val="-5"/>
          <w:sz w:val="48"/>
        </w:rPr>
        <w:t>AGENTS’ </w:t>
      </w:r>
      <w:r>
        <w:rPr>
          <w:b/>
          <w:color w:val="006CB4"/>
          <w:spacing w:val="-4"/>
          <w:sz w:val="48"/>
        </w:rPr>
        <w:t>SUMMARY </w:t>
      </w:r>
      <w:r>
        <w:rPr>
          <w:b/>
          <w:color w:val="006CB4"/>
          <w:sz w:val="48"/>
        </w:rPr>
        <w:t>OF BUSINESS CONDITIONS</w:t>
      </w:r>
    </w:p>
    <w:p>
      <w:pPr>
        <w:pStyle w:val="BodyText"/>
        <w:rPr>
          <w:b/>
          <w:sz w:val="26"/>
        </w:rPr>
      </w:pPr>
      <w:r>
        <w:rPr/>
        <w:br w:type="column"/>
      </w:r>
      <w:r>
        <w:rPr>
          <w:b/>
          <w:sz w:val="26"/>
        </w:rPr>
      </w:r>
    </w:p>
    <w:p>
      <w:pPr>
        <w:pStyle w:val="BodyText"/>
        <w:rPr>
          <w:b/>
          <w:sz w:val="26"/>
        </w:rPr>
      </w:pPr>
    </w:p>
    <w:p>
      <w:pPr>
        <w:pStyle w:val="BodyText"/>
        <w:rPr>
          <w:b/>
          <w:sz w:val="26"/>
        </w:rPr>
      </w:pPr>
    </w:p>
    <w:p>
      <w:pPr>
        <w:pStyle w:val="BodyText"/>
        <w:spacing w:before="11"/>
        <w:rPr>
          <w:b/>
          <w:sz w:val="32"/>
        </w:rPr>
      </w:pPr>
    </w:p>
    <w:p>
      <w:pPr>
        <w:spacing w:before="0"/>
        <w:ind w:left="183" w:right="0" w:firstLine="0"/>
        <w:jc w:val="left"/>
        <w:rPr>
          <w:b/>
          <w:sz w:val="24"/>
        </w:rPr>
      </w:pPr>
      <w:r>
        <w:rPr>
          <w:b/>
          <w:color w:val="006CB4"/>
          <w:sz w:val="24"/>
        </w:rPr>
        <w:t>AUGUST 2000</w:t>
      </w:r>
    </w:p>
    <w:p>
      <w:pPr>
        <w:spacing w:after="0"/>
        <w:jc w:val="left"/>
        <w:rPr>
          <w:sz w:val="24"/>
        </w:rPr>
        <w:sectPr>
          <w:type w:val="continuous"/>
          <w:pgSz w:w="11900" w:h="16840"/>
          <w:pgMar w:top="1260" w:bottom="280" w:left="640" w:right="640"/>
          <w:cols w:num="2" w:equalWidth="0">
            <w:col w:w="5754" w:space="3010"/>
            <w:col w:w="1856"/>
          </w:cols>
        </w:sectPr>
      </w:pPr>
    </w:p>
    <w:p>
      <w:pPr>
        <w:pStyle w:val="BodyText"/>
        <w:rPr>
          <w:b/>
          <w:sz w:val="20"/>
        </w:rPr>
      </w:pPr>
    </w:p>
    <w:p>
      <w:pPr>
        <w:pStyle w:val="BodyText"/>
        <w:rPr>
          <w:b/>
          <w:sz w:val="20"/>
        </w:rPr>
      </w:pPr>
    </w:p>
    <w:p>
      <w:pPr>
        <w:pStyle w:val="BodyText"/>
        <w:spacing w:before="10" w:after="1"/>
        <w:rPr>
          <w:b/>
          <w:sz w:val="26"/>
        </w:rPr>
      </w:pPr>
    </w:p>
    <w:p>
      <w:pPr>
        <w:pStyle w:val="BodyText"/>
        <w:ind w:left="176"/>
        <w:rPr>
          <w:sz w:val="20"/>
        </w:rPr>
      </w:pPr>
      <w:r>
        <w:rPr>
          <w:position w:val="0"/>
          <w:sz w:val="20"/>
        </w:rPr>
        <w:pict>
          <v:shape style="width:515.9pt;height:103pt;mso-position-horizontal-relative:char;mso-position-vertical-relative:line" type="#_x0000_t202" filled="false" stroked="true" strokeweight="1pt" strokecolor="#006cb4">
            <w10:anchorlock/>
            <v:textbox inset="0,0,0,0">
              <w:txbxContent>
                <w:p>
                  <w:pPr>
                    <w:spacing w:line="247" w:lineRule="auto" w:before="146"/>
                    <w:ind w:left="250" w:right="140" w:firstLine="0"/>
                    <w:jc w:val="left"/>
                    <w:rPr>
                      <w:i/>
                      <w:sz w:val="22"/>
                    </w:rPr>
                  </w:pPr>
                  <w:r>
                    <w:rPr>
                      <w:i/>
                      <w:sz w:val="22"/>
                    </w:rPr>
                    <w:t>This publication is a summary of monthly reports compiled by the Bank of England’s Agents,</w:t>
                  </w:r>
                  <w:r>
                    <w:rPr>
                      <w:position w:val="5"/>
                      <w:sz w:val="16"/>
                    </w:rPr>
                    <w:t>(1) </w:t>
                  </w:r>
                  <w:r>
                    <w:rPr>
                      <w:i/>
                      <w:sz w:val="22"/>
                    </w:rPr>
                    <w:t>following </w:t>
                  </w:r>
                  <w:r>
                    <w:rPr>
                      <w:i/>
                      <w:sz w:val="22"/>
                    </w:rPr>
                    <w:t>discussions with around 1,700 businesses in the period between mid-April and mid-July. It provides information on the state of business conditions, from firms across all sectors of the economy. The report does not represent the Bank’s own views, nor does it represent the views of any particular firm or region. The Bank’s Monetary Policy Committee uses the intelligence provided by the Agents, in conjunction with information from other sources, to assist its understanding and assessment of current economic conditions.</w:t>
                  </w:r>
                </w:p>
              </w:txbxContent>
            </v:textbox>
            <v:stroke dashstyle="solid"/>
          </v:shape>
        </w:pict>
      </w:r>
      <w:r>
        <w:rPr>
          <w:position w:val="0"/>
          <w:sz w:val="20"/>
        </w:rPr>
      </w:r>
    </w:p>
    <w:p>
      <w:pPr>
        <w:pStyle w:val="Heading5"/>
        <w:numPr>
          <w:ilvl w:val="0"/>
          <w:numId w:val="44"/>
        </w:numPr>
        <w:tabs>
          <w:tab w:pos="645" w:val="left" w:leader="none"/>
          <w:tab w:pos="646" w:val="left" w:leader="none"/>
        </w:tabs>
        <w:spacing w:line="247" w:lineRule="auto" w:before="148" w:after="0"/>
        <w:ind w:left="645" w:right="173" w:hanging="480"/>
        <w:jc w:val="left"/>
      </w:pPr>
      <w:r>
        <w:rPr/>
        <w:t>Manufacturing output growth slowed further during the period in most regions—partly reflecting an easing in demand from domestic firms. </w:t>
      </w:r>
      <w:r>
        <w:rPr>
          <w:spacing w:val="-3"/>
        </w:rPr>
        <w:t>Within </w:t>
      </w:r>
      <w:r>
        <w:rPr/>
        <w:t>manufacturing, the divergence between the performance of high-tech and traditional firms widened</w:t>
      </w:r>
      <w:r>
        <w:rPr>
          <w:spacing w:val="-4"/>
        </w:rPr>
        <w:t> </w:t>
      </w:r>
      <w:r>
        <w:rPr>
          <w:spacing w:val="-3"/>
        </w:rPr>
        <w:t>further.</w:t>
      </w:r>
    </w:p>
    <w:p>
      <w:pPr>
        <w:pStyle w:val="BodyText"/>
        <w:spacing w:before="5"/>
        <w:rPr>
          <w:sz w:val="22"/>
        </w:rPr>
      </w:pPr>
    </w:p>
    <w:p>
      <w:pPr>
        <w:pStyle w:val="Heading5"/>
        <w:numPr>
          <w:ilvl w:val="0"/>
          <w:numId w:val="44"/>
        </w:numPr>
        <w:tabs>
          <w:tab w:pos="645" w:val="left" w:leader="none"/>
          <w:tab w:pos="646" w:val="left" w:leader="none"/>
        </w:tabs>
        <w:spacing w:line="247" w:lineRule="auto" w:before="0" w:after="0"/>
        <w:ind w:left="645" w:right="472" w:hanging="480"/>
        <w:jc w:val="left"/>
      </w:pPr>
      <w:r>
        <w:rPr/>
        <w:t>Overall, construction growth eased slightly—reflecting a </w:t>
      </w:r>
      <w:r>
        <w:rPr>
          <w:spacing w:val="-3"/>
        </w:rPr>
        <w:t>slowdown </w:t>
      </w:r>
      <w:r>
        <w:rPr/>
        <w:t>in residential construction </w:t>
      </w:r>
      <w:r>
        <w:rPr>
          <w:spacing w:val="-3"/>
        </w:rPr>
        <w:t>activity, </w:t>
      </w:r>
      <w:r>
        <w:rPr/>
        <w:t>particularly in the southern regions of the United Kingdom. Growth in commercial construction was said to </w:t>
      </w:r>
      <w:r>
        <w:rPr>
          <w:spacing w:val="-3"/>
        </w:rPr>
        <w:t>have </w:t>
      </w:r>
      <w:r>
        <w:rPr/>
        <w:t>been maintained.</w:t>
      </w:r>
    </w:p>
    <w:p>
      <w:pPr>
        <w:pStyle w:val="BodyText"/>
        <w:spacing w:before="6"/>
        <w:rPr>
          <w:sz w:val="22"/>
        </w:rPr>
      </w:pPr>
    </w:p>
    <w:p>
      <w:pPr>
        <w:pStyle w:val="Heading5"/>
        <w:numPr>
          <w:ilvl w:val="0"/>
          <w:numId w:val="44"/>
        </w:numPr>
        <w:tabs>
          <w:tab w:pos="645" w:val="left" w:leader="none"/>
          <w:tab w:pos="646" w:val="left" w:leader="none"/>
        </w:tabs>
        <w:spacing w:line="247" w:lineRule="auto" w:before="0" w:after="0"/>
        <w:ind w:left="645" w:right="458" w:hanging="480"/>
        <w:jc w:val="left"/>
      </w:pPr>
      <w:r>
        <w:rPr/>
        <w:t>Service sector growth remained strong, but eased slightly compared with the previous period. Most areas of business services continued to record strong growth, but there appeared to be a </w:t>
      </w:r>
      <w:r>
        <w:rPr>
          <w:spacing w:val="-3"/>
        </w:rPr>
        <w:t>slowdown </w:t>
      </w:r>
      <w:r>
        <w:rPr/>
        <w:t>in consumer services—particularly for UK</w:t>
      </w:r>
      <w:r>
        <w:rPr>
          <w:spacing w:val="-4"/>
        </w:rPr>
        <w:t> </w:t>
      </w:r>
      <w:r>
        <w:rPr/>
        <w:t>tourism.</w:t>
      </w:r>
    </w:p>
    <w:p>
      <w:pPr>
        <w:pStyle w:val="BodyText"/>
        <w:spacing w:before="5"/>
        <w:rPr>
          <w:sz w:val="22"/>
        </w:rPr>
      </w:pPr>
    </w:p>
    <w:p>
      <w:pPr>
        <w:pStyle w:val="Heading5"/>
        <w:numPr>
          <w:ilvl w:val="0"/>
          <w:numId w:val="44"/>
        </w:numPr>
        <w:tabs>
          <w:tab w:pos="645" w:val="left" w:leader="none"/>
          <w:tab w:pos="646" w:val="left" w:leader="none"/>
        </w:tabs>
        <w:spacing w:line="247" w:lineRule="auto" w:before="0" w:after="0"/>
        <w:ind w:left="645" w:right="222" w:hanging="480"/>
        <w:jc w:val="left"/>
      </w:pPr>
      <w:r>
        <w:rPr/>
        <w:t>Annual</w:t>
      </w:r>
      <w:r>
        <w:rPr>
          <w:spacing w:val="-6"/>
        </w:rPr>
        <w:t> </w:t>
      </w:r>
      <w:r>
        <w:rPr/>
        <w:t>growth</w:t>
      </w:r>
      <w:r>
        <w:rPr>
          <w:spacing w:val="-6"/>
        </w:rPr>
        <w:t> </w:t>
      </w:r>
      <w:r>
        <w:rPr/>
        <w:t>in</w:t>
      </w:r>
      <w:r>
        <w:rPr>
          <w:spacing w:val="-5"/>
        </w:rPr>
        <w:t> </w:t>
      </w:r>
      <w:r>
        <w:rPr/>
        <w:t>retail</w:t>
      </w:r>
      <w:r>
        <w:rPr>
          <w:spacing w:val="-6"/>
        </w:rPr>
        <w:t> </w:t>
      </w:r>
      <w:r>
        <w:rPr/>
        <w:t>sales</w:t>
      </w:r>
      <w:r>
        <w:rPr>
          <w:spacing w:val="-6"/>
        </w:rPr>
        <w:t> </w:t>
      </w:r>
      <w:r>
        <w:rPr/>
        <w:t>values</w:t>
      </w:r>
      <w:r>
        <w:rPr>
          <w:spacing w:val="-5"/>
        </w:rPr>
        <w:t> </w:t>
      </w:r>
      <w:r>
        <w:rPr/>
        <w:t>was</w:t>
      </w:r>
      <w:r>
        <w:rPr>
          <w:spacing w:val="-6"/>
        </w:rPr>
        <w:t> </w:t>
      </w:r>
      <w:r>
        <w:rPr/>
        <w:t>reported</w:t>
      </w:r>
      <w:r>
        <w:rPr>
          <w:spacing w:val="-6"/>
        </w:rPr>
        <w:t> </w:t>
      </w:r>
      <w:r>
        <w:rPr/>
        <w:t>to</w:t>
      </w:r>
      <w:r>
        <w:rPr>
          <w:spacing w:val="-5"/>
        </w:rPr>
        <w:t> </w:t>
      </w:r>
      <w:r>
        <w:rPr>
          <w:spacing w:val="-3"/>
        </w:rPr>
        <w:t>have</w:t>
      </w:r>
      <w:r>
        <w:rPr>
          <w:spacing w:val="-6"/>
        </w:rPr>
        <w:t> </w:t>
      </w:r>
      <w:r>
        <w:rPr/>
        <w:t>moderated</w:t>
      </w:r>
      <w:r>
        <w:rPr>
          <w:spacing w:val="-6"/>
        </w:rPr>
        <w:t> </w:t>
      </w:r>
      <w:r>
        <w:rPr/>
        <w:t>slightly</w:t>
      </w:r>
      <w:r>
        <w:rPr>
          <w:spacing w:val="-5"/>
        </w:rPr>
        <w:t> </w:t>
      </w:r>
      <w:r>
        <w:rPr/>
        <w:t>in</w:t>
      </w:r>
      <w:r>
        <w:rPr>
          <w:spacing w:val="-6"/>
        </w:rPr>
        <w:t> </w:t>
      </w:r>
      <w:r>
        <w:rPr/>
        <w:t>most</w:t>
      </w:r>
      <w:r>
        <w:rPr>
          <w:spacing w:val="-6"/>
        </w:rPr>
        <w:t> </w:t>
      </w:r>
      <w:r>
        <w:rPr/>
        <w:t>regions</w:t>
      </w:r>
      <w:r>
        <w:rPr>
          <w:spacing w:val="-5"/>
        </w:rPr>
        <w:t> </w:t>
      </w:r>
      <w:r>
        <w:rPr/>
        <w:t>during</w:t>
      </w:r>
      <w:r>
        <w:rPr>
          <w:spacing w:val="-6"/>
        </w:rPr>
        <w:t> </w:t>
      </w:r>
      <w:r>
        <w:rPr/>
        <w:t>the</w:t>
      </w:r>
      <w:r>
        <w:rPr>
          <w:spacing w:val="-5"/>
        </w:rPr>
        <w:t> </w:t>
      </w:r>
      <w:r>
        <w:rPr/>
        <w:t>period. Sales of used cars remained depressed, although significant discounting appeared to improve </w:t>
      </w:r>
      <w:r>
        <w:rPr>
          <w:spacing w:val="-3"/>
        </w:rPr>
        <w:t>new </w:t>
      </w:r>
      <w:r>
        <w:rPr/>
        <w:t>car sales volumes </w:t>
      </w:r>
      <w:r>
        <w:rPr>
          <w:spacing w:val="-3"/>
        </w:rPr>
        <w:t>slightly. </w:t>
      </w:r>
      <w:r>
        <w:rPr/>
        <w:t>Most other areas of consumer spending remained</w:t>
      </w:r>
      <w:r>
        <w:rPr>
          <w:spacing w:val="-11"/>
        </w:rPr>
        <w:t> </w:t>
      </w:r>
      <w:r>
        <w:rPr/>
        <w:t>robust.</w:t>
      </w:r>
    </w:p>
    <w:p>
      <w:pPr>
        <w:pStyle w:val="BodyText"/>
        <w:spacing w:before="5"/>
        <w:rPr>
          <w:sz w:val="22"/>
        </w:rPr>
      </w:pPr>
    </w:p>
    <w:p>
      <w:pPr>
        <w:pStyle w:val="Heading5"/>
        <w:numPr>
          <w:ilvl w:val="0"/>
          <w:numId w:val="44"/>
        </w:numPr>
        <w:tabs>
          <w:tab w:pos="645" w:val="left" w:leader="none"/>
          <w:tab w:pos="646" w:val="left" w:leader="none"/>
        </w:tabs>
        <w:spacing w:line="247" w:lineRule="auto" w:before="0" w:after="0"/>
        <w:ind w:left="645" w:right="331" w:hanging="480"/>
        <w:jc w:val="left"/>
      </w:pPr>
      <w:r>
        <w:rPr/>
        <w:t>Compared</w:t>
      </w:r>
      <w:r>
        <w:rPr>
          <w:spacing w:val="-8"/>
        </w:rPr>
        <w:t> </w:t>
      </w:r>
      <w:r>
        <w:rPr/>
        <w:t>with</w:t>
      </w:r>
      <w:r>
        <w:rPr>
          <w:spacing w:val="-7"/>
        </w:rPr>
        <w:t> </w:t>
      </w:r>
      <w:r>
        <w:rPr/>
        <w:t>the</w:t>
      </w:r>
      <w:r>
        <w:rPr>
          <w:spacing w:val="-7"/>
        </w:rPr>
        <w:t> </w:t>
      </w:r>
      <w:r>
        <w:rPr/>
        <w:t>previous</w:t>
      </w:r>
      <w:r>
        <w:rPr>
          <w:spacing w:val="-6"/>
        </w:rPr>
        <w:t> </w:t>
      </w:r>
      <w:r>
        <w:rPr>
          <w:i/>
        </w:rPr>
        <w:t>Agents’</w:t>
      </w:r>
      <w:r>
        <w:rPr>
          <w:i/>
          <w:spacing w:val="-28"/>
        </w:rPr>
        <w:t> </w:t>
      </w:r>
      <w:r>
        <w:rPr>
          <w:i/>
        </w:rPr>
        <w:t>Summary</w:t>
      </w:r>
      <w:r>
        <w:rPr/>
        <w:t>,</w:t>
      </w:r>
      <w:r>
        <w:rPr>
          <w:spacing w:val="-6"/>
        </w:rPr>
        <w:t> </w:t>
      </w:r>
      <w:r>
        <w:rPr/>
        <w:t>export</w:t>
      </w:r>
      <w:r>
        <w:rPr>
          <w:spacing w:val="-7"/>
        </w:rPr>
        <w:t> </w:t>
      </w:r>
      <w:r>
        <w:rPr/>
        <w:t>volume</w:t>
      </w:r>
      <w:r>
        <w:rPr>
          <w:spacing w:val="-7"/>
        </w:rPr>
        <w:t> </w:t>
      </w:r>
      <w:r>
        <w:rPr/>
        <w:t>growth</w:t>
      </w:r>
      <w:r>
        <w:rPr>
          <w:spacing w:val="-8"/>
        </w:rPr>
        <w:t> </w:t>
      </w:r>
      <w:r>
        <w:rPr/>
        <w:t>weakened</w:t>
      </w:r>
      <w:r>
        <w:rPr>
          <w:spacing w:val="-7"/>
        </w:rPr>
        <w:t> </w:t>
      </w:r>
      <w:r>
        <w:rPr/>
        <w:t>in</w:t>
      </w:r>
      <w:r>
        <w:rPr>
          <w:spacing w:val="-7"/>
        </w:rPr>
        <w:t> </w:t>
      </w:r>
      <w:r>
        <w:rPr/>
        <w:t>most</w:t>
      </w:r>
      <w:r>
        <w:rPr>
          <w:spacing w:val="-7"/>
        </w:rPr>
        <w:t> </w:t>
      </w:r>
      <w:r>
        <w:rPr/>
        <w:t>regions.</w:t>
      </w:r>
      <w:r>
        <w:rPr>
          <w:spacing w:val="39"/>
        </w:rPr>
        <w:t> </w:t>
      </w:r>
      <w:r>
        <w:rPr/>
        <w:t>The</w:t>
      </w:r>
      <w:r>
        <w:rPr>
          <w:spacing w:val="-17"/>
        </w:rPr>
        <w:t> </w:t>
      </w:r>
      <w:r>
        <w:rPr/>
        <w:t>Agents suggested that import growth remained stronger than reported in official</w:t>
      </w:r>
      <w:r>
        <w:rPr>
          <w:spacing w:val="-22"/>
        </w:rPr>
        <w:t> </w:t>
      </w:r>
      <w:r>
        <w:rPr/>
        <w:t>data.</w:t>
      </w:r>
    </w:p>
    <w:p>
      <w:pPr>
        <w:pStyle w:val="BodyText"/>
        <w:spacing w:before="6"/>
        <w:rPr>
          <w:sz w:val="22"/>
        </w:rPr>
      </w:pPr>
    </w:p>
    <w:p>
      <w:pPr>
        <w:pStyle w:val="Heading5"/>
        <w:numPr>
          <w:ilvl w:val="0"/>
          <w:numId w:val="44"/>
        </w:numPr>
        <w:tabs>
          <w:tab w:pos="646" w:val="left" w:leader="none"/>
        </w:tabs>
        <w:spacing w:line="247" w:lineRule="auto" w:before="0" w:after="0"/>
        <w:ind w:left="645" w:right="162" w:hanging="480"/>
        <w:jc w:val="both"/>
      </w:pPr>
      <w:r>
        <w:rPr/>
        <w:t>Investment</w:t>
      </w:r>
      <w:r>
        <w:rPr>
          <w:spacing w:val="-9"/>
        </w:rPr>
        <w:t> </w:t>
      </w:r>
      <w:r>
        <w:rPr/>
        <w:t>intentions</w:t>
      </w:r>
      <w:r>
        <w:rPr>
          <w:spacing w:val="-9"/>
        </w:rPr>
        <w:t> </w:t>
      </w:r>
      <w:r>
        <w:rPr/>
        <w:t>in</w:t>
      </w:r>
      <w:r>
        <w:rPr>
          <w:spacing w:val="-9"/>
        </w:rPr>
        <w:t> </w:t>
      </w:r>
      <w:r>
        <w:rPr/>
        <w:t>the</w:t>
      </w:r>
      <w:r>
        <w:rPr>
          <w:spacing w:val="-9"/>
        </w:rPr>
        <w:t> </w:t>
      </w:r>
      <w:r>
        <w:rPr/>
        <w:t>manufacturing</w:t>
      </w:r>
      <w:r>
        <w:rPr>
          <w:spacing w:val="-9"/>
        </w:rPr>
        <w:t> </w:t>
      </w:r>
      <w:r>
        <w:rPr/>
        <w:t>sector</w:t>
      </w:r>
      <w:r>
        <w:rPr>
          <w:spacing w:val="-9"/>
        </w:rPr>
        <w:t> </w:t>
      </w:r>
      <w:r>
        <w:rPr/>
        <w:t>deteriorated</w:t>
      </w:r>
      <w:r>
        <w:rPr>
          <w:spacing w:val="-9"/>
        </w:rPr>
        <w:t> </w:t>
      </w:r>
      <w:r>
        <w:rPr/>
        <w:t>further</w:t>
      </w:r>
      <w:r>
        <w:rPr>
          <w:spacing w:val="-9"/>
        </w:rPr>
        <w:t> </w:t>
      </w:r>
      <w:r>
        <w:rPr/>
        <w:t>in</w:t>
      </w:r>
      <w:r>
        <w:rPr>
          <w:spacing w:val="-8"/>
        </w:rPr>
        <w:t> </w:t>
      </w:r>
      <w:r>
        <w:rPr/>
        <w:t>most</w:t>
      </w:r>
      <w:r>
        <w:rPr>
          <w:spacing w:val="-9"/>
        </w:rPr>
        <w:t> </w:t>
      </w:r>
      <w:r>
        <w:rPr/>
        <w:t>regions—largely</w:t>
      </w:r>
      <w:r>
        <w:rPr>
          <w:spacing w:val="-9"/>
        </w:rPr>
        <w:t> </w:t>
      </w:r>
      <w:r>
        <w:rPr/>
        <w:t>reflecting</w:t>
      </w:r>
      <w:r>
        <w:rPr>
          <w:spacing w:val="-9"/>
        </w:rPr>
        <w:t> </w:t>
      </w:r>
      <w:r>
        <w:rPr/>
        <w:t>lower </w:t>
      </w:r>
      <w:r>
        <w:rPr>
          <w:spacing w:val="-3"/>
        </w:rPr>
        <w:t>profitability. </w:t>
      </w:r>
      <w:r>
        <w:rPr/>
        <w:t>By contrast, service sector investment remained strong. Significant IT investment was reported in both</w:t>
      </w:r>
      <w:r>
        <w:rPr>
          <w:spacing w:val="-2"/>
        </w:rPr>
        <w:t> </w:t>
      </w:r>
      <w:r>
        <w:rPr/>
        <w:t>sectors.</w:t>
      </w:r>
    </w:p>
    <w:p>
      <w:pPr>
        <w:pStyle w:val="BodyText"/>
        <w:spacing w:before="5"/>
        <w:rPr>
          <w:sz w:val="22"/>
        </w:rPr>
      </w:pPr>
    </w:p>
    <w:p>
      <w:pPr>
        <w:pStyle w:val="Heading5"/>
        <w:numPr>
          <w:ilvl w:val="0"/>
          <w:numId w:val="44"/>
        </w:numPr>
        <w:tabs>
          <w:tab w:pos="645" w:val="left" w:leader="none"/>
          <w:tab w:pos="646" w:val="left" w:leader="none"/>
        </w:tabs>
        <w:spacing w:line="247" w:lineRule="auto" w:before="1" w:after="0"/>
        <w:ind w:left="645" w:right="432" w:hanging="480"/>
        <w:jc w:val="left"/>
      </w:pPr>
      <w:r>
        <w:rPr/>
        <w:t>Input price inflation strengthened compared with the previous period, as earlier rises in the oil price fed through to related products. Although competitive pressures remained, there were increased reports of input price increases being passed up the supply chain. There continued to be little change in existing retail prices trends. But it was suggested that discounting during the summer ‘sales’ was heavier than last </w:t>
      </w:r>
      <w:r>
        <w:rPr>
          <w:spacing w:val="-4"/>
        </w:rPr>
        <w:t>year. </w:t>
      </w:r>
      <w:r>
        <w:rPr/>
        <w:t>House price inflation slowed </w:t>
      </w:r>
      <w:r>
        <w:rPr>
          <w:spacing w:val="-3"/>
        </w:rPr>
        <w:t>markedly, </w:t>
      </w:r>
      <w:r>
        <w:rPr/>
        <w:t>particularly in the southern regions of the United</w:t>
      </w:r>
      <w:r>
        <w:rPr>
          <w:spacing w:val="-28"/>
        </w:rPr>
        <w:t> </w:t>
      </w:r>
      <w:r>
        <w:rPr/>
        <w:t>Kingdom.</w:t>
      </w:r>
    </w:p>
    <w:p>
      <w:pPr>
        <w:pStyle w:val="BodyText"/>
        <w:spacing w:before="4"/>
        <w:rPr>
          <w:sz w:val="22"/>
        </w:rPr>
      </w:pPr>
    </w:p>
    <w:p>
      <w:pPr>
        <w:pStyle w:val="Heading5"/>
        <w:numPr>
          <w:ilvl w:val="0"/>
          <w:numId w:val="44"/>
        </w:numPr>
        <w:tabs>
          <w:tab w:pos="645" w:val="left" w:leader="none"/>
          <w:tab w:pos="646" w:val="left" w:leader="none"/>
        </w:tabs>
        <w:spacing w:line="247" w:lineRule="auto" w:before="0" w:after="0"/>
        <w:ind w:left="645" w:right="388" w:hanging="480"/>
        <w:jc w:val="left"/>
      </w:pPr>
      <w:r>
        <w:rPr/>
        <w:t>Recent pay settlements were similar to </w:t>
      </w:r>
      <w:r>
        <w:rPr>
          <w:spacing w:val="-3"/>
        </w:rPr>
        <w:t>levels </w:t>
      </w:r>
      <w:r>
        <w:rPr/>
        <w:t>three months ago, although there were reports of negotiations becoming more difficult. But pressures on the total pay bill varied considerably by sector—increasing in services and construction and slowing in manufacturing. Labour market conditions remained tight, but skill shortages were no worse than in the previous period. Earlier trends of declining manufacturing employment, alongside growth in construction and service sector employment,</w:t>
      </w:r>
      <w:r>
        <w:rPr>
          <w:spacing w:val="-16"/>
        </w:rPr>
        <w:t> </w:t>
      </w:r>
      <w:r>
        <w:rPr/>
        <w:t>continued.</w:t>
      </w:r>
    </w:p>
    <w:p>
      <w:pPr>
        <w:pStyle w:val="BodyText"/>
        <w:rPr>
          <w:sz w:val="20"/>
        </w:rPr>
      </w:pPr>
    </w:p>
    <w:p>
      <w:pPr>
        <w:pStyle w:val="BodyText"/>
        <w:spacing w:before="4"/>
        <w:rPr>
          <w:sz w:val="28"/>
        </w:rPr>
      </w:pPr>
      <w:r>
        <w:rPr/>
        <w:pict>
          <v:shape style="position:absolute;margin-left:39pt;margin-top:18.38187pt;width:517pt;height:.1pt;mso-position-horizontal-relative:page;mso-position-vertical-relative:paragraph;z-index:-15070208;mso-wrap-distance-left:0;mso-wrap-distance-right:0" coordorigin="780,368" coordsize="10340,0" path="m780,368l11120,368e" filled="false" stroked="true" strokeweight=".125pt" strokecolor="#000000">
            <v:path arrowok="t"/>
            <v:stroke dashstyle="solid"/>
            <w10:wrap type="topAndBottom"/>
          </v:shape>
        </w:pict>
      </w:r>
    </w:p>
    <w:p>
      <w:pPr>
        <w:spacing w:line="208" w:lineRule="auto" w:before="11"/>
        <w:ind w:left="415" w:right="395" w:hanging="240"/>
        <w:jc w:val="left"/>
        <w:rPr>
          <w:sz w:val="16"/>
        </w:rPr>
      </w:pPr>
      <w:r>
        <w:rPr>
          <w:sz w:val="16"/>
        </w:rPr>
        <w:t>(1) The Bank of England has Agencies for Central Southern England, the East Midlands, Greater London, the North East &amp; Cumbria, the North West, Northern Ireland, Scotland, the South East &amp; East Anglia, the South West, Wales, the West Midlands, and Yorkshire &amp; the Humber.</w:t>
      </w:r>
    </w:p>
    <w:p>
      <w:pPr>
        <w:spacing w:after="0" w:line="208" w:lineRule="auto"/>
        <w:jc w:val="left"/>
        <w:rPr>
          <w:sz w:val="16"/>
        </w:rPr>
        <w:sectPr>
          <w:type w:val="continuous"/>
          <w:pgSz w:w="11900" w:h="16840"/>
          <w:pgMar w:top="1260" w:bottom="280" w:left="640" w:right="640"/>
        </w:sectPr>
      </w:pPr>
    </w:p>
    <w:p>
      <w:pPr>
        <w:pStyle w:val="BodyText"/>
        <w:rPr>
          <w:sz w:val="20"/>
        </w:rPr>
      </w:pPr>
    </w:p>
    <w:p>
      <w:pPr>
        <w:spacing w:after="0"/>
        <w:rPr>
          <w:sz w:val="20"/>
        </w:rPr>
        <w:sectPr>
          <w:headerReference w:type="even" r:id="rId199"/>
          <w:pgSz w:w="11900" w:h="16840"/>
          <w:pgMar w:header="586" w:footer="592" w:top="780" w:bottom="780" w:left="640" w:right="640"/>
        </w:sectPr>
      </w:pPr>
    </w:p>
    <w:p>
      <w:pPr>
        <w:spacing w:before="233"/>
        <w:ind w:left="177" w:right="0" w:firstLine="0"/>
        <w:jc w:val="left"/>
        <w:rPr>
          <w:b/>
          <w:sz w:val="28"/>
        </w:rPr>
      </w:pPr>
      <w:r>
        <w:rPr>
          <w:b/>
          <w:color w:val="006CB4"/>
          <w:sz w:val="28"/>
        </w:rPr>
        <w:t>OUTPUT</w:t>
      </w:r>
    </w:p>
    <w:p>
      <w:pPr>
        <w:pStyle w:val="BodyText"/>
        <w:spacing w:before="10"/>
        <w:rPr>
          <w:b/>
          <w:sz w:val="25"/>
        </w:rPr>
      </w:pPr>
    </w:p>
    <w:p>
      <w:pPr>
        <w:spacing w:before="0"/>
        <w:ind w:left="177" w:right="0" w:firstLine="0"/>
        <w:jc w:val="left"/>
        <w:rPr>
          <w:i/>
          <w:sz w:val="28"/>
        </w:rPr>
      </w:pPr>
      <w:r>
        <w:rPr>
          <w:i/>
          <w:color w:val="006CB4"/>
          <w:sz w:val="28"/>
        </w:rPr>
        <w:t>Primary production</w:t>
      </w:r>
    </w:p>
    <w:p>
      <w:pPr>
        <w:pStyle w:val="Heading5"/>
        <w:spacing w:line="247" w:lineRule="auto" w:before="194"/>
        <w:ind w:left="177" w:right="34"/>
      </w:pPr>
      <w:r>
        <w:rPr/>
        <w:t>Agricultural sector output was reported to have broadly stabilised during the period. But farm incomes remained depressed. Dairy farming continued to be cited by many Agencies as one of the weakest sectors, reflecting considerable import penetration from continental Europe. Reports of farm consolidation (to achieve economies of scale) and business failures increased during the period. In addition, reports of agricultural weakness flowing through to ancillary firms persisted. However, there were indications from some contacts that confidence in the sector had improved following the recent sterling depreciation.</w:t>
      </w:r>
    </w:p>
    <w:p>
      <w:pPr>
        <w:pStyle w:val="BodyText"/>
        <w:rPr>
          <w:sz w:val="22"/>
        </w:rPr>
      </w:pPr>
    </w:p>
    <w:p>
      <w:pPr>
        <w:pStyle w:val="Heading5"/>
        <w:spacing w:line="247" w:lineRule="auto"/>
        <w:ind w:left="177" w:right="0"/>
      </w:pPr>
      <w:r>
        <w:rPr/>
        <w:t>Utilities output was reported to have increased during the period, mostly reflecting the cool and wet weather. The level of mining production was said to have been little changed from a year earlier.</w:t>
      </w:r>
    </w:p>
    <w:p>
      <w:pPr>
        <w:pStyle w:val="BodyText"/>
        <w:spacing w:before="6"/>
        <w:rPr>
          <w:sz w:val="24"/>
        </w:rPr>
      </w:pPr>
    </w:p>
    <w:p>
      <w:pPr>
        <w:spacing w:before="0"/>
        <w:ind w:left="177" w:right="0" w:firstLine="0"/>
        <w:jc w:val="left"/>
        <w:rPr>
          <w:i/>
          <w:sz w:val="28"/>
        </w:rPr>
      </w:pPr>
      <w:r>
        <w:rPr>
          <w:i/>
          <w:color w:val="006CB4"/>
          <w:sz w:val="28"/>
        </w:rPr>
        <w:t>Manufacturing</w:t>
      </w:r>
    </w:p>
    <w:p>
      <w:pPr>
        <w:pStyle w:val="Heading5"/>
        <w:spacing w:line="247" w:lineRule="auto" w:before="194"/>
        <w:ind w:left="177" w:right="38"/>
      </w:pPr>
      <w:r>
        <w:rPr/>
        <w:t>Reports suggested that manufacturing output growth continued to slow during the period in most regions. In particular, the recent </w:t>
      </w:r>
      <w:r>
        <w:rPr>
          <w:spacing w:val="-3"/>
        </w:rPr>
        <w:t>slowdown </w:t>
      </w:r>
      <w:r>
        <w:rPr/>
        <w:t>was said to </w:t>
      </w:r>
      <w:r>
        <w:rPr>
          <w:spacing w:val="-3"/>
        </w:rPr>
        <w:t>have </w:t>
      </w:r>
      <w:r>
        <w:rPr/>
        <w:t>largely reflected an easing in demand from domestic firms—exacerbated by the increasing trend of customers obtaining inputs from overseas firms. By contrast, export performance appeared to strengthen slightly in some regions </w:t>
      </w:r>
      <w:r>
        <w:rPr>
          <w:spacing w:val="-3"/>
        </w:rPr>
        <w:t>recently, </w:t>
      </w:r>
      <w:r>
        <w:rPr/>
        <w:t>reflecting buoyant international demand. The recent depreciation in sterling was reported to </w:t>
      </w:r>
      <w:r>
        <w:rPr>
          <w:spacing w:val="-3"/>
        </w:rPr>
        <w:t>have </w:t>
      </w:r>
      <w:r>
        <w:rPr/>
        <w:t>had little impact on orders or volumes so </w:t>
      </w:r>
      <w:r>
        <w:rPr>
          <w:spacing w:val="-4"/>
        </w:rPr>
        <w:t>far, </w:t>
      </w:r>
      <w:r>
        <w:rPr/>
        <w:t>reflecting the forward nature of most contracts (see Exports and</w:t>
      </w:r>
      <w:r>
        <w:rPr>
          <w:spacing w:val="-8"/>
        </w:rPr>
        <w:t> </w:t>
      </w:r>
      <w:r>
        <w:rPr/>
        <w:t>imports).</w:t>
      </w:r>
    </w:p>
    <w:p>
      <w:pPr>
        <w:pStyle w:val="BodyText"/>
        <w:spacing w:before="3"/>
        <w:rPr>
          <w:sz w:val="20"/>
        </w:rPr>
      </w:pPr>
    </w:p>
    <w:p>
      <w:pPr>
        <w:pStyle w:val="Heading5"/>
        <w:spacing w:line="247" w:lineRule="auto"/>
        <w:ind w:left="177" w:right="52"/>
      </w:pPr>
      <w:r>
        <w:rPr/>
        <w:t>Agencies continued to stress the diverse nature of manufacturing performance and, if anything, the divergence increased during the period. While most high value-added sectors, such as chemicals and telecommunications, continued to record strong growth, output weakened further in traditional manufacturing (for example textiles and parts of heavy engineering). The decline in production in these sectors highlights the increasing trend for standard production processes to be relocated to regions with lower</w:t>
      </w:r>
      <w:r>
        <w:rPr>
          <w:spacing w:val="-6"/>
        </w:rPr>
        <w:t> </w:t>
      </w:r>
      <w:r>
        <w:rPr/>
        <w:t>costs</w:t>
      </w:r>
      <w:r>
        <w:rPr>
          <w:spacing w:val="-6"/>
        </w:rPr>
        <w:t> </w:t>
      </w:r>
      <w:r>
        <w:rPr/>
        <w:t>(notably</w:t>
      </w:r>
      <w:r>
        <w:rPr>
          <w:spacing w:val="-6"/>
        </w:rPr>
        <w:t> </w:t>
      </w:r>
      <w:r>
        <w:rPr/>
        <w:t>for</w:t>
      </w:r>
      <w:r>
        <w:rPr>
          <w:spacing w:val="-6"/>
        </w:rPr>
        <w:t> </w:t>
      </w:r>
      <w:r>
        <w:rPr/>
        <w:t>labour)</w:t>
      </w:r>
      <w:r>
        <w:rPr>
          <w:spacing w:val="-6"/>
        </w:rPr>
        <w:t> </w:t>
      </w:r>
      <w:r>
        <w:rPr/>
        <w:t>such</w:t>
      </w:r>
      <w:r>
        <w:rPr>
          <w:spacing w:val="-6"/>
        </w:rPr>
        <w:t> </w:t>
      </w:r>
      <w:r>
        <w:rPr/>
        <w:t>as</w:t>
      </w:r>
      <w:r>
        <w:rPr>
          <w:spacing w:val="-6"/>
        </w:rPr>
        <w:t> </w:t>
      </w:r>
      <w:r>
        <w:rPr/>
        <w:t>Eastern</w:t>
      </w:r>
      <w:r>
        <w:rPr>
          <w:spacing w:val="-6"/>
        </w:rPr>
        <w:t> </w:t>
      </w:r>
      <w:r>
        <w:rPr/>
        <w:t>Europe and</w:t>
      </w:r>
      <w:r>
        <w:rPr>
          <w:spacing w:val="-14"/>
        </w:rPr>
        <w:t> </w:t>
      </w:r>
      <w:r>
        <w:rPr/>
        <w:t>Asia.</w:t>
      </w:r>
    </w:p>
    <w:p>
      <w:pPr>
        <w:pStyle w:val="BodyText"/>
        <w:spacing w:before="1"/>
        <w:rPr>
          <w:sz w:val="24"/>
        </w:rPr>
      </w:pPr>
    </w:p>
    <w:p>
      <w:pPr>
        <w:spacing w:before="1"/>
        <w:ind w:left="177" w:right="0" w:firstLine="0"/>
        <w:jc w:val="left"/>
        <w:rPr>
          <w:i/>
          <w:sz w:val="28"/>
        </w:rPr>
      </w:pPr>
      <w:r>
        <w:rPr>
          <w:i/>
          <w:color w:val="006CB4"/>
          <w:sz w:val="28"/>
        </w:rPr>
        <w:t>Construction and housing</w:t>
      </w:r>
    </w:p>
    <w:p>
      <w:pPr>
        <w:pStyle w:val="Heading5"/>
        <w:spacing w:line="247" w:lineRule="auto" w:before="194"/>
        <w:ind w:left="177" w:right="52"/>
      </w:pPr>
      <w:r>
        <w:rPr/>
        <w:t>Overall, construction growth was reported to have eased during the period in most regions—reflecting a slowdown in residential construction activity. This was</w:t>
      </w:r>
    </w:p>
    <w:p>
      <w:pPr>
        <w:pStyle w:val="BodyText"/>
        <w:spacing w:before="5"/>
        <w:rPr>
          <w:sz w:val="21"/>
        </w:rPr>
      </w:pPr>
      <w:r>
        <w:rPr/>
        <w:br w:type="column"/>
      </w:r>
      <w:r>
        <w:rPr>
          <w:sz w:val="21"/>
        </w:rPr>
      </w:r>
    </w:p>
    <w:p>
      <w:pPr>
        <w:pStyle w:val="Heading5"/>
        <w:spacing w:line="247" w:lineRule="auto"/>
        <w:ind w:left="177"/>
      </w:pPr>
      <w:r>
        <w:rPr/>
        <w:t>particularly noticeable in the southern regions of the United Kingdom. As well as reported supply-side constraints (for example land availability, planning delays and skill shortages), caution regarding the high level of house prices resulted in an easing in demand. Some contacts reported fewer site visits and increased cancellations of reservations.</w:t>
      </w:r>
    </w:p>
    <w:p>
      <w:pPr>
        <w:pStyle w:val="BodyText"/>
        <w:spacing w:before="6"/>
        <w:rPr>
          <w:sz w:val="20"/>
        </w:rPr>
      </w:pPr>
    </w:p>
    <w:p>
      <w:pPr>
        <w:pStyle w:val="Heading5"/>
        <w:spacing w:line="247" w:lineRule="auto"/>
        <w:ind w:left="177"/>
      </w:pPr>
      <w:r>
        <w:rPr/>
        <w:t>By contrast, growth in commercial construction was said to have been maintained, with greater strength in some regions. Commercial construction activity remained strongest in the retail and leisure sectors— although capacity constraints (for example office space) in professional services also boosted demand. Public construction activity appeared to have remained strong in most regions. But a further slowing in construction of industrial buildings was noted.</w:t>
      </w:r>
    </w:p>
    <w:p>
      <w:pPr>
        <w:pStyle w:val="BodyText"/>
        <w:rPr>
          <w:sz w:val="26"/>
        </w:rPr>
      </w:pPr>
    </w:p>
    <w:p>
      <w:pPr>
        <w:spacing w:before="0"/>
        <w:ind w:left="177" w:right="0" w:firstLine="0"/>
        <w:jc w:val="left"/>
        <w:rPr>
          <w:i/>
          <w:sz w:val="28"/>
        </w:rPr>
      </w:pPr>
      <w:r>
        <w:rPr>
          <w:i/>
          <w:color w:val="006CB4"/>
          <w:sz w:val="28"/>
        </w:rPr>
        <w:t>Services</w:t>
      </w:r>
    </w:p>
    <w:p>
      <w:pPr>
        <w:pStyle w:val="Heading5"/>
        <w:spacing w:line="247" w:lineRule="auto" w:before="194"/>
        <w:ind w:left="177"/>
      </w:pPr>
      <w:r>
        <w:rPr/>
        <w:t>Although service sector growth was reported to have remained strong in almost all regions, an easing was noted towards the end of the period—particularly in consumer services. Most areas of business services continued to record robust growth—particularly professional services. IT activity, which had slowed following the build-up to Y2K, appeared to pick up again recently. In addition, the increased use of temporary and contract labour boosted demand for employment agency services. It was noted that growth in some areas of business services was the result of many manufacturing firms trying to reduce overheads by outsourcing. But Agencies suggested that a downturn had occurred in transport services (notably road haulage), as a result of strong price competition from continental Europe. And capacity constraints in many professional services firms (notably from skill shortages—see Employment) resulted in some easing in output growth.</w:t>
      </w:r>
    </w:p>
    <w:p>
      <w:pPr>
        <w:pStyle w:val="BodyText"/>
        <w:spacing w:before="11"/>
        <w:rPr>
          <w:sz w:val="19"/>
        </w:rPr>
      </w:pPr>
    </w:p>
    <w:p>
      <w:pPr>
        <w:pStyle w:val="Heading5"/>
        <w:spacing w:line="247" w:lineRule="auto"/>
        <w:ind w:left="177" w:right="157"/>
      </w:pPr>
      <w:r>
        <w:rPr/>
        <w:t>The slowing in consumer services during the period was relatively more marked. One area of clear slowing was domestic tourism. Lower turnover was reported by many UK tourist attractions and other related services (for example hotels). But the pace of activity in most other areas of leisure services remained strong.</w:t>
      </w:r>
    </w:p>
    <w:p>
      <w:pPr>
        <w:pStyle w:val="BodyText"/>
        <w:spacing w:before="4"/>
        <w:rPr>
          <w:sz w:val="24"/>
        </w:rPr>
      </w:pPr>
    </w:p>
    <w:p>
      <w:pPr>
        <w:spacing w:before="0"/>
        <w:ind w:left="177" w:right="0" w:firstLine="0"/>
        <w:jc w:val="left"/>
        <w:rPr>
          <w:b/>
          <w:sz w:val="28"/>
        </w:rPr>
      </w:pPr>
      <w:r>
        <w:rPr>
          <w:b/>
          <w:color w:val="006CB4"/>
          <w:sz w:val="28"/>
        </w:rPr>
        <w:t>DEMAND</w:t>
      </w:r>
    </w:p>
    <w:p>
      <w:pPr>
        <w:pStyle w:val="BodyText"/>
        <w:spacing w:before="2"/>
        <w:rPr>
          <w:b/>
          <w:sz w:val="24"/>
        </w:rPr>
      </w:pPr>
    </w:p>
    <w:p>
      <w:pPr>
        <w:spacing w:before="1"/>
        <w:ind w:left="177" w:right="0" w:firstLine="0"/>
        <w:jc w:val="left"/>
        <w:rPr>
          <w:i/>
          <w:sz w:val="28"/>
        </w:rPr>
      </w:pPr>
      <w:r>
        <w:rPr>
          <w:i/>
          <w:color w:val="006CB4"/>
          <w:sz w:val="28"/>
        </w:rPr>
        <w:t>Consumption</w:t>
      </w:r>
    </w:p>
    <w:p>
      <w:pPr>
        <w:pStyle w:val="Heading5"/>
        <w:spacing w:line="247" w:lineRule="auto" w:before="194"/>
        <w:ind w:left="177"/>
      </w:pPr>
      <w:r>
        <w:rPr/>
        <w:t>On balance, the Agents suggested that annual retail sales value growth eased slightly over the period. Growth remained strongest for household goods (particularly electronics and telecommunications). But</w:t>
      </w:r>
    </w:p>
    <w:p>
      <w:pPr>
        <w:spacing w:after="0" w:line="247" w:lineRule="auto"/>
        <w:sectPr>
          <w:type w:val="continuous"/>
          <w:pgSz w:w="11900" w:h="16840"/>
          <w:pgMar w:top="1260" w:bottom="280" w:left="640" w:right="640"/>
          <w:cols w:num="2" w:equalWidth="0">
            <w:col w:w="5113" w:space="270"/>
            <w:col w:w="5237"/>
          </w:cols>
        </w:sectPr>
      </w:pPr>
    </w:p>
    <w:p>
      <w:pPr>
        <w:spacing w:before="82" w:after="12"/>
        <w:ind w:left="0" w:right="137" w:firstLine="0"/>
        <w:jc w:val="right"/>
        <w:rPr>
          <w:i/>
          <w:sz w:val="16"/>
        </w:rPr>
      </w:pPr>
      <w:r>
        <w:rPr>
          <w:i/>
          <w:sz w:val="16"/>
        </w:rPr>
        <w:t>Agents’ summary of business conditions</w:t>
      </w:r>
    </w:p>
    <w:p>
      <w:pPr>
        <w:pStyle w:val="BodyText"/>
        <w:spacing w:line="20" w:lineRule="exact"/>
        <w:ind w:left="143"/>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rPr>
          <w:i/>
          <w:sz w:val="20"/>
        </w:rPr>
      </w:pPr>
    </w:p>
    <w:p>
      <w:pPr>
        <w:spacing w:after="0"/>
        <w:rPr>
          <w:sz w:val="20"/>
        </w:rPr>
        <w:sectPr>
          <w:headerReference w:type="default" r:id="rId200"/>
          <w:pgSz w:w="11900" w:h="16840"/>
          <w:pgMar w:header="0" w:footer="612" w:top="520" w:bottom="800" w:left="640" w:right="640"/>
        </w:sectPr>
      </w:pPr>
    </w:p>
    <w:p>
      <w:pPr>
        <w:pStyle w:val="Heading5"/>
        <w:spacing w:line="247" w:lineRule="auto" w:before="215"/>
        <w:ind w:right="142"/>
      </w:pPr>
      <w:r>
        <w:rPr/>
        <w:t>although value growth eased only slightly, it appeared that volume growth picked up recently as a result of earlier-than-usual summer ‘sales’. Many retailers reported that the discounts were necessary to move higher-than-normal stocks (particularly for clothing), which had built up due to the poor weather.</w:t>
      </w:r>
    </w:p>
    <w:p>
      <w:pPr>
        <w:pStyle w:val="BodyText"/>
        <w:spacing w:before="4"/>
        <w:rPr>
          <w:sz w:val="22"/>
        </w:rPr>
      </w:pPr>
    </w:p>
    <w:p>
      <w:pPr>
        <w:pStyle w:val="Heading5"/>
        <w:spacing w:line="247" w:lineRule="auto"/>
        <w:ind w:right="35"/>
      </w:pPr>
      <w:r>
        <w:rPr/>
        <w:t>Other areas of consumer spending remained strong during the period. For example, growth in leisure spending appeared to be maintained. In addition, many Agencies noted a pick-up in spending on foreign holidays. However, this had been offset somewhat by lower spending on UK holidays—said to be the combined result of the high level of sterling and poor weather. Many Agencies (particularly those reporting a significant slowing in manufacturing) reported a deterioration in overall consumer confidence recently—as consumers expect to spend more on petrol and mortgage repayments.</w:t>
      </w:r>
    </w:p>
    <w:p>
      <w:pPr>
        <w:pStyle w:val="BodyText"/>
        <w:rPr>
          <w:sz w:val="22"/>
        </w:rPr>
      </w:pPr>
    </w:p>
    <w:p>
      <w:pPr>
        <w:pStyle w:val="Heading5"/>
        <w:spacing w:line="247" w:lineRule="auto"/>
        <w:ind w:right="11"/>
      </w:pPr>
      <w:r>
        <w:rPr/>
        <w:t>New car sales to individuals remained depressed during the period, although there was some evidence of a</w:t>
      </w:r>
    </w:p>
    <w:p>
      <w:pPr>
        <w:pStyle w:val="Heading5"/>
        <w:spacing w:line="247" w:lineRule="auto"/>
        <w:ind w:right="137"/>
      </w:pPr>
      <w:r>
        <w:rPr/>
        <w:t>pick-up in volumes during a period of stock clearance by dealers. But many contacts believe that significant pent-up demand exists, which may result in a rebound in future sales. There had been little evidence of any improvement in used car sales.</w:t>
      </w:r>
    </w:p>
    <w:p>
      <w:pPr>
        <w:pStyle w:val="BodyText"/>
        <w:spacing w:before="9"/>
        <w:rPr>
          <w:sz w:val="27"/>
        </w:rPr>
      </w:pPr>
    </w:p>
    <w:p>
      <w:pPr>
        <w:spacing w:before="0"/>
        <w:ind w:left="182" w:right="0" w:firstLine="0"/>
        <w:jc w:val="left"/>
        <w:rPr>
          <w:i/>
          <w:sz w:val="28"/>
        </w:rPr>
      </w:pPr>
      <w:r>
        <w:rPr>
          <w:i/>
          <w:color w:val="006CB4"/>
          <w:sz w:val="28"/>
        </w:rPr>
        <w:t>Exports and imports</w:t>
      </w:r>
    </w:p>
    <w:p>
      <w:pPr>
        <w:pStyle w:val="Heading5"/>
        <w:spacing w:line="247" w:lineRule="auto" w:before="195"/>
        <w:ind w:right="124"/>
      </w:pPr>
      <w:r>
        <w:rPr/>
        <w:t>Compared with the previous </w:t>
      </w:r>
      <w:r>
        <w:rPr>
          <w:i/>
        </w:rPr>
        <w:t>Agents’ Summary</w:t>
      </w:r>
      <w:r>
        <w:rPr/>
        <w:t>, export volume growth weakened in most regions. </w:t>
      </w:r>
      <w:r>
        <w:rPr>
          <w:spacing w:val="-4"/>
        </w:rPr>
        <w:t>However, </w:t>
      </w:r>
      <w:r>
        <w:rPr/>
        <w:t>an improvement in export demand was reported in recent weeks in some regions. The recent improvement</w:t>
      </w:r>
      <w:r>
        <w:rPr>
          <w:spacing w:val="-7"/>
        </w:rPr>
        <w:t> </w:t>
      </w:r>
      <w:r>
        <w:rPr/>
        <w:t>was</w:t>
      </w:r>
      <w:r>
        <w:rPr>
          <w:spacing w:val="-6"/>
        </w:rPr>
        <w:t> </w:t>
      </w:r>
      <w:r>
        <w:rPr/>
        <w:t>said</w:t>
      </w:r>
      <w:r>
        <w:rPr>
          <w:spacing w:val="-6"/>
        </w:rPr>
        <w:t> </w:t>
      </w:r>
      <w:r>
        <w:rPr/>
        <w:t>to</w:t>
      </w:r>
      <w:r>
        <w:rPr>
          <w:spacing w:val="-6"/>
        </w:rPr>
        <w:t> </w:t>
      </w:r>
      <w:r>
        <w:rPr/>
        <w:t>be</w:t>
      </w:r>
      <w:r>
        <w:rPr>
          <w:spacing w:val="-6"/>
        </w:rPr>
        <w:t> </w:t>
      </w:r>
      <w:r>
        <w:rPr/>
        <w:t>the</w:t>
      </w:r>
      <w:r>
        <w:rPr>
          <w:spacing w:val="-7"/>
        </w:rPr>
        <w:t> </w:t>
      </w:r>
      <w:r>
        <w:rPr/>
        <w:t>result</w:t>
      </w:r>
      <w:r>
        <w:rPr>
          <w:spacing w:val="-6"/>
        </w:rPr>
        <w:t> </w:t>
      </w:r>
      <w:r>
        <w:rPr/>
        <w:t>of</w:t>
      </w:r>
      <w:r>
        <w:rPr>
          <w:spacing w:val="-6"/>
        </w:rPr>
        <w:t> </w:t>
      </w:r>
      <w:r>
        <w:rPr/>
        <w:t>strengthening external demand, rather than a product of the recent depreciation. </w:t>
      </w:r>
      <w:r>
        <w:rPr>
          <w:spacing w:val="-9"/>
        </w:rPr>
        <w:t>To </w:t>
      </w:r>
      <w:r>
        <w:rPr/>
        <w:t>date, the depreciation was said to </w:t>
      </w:r>
      <w:r>
        <w:rPr>
          <w:spacing w:val="-3"/>
        </w:rPr>
        <w:t>have </w:t>
      </w:r>
      <w:r>
        <w:rPr/>
        <w:t>had little impact on orders </w:t>
      </w:r>
      <w:r>
        <w:rPr>
          <w:spacing w:val="-3"/>
        </w:rPr>
        <w:t>(given </w:t>
      </w:r>
      <w:r>
        <w:rPr/>
        <w:t>contacts’ views that the exchange rate will only affect volumes in the medium to longer term). Due to the </w:t>
      </w:r>
      <w:r>
        <w:rPr>
          <w:spacing w:val="-3"/>
        </w:rPr>
        <w:t>fixed </w:t>
      </w:r>
      <w:r>
        <w:rPr/>
        <w:t>nature of many export contracts, any impact was seen in higher margins. But generally the </w:t>
      </w:r>
      <w:r>
        <w:rPr>
          <w:spacing w:val="-3"/>
        </w:rPr>
        <w:t>level </w:t>
      </w:r>
      <w:r>
        <w:rPr/>
        <w:t>of sterling was still a concern for most manufacturing</w:t>
      </w:r>
      <w:r>
        <w:rPr>
          <w:spacing w:val="-9"/>
        </w:rPr>
        <w:t> </w:t>
      </w:r>
      <w:r>
        <w:rPr/>
        <w:t>firms.</w:t>
      </w:r>
    </w:p>
    <w:p>
      <w:pPr>
        <w:pStyle w:val="BodyText"/>
        <w:spacing w:before="7"/>
        <w:rPr>
          <w:sz w:val="23"/>
        </w:rPr>
      </w:pPr>
    </w:p>
    <w:p>
      <w:pPr>
        <w:pStyle w:val="Heading5"/>
        <w:spacing w:line="247" w:lineRule="auto" w:before="1"/>
        <w:ind w:right="35"/>
      </w:pPr>
      <w:r>
        <w:rPr/>
        <w:t>Export volumes to the European Union are reported to have improved recently in some regions.</w:t>
      </w:r>
    </w:p>
    <w:p>
      <w:pPr>
        <w:pStyle w:val="Heading5"/>
        <w:spacing w:line="247" w:lineRule="auto"/>
        <w:ind w:right="142"/>
      </w:pPr>
      <w:r>
        <w:rPr/>
        <w:t>Improvements in demand from France and Germany were most commonly cited. Asia was also reported to have improved further as an export market.</w:t>
      </w:r>
    </w:p>
    <w:p>
      <w:pPr>
        <w:pStyle w:val="BodyText"/>
        <w:spacing w:before="1"/>
        <w:rPr>
          <w:sz w:val="24"/>
        </w:rPr>
      </w:pPr>
    </w:p>
    <w:p>
      <w:pPr>
        <w:pStyle w:val="Heading5"/>
        <w:spacing w:line="247" w:lineRule="auto"/>
        <w:ind w:right="35"/>
      </w:pPr>
      <w:r>
        <w:rPr/>
        <w:t>Import growth remained strong during the period— much stronger than suggested by official data. Firms continued to increase purchases of relatively cheap overseas materials to alleviate margin pressures. While reports of these practices have existed for some time,</w:t>
      </w:r>
    </w:p>
    <w:p>
      <w:pPr>
        <w:pStyle w:val="Heading5"/>
        <w:spacing w:line="247" w:lineRule="auto" w:before="215"/>
        <w:ind w:right="267"/>
        <w:jc w:val="both"/>
      </w:pPr>
      <w:r>
        <w:rPr/>
        <w:br w:type="column"/>
      </w:r>
      <w:r>
        <w:rPr/>
        <w:t>many</w:t>
      </w:r>
      <w:r>
        <w:rPr>
          <w:spacing w:val="-19"/>
        </w:rPr>
        <w:t> </w:t>
      </w:r>
      <w:r>
        <w:rPr/>
        <w:t>Agencies</w:t>
      </w:r>
      <w:r>
        <w:rPr>
          <w:spacing w:val="-7"/>
        </w:rPr>
        <w:t> </w:t>
      </w:r>
      <w:r>
        <w:rPr/>
        <w:t>suggested</w:t>
      </w:r>
      <w:r>
        <w:rPr>
          <w:spacing w:val="-7"/>
        </w:rPr>
        <w:t> </w:t>
      </w:r>
      <w:r>
        <w:rPr/>
        <w:t>that</w:t>
      </w:r>
      <w:r>
        <w:rPr>
          <w:spacing w:val="-8"/>
        </w:rPr>
        <w:t> </w:t>
      </w:r>
      <w:r>
        <w:rPr/>
        <w:t>retailers</w:t>
      </w:r>
      <w:r>
        <w:rPr>
          <w:spacing w:val="-7"/>
        </w:rPr>
        <w:t> </w:t>
      </w:r>
      <w:r>
        <w:rPr/>
        <w:t>and</w:t>
      </w:r>
      <w:r>
        <w:rPr>
          <w:spacing w:val="-8"/>
        </w:rPr>
        <w:t> </w:t>
      </w:r>
      <w:r>
        <w:rPr/>
        <w:t>consumers </w:t>
      </w:r>
      <w:r>
        <w:rPr>
          <w:spacing w:val="-3"/>
        </w:rPr>
        <w:t>have now </w:t>
      </w:r>
      <w:r>
        <w:rPr/>
        <w:t>also begun to source more products directly from overseas</w:t>
      </w:r>
      <w:r>
        <w:rPr>
          <w:spacing w:val="-4"/>
        </w:rPr>
        <w:t> </w:t>
      </w:r>
      <w:r>
        <w:rPr/>
        <w:t>suppliers.</w:t>
      </w:r>
    </w:p>
    <w:p>
      <w:pPr>
        <w:pStyle w:val="BodyText"/>
        <w:spacing w:before="3"/>
        <w:rPr>
          <w:sz w:val="26"/>
        </w:rPr>
      </w:pPr>
    </w:p>
    <w:p>
      <w:pPr>
        <w:spacing w:before="0"/>
        <w:ind w:left="182" w:right="0" w:firstLine="0"/>
        <w:jc w:val="left"/>
        <w:rPr>
          <w:i/>
          <w:sz w:val="28"/>
        </w:rPr>
      </w:pPr>
      <w:r>
        <w:rPr>
          <w:i/>
          <w:color w:val="006CB4"/>
          <w:sz w:val="28"/>
        </w:rPr>
        <w:t>Investment</w:t>
      </w:r>
    </w:p>
    <w:p>
      <w:pPr>
        <w:pStyle w:val="Heading5"/>
        <w:spacing w:line="247" w:lineRule="auto" w:before="194"/>
        <w:ind w:right="178"/>
      </w:pPr>
      <w:r>
        <w:rPr/>
        <w:t>Investment intentions in the manufacturing sector deteriorated further during the period—mostly reflecting lower profitability. Where investment has taken place, it is mostly to improve productivity rather than to expand capacity. Moreover, any investment has tended to be limited to high value-added production technology, as routine processes continue to be relocated overseas.</w:t>
      </w:r>
    </w:p>
    <w:p>
      <w:pPr>
        <w:pStyle w:val="BodyText"/>
        <w:spacing w:before="3"/>
        <w:rPr>
          <w:sz w:val="22"/>
        </w:rPr>
      </w:pPr>
    </w:p>
    <w:p>
      <w:pPr>
        <w:pStyle w:val="Heading5"/>
        <w:spacing w:line="247" w:lineRule="auto"/>
        <w:ind w:right="227"/>
      </w:pPr>
      <w:r>
        <w:rPr/>
        <w:t>Service sector investment remained strong during the period, although a slight easing was reported in some regions. Firms reportedly </w:t>
      </w:r>
      <w:r>
        <w:rPr>
          <w:spacing w:val="-3"/>
        </w:rPr>
        <w:t>invested </w:t>
      </w:r>
      <w:r>
        <w:rPr/>
        <w:t>heavily in </w:t>
      </w:r>
      <w:r>
        <w:rPr>
          <w:spacing w:val="-3"/>
        </w:rPr>
        <w:t>new office </w:t>
      </w:r>
      <w:r>
        <w:rPr/>
        <w:t>space and leisure facilities. But there were some suggestions of an easing in retail investment. IT investment (particularly developing e-commerce) had strengthened again more recently in many</w:t>
      </w:r>
      <w:r>
        <w:rPr>
          <w:spacing w:val="-25"/>
        </w:rPr>
        <w:t> </w:t>
      </w:r>
      <w:r>
        <w:rPr/>
        <w:t>regions.</w:t>
      </w:r>
    </w:p>
    <w:p>
      <w:pPr>
        <w:pStyle w:val="BodyText"/>
        <w:spacing w:before="1"/>
        <w:rPr>
          <w:sz w:val="26"/>
        </w:rPr>
      </w:pPr>
    </w:p>
    <w:p>
      <w:pPr>
        <w:spacing w:before="0"/>
        <w:ind w:left="182" w:right="0" w:firstLine="0"/>
        <w:jc w:val="left"/>
        <w:rPr>
          <w:b/>
          <w:sz w:val="28"/>
        </w:rPr>
      </w:pPr>
      <w:r>
        <w:rPr>
          <w:b/>
          <w:color w:val="006CB4"/>
          <w:sz w:val="28"/>
        </w:rPr>
        <w:t>EMPLOYMENT</w:t>
      </w:r>
    </w:p>
    <w:p>
      <w:pPr>
        <w:pStyle w:val="Heading5"/>
        <w:spacing w:line="247" w:lineRule="auto" w:before="214"/>
        <w:ind w:right="171"/>
      </w:pPr>
      <w:r>
        <w:rPr/>
        <w:t>The labour market picture remained similar to the previous </w:t>
      </w:r>
      <w:r>
        <w:rPr>
          <w:i/>
        </w:rPr>
        <w:t>Agents’ Summary</w:t>
      </w:r>
      <w:r>
        <w:rPr/>
        <w:t>. While conditions remained tight (particularly in the southern regions), the incidence of skill shortages remained broadly unchanged in recent months. Skill shortages continued to be reported in construction, engineering, managerial and professional positions.</w:t>
      </w:r>
    </w:p>
    <w:p>
      <w:pPr>
        <w:pStyle w:val="BodyText"/>
        <w:spacing w:before="3"/>
        <w:rPr>
          <w:sz w:val="22"/>
        </w:rPr>
      </w:pPr>
    </w:p>
    <w:p>
      <w:pPr>
        <w:pStyle w:val="Heading5"/>
        <w:spacing w:line="247" w:lineRule="auto"/>
      </w:pPr>
      <w:r>
        <w:rPr/>
        <w:t>Earlier</w:t>
      </w:r>
      <w:r>
        <w:rPr>
          <w:spacing w:val="-9"/>
        </w:rPr>
        <w:t> </w:t>
      </w:r>
      <w:r>
        <w:rPr/>
        <w:t>trends</w:t>
      </w:r>
      <w:r>
        <w:rPr>
          <w:spacing w:val="-9"/>
        </w:rPr>
        <w:t> </w:t>
      </w:r>
      <w:r>
        <w:rPr/>
        <w:t>of</w:t>
      </w:r>
      <w:r>
        <w:rPr>
          <w:spacing w:val="-9"/>
        </w:rPr>
        <w:t> </w:t>
      </w:r>
      <w:r>
        <w:rPr/>
        <w:t>declining</w:t>
      </w:r>
      <w:r>
        <w:rPr>
          <w:spacing w:val="-9"/>
        </w:rPr>
        <w:t> </w:t>
      </w:r>
      <w:r>
        <w:rPr/>
        <w:t>manufacturing</w:t>
      </w:r>
      <w:r>
        <w:rPr>
          <w:spacing w:val="-9"/>
        </w:rPr>
        <w:t> </w:t>
      </w:r>
      <w:r>
        <w:rPr/>
        <w:t>employment, alongside growth in construction and service sector employment, continued. There was little evidence to suggest</w:t>
      </w:r>
      <w:r>
        <w:rPr>
          <w:spacing w:val="-6"/>
        </w:rPr>
        <w:t> </w:t>
      </w:r>
      <w:r>
        <w:rPr/>
        <w:t>any</w:t>
      </w:r>
      <w:r>
        <w:rPr>
          <w:spacing w:val="-6"/>
        </w:rPr>
        <w:t> </w:t>
      </w:r>
      <w:r>
        <w:rPr/>
        <w:t>change</w:t>
      </w:r>
      <w:r>
        <w:rPr>
          <w:spacing w:val="-6"/>
        </w:rPr>
        <w:t> </w:t>
      </w:r>
      <w:r>
        <w:rPr/>
        <w:t>in</w:t>
      </w:r>
      <w:r>
        <w:rPr>
          <w:spacing w:val="-5"/>
        </w:rPr>
        <w:t> </w:t>
      </w:r>
      <w:r>
        <w:rPr/>
        <w:t>the</w:t>
      </w:r>
      <w:r>
        <w:rPr>
          <w:spacing w:val="-6"/>
        </w:rPr>
        <w:t> </w:t>
      </w:r>
      <w:r>
        <w:rPr/>
        <w:t>pace</w:t>
      </w:r>
      <w:r>
        <w:rPr>
          <w:spacing w:val="-6"/>
        </w:rPr>
        <w:t> </w:t>
      </w:r>
      <w:r>
        <w:rPr/>
        <w:t>of</w:t>
      </w:r>
      <w:r>
        <w:rPr>
          <w:spacing w:val="-6"/>
        </w:rPr>
        <w:t> </w:t>
      </w:r>
      <w:r>
        <w:rPr/>
        <w:t>sectoral</w:t>
      </w:r>
      <w:r>
        <w:rPr>
          <w:spacing w:val="-5"/>
        </w:rPr>
        <w:t> </w:t>
      </w:r>
      <w:r>
        <w:rPr/>
        <w:t>employment growth during the period. </w:t>
      </w:r>
      <w:r>
        <w:rPr>
          <w:spacing w:val="-3"/>
        </w:rPr>
        <w:t>Within </w:t>
      </w:r>
      <w:r>
        <w:rPr/>
        <w:t>the manufacturing sector, there appeared to be great diversity in performance. Most sectors continued to shed staff, although some strong-growth sectors increased their employment levels. Many manufacturing firms indicated that </w:t>
      </w:r>
      <w:r>
        <w:rPr>
          <w:spacing w:val="-3"/>
        </w:rPr>
        <w:t>even </w:t>
      </w:r>
      <w:r>
        <w:rPr/>
        <w:t>if output was increasing, productivity improvements meant that they were unlikely to increase staff numbers. In addition, there were further reports of the increased use</w:t>
      </w:r>
      <w:r>
        <w:rPr>
          <w:spacing w:val="-15"/>
        </w:rPr>
        <w:t> </w:t>
      </w:r>
      <w:r>
        <w:rPr/>
        <w:t>of</w:t>
      </w:r>
    </w:p>
    <w:p>
      <w:pPr>
        <w:pStyle w:val="Heading5"/>
        <w:spacing w:line="246" w:lineRule="exact"/>
        <w:ind w:right="0"/>
      </w:pPr>
      <w:r>
        <w:rPr/>
        <w:t>part-time and temporary staff in the</w:t>
      </w:r>
      <w:r>
        <w:rPr>
          <w:spacing w:val="-33"/>
        </w:rPr>
        <w:t> </w:t>
      </w:r>
      <w:r>
        <w:rPr>
          <w:spacing w:val="-3"/>
        </w:rPr>
        <w:t>sector.</w:t>
      </w:r>
    </w:p>
    <w:p>
      <w:pPr>
        <w:pStyle w:val="BodyText"/>
        <w:spacing w:before="2"/>
        <w:rPr>
          <w:sz w:val="23"/>
        </w:rPr>
      </w:pPr>
    </w:p>
    <w:p>
      <w:pPr>
        <w:pStyle w:val="Heading5"/>
        <w:spacing w:line="247" w:lineRule="auto" w:before="1"/>
      </w:pPr>
      <w:r>
        <w:rPr/>
        <w:t>Growth in the services and construction sectors continued, but appeared to be constrained by the limited availability of suitably skilled labour. Strong demand was said to have resulted in a rise in</w:t>
      </w:r>
    </w:p>
    <w:p>
      <w:pPr>
        <w:pStyle w:val="Heading5"/>
        <w:spacing w:line="247" w:lineRule="auto"/>
        <w:ind w:right="214"/>
      </w:pPr>
      <w:r>
        <w:rPr/>
        <w:t>call-centre employment creation. However, it was noted that this was partly offset by the displacement of employees in other areas.</w:t>
      </w:r>
    </w:p>
    <w:p>
      <w:pPr>
        <w:spacing w:after="0" w:line="247" w:lineRule="auto"/>
        <w:sectPr>
          <w:type w:val="continuous"/>
          <w:pgSz w:w="11900" w:h="16840"/>
          <w:pgMar w:top="1260" w:bottom="280" w:left="640" w:right="640"/>
          <w:cols w:num="2" w:equalWidth="0">
            <w:col w:w="5119" w:space="264"/>
            <w:col w:w="5237"/>
          </w:cols>
        </w:sectPr>
      </w:pPr>
    </w:p>
    <w:p>
      <w:pPr>
        <w:pStyle w:val="BodyText"/>
        <w:rPr>
          <w:sz w:val="20"/>
        </w:rPr>
      </w:pPr>
    </w:p>
    <w:p>
      <w:pPr>
        <w:spacing w:after="0"/>
        <w:rPr>
          <w:sz w:val="20"/>
        </w:rPr>
        <w:sectPr>
          <w:headerReference w:type="even" r:id="rId201"/>
          <w:footerReference w:type="even" r:id="rId202"/>
          <w:footerReference w:type="default" r:id="rId203"/>
          <w:pgSz w:w="11900" w:h="16840"/>
          <w:pgMar w:header="586" w:footer="592" w:top="780" w:bottom="780" w:left="640" w:right="640"/>
          <w:pgNumType w:start="70"/>
        </w:sectPr>
      </w:pPr>
    </w:p>
    <w:p>
      <w:pPr>
        <w:spacing w:before="233"/>
        <w:ind w:left="171" w:right="0" w:firstLine="0"/>
        <w:jc w:val="left"/>
        <w:rPr>
          <w:b/>
          <w:sz w:val="28"/>
        </w:rPr>
      </w:pPr>
      <w:r>
        <w:rPr>
          <w:b/>
          <w:color w:val="006CB4"/>
          <w:sz w:val="28"/>
        </w:rPr>
        <w:t>COSTS AND PRICES</w:t>
      </w:r>
    </w:p>
    <w:p>
      <w:pPr>
        <w:pStyle w:val="BodyText"/>
        <w:spacing w:before="1"/>
        <w:rPr>
          <w:b/>
          <w:sz w:val="24"/>
        </w:rPr>
      </w:pPr>
    </w:p>
    <w:p>
      <w:pPr>
        <w:spacing w:before="1"/>
        <w:ind w:left="171" w:right="0" w:firstLine="0"/>
        <w:jc w:val="left"/>
        <w:rPr>
          <w:i/>
          <w:sz w:val="28"/>
        </w:rPr>
      </w:pPr>
      <w:r>
        <w:rPr>
          <w:i/>
          <w:color w:val="006CB4"/>
          <w:sz w:val="28"/>
        </w:rPr>
        <w:t>Input prices</w:t>
      </w:r>
    </w:p>
    <w:p>
      <w:pPr>
        <w:pStyle w:val="Heading5"/>
        <w:spacing w:line="247" w:lineRule="auto" w:before="194"/>
        <w:ind w:left="171" w:right="160"/>
      </w:pPr>
      <w:r>
        <w:rPr/>
        <w:t>Input price inflation appeared to strengthen during the period, as earlier rises in the oil price fed through to increases in the prices of related products. For example, there were increased reports of rises in the price of petrol, plastics and some rubber products.</w:t>
      </w:r>
    </w:p>
    <w:p>
      <w:pPr>
        <w:pStyle w:val="Heading5"/>
        <w:spacing w:line="247" w:lineRule="auto"/>
        <w:ind w:left="171" w:right="92"/>
      </w:pPr>
      <w:r>
        <w:rPr/>
        <w:t>While in the past contacts had been able to resist many price increases by importing from overseas (gaining from the high </w:t>
      </w:r>
      <w:r>
        <w:rPr>
          <w:spacing w:val="-3"/>
        </w:rPr>
        <w:t>level </w:t>
      </w:r>
      <w:r>
        <w:rPr/>
        <w:t>of sterling), this opportunity diminished slightly </w:t>
      </w:r>
      <w:r>
        <w:rPr>
          <w:spacing w:val="-3"/>
        </w:rPr>
        <w:t>recently, </w:t>
      </w:r>
      <w:r>
        <w:rPr/>
        <w:t>following </w:t>
      </w:r>
      <w:r>
        <w:rPr>
          <w:spacing w:val="-3"/>
        </w:rPr>
        <w:t>sterling’s </w:t>
      </w:r>
      <w:r>
        <w:rPr/>
        <w:t>depreciation. In addition, firms continued to cite concern about other input cost increases. For example, rising commercial rents and insurance premiums were noted. But many firms continued to resist price increases through actions such as centralised purchasing, consolidation and outsourcing. In addition, firms benefited from significant productivity improvements.</w:t>
      </w:r>
    </w:p>
    <w:p>
      <w:pPr>
        <w:pStyle w:val="BodyText"/>
        <w:spacing w:before="6"/>
        <w:rPr>
          <w:sz w:val="25"/>
        </w:rPr>
      </w:pPr>
    </w:p>
    <w:p>
      <w:pPr>
        <w:spacing w:before="0"/>
        <w:ind w:left="171" w:right="0" w:firstLine="0"/>
        <w:jc w:val="left"/>
        <w:rPr>
          <w:i/>
          <w:sz w:val="28"/>
        </w:rPr>
      </w:pPr>
      <w:r>
        <w:rPr>
          <w:i/>
          <w:color w:val="006CB4"/>
          <w:sz w:val="28"/>
        </w:rPr>
        <w:t>Pay</w:t>
      </w:r>
    </w:p>
    <w:p>
      <w:pPr>
        <w:pStyle w:val="Heading5"/>
        <w:spacing w:line="247" w:lineRule="auto" w:before="195"/>
        <w:ind w:left="171" w:right="38"/>
      </w:pPr>
      <w:r>
        <w:rPr/>
        <w:t>Settlement trends remained similar to those reported in recent </w:t>
      </w:r>
      <w:r>
        <w:rPr>
          <w:i/>
        </w:rPr>
        <w:t>Agents’ Summaries</w:t>
      </w:r>
      <w:r>
        <w:rPr/>
        <w:t>. Most Agencies continued to suggest</w:t>
      </w:r>
      <w:r>
        <w:rPr>
          <w:spacing w:val="-8"/>
        </w:rPr>
        <w:t> </w:t>
      </w:r>
      <w:r>
        <w:rPr/>
        <w:t>that</w:t>
      </w:r>
      <w:r>
        <w:rPr>
          <w:spacing w:val="-8"/>
        </w:rPr>
        <w:t> </w:t>
      </w:r>
      <w:r>
        <w:rPr/>
        <w:t>manufacturing</w:t>
      </w:r>
      <w:r>
        <w:rPr>
          <w:spacing w:val="-8"/>
        </w:rPr>
        <w:t> </w:t>
      </w:r>
      <w:r>
        <w:rPr/>
        <w:t>settlements</w:t>
      </w:r>
      <w:r>
        <w:rPr>
          <w:spacing w:val="-8"/>
        </w:rPr>
        <w:t> </w:t>
      </w:r>
      <w:r>
        <w:rPr/>
        <w:t>were</w:t>
      </w:r>
      <w:r>
        <w:rPr>
          <w:spacing w:val="-8"/>
        </w:rPr>
        <w:t> </w:t>
      </w:r>
      <w:r>
        <w:rPr/>
        <w:t>lower</w:t>
      </w:r>
      <w:r>
        <w:rPr>
          <w:spacing w:val="-8"/>
        </w:rPr>
        <w:t> </w:t>
      </w:r>
      <w:r>
        <w:rPr/>
        <w:t>than in services and construction—and most remained equal to or lower than a year ago. But there had been an increase in the number of contacts indicating that negotiations had become more difficult to resolve </w:t>
      </w:r>
      <w:r>
        <w:rPr>
          <w:spacing w:val="-3"/>
        </w:rPr>
        <w:t>recently. </w:t>
      </w:r>
      <w:r>
        <w:rPr/>
        <w:t>There were more reports of offers being rejected—in some cases, as employees reacted to higher petrol prices. The outlook for future negotiations also appeared to</w:t>
      </w:r>
      <w:r>
        <w:rPr>
          <w:spacing w:val="-8"/>
        </w:rPr>
        <w:t> </w:t>
      </w:r>
      <w:r>
        <w:rPr/>
        <w:t>worsen.</w:t>
      </w:r>
    </w:p>
    <w:p>
      <w:pPr>
        <w:pStyle w:val="BodyText"/>
        <w:rPr>
          <w:sz w:val="22"/>
        </w:rPr>
      </w:pPr>
    </w:p>
    <w:p>
      <w:pPr>
        <w:pStyle w:val="Heading5"/>
        <w:spacing w:line="247" w:lineRule="auto"/>
        <w:ind w:left="171" w:right="101"/>
      </w:pPr>
      <w:r>
        <w:rPr/>
        <w:t>Growth in the total pay bill was reported to have slowed in manufacturing in most regions. Firms reported that slowing output, coupled with higher productivity, had led to cuts in overtime payments. And lower profitability reduced bonus payments relative to last year. But most Agencies suggested that total pay increased at a faster rate in the services and construction sectors (mostly as a result of skill shortages).</w:t>
      </w:r>
    </w:p>
    <w:p>
      <w:pPr>
        <w:pStyle w:val="BodyText"/>
        <w:rPr>
          <w:sz w:val="26"/>
        </w:rPr>
      </w:pPr>
    </w:p>
    <w:p>
      <w:pPr>
        <w:spacing w:before="0"/>
        <w:ind w:left="171" w:right="0" w:firstLine="0"/>
        <w:jc w:val="left"/>
        <w:rPr>
          <w:i/>
          <w:sz w:val="28"/>
        </w:rPr>
      </w:pPr>
      <w:r>
        <w:rPr>
          <w:i/>
          <w:color w:val="006CB4"/>
          <w:sz w:val="28"/>
        </w:rPr>
        <w:t>Output prices</w:t>
      </w:r>
    </w:p>
    <w:p>
      <w:pPr>
        <w:pStyle w:val="Heading5"/>
        <w:spacing w:line="247" w:lineRule="auto" w:before="194"/>
        <w:ind w:left="171" w:right="47"/>
      </w:pPr>
      <w:r>
        <w:rPr/>
        <w:t>Although</w:t>
      </w:r>
      <w:r>
        <w:rPr>
          <w:spacing w:val="-10"/>
        </w:rPr>
        <w:t> </w:t>
      </w:r>
      <w:r>
        <w:rPr/>
        <w:t>competitive</w:t>
      </w:r>
      <w:r>
        <w:rPr>
          <w:spacing w:val="-10"/>
        </w:rPr>
        <w:t> </w:t>
      </w:r>
      <w:r>
        <w:rPr/>
        <w:t>pressures</w:t>
      </w:r>
      <w:r>
        <w:rPr>
          <w:spacing w:val="-10"/>
        </w:rPr>
        <w:t> </w:t>
      </w:r>
      <w:r>
        <w:rPr/>
        <w:t>remained</w:t>
      </w:r>
      <w:r>
        <w:rPr>
          <w:spacing w:val="-9"/>
        </w:rPr>
        <w:t> </w:t>
      </w:r>
      <w:r>
        <w:rPr/>
        <w:t>intense,</w:t>
      </w:r>
      <w:r>
        <w:rPr>
          <w:spacing w:val="-9"/>
        </w:rPr>
        <w:t> </w:t>
      </w:r>
      <w:r>
        <w:rPr/>
        <w:t>there were more reports of rising manufacturing output prices during the period. Evidence of input price increases being passed up the supply chain</w:t>
      </w:r>
      <w:r>
        <w:rPr>
          <w:spacing w:val="-28"/>
        </w:rPr>
        <w:t> </w:t>
      </w:r>
      <w:r>
        <w:rPr/>
        <w:t>remained</w:t>
      </w:r>
    </w:p>
    <w:p>
      <w:pPr>
        <w:pStyle w:val="BodyText"/>
        <w:spacing w:before="5"/>
        <w:rPr>
          <w:sz w:val="21"/>
        </w:rPr>
      </w:pPr>
      <w:r>
        <w:rPr/>
        <w:br w:type="column"/>
      </w:r>
      <w:r>
        <w:rPr>
          <w:sz w:val="21"/>
        </w:rPr>
      </w:r>
    </w:p>
    <w:p>
      <w:pPr>
        <w:pStyle w:val="Heading5"/>
        <w:spacing w:line="247" w:lineRule="auto"/>
        <w:ind w:left="171"/>
      </w:pPr>
      <w:r>
        <w:rPr/>
        <w:t>limited, although oil-related increases became increasingly evident. For example, higher prices for transport and distribution services were cited. In addition, many firms suggested that the rate of</w:t>
      </w:r>
    </w:p>
    <w:p>
      <w:pPr>
        <w:pStyle w:val="Heading5"/>
        <w:spacing w:line="247" w:lineRule="auto"/>
        <w:ind w:left="171" w:right="46"/>
      </w:pPr>
      <w:r>
        <w:rPr/>
        <w:t>pass-through would intensify as the year progressed. Other reports of increased prices included paper-related products (for example packaging). But there is widespread consensus that only a small proportion of input price increases can be passed on, due to competitive pressures.</w:t>
      </w:r>
    </w:p>
    <w:p>
      <w:pPr>
        <w:pStyle w:val="BodyText"/>
        <w:spacing w:before="7"/>
        <w:rPr>
          <w:sz w:val="25"/>
        </w:rPr>
      </w:pPr>
    </w:p>
    <w:p>
      <w:pPr>
        <w:pStyle w:val="Heading5"/>
        <w:spacing w:line="247" w:lineRule="auto"/>
        <w:ind w:left="171" w:right="227"/>
      </w:pPr>
      <w:r>
        <w:rPr/>
        <w:t>By contrast, service sector firms noted relatively little difficulty in passing on cost increases. Higher legal fees were commonly cited. Advertising rates and insurance premiums also increased. However,</w:t>
      </w:r>
    </w:p>
    <w:p>
      <w:pPr>
        <w:pStyle w:val="Heading5"/>
        <w:spacing w:line="247" w:lineRule="auto"/>
        <w:ind w:left="171" w:right="470"/>
      </w:pPr>
      <w:r>
        <w:rPr/>
        <w:t>less-specialised aspects of professional services (for example audit) experienced downward pressure.</w:t>
      </w:r>
    </w:p>
    <w:p>
      <w:pPr>
        <w:pStyle w:val="BodyText"/>
        <w:spacing w:before="7"/>
        <w:rPr>
          <w:sz w:val="29"/>
        </w:rPr>
      </w:pPr>
    </w:p>
    <w:p>
      <w:pPr>
        <w:spacing w:before="0"/>
        <w:ind w:left="171" w:right="0" w:firstLine="0"/>
        <w:jc w:val="left"/>
        <w:rPr>
          <w:i/>
          <w:sz w:val="28"/>
        </w:rPr>
      </w:pPr>
      <w:r>
        <w:rPr>
          <w:i/>
          <w:color w:val="006CB4"/>
          <w:sz w:val="28"/>
        </w:rPr>
        <w:t>Retail prices</w:t>
      </w:r>
    </w:p>
    <w:p>
      <w:pPr>
        <w:pStyle w:val="Heading5"/>
        <w:spacing w:line="247" w:lineRule="auto" w:before="214"/>
        <w:ind w:left="171" w:right="157"/>
      </w:pPr>
      <w:r>
        <w:rPr/>
        <w:t>There was little change to the trend of flat or falling goods prices reported in previous </w:t>
      </w:r>
      <w:r>
        <w:rPr>
          <w:i/>
        </w:rPr>
        <w:t>Agents’ Summaries</w:t>
      </w:r>
      <w:r>
        <w:rPr/>
        <w:t>. And according to some Agencies, retail stores began summer ‘sales’ earlier than usual this year (particularly for clothing). In most cases, greater competition was said to have resulted in heavier discounting than last year.</w:t>
      </w:r>
    </w:p>
    <w:p>
      <w:pPr>
        <w:pStyle w:val="BodyText"/>
        <w:spacing w:before="3"/>
        <w:rPr>
          <w:sz w:val="22"/>
        </w:rPr>
      </w:pPr>
    </w:p>
    <w:p>
      <w:pPr>
        <w:pStyle w:val="Heading5"/>
        <w:spacing w:line="247" w:lineRule="auto"/>
        <w:ind w:left="171"/>
      </w:pPr>
      <w:r>
        <w:rPr/>
        <w:t>Service sector prices continued to rise during the period, although it appears that the rate of increase slowed. Downward pressure was noted for UK tourism-related activities (for example hotels). In addition, lower utilities and telecommunications prices were reported. But there were some reports of rising overseas holiday prices—possibly as a result of the recent currency depreciation and also increased list</w:t>
      </w:r>
    </w:p>
    <w:p>
      <w:pPr>
        <w:pStyle w:val="Heading5"/>
        <w:spacing w:line="247" w:lineRule="auto"/>
        <w:ind w:left="171" w:right="0"/>
      </w:pPr>
      <w:r>
        <w:rPr/>
        <w:t>prices due to higher fuel costs. Motor vehicle servicing and insurance premium increases were also cited.</w:t>
      </w:r>
    </w:p>
    <w:p>
      <w:pPr>
        <w:pStyle w:val="BodyText"/>
        <w:spacing w:before="1"/>
        <w:rPr>
          <w:sz w:val="22"/>
        </w:rPr>
      </w:pPr>
    </w:p>
    <w:p>
      <w:pPr>
        <w:pStyle w:val="Heading5"/>
        <w:spacing w:line="247" w:lineRule="auto"/>
        <w:ind w:left="171" w:right="202"/>
      </w:pPr>
      <w:r>
        <w:rPr/>
        <w:t>During</w:t>
      </w:r>
      <w:r>
        <w:rPr>
          <w:spacing w:val="-7"/>
        </w:rPr>
        <w:t> </w:t>
      </w:r>
      <w:r>
        <w:rPr/>
        <w:t>the</w:t>
      </w:r>
      <w:r>
        <w:rPr>
          <w:spacing w:val="-6"/>
        </w:rPr>
        <w:t> </w:t>
      </w:r>
      <w:r>
        <w:rPr/>
        <w:t>period,</w:t>
      </w:r>
      <w:r>
        <w:rPr>
          <w:spacing w:val="-17"/>
        </w:rPr>
        <w:t> </w:t>
      </w:r>
      <w:r>
        <w:rPr/>
        <w:t>Agencies</w:t>
      </w:r>
      <w:r>
        <w:rPr>
          <w:spacing w:val="-6"/>
        </w:rPr>
        <w:t> </w:t>
      </w:r>
      <w:r>
        <w:rPr/>
        <w:t>noted</w:t>
      </w:r>
      <w:r>
        <w:rPr>
          <w:spacing w:val="-6"/>
        </w:rPr>
        <w:t> </w:t>
      </w:r>
      <w:r>
        <w:rPr/>
        <w:t>a</w:t>
      </w:r>
      <w:r>
        <w:rPr>
          <w:spacing w:val="-6"/>
        </w:rPr>
        <w:t> </w:t>
      </w:r>
      <w:r>
        <w:rPr/>
        <w:t>marked</w:t>
      </w:r>
      <w:r>
        <w:rPr>
          <w:spacing w:val="-6"/>
        </w:rPr>
        <w:t> </w:t>
      </w:r>
      <w:r>
        <w:rPr/>
        <w:t>slowing</w:t>
      </w:r>
      <w:r>
        <w:rPr>
          <w:spacing w:val="-6"/>
        </w:rPr>
        <w:t> </w:t>
      </w:r>
      <w:r>
        <w:rPr/>
        <w:t>in house price inflation—particularly in the southern regions of the United Kingdom, where price </w:t>
      </w:r>
      <w:r>
        <w:rPr>
          <w:spacing w:val="-3"/>
        </w:rPr>
        <w:t>levels </w:t>
      </w:r>
      <w:r>
        <w:rPr/>
        <w:t>reportedly stabilised. The sharp </w:t>
      </w:r>
      <w:r>
        <w:rPr>
          <w:spacing w:val="-3"/>
        </w:rPr>
        <w:t>slowdown </w:t>
      </w:r>
      <w:r>
        <w:rPr/>
        <w:t>is reported to reflect an easing in demand and an increase in the supply of established houses for sale. In other regions (where house price inflation had been relatively low), prices continued to rise but at a slower pace than before.</w:t>
      </w:r>
    </w:p>
    <w:p>
      <w:pPr>
        <w:pStyle w:val="BodyText"/>
        <w:spacing w:before="2"/>
        <w:rPr>
          <w:sz w:val="22"/>
        </w:rPr>
      </w:pPr>
    </w:p>
    <w:p>
      <w:pPr>
        <w:pStyle w:val="Heading5"/>
        <w:spacing w:line="247" w:lineRule="auto"/>
        <w:ind w:left="171"/>
      </w:pPr>
      <w:r>
        <w:rPr/>
        <w:t>Agencies reported a further decline in new car prices during the period. Used car prices also came under further downward pressure as stocks of used cars rose.</w:t>
      </w:r>
    </w:p>
    <w:p>
      <w:pPr>
        <w:spacing w:after="0" w:line="247" w:lineRule="auto"/>
        <w:sectPr>
          <w:type w:val="continuous"/>
          <w:pgSz w:w="11900" w:h="16840"/>
          <w:pgMar w:top="1260" w:bottom="280" w:left="640" w:right="640"/>
          <w:cols w:num="2" w:equalWidth="0">
            <w:col w:w="5110" w:space="273"/>
            <w:col w:w="5237"/>
          </w:cols>
        </w:sectPr>
      </w:pPr>
    </w:p>
    <w:p>
      <w:pPr>
        <w:pStyle w:val="BodyText"/>
        <w:rPr>
          <w:sz w:val="20"/>
        </w:rPr>
      </w:pPr>
      <w:r>
        <w:rPr/>
        <w:pict>
          <v:group style="position:absolute;margin-left:39pt;margin-top:39.669998pt;width:517pt;height:740.35pt;mso-position-horizontal-relative:page;mso-position-vertical-relative:page;z-index:-22909952" coordorigin="780,793" coordsize="10340,14807">
            <v:shape style="position:absolute;left:926;top:940;width:10047;height:14514" coordorigin="927,940" coordsize="10047,14514" path="m10973,940l5954,940,5945,940,927,940,927,8187,927,8206,927,15453,5945,15453,5954,15453,10973,15453,10973,8206,10973,8187,10973,940xe" filled="true" fillcolor="#d7e8e7" stroked="false">
              <v:path arrowok="t"/>
              <v:fill type="solid"/>
            </v:shape>
            <v:shape style="position:absolute;left:1016;top:1073;width:9867;height:14248" coordorigin="1017,1073" coordsize="9867,14248" path="m5950,1073l1017,8197,5950,15320,10883,8197,5950,1073xe" filled="true" fillcolor="#d9e8e7" stroked="false">
              <v:path arrowok="t"/>
              <v:fill type="solid"/>
            </v:shape>
            <v:shape style="position:absolute;left:1113;top:1212;width:9673;height:13968" coordorigin="1113,1213" coordsize="9673,13968" path="m5950,1213l1113,8197,5950,15180,10786,8197,5950,1213xe" filled="true" fillcolor="#dae9e8" stroked="false">
              <v:path arrowok="t"/>
              <v:fill type="solid"/>
            </v:shape>
            <v:shape style="position:absolute;left:1210;top:1352;width:9480;height:13689" coordorigin="1210,1352" coordsize="9480,13689" path="m5950,1352l1210,8197,5950,15041,10690,8197,5950,1352xe" filled="true" fillcolor="#daeae8" stroked="false">
              <v:path arrowok="t"/>
              <v:fill type="solid"/>
            </v:shape>
            <v:shape style="position:absolute;left:1306;top:1492;width:9286;height:13410" coordorigin="1307,1492" coordsize="9286,13410" path="m5950,1492l1307,8197,5950,14901,10593,8197,5950,1492xe" filled="true" fillcolor="#dbeae8" stroked="false">
              <v:path arrowok="t"/>
              <v:fill type="solid"/>
            </v:shape>
            <v:shape style="position:absolute;left:1403;top:1631;width:9093;height:13130" coordorigin="1404,1632" coordsize="9093,13130" path="m5950,1632l1404,8197,5950,14761,10496,8197,5950,1632xe" filled="true" fillcolor="#dcebe9" stroked="false">
              <v:path arrowok="t"/>
              <v:fill type="solid"/>
            </v:shape>
            <v:shape style="position:absolute;left:1500;top:1771;width:8900;height:12851" coordorigin="1500,1771" coordsize="8900,12851" path="m5950,1771l1500,8197,5950,14622,10399,8197,5950,1771xe" filled="true" fillcolor="#ddebe9" stroked="false">
              <v:path arrowok="t"/>
              <v:fill type="solid"/>
            </v:shape>
            <v:shape style="position:absolute;left:1597;top:1911;width:8706;height:12571" coordorigin="1597,1911" coordsize="8706,12571" path="m5950,1911l1597,8197,5950,14482,10303,8197,5950,1911xe" filled="true" fillcolor="#ddebea" stroked="false">
              <v:path arrowok="t"/>
              <v:fill type="solid"/>
            </v:shape>
            <v:shape style="position:absolute;left:1693;top:2050;width:8513;height:12292" coordorigin="1694,2051" coordsize="8513,12292" path="m5950,2051l1694,8197,5950,14342,10206,8197,5950,2051xe" filled="true" fillcolor="#dfebea" stroked="false">
              <v:path arrowok="t"/>
              <v:fill type="solid"/>
            </v:shape>
            <v:shape style="position:absolute;left:1790;top:2190;width:8319;height:12013" coordorigin="1791,2190" coordsize="8319,12013" path="m10109,8197l5950,2190,1791,8197,5950,14203,10109,8197xe" filled="true" fillcolor="#dfeceb" stroked="false">
              <v:path arrowok="t"/>
              <v:fill type="solid"/>
            </v:shape>
            <v:shape style="position:absolute;left:1984;top:2469;width:7932;height:11454" coordorigin="1984,2470" coordsize="7932,11454" path="m5950,2470l1984,8197,5950,13923,9916,8197,5950,2470xe" filled="true" fillcolor="#e0eceb" stroked="false">
              <v:path arrowok="t"/>
              <v:fill type="solid"/>
            </v:shape>
            <v:shape style="position:absolute;left:2080;top:2609;width:7739;height:11175" coordorigin="2081,2610" coordsize="7739,11175" path="m5950,2610l2081,8197,5950,13784,9819,8197,5950,2610xe" filled="true" fillcolor="#e0edeb" stroked="false">
              <v:path arrowok="t"/>
              <v:fill type="solid"/>
            </v:shape>
            <v:shape style="position:absolute;left:2177;top:2749;width:7545;height:10895" coordorigin="2177,2749" coordsize="7545,10895" path="m5950,2749l2177,8197,5950,13644,9722,8197,5950,2749xe" filled="true" fillcolor="#e1edeb" stroked="false">
              <v:path arrowok="t"/>
              <v:fill type="solid"/>
            </v:shape>
            <v:shape style="position:absolute;left:2274;top:2888;width:7352;height:10616" coordorigin="2274,2889" coordsize="7352,10616" path="m5950,2889l2274,8197,5950,13504,9626,8197,5950,2889xe" filled="true" fillcolor="#e2edec" stroked="false">
              <v:path arrowok="t"/>
              <v:fill type="solid"/>
            </v:shape>
            <v:shape style="position:absolute;left:2370;top:3028;width:7158;height:10337" coordorigin="2371,3029" coordsize="7158,10337" path="m5950,3029l2371,8197,5950,13365,9529,8197,5950,3029xe" filled="true" fillcolor="#e3eeec" stroked="false">
              <v:path arrowok="t"/>
              <v:fill type="solid"/>
            </v:shape>
            <v:shape style="position:absolute;left:2467;top:3168;width:6965;height:10057" coordorigin="2468,3168" coordsize="6965,10057" path="m5950,3168l2468,8197,5950,13225,9432,8197,5950,3168xe" filled="true" fillcolor="#e4efed" stroked="false">
              <v:path arrowok="t"/>
              <v:fill type="solid"/>
            </v:shape>
            <v:shape style="position:absolute;left:2564;top:3307;width:6771;height:9778" coordorigin="2564,3308" coordsize="6771,9778" path="m5950,3308l2564,8197,5950,13085,9335,8197,5950,3308xe" filled="true" fillcolor="#e6efed" stroked="false">
              <v:path arrowok="t"/>
              <v:fill type="solid"/>
            </v:shape>
            <v:shape style="position:absolute;left:2661;top:3447;width:6578;height:9499" coordorigin="2661,3448" coordsize="6578,9499" path="m5950,3448l2661,8197,5950,12946,9239,8197,5950,3448xe" filled="true" fillcolor="#e6efee" stroked="false">
              <v:path arrowok="t"/>
              <v:fill type="solid"/>
            </v:shape>
            <v:shape style="position:absolute;left:2757;top:3587;width:6385;height:9219" coordorigin="2758,3587" coordsize="6385,9219" path="m5950,3587l2758,8197,5950,12806,9142,8197,5950,3587xe" filled="true" fillcolor="#e7f0ee" stroked="false">
              <v:path arrowok="t"/>
              <v:fill type="solid"/>
            </v:shape>
            <v:shape style="position:absolute;left:2854;top:3726;width:6191;height:8940" coordorigin="2855,3727" coordsize="6191,8940" path="m9045,8197l5950,3727,2855,8197,5950,12666,9045,8197xe" filled="true" fillcolor="#e8f0ee" stroked="false">
              <v:path arrowok="t"/>
              <v:fill type="solid"/>
            </v:shape>
            <v:shape style="position:absolute;left:3048;top:4006;width:5804;height:8381" coordorigin="3048,4006" coordsize="5804,8381" path="m5950,4006l3048,8197,5950,12387,8852,8197,5950,4006xe" filled="true" fillcolor="#eaf1f0" stroked="false">
              <v:path arrowok="t"/>
              <v:fill type="solid"/>
            </v:shape>
            <v:shape style="position:absolute;left:3144;top:4145;width:5611;height:8102" coordorigin="3145,4146" coordsize="5611,8102" path="m8755,8197l5950,4146,3145,8197,5950,12247,8755,8197xe" filled="true" fillcolor="#ebf3f0" stroked="false">
              <v:path arrowok="t"/>
              <v:fill type="solid"/>
            </v:shape>
            <v:shape style="position:absolute;left:3338;top:4425;width:5224;height:7543" coordorigin="3338,4425" coordsize="5224,7543" path="m5950,4425l3338,8197,5950,11968,8562,8197,5950,4425xe" filled="true" fillcolor="#ebf4f1" stroked="false">
              <v:path arrowok="t"/>
              <v:fill type="solid"/>
            </v:shape>
            <v:shape style="position:absolute;left:3434;top:4565;width:5030;height:7264" coordorigin="3435,4565" coordsize="5030,7264" path="m5950,4565l3435,8197,5950,11828,8465,8197,5950,4565xe" filled="true" fillcolor="#ecf4f1" stroked="false">
              <v:path arrowok="t"/>
              <v:fill type="solid"/>
            </v:shape>
            <v:shape style="position:absolute;left:3531;top:4704;width:4837;height:6984" coordorigin="3532,4705" coordsize="4837,6984" path="m5950,4705l3532,8197,5950,11689,8368,8197,5950,4705xe" filled="true" fillcolor="#ecf4f3" stroked="false">
              <v:path arrowok="t"/>
              <v:fill type="solid"/>
            </v:shape>
            <v:shape style="position:absolute;left:3628;top:4844;width:4643;height:6705" coordorigin="3628,4844" coordsize="4643,6705" path="m5950,4844l3628,8197,5950,11549,8271,8197,5950,4844xe" filled="true" fillcolor="#edf5f3" stroked="false">
              <v:path arrowok="t"/>
              <v:fill type="solid"/>
            </v:shape>
            <v:shape style="position:absolute;left:3725;top:4984;width:4450;height:6426" coordorigin="3725,4984" coordsize="4450,6426" path="m5950,4984l3725,8197,5950,11409,8175,8197,5950,4984xe" filled="true" fillcolor="#eef5f4" stroked="false">
              <v:path arrowok="t"/>
              <v:fill type="solid"/>
            </v:shape>
            <v:shape style="position:absolute;left:3821;top:5123;width:4257;height:6146" coordorigin="3822,5124" coordsize="4257,6146" path="m5950,5124l3822,8197,5950,11270,8078,8197,5950,5124xe" filled="true" fillcolor="#eff6f4" stroked="false">
              <v:path arrowok="t"/>
              <v:fill type="solid"/>
            </v:shape>
            <v:shape style="position:absolute;left:3918;top:5263;width:4063;height:5867" coordorigin="3919,5263" coordsize="4063,5867" path="m5950,5263l3919,8197,5950,11130,7981,8197,5950,5263xe" filled="true" fillcolor="#eff6f5" stroked="false">
              <v:path arrowok="t"/>
              <v:fill type="solid"/>
            </v:shape>
            <v:shape style="position:absolute;left:4015;top:5403;width:3870;height:5588" coordorigin="4015,5403" coordsize="3870,5588" path="m5950,5403l4015,8197,5950,10990,7884,8197,5950,5403xe" filled="true" fillcolor="#f0f7f6" stroked="false">
              <v:path arrowok="t"/>
              <v:fill type="solid"/>
            </v:shape>
            <v:shape style="position:absolute;left:4112;top:5542;width:3676;height:5308" coordorigin="4112,5543" coordsize="3676,5308" path="m7788,8197l5950,5543,4112,8197,5950,10850,7788,8197xe" filled="true" fillcolor="#f1f7f6" stroked="false">
              <v:path arrowok="t"/>
              <v:fill type="solid"/>
            </v:shape>
            <v:shape style="position:absolute;left:4305;top:5822;width:3289;height:4750" coordorigin="4305,5822" coordsize="3289,4750" path="m5950,5822l4305,8197,5950,10571,7594,8197,5950,5822xe" filled="true" fillcolor="#f4f8f7" stroked="false">
              <v:path arrowok="t"/>
              <v:fill type="solid"/>
            </v:shape>
            <v:shape style="position:absolute;left:4402;top:5961;width:3096;height:4470" coordorigin="4402,5962" coordsize="3096,4470" path="m5950,5962l4402,8197,5950,10431,7498,8197,5950,5962xe" filled="true" fillcolor="#f4f8f8" stroked="false">
              <v:path arrowok="t"/>
              <v:fill type="solid"/>
            </v:shape>
            <v:shape style="position:absolute;left:4498;top:6101;width:2902;height:4191" coordorigin="4499,6101" coordsize="2902,4191" path="m5950,6101l4499,8197,5950,10292,7401,8197,5950,6101xe" filled="true" fillcolor="#f5f8f8" stroked="false">
              <v:path arrowok="t"/>
              <v:fill type="solid"/>
            </v:shape>
            <v:shape style="position:absolute;left:4595;top:6241;width:2709;height:3911" coordorigin="4596,6241" coordsize="2709,3911" path="m7304,8197l5950,6241,4596,8197,5950,10152,7304,8197xe" filled="true" fillcolor="#f6f8f8" stroked="false">
              <v:path arrowok="t"/>
              <v:fill type="solid"/>
            </v:shape>
            <v:shape style="position:absolute;left:4789;top:6520;width:2322;height:3353" coordorigin="4789,6521" coordsize="2322,3353" path="m5950,6521l4789,8197,5950,9873,7111,8197,5950,6521xe" filled="true" fillcolor="#f7f9f8" stroked="false">
              <v:path arrowok="t"/>
              <v:fill type="solid"/>
            </v:shape>
            <v:shape style="position:absolute;left:4885;top:6660;width:2129;height:3073" coordorigin="4886,6660" coordsize="2129,3073" path="m5950,6660l4886,8197,5950,9733,7014,8197,5950,6660xe" filled="true" fillcolor="#f8f9f8" stroked="false">
              <v:path arrowok="t"/>
              <v:fill type="solid"/>
            </v:shape>
            <v:shape style="position:absolute;left:4982;top:6799;width:1935;height:2794" coordorigin="4983,6800" coordsize="1935,2794" path="m5950,6800l4983,8197,5950,9593,6917,8197,5950,6800xe" filled="true" fillcolor="#f8fafa" stroked="false">
              <v:path arrowok="t"/>
              <v:fill type="solid"/>
            </v:shape>
            <v:shape style="position:absolute;left:5079;top:6939;width:1742;height:2515" coordorigin="5079,6940" coordsize="1742,2515" path="m5950,6940l5079,8197,5950,9454,6820,8197,5950,6940xe" filled="true" fillcolor="#f8fbfa" stroked="false">
              <v:path arrowok="t"/>
              <v:fill type="solid"/>
            </v:shape>
            <v:shape style="position:absolute;left:5176;top:7079;width:1548;height:2235" coordorigin="5176,7079" coordsize="1548,2235" path="m5950,7079l5176,8197,5950,9314,6724,8197,5950,7079xe" filled="true" fillcolor="#f9fbfa" stroked="false">
              <v:path arrowok="t"/>
              <v:fill type="solid"/>
            </v:shape>
            <v:shape style="position:absolute;left:5272;top:7218;width:1355;height:1956" coordorigin="5273,7219" coordsize="1355,1956" path="m5950,7219l5273,8197,5950,9174,6627,8197,5950,7219xe" filled="true" fillcolor="#fafbfb" stroked="false">
              <v:path arrowok="t"/>
              <v:fill type="solid"/>
            </v:shape>
            <v:shape style="position:absolute;left:5369;top:7358;width:1161;height:1677" coordorigin="5370,7359" coordsize="1161,1677" path="m5950,7359l5370,8197,5950,9035,6530,8197,5950,7359xe" filled="true" fillcolor="#fafcfb" stroked="false">
              <v:path arrowok="t"/>
              <v:fill type="solid"/>
            </v:shape>
            <v:shape style="position:absolute;left:5466;top:7498;width:968;height:1397" coordorigin="5466,7498" coordsize="968,1397" path="m5950,7498l5466,8197,5950,8895,6434,8197,5950,7498xe" filled="true" fillcolor="#fbfcfc" stroked="false">
              <v:path arrowok="t"/>
              <v:fill type="solid"/>
            </v:shape>
            <v:shape style="position:absolute;left:5562;top:7637;width:774;height:1118" coordorigin="5563,7638" coordsize="774,1118" path="m5950,7638l5563,8197,5950,8755,6337,8197,5950,7638xe" filled="true" fillcolor="#fcfdfd" stroked="false">
              <v:path arrowok="t"/>
              <v:fill type="solid"/>
            </v:shape>
            <v:shape style="position:absolute;left:5659;top:7777;width:581;height:839" coordorigin="5660,7778" coordsize="581,839" path="m5950,7778l5660,8197,5950,8616,6240,8197,5950,7778xe" filled="true" fillcolor="#fdfdfd" stroked="false">
              <v:path arrowok="t"/>
              <v:fill type="solid"/>
            </v:shape>
            <v:shape style="position:absolute;left:5756;top:7917;width:387;height:559" coordorigin="5756,7917" coordsize="387,559" path="m5950,7917l5756,8197,5950,8476,6143,8197,5950,7917xe" filled="true" fillcolor="#fdfffd" stroked="false">
              <v:path arrowok="t"/>
              <v:fill type="solid"/>
            </v:shape>
            <v:shape style="position:absolute;left:5853;top:8056;width:194;height:280" coordorigin="5853,8057" coordsize="194,280" path="m5950,8057l5853,8197,5950,8336,6047,8197,5950,8057xe" filled="true" fillcolor="#ffffff" stroked="false">
              <v:path arrowok="t"/>
              <v:fill type="solid"/>
            </v:shape>
            <v:rect style="position:absolute;left:873;top:886;width:10154;height:14620" filled="false" stroked="true" strokeweight="5.333pt" strokecolor="#ffffff">
              <v:stroke dashstyle="solid"/>
            </v:rect>
            <v:rect style="position:absolute;left:820;top:833;width:10260;height:14727" filled="false" stroked="true" strokeweight="4pt" strokecolor="#009391">
              <v:stroke dashstyle="solid"/>
            </v:rect>
            <v:rect style="position:absolute;left:926;top:940;width:10047;height:14514" filled="false" stroked="true" strokeweight="1.334pt" strokecolor="#009391">
              <v:stroke dashstyle="solid"/>
            </v:rect>
            <v:rect style="position:absolute;left:1533;top:1473;width:8840;height:13460" filled="false" stroked="true" strokeweight="2pt" strokecolor="#009391">
              <v:stroke dashstyle="solid"/>
            </v:rect>
            <v:rect style="position:absolute;left:1586;top:1526;width:8734;height:13354" filled="false" stroked="true" strokeweight=".667pt" strokecolor="#009391">
              <v:stroke dashstyle="solid"/>
            </v:rect>
            <v:shape style="position:absolute;left:3078;top:7233;width:5863;height:5887" type="#_x0000_t75" stroked="false">
              <v:imagedata r:id="rId205"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spacing w:line="665" w:lineRule="exact" w:before="212"/>
        <w:ind w:left="1975" w:right="1862" w:firstLine="0"/>
        <w:jc w:val="center"/>
        <w:rPr>
          <w:b/>
          <w:sz w:val="60"/>
        </w:rPr>
      </w:pPr>
      <w:bookmarkStart w:name="Monetary Policy Committee meetings minut" w:id="88"/>
      <w:bookmarkEnd w:id="88"/>
      <w:r>
        <w:rPr/>
      </w:r>
      <w:bookmarkStart w:name="_bookmark38" w:id="89"/>
      <w:bookmarkEnd w:id="89"/>
      <w:r>
        <w:rPr/>
      </w:r>
      <w:r>
        <w:rPr>
          <w:b/>
          <w:sz w:val="60"/>
        </w:rPr>
        <w:t>Annex:</w:t>
      </w:r>
    </w:p>
    <w:p>
      <w:pPr>
        <w:spacing w:line="223" w:lineRule="auto" w:before="15"/>
        <w:ind w:left="1975" w:right="1859" w:firstLine="0"/>
        <w:jc w:val="center"/>
        <w:rPr>
          <w:b/>
          <w:sz w:val="60"/>
        </w:rPr>
      </w:pPr>
      <w:r>
        <w:rPr>
          <w:b/>
          <w:sz w:val="60"/>
        </w:rPr>
        <w:t>Minutes and Press Notices of the monthly</w:t>
      </w:r>
    </w:p>
    <w:p>
      <w:pPr>
        <w:spacing w:line="223" w:lineRule="auto" w:before="0"/>
        <w:ind w:left="1734" w:right="1619" w:firstLine="0"/>
        <w:jc w:val="center"/>
        <w:rPr>
          <w:b/>
          <w:sz w:val="60"/>
        </w:rPr>
      </w:pPr>
      <w:r>
        <w:rPr>
          <w:b/>
          <w:sz w:val="60"/>
        </w:rPr>
        <w:t>Monetary Policy Committee meetings</w:t>
      </w:r>
    </w:p>
    <w:p>
      <w:pPr>
        <w:spacing w:after="0" w:line="223" w:lineRule="auto"/>
        <w:jc w:val="center"/>
        <w:rPr>
          <w:sz w:val="60"/>
        </w:rPr>
        <w:sectPr>
          <w:headerReference w:type="default" r:id="rId204"/>
          <w:pgSz w:w="11900" w:h="16840"/>
          <w:pgMar w:header="0" w:footer="597" w:top="800" w:bottom="780" w:left="640" w:right="640"/>
        </w:sectPr>
      </w:pPr>
    </w:p>
    <w:p>
      <w:pPr>
        <w:pStyle w:val="BodyText"/>
        <w:rPr>
          <w:b/>
          <w:sz w:val="20"/>
        </w:rPr>
      </w:pPr>
    </w:p>
    <w:p>
      <w:pPr>
        <w:pStyle w:val="BodyText"/>
        <w:rPr>
          <w:b/>
          <w:sz w:val="20"/>
        </w:rPr>
      </w:pPr>
    </w:p>
    <w:p>
      <w:pPr>
        <w:pStyle w:val="BodyText"/>
        <w:spacing w:before="2"/>
        <w:rPr>
          <w:b/>
          <w:sz w:val="20"/>
        </w:rPr>
      </w:pPr>
    </w:p>
    <w:p>
      <w:pPr>
        <w:spacing w:before="86"/>
        <w:ind w:left="170" w:right="0" w:firstLine="0"/>
        <w:jc w:val="left"/>
        <w:rPr>
          <w:b/>
          <w:sz w:val="32"/>
        </w:rPr>
      </w:pPr>
      <w:bookmarkStart w:name="May minutes" w:id="90"/>
      <w:bookmarkEnd w:id="90"/>
      <w:r>
        <w:rPr/>
      </w:r>
      <w:bookmarkStart w:name="_bookmark39" w:id="91"/>
      <w:bookmarkEnd w:id="91"/>
      <w:r>
        <w:rPr/>
      </w:r>
      <w:r>
        <w:rPr>
          <w:b/>
          <w:color w:val="009391"/>
          <w:sz w:val="32"/>
        </w:rPr>
        <w:t>Minutes of the Monetary Policy Committee meeting on 3–4 May 2000</w:t>
      </w:r>
    </w:p>
    <w:p>
      <w:pPr>
        <w:pStyle w:val="BodyText"/>
        <w:spacing w:before="1"/>
        <w:rPr>
          <w:b/>
          <w:sz w:val="28"/>
        </w:rPr>
      </w:pPr>
    </w:p>
    <w:p>
      <w:pPr>
        <w:spacing w:after="0"/>
        <w:rPr>
          <w:sz w:val="28"/>
        </w:rPr>
        <w:sectPr>
          <w:headerReference w:type="default" r:id="rId206"/>
          <w:headerReference w:type="even" r:id="rId207"/>
          <w:footerReference w:type="default" r:id="rId208"/>
          <w:footerReference w:type="even" r:id="rId209"/>
          <w:pgSz w:w="11900" w:h="16840"/>
          <w:pgMar w:header="566" w:footer="597" w:top="760" w:bottom="780" w:left="640" w:right="640"/>
          <w:pgNumType w:start="73"/>
        </w:sectPr>
      </w:pPr>
    </w:p>
    <w:p>
      <w:pPr>
        <w:pStyle w:val="ListParagraph"/>
        <w:numPr>
          <w:ilvl w:val="0"/>
          <w:numId w:val="45"/>
        </w:numPr>
        <w:tabs>
          <w:tab w:pos="639" w:val="left" w:leader="none"/>
          <w:tab w:pos="640" w:val="left" w:leader="none"/>
        </w:tabs>
        <w:spacing w:line="232" w:lineRule="auto" w:before="97" w:after="0"/>
        <w:ind w:left="160" w:right="73" w:firstLine="0"/>
        <w:jc w:val="left"/>
        <w:rPr>
          <w:sz w:val="18"/>
        </w:rPr>
      </w:pPr>
      <w:r>
        <w:rPr>
          <w:sz w:val="18"/>
        </w:rPr>
        <w:t>Before turning to its immediate policy decision, the Committee discussed the world economic outlook; exchange rates; money and asset prices; demand and output; labour market conditions; and prices and costs; reviewed the May projections for output and inflation; and considered the implications for policy of robust domestic inflationary pressures versus the disinflationary effects of sterling’s appreciation against the</w:t>
      </w:r>
      <w:r>
        <w:rPr>
          <w:spacing w:val="-13"/>
          <w:sz w:val="18"/>
        </w:rPr>
        <w:t> </w:t>
      </w:r>
      <w:r>
        <w:rPr>
          <w:sz w:val="18"/>
        </w:rPr>
        <w:t>euro.</w:t>
      </w:r>
    </w:p>
    <w:p>
      <w:pPr>
        <w:pStyle w:val="BodyText"/>
        <w:spacing w:before="2"/>
        <w:rPr>
          <w:sz w:val="20"/>
        </w:rPr>
      </w:pPr>
    </w:p>
    <w:p>
      <w:pPr>
        <w:pStyle w:val="Heading4"/>
        <w:ind w:left="160"/>
      </w:pPr>
      <w:r>
        <w:rPr>
          <w:color w:val="009391"/>
        </w:rPr>
        <w:t>The world economic outlook</w:t>
      </w:r>
    </w:p>
    <w:p>
      <w:pPr>
        <w:pStyle w:val="ListParagraph"/>
        <w:numPr>
          <w:ilvl w:val="0"/>
          <w:numId w:val="45"/>
        </w:numPr>
        <w:tabs>
          <w:tab w:pos="639" w:val="left" w:leader="none"/>
          <w:tab w:pos="640" w:val="left" w:leader="none"/>
        </w:tabs>
        <w:spacing w:line="232" w:lineRule="auto" w:before="130" w:after="0"/>
        <w:ind w:left="160" w:right="38" w:firstLine="0"/>
        <w:jc w:val="left"/>
        <w:rPr>
          <w:sz w:val="18"/>
        </w:rPr>
      </w:pPr>
      <w:r>
        <w:rPr>
          <w:sz w:val="18"/>
        </w:rPr>
        <w:t>The most significant news concerned the US, where recent output growth had again been surprisingly strong: 1.3% in 2000 Q1 after 1.8% in 1999 Q4. Final domestic demand growth had risen to 2.1%, with negative contributions to GDP from net trade and stockbuilding. There had also been more marked signs that the strength of demand was feeding through to prices and costs. Quarterly growth in employment costs had been 1.4% in Q1, up from 1.0% in 1999 Q4; the month-on-month rate of increase in the CPI had risen from 0.2% in January to 0.5% in February and to 0.7% in March; core CPI inflation had risen too, above expectations. The market was firmly expecting the FOMC to raise interest rates at its 16 May meeting, with some looking for an increase of 50 basis</w:t>
      </w:r>
      <w:r>
        <w:rPr>
          <w:spacing w:val="-6"/>
          <w:sz w:val="18"/>
        </w:rPr>
        <w:t> </w:t>
      </w:r>
      <w:r>
        <w:rPr>
          <w:sz w:val="18"/>
        </w:rPr>
        <w:t>points.</w:t>
      </w:r>
    </w:p>
    <w:p>
      <w:pPr>
        <w:pStyle w:val="BodyText"/>
        <w:spacing w:before="6"/>
        <w:rPr>
          <w:sz w:val="16"/>
        </w:rPr>
      </w:pPr>
    </w:p>
    <w:p>
      <w:pPr>
        <w:pStyle w:val="ListParagraph"/>
        <w:numPr>
          <w:ilvl w:val="0"/>
          <w:numId w:val="45"/>
        </w:numPr>
        <w:tabs>
          <w:tab w:pos="639" w:val="left" w:leader="none"/>
          <w:tab w:pos="640" w:val="left" w:leader="none"/>
        </w:tabs>
        <w:spacing w:line="232" w:lineRule="auto" w:before="0" w:after="0"/>
        <w:ind w:left="160" w:right="58" w:firstLine="0"/>
        <w:jc w:val="left"/>
        <w:rPr>
          <w:sz w:val="18"/>
        </w:rPr>
      </w:pPr>
      <w:r>
        <w:rPr>
          <w:sz w:val="18"/>
        </w:rPr>
        <w:t>Equity markets in the US, and perhaps in consequence elsewhere, had been highly volatile over the month. The NASDAQ was now substantially off the levels reached early in the year. Whereas the possibility of a large and disorderly equity price fall remained one of the key risks to the world economy, the equity market had risen so far over the past few years that an orderly correction need not give rise to concerns about the macroeconomic outlook; some correction was welcome, and indeed could usefully contribute to restraining US domestic demand</w:t>
      </w:r>
      <w:r>
        <w:rPr>
          <w:spacing w:val="-15"/>
          <w:sz w:val="18"/>
        </w:rPr>
        <w:t> </w:t>
      </w:r>
      <w:r>
        <w:rPr>
          <w:sz w:val="18"/>
        </w:rPr>
        <w:t>growth.</w:t>
      </w:r>
    </w:p>
    <w:p>
      <w:pPr>
        <w:pStyle w:val="BodyText"/>
        <w:spacing w:before="9"/>
        <w:rPr>
          <w:sz w:val="16"/>
        </w:rPr>
      </w:pPr>
    </w:p>
    <w:p>
      <w:pPr>
        <w:pStyle w:val="ListParagraph"/>
        <w:numPr>
          <w:ilvl w:val="0"/>
          <w:numId w:val="45"/>
        </w:numPr>
        <w:tabs>
          <w:tab w:pos="639" w:val="left" w:leader="none"/>
          <w:tab w:pos="640" w:val="left" w:leader="none"/>
        </w:tabs>
        <w:spacing w:line="232" w:lineRule="auto" w:before="0" w:after="0"/>
        <w:ind w:left="160" w:right="78" w:firstLine="0"/>
        <w:jc w:val="left"/>
        <w:rPr>
          <w:sz w:val="18"/>
        </w:rPr>
      </w:pPr>
      <w:r>
        <w:rPr>
          <w:sz w:val="18"/>
        </w:rPr>
        <w:t>If a further correction were to occur, which was far from certain, the implications for output and inflation would depend on the nature of the underlying shock. There would be an important difference between, on the one hand, a greater-than-expected tightening</w:t>
      </w:r>
      <w:r>
        <w:rPr>
          <w:spacing w:val="-5"/>
          <w:sz w:val="18"/>
        </w:rPr>
        <w:t> </w:t>
      </w:r>
      <w:r>
        <w:rPr>
          <w:sz w:val="18"/>
        </w:rPr>
        <w:t>of</w:t>
      </w:r>
      <w:r>
        <w:rPr>
          <w:spacing w:val="-5"/>
          <w:sz w:val="18"/>
        </w:rPr>
        <w:t> </w:t>
      </w:r>
      <w:r>
        <w:rPr>
          <w:sz w:val="18"/>
        </w:rPr>
        <w:t>US</w:t>
      </w:r>
      <w:r>
        <w:rPr>
          <w:spacing w:val="-5"/>
          <w:sz w:val="18"/>
        </w:rPr>
        <w:t> </w:t>
      </w:r>
      <w:r>
        <w:rPr>
          <w:sz w:val="18"/>
        </w:rPr>
        <w:t>monetary</w:t>
      </w:r>
      <w:r>
        <w:rPr>
          <w:spacing w:val="-5"/>
          <w:sz w:val="18"/>
        </w:rPr>
        <w:t> </w:t>
      </w:r>
      <w:r>
        <w:rPr>
          <w:sz w:val="18"/>
        </w:rPr>
        <w:t>policy</w:t>
      </w:r>
      <w:r>
        <w:rPr>
          <w:spacing w:val="-5"/>
          <w:sz w:val="18"/>
        </w:rPr>
        <w:t> </w:t>
      </w:r>
      <w:r>
        <w:rPr>
          <w:sz w:val="18"/>
        </w:rPr>
        <w:t>in</w:t>
      </w:r>
      <w:r>
        <w:rPr>
          <w:spacing w:val="-5"/>
          <w:sz w:val="18"/>
        </w:rPr>
        <w:t> </w:t>
      </w:r>
      <w:r>
        <w:rPr>
          <w:sz w:val="18"/>
        </w:rPr>
        <w:t>response</w:t>
      </w:r>
      <w:r>
        <w:rPr>
          <w:spacing w:val="-5"/>
          <w:sz w:val="18"/>
        </w:rPr>
        <w:t> </w:t>
      </w:r>
      <w:r>
        <w:rPr>
          <w:sz w:val="18"/>
        </w:rPr>
        <w:t>to</w:t>
      </w:r>
      <w:r>
        <w:rPr>
          <w:spacing w:val="-5"/>
          <w:sz w:val="18"/>
        </w:rPr>
        <w:t> </w:t>
      </w:r>
      <w:r>
        <w:rPr>
          <w:sz w:val="18"/>
        </w:rPr>
        <w:t>excess</w:t>
      </w:r>
      <w:r>
        <w:rPr>
          <w:spacing w:val="-5"/>
          <w:sz w:val="18"/>
        </w:rPr>
        <w:t> </w:t>
      </w:r>
      <w:r>
        <w:rPr>
          <w:sz w:val="18"/>
        </w:rPr>
        <w:t>demand</w:t>
      </w:r>
      <w:r>
        <w:rPr>
          <w:spacing w:val="-5"/>
          <w:sz w:val="18"/>
        </w:rPr>
        <w:t> </w:t>
      </w:r>
      <w:r>
        <w:rPr>
          <w:sz w:val="18"/>
        </w:rPr>
        <w:t>but with the story of significantly improved supply-side performance basically intact; and, on the other hand, news that the economy’s prospective supply capacity had not improved by as much as seemed to be built into current equity valuations and borrowing decisions. In the latter case, output growth could potentially fall back as prices accelerated.  It was not possible to be confident about which, if either, of an aggregate demand or an aggregate supply shock was the more</w:t>
      </w:r>
      <w:r>
        <w:rPr>
          <w:spacing w:val="-7"/>
          <w:sz w:val="18"/>
        </w:rPr>
        <w:t> </w:t>
      </w:r>
      <w:r>
        <w:rPr>
          <w:sz w:val="18"/>
        </w:rPr>
        <w:t>likely.</w:t>
      </w:r>
    </w:p>
    <w:p>
      <w:pPr>
        <w:pStyle w:val="BodyText"/>
        <w:spacing w:before="6"/>
        <w:rPr>
          <w:sz w:val="16"/>
        </w:rPr>
      </w:pPr>
    </w:p>
    <w:p>
      <w:pPr>
        <w:pStyle w:val="ListParagraph"/>
        <w:numPr>
          <w:ilvl w:val="0"/>
          <w:numId w:val="45"/>
        </w:numPr>
        <w:tabs>
          <w:tab w:pos="639" w:val="left" w:leader="none"/>
          <w:tab w:pos="640" w:val="left" w:leader="none"/>
        </w:tabs>
        <w:spacing w:line="232" w:lineRule="auto" w:before="0" w:after="0"/>
        <w:ind w:left="160" w:right="198" w:firstLine="0"/>
        <w:jc w:val="left"/>
        <w:rPr>
          <w:sz w:val="18"/>
        </w:rPr>
      </w:pPr>
      <w:r>
        <w:rPr>
          <w:sz w:val="18"/>
        </w:rPr>
        <w:t>Against</w:t>
      </w:r>
      <w:r>
        <w:rPr>
          <w:spacing w:val="-7"/>
          <w:sz w:val="18"/>
        </w:rPr>
        <w:t> </w:t>
      </w:r>
      <w:r>
        <w:rPr>
          <w:sz w:val="18"/>
        </w:rPr>
        <w:t>this</w:t>
      </w:r>
      <w:r>
        <w:rPr>
          <w:spacing w:val="-6"/>
          <w:sz w:val="18"/>
        </w:rPr>
        <w:t> </w:t>
      </w:r>
      <w:r>
        <w:rPr>
          <w:sz w:val="18"/>
        </w:rPr>
        <w:t>background,</w:t>
      </w:r>
      <w:r>
        <w:rPr>
          <w:spacing w:val="-7"/>
          <w:sz w:val="18"/>
        </w:rPr>
        <w:t> </w:t>
      </w:r>
      <w:r>
        <w:rPr>
          <w:sz w:val="18"/>
        </w:rPr>
        <w:t>the</w:t>
      </w:r>
      <w:r>
        <w:rPr>
          <w:spacing w:val="-6"/>
          <w:sz w:val="18"/>
        </w:rPr>
        <w:t> </w:t>
      </w:r>
      <w:r>
        <w:rPr>
          <w:sz w:val="18"/>
        </w:rPr>
        <w:t>Committee</w:t>
      </w:r>
      <w:r>
        <w:rPr>
          <w:spacing w:val="-6"/>
          <w:sz w:val="18"/>
        </w:rPr>
        <w:t> </w:t>
      </w:r>
      <w:r>
        <w:rPr>
          <w:sz w:val="18"/>
        </w:rPr>
        <w:t>incorporated</w:t>
      </w:r>
      <w:r>
        <w:rPr>
          <w:spacing w:val="-7"/>
          <w:sz w:val="18"/>
        </w:rPr>
        <w:t> </w:t>
      </w:r>
      <w:r>
        <w:rPr>
          <w:sz w:val="18"/>
        </w:rPr>
        <w:t>in</w:t>
      </w:r>
      <w:r>
        <w:rPr>
          <w:spacing w:val="-6"/>
          <w:sz w:val="18"/>
        </w:rPr>
        <w:t> </w:t>
      </w:r>
      <w:r>
        <w:rPr>
          <w:sz w:val="18"/>
        </w:rPr>
        <w:t>its central projections an assumption that the outlook for world economic growth had again strengthened, but with the balance of risks on the</w:t>
      </w:r>
      <w:r>
        <w:rPr>
          <w:spacing w:val="-4"/>
          <w:sz w:val="18"/>
        </w:rPr>
        <w:t> </w:t>
      </w:r>
      <w:r>
        <w:rPr>
          <w:sz w:val="18"/>
        </w:rPr>
        <w:t>downside.</w:t>
      </w:r>
    </w:p>
    <w:p>
      <w:pPr>
        <w:pStyle w:val="BodyText"/>
        <w:spacing w:before="4"/>
        <w:rPr>
          <w:sz w:val="20"/>
        </w:rPr>
      </w:pPr>
    </w:p>
    <w:p>
      <w:pPr>
        <w:pStyle w:val="Heading4"/>
        <w:ind w:left="160"/>
      </w:pPr>
      <w:r>
        <w:rPr>
          <w:color w:val="009391"/>
        </w:rPr>
        <w:t>Exchange rates</w:t>
      </w:r>
    </w:p>
    <w:p>
      <w:pPr>
        <w:pStyle w:val="ListParagraph"/>
        <w:numPr>
          <w:ilvl w:val="0"/>
          <w:numId w:val="45"/>
        </w:numPr>
        <w:tabs>
          <w:tab w:pos="639" w:val="left" w:leader="none"/>
          <w:tab w:pos="640" w:val="left" w:leader="none"/>
        </w:tabs>
        <w:spacing w:line="232" w:lineRule="auto" w:before="130" w:after="0"/>
        <w:ind w:left="160" w:right="124" w:firstLine="0"/>
        <w:jc w:val="left"/>
        <w:rPr>
          <w:sz w:val="18"/>
        </w:rPr>
      </w:pPr>
      <w:r>
        <w:rPr>
          <w:sz w:val="18"/>
        </w:rPr>
        <w:t>The euro had fallen by around 5% on its effective exchange rate index over the month; and by 6% against sterling, including 2% in the days immediately before the Committee’s meeting. Given</w:t>
      </w:r>
      <w:r>
        <w:rPr>
          <w:spacing w:val="-6"/>
          <w:sz w:val="18"/>
        </w:rPr>
        <w:t> </w:t>
      </w:r>
      <w:r>
        <w:rPr>
          <w:sz w:val="18"/>
        </w:rPr>
        <w:t>the</w:t>
      </w:r>
      <w:r>
        <w:rPr>
          <w:spacing w:val="-6"/>
          <w:sz w:val="18"/>
        </w:rPr>
        <w:t> </w:t>
      </w:r>
      <w:r>
        <w:rPr>
          <w:sz w:val="18"/>
        </w:rPr>
        <w:t>significance</w:t>
      </w:r>
      <w:r>
        <w:rPr>
          <w:spacing w:val="-6"/>
          <w:sz w:val="18"/>
        </w:rPr>
        <w:t> </w:t>
      </w:r>
      <w:r>
        <w:rPr>
          <w:sz w:val="18"/>
        </w:rPr>
        <w:t>of</w:t>
      </w:r>
      <w:r>
        <w:rPr>
          <w:spacing w:val="-6"/>
          <w:sz w:val="18"/>
        </w:rPr>
        <w:t> </w:t>
      </w:r>
      <w:r>
        <w:rPr>
          <w:sz w:val="18"/>
        </w:rPr>
        <w:t>sterling’s</w:t>
      </w:r>
      <w:r>
        <w:rPr>
          <w:spacing w:val="-6"/>
          <w:sz w:val="18"/>
        </w:rPr>
        <w:t> </w:t>
      </w:r>
      <w:r>
        <w:rPr>
          <w:sz w:val="18"/>
        </w:rPr>
        <w:t>further</w:t>
      </w:r>
      <w:r>
        <w:rPr>
          <w:spacing w:val="-5"/>
          <w:sz w:val="18"/>
        </w:rPr>
        <w:t> </w:t>
      </w:r>
      <w:r>
        <w:rPr>
          <w:sz w:val="18"/>
        </w:rPr>
        <w:t>appreciation</w:t>
      </w:r>
      <w:r>
        <w:rPr>
          <w:spacing w:val="-6"/>
          <w:sz w:val="18"/>
        </w:rPr>
        <w:t> </w:t>
      </w:r>
      <w:r>
        <w:rPr>
          <w:sz w:val="18"/>
        </w:rPr>
        <w:t>for</w:t>
      </w:r>
      <w:r>
        <w:rPr>
          <w:spacing w:val="-6"/>
          <w:sz w:val="18"/>
        </w:rPr>
        <w:t> </w:t>
      </w:r>
      <w:r>
        <w:rPr>
          <w:sz w:val="18"/>
        </w:rPr>
        <w:t>the</w:t>
      </w:r>
      <w:r>
        <w:rPr>
          <w:spacing w:val="-6"/>
          <w:sz w:val="18"/>
        </w:rPr>
        <w:t> </w:t>
      </w:r>
      <w:r>
        <w:rPr>
          <w:sz w:val="18"/>
        </w:rPr>
        <w:t>UK economic outlook, the Committee debated a series of possible reasons for euro weakness that were being canvassed in the markets.</w:t>
      </w:r>
    </w:p>
    <w:p>
      <w:pPr>
        <w:pStyle w:val="BodyText"/>
        <w:spacing w:before="10"/>
        <w:rPr>
          <w:sz w:val="16"/>
        </w:rPr>
      </w:pPr>
    </w:p>
    <w:p>
      <w:pPr>
        <w:pStyle w:val="ListParagraph"/>
        <w:numPr>
          <w:ilvl w:val="0"/>
          <w:numId w:val="45"/>
        </w:numPr>
        <w:tabs>
          <w:tab w:pos="640" w:val="left" w:leader="none"/>
        </w:tabs>
        <w:spacing w:line="232" w:lineRule="auto" w:before="0" w:after="0"/>
        <w:ind w:left="160" w:right="528" w:firstLine="0"/>
        <w:jc w:val="both"/>
        <w:rPr>
          <w:sz w:val="18"/>
        </w:rPr>
      </w:pPr>
      <w:r>
        <w:rPr>
          <w:sz w:val="18"/>
        </w:rPr>
        <w:t>One possible explanation was the gap between US and euro-area supply-side performance. If US trend productivity growth</w:t>
      </w:r>
      <w:r>
        <w:rPr>
          <w:spacing w:val="-4"/>
          <w:sz w:val="18"/>
        </w:rPr>
        <w:t> </w:t>
      </w:r>
      <w:r>
        <w:rPr>
          <w:sz w:val="18"/>
        </w:rPr>
        <w:t>had</w:t>
      </w:r>
      <w:r>
        <w:rPr>
          <w:spacing w:val="-4"/>
          <w:sz w:val="18"/>
        </w:rPr>
        <w:t> </w:t>
      </w:r>
      <w:r>
        <w:rPr>
          <w:sz w:val="18"/>
        </w:rPr>
        <w:t>risen</w:t>
      </w:r>
      <w:r>
        <w:rPr>
          <w:spacing w:val="-3"/>
          <w:sz w:val="18"/>
        </w:rPr>
        <w:t> </w:t>
      </w:r>
      <w:r>
        <w:rPr>
          <w:sz w:val="18"/>
        </w:rPr>
        <w:t>relative</w:t>
      </w:r>
      <w:r>
        <w:rPr>
          <w:spacing w:val="-4"/>
          <w:sz w:val="18"/>
        </w:rPr>
        <w:t> </w:t>
      </w:r>
      <w:r>
        <w:rPr>
          <w:sz w:val="18"/>
        </w:rPr>
        <w:t>to</w:t>
      </w:r>
      <w:r>
        <w:rPr>
          <w:spacing w:val="-3"/>
          <w:sz w:val="18"/>
        </w:rPr>
        <w:t> </w:t>
      </w:r>
      <w:r>
        <w:rPr>
          <w:sz w:val="18"/>
        </w:rPr>
        <w:t>that</w:t>
      </w:r>
      <w:r>
        <w:rPr>
          <w:spacing w:val="-4"/>
          <w:sz w:val="18"/>
        </w:rPr>
        <w:t> </w:t>
      </w:r>
      <w:r>
        <w:rPr>
          <w:sz w:val="18"/>
        </w:rPr>
        <w:t>of</w:t>
      </w:r>
      <w:r>
        <w:rPr>
          <w:spacing w:val="-3"/>
          <w:sz w:val="18"/>
        </w:rPr>
        <w:t> </w:t>
      </w:r>
      <w:r>
        <w:rPr>
          <w:sz w:val="18"/>
        </w:rPr>
        <w:t>the</w:t>
      </w:r>
      <w:r>
        <w:rPr>
          <w:spacing w:val="-4"/>
          <w:sz w:val="18"/>
        </w:rPr>
        <w:t> </w:t>
      </w:r>
      <w:r>
        <w:rPr>
          <w:sz w:val="18"/>
        </w:rPr>
        <w:t>euro</w:t>
      </w:r>
      <w:r>
        <w:rPr>
          <w:spacing w:val="-3"/>
          <w:sz w:val="18"/>
        </w:rPr>
        <w:t> </w:t>
      </w:r>
      <w:r>
        <w:rPr>
          <w:sz w:val="18"/>
        </w:rPr>
        <w:t>area,</w:t>
      </w:r>
      <w:r>
        <w:rPr>
          <w:spacing w:val="-4"/>
          <w:sz w:val="18"/>
        </w:rPr>
        <w:t> </w:t>
      </w:r>
      <w:r>
        <w:rPr>
          <w:sz w:val="18"/>
        </w:rPr>
        <w:t>it</w:t>
      </w:r>
      <w:r>
        <w:rPr>
          <w:spacing w:val="-3"/>
          <w:sz w:val="18"/>
        </w:rPr>
        <w:t> </w:t>
      </w:r>
      <w:r>
        <w:rPr>
          <w:sz w:val="18"/>
        </w:rPr>
        <w:t>was</w:t>
      </w:r>
      <w:r>
        <w:rPr>
          <w:spacing w:val="-4"/>
          <w:sz w:val="18"/>
        </w:rPr>
        <w:t> </w:t>
      </w:r>
      <w:r>
        <w:rPr>
          <w:sz w:val="18"/>
        </w:rPr>
        <w:t>to</w:t>
      </w:r>
      <w:r>
        <w:rPr>
          <w:spacing w:val="-3"/>
          <w:sz w:val="18"/>
        </w:rPr>
        <w:t> </w:t>
      </w:r>
      <w:r>
        <w:rPr>
          <w:sz w:val="18"/>
        </w:rPr>
        <w:t>be</w:t>
      </w:r>
    </w:p>
    <w:p>
      <w:pPr>
        <w:pStyle w:val="BodyText"/>
        <w:spacing w:line="232" w:lineRule="auto" w:before="97"/>
        <w:ind w:left="160" w:right="486"/>
      </w:pPr>
      <w:r>
        <w:rPr/>
        <w:br w:type="column"/>
      </w:r>
      <w:r>
        <w:rPr/>
        <w:t>expected that investment capital would flow to the US, accompanied by an adjustment in the real exchange rate. There was some support for that view in capital account data for the past few years. However, it was difficult to see how relative supply-side performance could explain the euro’s sharp depreciation over recent months, particularly as there had been</w:t>
      </w:r>
    </w:p>
    <w:p>
      <w:pPr>
        <w:pStyle w:val="BodyText"/>
        <w:spacing w:line="232" w:lineRule="auto"/>
        <w:ind w:left="160" w:right="185"/>
      </w:pPr>
      <w:r>
        <w:rPr/>
        <w:t>some positive news about structural reform in euro-area economies. Moreover, this story was not easily reconciled with the strength of euro-area equity markets.</w:t>
      </w:r>
    </w:p>
    <w:p>
      <w:pPr>
        <w:pStyle w:val="BodyText"/>
        <w:spacing w:before="9"/>
        <w:rPr>
          <w:sz w:val="16"/>
        </w:rPr>
      </w:pPr>
    </w:p>
    <w:p>
      <w:pPr>
        <w:pStyle w:val="ListParagraph"/>
        <w:numPr>
          <w:ilvl w:val="0"/>
          <w:numId w:val="45"/>
        </w:numPr>
        <w:tabs>
          <w:tab w:pos="639" w:val="left" w:leader="none"/>
          <w:tab w:pos="640" w:val="left" w:leader="none"/>
        </w:tabs>
        <w:spacing w:line="232" w:lineRule="auto" w:before="0" w:after="0"/>
        <w:ind w:left="160" w:right="249" w:firstLine="0"/>
        <w:jc w:val="left"/>
        <w:rPr>
          <w:sz w:val="18"/>
        </w:rPr>
      </w:pPr>
      <w:r>
        <w:rPr>
          <w:sz w:val="18"/>
        </w:rPr>
        <w:t>A</w:t>
      </w:r>
      <w:r>
        <w:rPr>
          <w:spacing w:val="-6"/>
          <w:sz w:val="18"/>
        </w:rPr>
        <w:t> </w:t>
      </w:r>
      <w:r>
        <w:rPr>
          <w:sz w:val="18"/>
        </w:rPr>
        <w:t>second</w:t>
      </w:r>
      <w:r>
        <w:rPr>
          <w:spacing w:val="-6"/>
          <w:sz w:val="18"/>
        </w:rPr>
        <w:t> </w:t>
      </w:r>
      <w:r>
        <w:rPr>
          <w:sz w:val="18"/>
        </w:rPr>
        <w:t>possible</w:t>
      </w:r>
      <w:r>
        <w:rPr>
          <w:spacing w:val="-5"/>
          <w:sz w:val="18"/>
        </w:rPr>
        <w:t> </w:t>
      </w:r>
      <w:r>
        <w:rPr>
          <w:sz w:val="18"/>
        </w:rPr>
        <w:t>explanation</w:t>
      </w:r>
      <w:r>
        <w:rPr>
          <w:spacing w:val="-6"/>
          <w:sz w:val="18"/>
        </w:rPr>
        <w:t> </w:t>
      </w:r>
      <w:r>
        <w:rPr>
          <w:sz w:val="18"/>
        </w:rPr>
        <w:t>was</w:t>
      </w:r>
      <w:r>
        <w:rPr>
          <w:spacing w:val="-5"/>
          <w:sz w:val="18"/>
        </w:rPr>
        <w:t> </w:t>
      </w:r>
      <w:r>
        <w:rPr>
          <w:sz w:val="18"/>
        </w:rPr>
        <w:t>the</w:t>
      </w:r>
      <w:r>
        <w:rPr>
          <w:spacing w:val="-6"/>
          <w:sz w:val="18"/>
        </w:rPr>
        <w:t> </w:t>
      </w:r>
      <w:r>
        <w:rPr>
          <w:sz w:val="18"/>
        </w:rPr>
        <w:t>suggestion</w:t>
      </w:r>
      <w:r>
        <w:rPr>
          <w:spacing w:val="-6"/>
          <w:sz w:val="18"/>
        </w:rPr>
        <w:t> </w:t>
      </w:r>
      <w:r>
        <w:rPr>
          <w:sz w:val="18"/>
        </w:rPr>
        <w:t>that</w:t>
      </w:r>
      <w:r>
        <w:rPr>
          <w:spacing w:val="-5"/>
          <w:sz w:val="18"/>
        </w:rPr>
        <w:t> </w:t>
      </w:r>
      <w:r>
        <w:rPr>
          <w:sz w:val="18"/>
        </w:rPr>
        <w:t>some market participants felt that the ECB was ‘behind the curve’. But looking at, for example, unemployment levels in the euro area as a whole, it was also possible to argue that policy was ‘ahead of the curve’. Overall, given the news about the outlook and the ECB’s objectives, policy seemed to be within the range which would generally be expected. Consistent with that, bond yields had not risen in a way that suggested that medium-to-long run inflation expectations were out of line with the ECB’s goals, and so did not suggest that ECB policy lacked credibility. There had, though, been some market comment about the recent pace of money (and credit) growth, which was now well above the ECB’s quantitative reference value. It was conceivable that the market was uncertain about the relative importance of this factor in the ECB’s broader strategy of medium-term price stability. But it was not easy to see how this could explain such a large and persistent fall in the external value of the</w:t>
      </w:r>
      <w:r>
        <w:rPr>
          <w:spacing w:val="-6"/>
          <w:sz w:val="18"/>
        </w:rPr>
        <w:t> </w:t>
      </w:r>
      <w:r>
        <w:rPr>
          <w:sz w:val="18"/>
        </w:rPr>
        <w:t>euro.</w:t>
      </w:r>
    </w:p>
    <w:p>
      <w:pPr>
        <w:pStyle w:val="BodyText"/>
        <w:spacing w:before="3"/>
        <w:rPr>
          <w:sz w:val="16"/>
        </w:rPr>
      </w:pPr>
    </w:p>
    <w:p>
      <w:pPr>
        <w:pStyle w:val="ListParagraph"/>
        <w:numPr>
          <w:ilvl w:val="0"/>
          <w:numId w:val="45"/>
        </w:numPr>
        <w:tabs>
          <w:tab w:pos="639" w:val="left" w:leader="none"/>
          <w:tab w:pos="640" w:val="left" w:leader="none"/>
        </w:tabs>
        <w:spacing w:line="232" w:lineRule="auto" w:before="0" w:after="0"/>
        <w:ind w:left="160" w:right="185" w:firstLine="0"/>
        <w:jc w:val="left"/>
        <w:rPr>
          <w:sz w:val="18"/>
        </w:rPr>
      </w:pPr>
      <w:r>
        <w:rPr>
          <w:sz w:val="18"/>
        </w:rPr>
        <w:t>A third possible explanation was that some market participants were concerned about the diverse range of official commentary</w:t>
      </w:r>
      <w:r>
        <w:rPr>
          <w:spacing w:val="-8"/>
          <w:sz w:val="18"/>
        </w:rPr>
        <w:t> </w:t>
      </w:r>
      <w:r>
        <w:rPr>
          <w:sz w:val="18"/>
        </w:rPr>
        <w:t>on</w:t>
      </w:r>
      <w:r>
        <w:rPr>
          <w:spacing w:val="-7"/>
          <w:sz w:val="18"/>
        </w:rPr>
        <w:t> </w:t>
      </w:r>
      <w:r>
        <w:rPr>
          <w:sz w:val="18"/>
        </w:rPr>
        <w:t>euro-area</w:t>
      </w:r>
      <w:r>
        <w:rPr>
          <w:spacing w:val="-7"/>
          <w:sz w:val="18"/>
        </w:rPr>
        <w:t> </w:t>
      </w:r>
      <w:r>
        <w:rPr>
          <w:sz w:val="18"/>
        </w:rPr>
        <w:t>monetary</w:t>
      </w:r>
      <w:r>
        <w:rPr>
          <w:spacing w:val="-7"/>
          <w:sz w:val="18"/>
        </w:rPr>
        <w:t> </w:t>
      </w:r>
      <w:r>
        <w:rPr>
          <w:sz w:val="18"/>
        </w:rPr>
        <w:t>policy,</w:t>
      </w:r>
      <w:r>
        <w:rPr>
          <w:spacing w:val="-7"/>
          <w:sz w:val="18"/>
        </w:rPr>
        <w:t> </w:t>
      </w:r>
      <w:r>
        <w:rPr>
          <w:sz w:val="18"/>
        </w:rPr>
        <w:t>from</w:t>
      </w:r>
      <w:r>
        <w:rPr>
          <w:spacing w:val="-7"/>
          <w:sz w:val="18"/>
        </w:rPr>
        <w:t> </w:t>
      </w:r>
      <w:r>
        <w:rPr>
          <w:sz w:val="18"/>
        </w:rPr>
        <w:t>finance</w:t>
      </w:r>
      <w:r>
        <w:rPr>
          <w:spacing w:val="-7"/>
          <w:sz w:val="18"/>
        </w:rPr>
        <w:t> </w:t>
      </w:r>
      <w:r>
        <w:rPr>
          <w:sz w:val="18"/>
        </w:rPr>
        <w:t>ministries, national central banks and the ECB. Related to that, it was conceivable that there were concerns that communication—and perhaps even the formulation—of ECB policy would become still more complicated as membership of the euro area expanded. More broadly, the market had apparently been concerned about recent political developments in some euro-area</w:t>
      </w:r>
      <w:r>
        <w:rPr>
          <w:spacing w:val="-12"/>
          <w:sz w:val="18"/>
        </w:rPr>
        <w:t> </w:t>
      </w:r>
      <w:r>
        <w:rPr>
          <w:sz w:val="18"/>
        </w:rPr>
        <w:t>countries.</w:t>
      </w:r>
    </w:p>
    <w:p>
      <w:pPr>
        <w:pStyle w:val="BodyText"/>
        <w:spacing w:before="9"/>
        <w:rPr>
          <w:sz w:val="16"/>
        </w:rPr>
      </w:pPr>
    </w:p>
    <w:p>
      <w:pPr>
        <w:pStyle w:val="ListParagraph"/>
        <w:numPr>
          <w:ilvl w:val="0"/>
          <w:numId w:val="45"/>
        </w:numPr>
        <w:tabs>
          <w:tab w:pos="639" w:val="left" w:leader="none"/>
          <w:tab w:pos="640" w:val="left" w:leader="none"/>
        </w:tabs>
        <w:spacing w:line="232" w:lineRule="auto" w:before="0" w:after="0"/>
        <w:ind w:left="160" w:right="236" w:firstLine="0"/>
        <w:jc w:val="left"/>
        <w:rPr>
          <w:sz w:val="18"/>
        </w:rPr>
      </w:pPr>
      <w:r>
        <w:rPr>
          <w:sz w:val="18"/>
        </w:rPr>
        <w:t>The Committee could not identify a compelling economic explanation for the recent euro weakness. Some members were inclined</w:t>
      </w:r>
      <w:r>
        <w:rPr>
          <w:spacing w:val="-6"/>
          <w:sz w:val="18"/>
        </w:rPr>
        <w:t> </w:t>
      </w:r>
      <w:r>
        <w:rPr>
          <w:sz w:val="18"/>
        </w:rPr>
        <w:t>to</w:t>
      </w:r>
      <w:r>
        <w:rPr>
          <w:spacing w:val="-5"/>
          <w:sz w:val="18"/>
        </w:rPr>
        <w:t> </w:t>
      </w:r>
      <w:r>
        <w:rPr>
          <w:sz w:val="18"/>
        </w:rPr>
        <w:t>believe</w:t>
      </w:r>
      <w:r>
        <w:rPr>
          <w:spacing w:val="-5"/>
          <w:sz w:val="18"/>
        </w:rPr>
        <w:t> </w:t>
      </w:r>
      <w:r>
        <w:rPr>
          <w:sz w:val="18"/>
        </w:rPr>
        <w:t>that</w:t>
      </w:r>
      <w:r>
        <w:rPr>
          <w:spacing w:val="-5"/>
          <w:sz w:val="18"/>
        </w:rPr>
        <w:t> </w:t>
      </w:r>
      <w:r>
        <w:rPr>
          <w:sz w:val="18"/>
        </w:rPr>
        <w:t>the</w:t>
      </w:r>
      <w:r>
        <w:rPr>
          <w:spacing w:val="-6"/>
          <w:sz w:val="18"/>
        </w:rPr>
        <w:t> </w:t>
      </w:r>
      <w:r>
        <w:rPr>
          <w:sz w:val="18"/>
        </w:rPr>
        <w:t>recent</w:t>
      </w:r>
      <w:r>
        <w:rPr>
          <w:spacing w:val="-5"/>
          <w:sz w:val="18"/>
        </w:rPr>
        <w:t> </w:t>
      </w:r>
      <w:r>
        <w:rPr>
          <w:sz w:val="18"/>
        </w:rPr>
        <w:t>falls</w:t>
      </w:r>
      <w:r>
        <w:rPr>
          <w:spacing w:val="-5"/>
          <w:sz w:val="18"/>
        </w:rPr>
        <w:t> </w:t>
      </w:r>
      <w:r>
        <w:rPr>
          <w:sz w:val="18"/>
        </w:rPr>
        <w:t>had</w:t>
      </w:r>
      <w:r>
        <w:rPr>
          <w:spacing w:val="-5"/>
          <w:sz w:val="18"/>
        </w:rPr>
        <w:t> </w:t>
      </w:r>
      <w:r>
        <w:rPr>
          <w:sz w:val="18"/>
        </w:rPr>
        <w:t>reflected</w:t>
      </w:r>
      <w:r>
        <w:rPr>
          <w:spacing w:val="-6"/>
          <w:sz w:val="18"/>
        </w:rPr>
        <w:t> </w:t>
      </w:r>
      <w:r>
        <w:rPr>
          <w:sz w:val="18"/>
        </w:rPr>
        <w:t>momentum,</w:t>
      </w:r>
      <w:r>
        <w:rPr>
          <w:spacing w:val="-5"/>
          <w:sz w:val="18"/>
        </w:rPr>
        <w:t> </w:t>
      </w:r>
      <w:r>
        <w:rPr>
          <w:sz w:val="18"/>
        </w:rPr>
        <w:t>or what might be called ‘psychological factors’. There was anecdote suggesting that some large trades had had a more persistent impact than</w:t>
      </w:r>
      <w:r>
        <w:rPr>
          <w:spacing w:val="-2"/>
          <w:sz w:val="18"/>
        </w:rPr>
        <w:t> </w:t>
      </w:r>
      <w:r>
        <w:rPr>
          <w:sz w:val="18"/>
        </w:rPr>
        <w:t>usual.</w:t>
      </w:r>
    </w:p>
    <w:p>
      <w:pPr>
        <w:pStyle w:val="BodyText"/>
        <w:rPr>
          <w:sz w:val="17"/>
        </w:rPr>
      </w:pPr>
    </w:p>
    <w:p>
      <w:pPr>
        <w:pStyle w:val="ListParagraph"/>
        <w:numPr>
          <w:ilvl w:val="0"/>
          <w:numId w:val="45"/>
        </w:numPr>
        <w:tabs>
          <w:tab w:pos="639" w:val="left" w:leader="none"/>
          <w:tab w:pos="640" w:val="left" w:leader="none"/>
        </w:tabs>
        <w:spacing w:line="232" w:lineRule="auto" w:before="0" w:after="0"/>
        <w:ind w:left="160" w:right="365" w:firstLine="0"/>
        <w:jc w:val="left"/>
        <w:rPr>
          <w:sz w:val="18"/>
        </w:rPr>
      </w:pPr>
      <w:r>
        <w:rPr>
          <w:sz w:val="18"/>
        </w:rPr>
        <w:t>The Committee concluded that the current levels of the euro-dollar and euro-sterling exchange rates were unlikely to be sustained. But while sterling was expected to fall at some point against</w:t>
      </w:r>
      <w:r>
        <w:rPr>
          <w:spacing w:val="-5"/>
          <w:sz w:val="18"/>
        </w:rPr>
        <w:t> </w:t>
      </w:r>
      <w:r>
        <w:rPr>
          <w:sz w:val="18"/>
        </w:rPr>
        <w:t>the</w:t>
      </w:r>
      <w:r>
        <w:rPr>
          <w:spacing w:val="-4"/>
          <w:sz w:val="18"/>
        </w:rPr>
        <w:t> </w:t>
      </w:r>
      <w:r>
        <w:rPr>
          <w:sz w:val="18"/>
        </w:rPr>
        <w:t>euro,</w:t>
      </w:r>
      <w:r>
        <w:rPr>
          <w:spacing w:val="-4"/>
          <w:sz w:val="18"/>
        </w:rPr>
        <w:t> </w:t>
      </w:r>
      <w:r>
        <w:rPr>
          <w:sz w:val="18"/>
        </w:rPr>
        <w:t>it</w:t>
      </w:r>
      <w:r>
        <w:rPr>
          <w:spacing w:val="-5"/>
          <w:sz w:val="18"/>
        </w:rPr>
        <w:t> </w:t>
      </w:r>
      <w:r>
        <w:rPr>
          <w:sz w:val="18"/>
        </w:rPr>
        <w:t>was</w:t>
      </w:r>
      <w:r>
        <w:rPr>
          <w:spacing w:val="-4"/>
          <w:sz w:val="18"/>
        </w:rPr>
        <w:t> </w:t>
      </w:r>
      <w:r>
        <w:rPr>
          <w:sz w:val="18"/>
        </w:rPr>
        <w:t>impossible</w:t>
      </w:r>
      <w:r>
        <w:rPr>
          <w:spacing w:val="-4"/>
          <w:sz w:val="18"/>
        </w:rPr>
        <w:t> </w:t>
      </w:r>
      <w:r>
        <w:rPr>
          <w:sz w:val="18"/>
        </w:rPr>
        <w:t>to</w:t>
      </w:r>
      <w:r>
        <w:rPr>
          <w:spacing w:val="-5"/>
          <w:sz w:val="18"/>
        </w:rPr>
        <w:t> </w:t>
      </w:r>
      <w:r>
        <w:rPr>
          <w:sz w:val="18"/>
        </w:rPr>
        <w:t>predict</w:t>
      </w:r>
      <w:r>
        <w:rPr>
          <w:spacing w:val="-4"/>
          <w:sz w:val="18"/>
        </w:rPr>
        <w:t> </w:t>
      </w:r>
      <w:r>
        <w:rPr>
          <w:sz w:val="18"/>
        </w:rPr>
        <w:t>the</w:t>
      </w:r>
      <w:r>
        <w:rPr>
          <w:spacing w:val="-4"/>
          <w:sz w:val="18"/>
        </w:rPr>
        <w:t> </w:t>
      </w:r>
      <w:r>
        <w:rPr>
          <w:sz w:val="18"/>
        </w:rPr>
        <w:t>timing</w:t>
      </w:r>
      <w:r>
        <w:rPr>
          <w:spacing w:val="-5"/>
          <w:sz w:val="18"/>
        </w:rPr>
        <w:t> </w:t>
      </w:r>
      <w:r>
        <w:rPr>
          <w:sz w:val="18"/>
        </w:rPr>
        <w:t>or</w:t>
      </w:r>
      <w:r>
        <w:rPr>
          <w:spacing w:val="-4"/>
          <w:sz w:val="18"/>
        </w:rPr>
        <w:t> </w:t>
      </w:r>
      <w:r>
        <w:rPr>
          <w:sz w:val="18"/>
        </w:rPr>
        <w:t>size</w:t>
      </w:r>
      <w:r>
        <w:rPr>
          <w:spacing w:val="-4"/>
          <w:sz w:val="18"/>
        </w:rPr>
        <w:t> </w:t>
      </w:r>
      <w:r>
        <w:rPr>
          <w:sz w:val="18"/>
        </w:rPr>
        <w:t>of</w:t>
      </w:r>
    </w:p>
    <w:p>
      <w:pPr>
        <w:pStyle w:val="BodyText"/>
        <w:spacing w:line="232" w:lineRule="auto"/>
        <w:ind w:left="160" w:right="185"/>
        <w:jc w:val="both"/>
      </w:pPr>
      <w:r>
        <w:rPr/>
        <w:t>any such adjustment. A likely trigger could be a large fall in global equity markets, led by the US; that could prompt a fall in the dollar against the euro, and possibly therefore in the sterling-euro rate.</w:t>
      </w:r>
    </w:p>
    <w:p>
      <w:pPr>
        <w:pStyle w:val="BodyText"/>
        <w:spacing w:line="232" w:lineRule="auto"/>
        <w:ind w:left="160" w:right="187"/>
      </w:pPr>
      <w:r>
        <w:rPr/>
        <w:t>Alternatively, it was possible that sterling might decouple from the dollar in the event of greater market awareness of differences in the relative cyclical positions and in supply-side prospects for the US and the UK.</w:t>
      </w:r>
    </w:p>
    <w:p>
      <w:pPr>
        <w:pStyle w:val="BodyText"/>
        <w:spacing w:before="4"/>
      </w:pPr>
    </w:p>
    <w:p>
      <w:pPr>
        <w:pStyle w:val="ListParagraph"/>
        <w:numPr>
          <w:ilvl w:val="0"/>
          <w:numId w:val="45"/>
        </w:numPr>
        <w:tabs>
          <w:tab w:pos="639" w:val="left" w:leader="none"/>
          <w:tab w:pos="640" w:val="left" w:leader="none"/>
        </w:tabs>
        <w:spacing w:line="232" w:lineRule="auto" w:before="0" w:after="0"/>
        <w:ind w:left="160" w:right="176" w:firstLine="0"/>
        <w:jc w:val="left"/>
        <w:rPr>
          <w:sz w:val="18"/>
        </w:rPr>
      </w:pPr>
      <w:r>
        <w:rPr>
          <w:sz w:val="18"/>
        </w:rPr>
        <w:t>The Committee decided to assume in the central projection that sterling’s path over the next two years would lie halfway between a constant nominal rate and a depreciation in line with interest rate differentials. Although some members preferred the former</w:t>
      </w:r>
      <w:r>
        <w:rPr>
          <w:spacing w:val="-6"/>
          <w:sz w:val="18"/>
        </w:rPr>
        <w:t> </w:t>
      </w:r>
      <w:r>
        <w:rPr>
          <w:sz w:val="18"/>
        </w:rPr>
        <w:t>and</w:t>
      </w:r>
      <w:r>
        <w:rPr>
          <w:spacing w:val="-5"/>
          <w:sz w:val="18"/>
        </w:rPr>
        <w:t> </w:t>
      </w:r>
      <w:r>
        <w:rPr>
          <w:sz w:val="18"/>
        </w:rPr>
        <w:t>some</w:t>
      </w:r>
      <w:r>
        <w:rPr>
          <w:spacing w:val="-5"/>
          <w:sz w:val="18"/>
        </w:rPr>
        <w:t> </w:t>
      </w:r>
      <w:r>
        <w:rPr>
          <w:sz w:val="18"/>
        </w:rPr>
        <w:t>the</w:t>
      </w:r>
      <w:r>
        <w:rPr>
          <w:spacing w:val="-5"/>
          <w:sz w:val="18"/>
        </w:rPr>
        <w:t> </w:t>
      </w:r>
      <w:r>
        <w:rPr>
          <w:sz w:val="18"/>
        </w:rPr>
        <w:t>latter,</w:t>
      </w:r>
      <w:r>
        <w:rPr>
          <w:spacing w:val="-5"/>
          <w:sz w:val="18"/>
        </w:rPr>
        <w:t> </w:t>
      </w:r>
      <w:r>
        <w:rPr>
          <w:sz w:val="18"/>
        </w:rPr>
        <w:t>a</w:t>
      </w:r>
      <w:r>
        <w:rPr>
          <w:spacing w:val="-5"/>
          <w:sz w:val="18"/>
        </w:rPr>
        <w:t> </w:t>
      </w:r>
      <w:r>
        <w:rPr>
          <w:sz w:val="18"/>
        </w:rPr>
        <w:t>majority</w:t>
      </w:r>
      <w:r>
        <w:rPr>
          <w:spacing w:val="-6"/>
          <w:sz w:val="18"/>
        </w:rPr>
        <w:t> </w:t>
      </w:r>
      <w:r>
        <w:rPr>
          <w:sz w:val="18"/>
        </w:rPr>
        <w:t>preferred</w:t>
      </w:r>
      <w:r>
        <w:rPr>
          <w:spacing w:val="-5"/>
          <w:sz w:val="18"/>
        </w:rPr>
        <w:t> </w:t>
      </w:r>
      <w:r>
        <w:rPr>
          <w:sz w:val="18"/>
        </w:rPr>
        <w:t>an</w:t>
      </w:r>
      <w:r>
        <w:rPr>
          <w:spacing w:val="-5"/>
          <w:sz w:val="18"/>
        </w:rPr>
        <w:t> </w:t>
      </w:r>
      <w:r>
        <w:rPr>
          <w:sz w:val="18"/>
        </w:rPr>
        <w:t>average</w:t>
      </w:r>
      <w:r>
        <w:rPr>
          <w:spacing w:val="-5"/>
          <w:sz w:val="18"/>
        </w:rPr>
        <w:t> </w:t>
      </w:r>
      <w:r>
        <w:rPr>
          <w:sz w:val="18"/>
        </w:rPr>
        <w:t>between the</w:t>
      </w:r>
      <w:r>
        <w:rPr>
          <w:spacing w:val="-2"/>
          <w:sz w:val="18"/>
        </w:rPr>
        <w:t> </w:t>
      </w:r>
      <w:r>
        <w:rPr>
          <w:sz w:val="18"/>
        </w:rPr>
        <w:t>two.</w:t>
      </w:r>
    </w:p>
    <w:p>
      <w:pPr>
        <w:pStyle w:val="BodyText"/>
        <w:spacing w:before="9"/>
      </w:pPr>
    </w:p>
    <w:p>
      <w:pPr>
        <w:pStyle w:val="ListParagraph"/>
        <w:numPr>
          <w:ilvl w:val="0"/>
          <w:numId w:val="45"/>
        </w:numPr>
        <w:tabs>
          <w:tab w:pos="639" w:val="left" w:leader="none"/>
          <w:tab w:pos="640" w:val="left" w:leader="none"/>
        </w:tabs>
        <w:spacing w:line="232" w:lineRule="auto" w:before="0" w:after="0"/>
        <w:ind w:left="160" w:right="395" w:firstLine="0"/>
        <w:jc w:val="left"/>
        <w:rPr>
          <w:sz w:val="18"/>
        </w:rPr>
      </w:pPr>
      <w:r>
        <w:rPr>
          <w:sz w:val="18"/>
        </w:rPr>
        <w:t>The Committee’s projections used as the starting point a 15</w:t>
      </w:r>
      <w:r>
        <w:rPr>
          <w:spacing w:val="-7"/>
          <w:sz w:val="18"/>
        </w:rPr>
        <w:t> </w:t>
      </w:r>
      <w:r>
        <w:rPr>
          <w:sz w:val="18"/>
        </w:rPr>
        <w:t>working-day</w:t>
      </w:r>
      <w:r>
        <w:rPr>
          <w:spacing w:val="-6"/>
          <w:sz w:val="18"/>
        </w:rPr>
        <w:t> </w:t>
      </w:r>
      <w:r>
        <w:rPr>
          <w:sz w:val="18"/>
        </w:rPr>
        <w:t>average</w:t>
      </w:r>
      <w:r>
        <w:rPr>
          <w:spacing w:val="-6"/>
          <w:sz w:val="18"/>
        </w:rPr>
        <w:t> </w:t>
      </w:r>
      <w:r>
        <w:rPr>
          <w:sz w:val="18"/>
        </w:rPr>
        <w:t>of</w:t>
      </w:r>
      <w:r>
        <w:rPr>
          <w:spacing w:val="-6"/>
          <w:sz w:val="18"/>
        </w:rPr>
        <w:t> </w:t>
      </w:r>
      <w:r>
        <w:rPr>
          <w:sz w:val="18"/>
        </w:rPr>
        <w:t>sterling’s</w:t>
      </w:r>
      <w:r>
        <w:rPr>
          <w:spacing w:val="-6"/>
          <w:sz w:val="18"/>
        </w:rPr>
        <w:t> </w:t>
      </w:r>
      <w:r>
        <w:rPr>
          <w:sz w:val="18"/>
        </w:rPr>
        <w:t>exchange</w:t>
      </w:r>
      <w:r>
        <w:rPr>
          <w:spacing w:val="-6"/>
          <w:sz w:val="18"/>
        </w:rPr>
        <w:t> </w:t>
      </w:r>
      <w:r>
        <w:rPr>
          <w:sz w:val="18"/>
        </w:rPr>
        <w:t>rate</w:t>
      </w:r>
      <w:r>
        <w:rPr>
          <w:spacing w:val="-6"/>
          <w:sz w:val="18"/>
        </w:rPr>
        <w:t> </w:t>
      </w:r>
      <w:r>
        <w:rPr>
          <w:sz w:val="18"/>
        </w:rPr>
        <w:t>index,</w:t>
      </w:r>
      <w:r>
        <w:rPr>
          <w:spacing w:val="-6"/>
          <w:sz w:val="18"/>
        </w:rPr>
        <w:t> </w:t>
      </w:r>
      <w:r>
        <w:rPr>
          <w:sz w:val="18"/>
        </w:rPr>
        <w:t>which</w:t>
      </w:r>
    </w:p>
    <w:p>
      <w:pPr>
        <w:spacing w:after="0" w:line="232" w:lineRule="auto"/>
        <w:jc w:val="left"/>
        <w:rPr>
          <w:sz w:val="18"/>
        </w:rPr>
        <w:sectPr>
          <w:type w:val="continuous"/>
          <w:pgSz w:w="11900" w:h="16840"/>
          <w:pgMar w:top="1260" w:bottom="280" w:left="640" w:right="640"/>
          <w:cols w:num="2" w:equalWidth="0">
            <w:col w:w="5109" w:space="281"/>
            <w:col w:w="5230"/>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4"/>
        <w:rPr>
          <w:sz w:val="21"/>
        </w:rPr>
      </w:pPr>
    </w:p>
    <w:p>
      <w:pPr>
        <w:pStyle w:val="BodyText"/>
        <w:spacing w:line="232" w:lineRule="auto" w:before="1"/>
        <w:ind w:left="154" w:right="364"/>
      </w:pPr>
      <w:r>
        <w:rPr/>
        <w:t>was 110.7, around 1</w:t>
      </w:r>
      <w:r>
        <w:rPr>
          <w:position w:val="6"/>
          <w:sz w:val="9"/>
        </w:rPr>
        <w:t>1</w:t>
      </w:r>
      <w:r>
        <w:rPr/>
        <w:t>/</w:t>
      </w:r>
      <w:r>
        <w:rPr>
          <w:sz w:val="9"/>
        </w:rPr>
        <w:t>2</w:t>
      </w:r>
      <w:r>
        <w:rPr/>
        <w:t>% higher than on the path assumed in the February </w:t>
      </w:r>
      <w:r>
        <w:rPr>
          <w:i/>
        </w:rPr>
        <w:t>Inflation Report</w:t>
      </w:r>
      <w:r>
        <w:rPr/>
        <w:t>. By the time of the Committee’s meeting, sterling had risen further, to around 113</w:t>
      </w:r>
      <w:r>
        <w:rPr>
          <w:position w:val="6"/>
          <w:sz w:val="9"/>
        </w:rPr>
        <w:t>1</w:t>
      </w:r>
      <w:r>
        <w:rPr/>
        <w:t>/</w:t>
      </w:r>
      <w:r>
        <w:rPr>
          <w:sz w:val="9"/>
        </w:rPr>
        <w:t>2 </w:t>
      </w:r>
      <w:r>
        <w:rPr/>
        <w:t>and so was materially above the starting point assumed in the </w:t>
      </w:r>
      <w:r>
        <w:rPr>
          <w:i/>
        </w:rPr>
        <w:t>Report </w:t>
      </w:r>
      <w:r>
        <w:rPr/>
        <w:t>projections.</w:t>
      </w:r>
    </w:p>
    <w:p>
      <w:pPr>
        <w:pStyle w:val="BodyText"/>
        <w:rPr>
          <w:sz w:val="22"/>
        </w:rPr>
      </w:pPr>
    </w:p>
    <w:p>
      <w:pPr>
        <w:pStyle w:val="Heading4"/>
        <w:ind w:left="154"/>
      </w:pPr>
      <w:r>
        <w:rPr>
          <w:color w:val="009391"/>
        </w:rPr>
        <w:t>Money and asset prices</w:t>
      </w:r>
    </w:p>
    <w:p>
      <w:pPr>
        <w:pStyle w:val="ListParagraph"/>
        <w:numPr>
          <w:ilvl w:val="0"/>
          <w:numId w:val="46"/>
        </w:numPr>
        <w:tabs>
          <w:tab w:pos="634" w:val="left" w:leader="none"/>
          <w:tab w:pos="635" w:val="left" w:leader="none"/>
        </w:tabs>
        <w:spacing w:line="240" w:lineRule="auto" w:before="165" w:after="0"/>
        <w:ind w:left="634" w:right="0" w:hanging="481"/>
        <w:jc w:val="left"/>
        <w:rPr>
          <w:i/>
          <w:sz w:val="18"/>
        </w:rPr>
      </w:pPr>
      <w:r>
        <w:rPr>
          <w:i/>
          <w:color w:val="009391"/>
          <w:sz w:val="18"/>
        </w:rPr>
        <w:t>Household and corporate sector</w:t>
      </w:r>
      <w:r>
        <w:rPr>
          <w:i/>
          <w:color w:val="009391"/>
          <w:spacing w:val="-8"/>
          <w:sz w:val="18"/>
        </w:rPr>
        <w:t> </w:t>
      </w:r>
      <w:r>
        <w:rPr>
          <w:i/>
          <w:color w:val="009391"/>
          <w:sz w:val="18"/>
        </w:rPr>
        <w:t>borrowing</w:t>
      </w:r>
    </w:p>
    <w:p>
      <w:pPr>
        <w:pStyle w:val="ListParagraph"/>
        <w:numPr>
          <w:ilvl w:val="0"/>
          <w:numId w:val="45"/>
        </w:numPr>
        <w:tabs>
          <w:tab w:pos="634" w:val="left" w:leader="none"/>
          <w:tab w:pos="635" w:val="left" w:leader="none"/>
        </w:tabs>
        <w:spacing w:line="232" w:lineRule="auto" w:before="138" w:after="0"/>
        <w:ind w:left="154" w:right="38" w:firstLine="0"/>
        <w:jc w:val="left"/>
        <w:rPr>
          <w:sz w:val="18"/>
        </w:rPr>
      </w:pPr>
      <w:r>
        <w:rPr>
          <w:sz w:val="18"/>
        </w:rPr>
        <w:t>M0</w:t>
      </w:r>
      <w:r>
        <w:rPr>
          <w:spacing w:val="-4"/>
          <w:sz w:val="18"/>
        </w:rPr>
        <w:t> </w:t>
      </w:r>
      <w:r>
        <w:rPr>
          <w:sz w:val="18"/>
        </w:rPr>
        <w:t>had</w:t>
      </w:r>
      <w:r>
        <w:rPr>
          <w:spacing w:val="-4"/>
          <w:sz w:val="18"/>
        </w:rPr>
        <w:t> </w:t>
      </w:r>
      <w:r>
        <w:rPr>
          <w:sz w:val="18"/>
        </w:rPr>
        <w:t>grown</w:t>
      </w:r>
      <w:r>
        <w:rPr>
          <w:spacing w:val="-4"/>
          <w:sz w:val="18"/>
        </w:rPr>
        <w:t> </w:t>
      </w:r>
      <w:r>
        <w:rPr>
          <w:sz w:val="18"/>
        </w:rPr>
        <w:t>by</w:t>
      </w:r>
      <w:r>
        <w:rPr>
          <w:spacing w:val="-3"/>
          <w:sz w:val="18"/>
        </w:rPr>
        <w:t> </w:t>
      </w:r>
      <w:r>
        <w:rPr>
          <w:sz w:val="18"/>
        </w:rPr>
        <w:t>8.2%</w:t>
      </w:r>
      <w:r>
        <w:rPr>
          <w:spacing w:val="-4"/>
          <w:sz w:val="18"/>
        </w:rPr>
        <w:t> </w:t>
      </w:r>
      <w:r>
        <w:rPr>
          <w:sz w:val="18"/>
        </w:rPr>
        <w:t>in</w:t>
      </w:r>
      <w:r>
        <w:rPr>
          <w:spacing w:val="-4"/>
          <w:sz w:val="18"/>
        </w:rPr>
        <w:t> </w:t>
      </w:r>
      <w:r>
        <w:rPr>
          <w:sz w:val="18"/>
        </w:rPr>
        <w:t>the</w:t>
      </w:r>
      <w:r>
        <w:rPr>
          <w:spacing w:val="-4"/>
          <w:sz w:val="18"/>
        </w:rPr>
        <w:t> </w:t>
      </w:r>
      <w:r>
        <w:rPr>
          <w:sz w:val="18"/>
        </w:rPr>
        <w:t>year</w:t>
      </w:r>
      <w:r>
        <w:rPr>
          <w:spacing w:val="-3"/>
          <w:sz w:val="18"/>
        </w:rPr>
        <w:t> </w:t>
      </w:r>
      <w:r>
        <w:rPr>
          <w:sz w:val="18"/>
        </w:rPr>
        <w:t>to</w:t>
      </w:r>
      <w:r>
        <w:rPr>
          <w:spacing w:val="-4"/>
          <w:sz w:val="18"/>
        </w:rPr>
        <w:t> </w:t>
      </w:r>
      <w:r>
        <w:rPr>
          <w:sz w:val="18"/>
        </w:rPr>
        <w:t>April</w:t>
      </w:r>
      <w:r>
        <w:rPr>
          <w:spacing w:val="-4"/>
          <w:sz w:val="18"/>
        </w:rPr>
        <w:t> </w:t>
      </w:r>
      <w:r>
        <w:rPr>
          <w:sz w:val="18"/>
        </w:rPr>
        <w:t>and,</w:t>
      </w:r>
      <w:r>
        <w:rPr>
          <w:spacing w:val="-4"/>
          <w:sz w:val="18"/>
        </w:rPr>
        <w:t> </w:t>
      </w:r>
      <w:r>
        <w:rPr>
          <w:sz w:val="18"/>
        </w:rPr>
        <w:t>adjusting</w:t>
      </w:r>
      <w:r>
        <w:rPr>
          <w:spacing w:val="-3"/>
          <w:sz w:val="18"/>
        </w:rPr>
        <w:t> </w:t>
      </w:r>
      <w:r>
        <w:rPr>
          <w:sz w:val="18"/>
        </w:rPr>
        <w:t>for millennium-related effects, had now been in a 8%–9% range for the past six months or so. Household credit growth had again been strong, at 9.9% in March—the fastest rate since 1991. Net secured lending had risen quite sharply, following an earlier pick up in mortgage loan approvals. The approvals data had also risen in the latest month. The household money and credit data therefore presented a contrasting picture to the recent survey evidence of a fall in consumer</w:t>
      </w:r>
      <w:r>
        <w:rPr>
          <w:spacing w:val="-4"/>
          <w:sz w:val="18"/>
        </w:rPr>
        <w:t> </w:t>
      </w:r>
      <w:r>
        <w:rPr>
          <w:sz w:val="18"/>
        </w:rPr>
        <w:t>confidence.</w:t>
      </w:r>
    </w:p>
    <w:p>
      <w:pPr>
        <w:pStyle w:val="BodyText"/>
        <w:spacing w:before="9"/>
        <w:rPr>
          <w:sz w:val="16"/>
        </w:rPr>
      </w:pPr>
    </w:p>
    <w:p>
      <w:pPr>
        <w:pStyle w:val="ListParagraph"/>
        <w:numPr>
          <w:ilvl w:val="0"/>
          <w:numId w:val="45"/>
        </w:numPr>
        <w:tabs>
          <w:tab w:pos="634" w:val="left" w:leader="none"/>
          <w:tab w:pos="635" w:val="left" w:leader="none"/>
        </w:tabs>
        <w:spacing w:line="232" w:lineRule="auto" w:before="0" w:after="0"/>
        <w:ind w:left="154" w:right="103" w:firstLine="0"/>
        <w:jc w:val="left"/>
        <w:rPr>
          <w:sz w:val="18"/>
        </w:rPr>
      </w:pPr>
      <w:r>
        <w:rPr>
          <w:sz w:val="18"/>
        </w:rPr>
        <w:t>Private non-financial corporate sector (PNFC) borrowing— from banks and from capital markets—had also been robust. In 2000 Q1 PNFC total external finance had been stronger than at any time since 1989 Q3 (adjusting for the boost to borrowing</w:t>
      </w:r>
      <w:r>
        <w:rPr>
          <w:spacing w:val="-27"/>
          <w:sz w:val="18"/>
        </w:rPr>
        <w:t> </w:t>
      </w:r>
      <w:r>
        <w:rPr>
          <w:sz w:val="18"/>
        </w:rPr>
        <w:t>in</w:t>
      </w:r>
    </w:p>
    <w:p>
      <w:pPr>
        <w:pStyle w:val="BodyText"/>
        <w:spacing w:line="232" w:lineRule="auto"/>
        <w:ind w:left="154" w:right="60"/>
      </w:pPr>
      <w:r>
        <w:rPr/>
        <w:t>1999 Q2 caused by changes to Advance Corporation Tax). There was little evidence of distress borrowing. Sectoral data showed that the manufacturing sector had been repaying bank borrowing in Q1. The Bank’s regional Agents had earlier suggested that recent borrowing was largely for investment;  over a slightly longer period, it had also financed merger and acquisition</w:t>
      </w:r>
      <w:r>
        <w:rPr>
          <w:spacing w:val="-24"/>
        </w:rPr>
        <w:t> </w:t>
      </w:r>
      <w:r>
        <w:rPr/>
        <w:t>activity.</w:t>
      </w:r>
    </w:p>
    <w:p>
      <w:pPr>
        <w:pStyle w:val="BodyText"/>
        <w:spacing w:before="8"/>
        <w:rPr>
          <w:sz w:val="16"/>
        </w:rPr>
      </w:pPr>
    </w:p>
    <w:p>
      <w:pPr>
        <w:pStyle w:val="ListParagraph"/>
        <w:numPr>
          <w:ilvl w:val="0"/>
          <w:numId w:val="45"/>
        </w:numPr>
        <w:tabs>
          <w:tab w:pos="634" w:val="left" w:leader="none"/>
          <w:tab w:pos="635" w:val="left" w:leader="none"/>
        </w:tabs>
        <w:spacing w:line="232" w:lineRule="auto" w:before="0" w:after="0"/>
        <w:ind w:left="154" w:right="188" w:firstLine="0"/>
        <w:jc w:val="left"/>
        <w:rPr>
          <w:sz w:val="18"/>
        </w:rPr>
      </w:pPr>
      <w:r>
        <w:rPr>
          <w:sz w:val="18"/>
        </w:rPr>
        <w:t>Overall, the money and credit data presented a different picture from the weaker-than-expected outturn for GDP growth in Q1. Taking the monetary data at face value might suggest that either output would pick up again or that the Q1 figure could be revised</w:t>
      </w:r>
      <w:r>
        <w:rPr>
          <w:spacing w:val="-2"/>
          <w:sz w:val="18"/>
        </w:rPr>
        <w:t> </w:t>
      </w:r>
      <w:r>
        <w:rPr>
          <w:sz w:val="18"/>
        </w:rPr>
        <w:t>up.</w:t>
      </w:r>
    </w:p>
    <w:p>
      <w:pPr>
        <w:pStyle w:val="BodyText"/>
        <w:spacing w:before="4"/>
      </w:pPr>
    </w:p>
    <w:p>
      <w:pPr>
        <w:pStyle w:val="ListParagraph"/>
        <w:numPr>
          <w:ilvl w:val="0"/>
          <w:numId w:val="46"/>
        </w:numPr>
        <w:tabs>
          <w:tab w:pos="634" w:val="left" w:leader="none"/>
          <w:tab w:pos="635" w:val="left" w:leader="none"/>
        </w:tabs>
        <w:spacing w:line="240" w:lineRule="auto" w:before="0" w:after="0"/>
        <w:ind w:left="634" w:right="0" w:hanging="481"/>
        <w:jc w:val="left"/>
        <w:rPr>
          <w:i/>
          <w:sz w:val="18"/>
        </w:rPr>
      </w:pPr>
      <w:r>
        <w:rPr>
          <w:i/>
          <w:color w:val="009391"/>
          <w:sz w:val="18"/>
        </w:rPr>
        <w:t>The housing</w:t>
      </w:r>
      <w:r>
        <w:rPr>
          <w:i/>
          <w:color w:val="009391"/>
          <w:spacing w:val="-3"/>
          <w:sz w:val="18"/>
        </w:rPr>
        <w:t> </w:t>
      </w:r>
      <w:r>
        <w:rPr>
          <w:i/>
          <w:color w:val="009391"/>
          <w:sz w:val="18"/>
        </w:rPr>
        <w:t>market</w:t>
      </w:r>
    </w:p>
    <w:p>
      <w:pPr>
        <w:pStyle w:val="ListParagraph"/>
        <w:numPr>
          <w:ilvl w:val="0"/>
          <w:numId w:val="45"/>
        </w:numPr>
        <w:tabs>
          <w:tab w:pos="634" w:val="left" w:leader="none"/>
          <w:tab w:pos="635" w:val="left" w:leader="none"/>
        </w:tabs>
        <w:spacing w:line="232" w:lineRule="auto" w:before="138" w:after="0"/>
        <w:ind w:left="154" w:right="63" w:firstLine="0"/>
        <w:jc w:val="left"/>
        <w:rPr>
          <w:sz w:val="18"/>
        </w:rPr>
      </w:pPr>
      <w:r>
        <w:rPr>
          <w:sz w:val="18"/>
        </w:rPr>
        <w:t>Recent data on the housing market were somewhat mixed. The Nationwide price index had risen by 1.6% in April, compared with 2.3% in March, and the twelve-month rate had risen from 16.2% to 17.5%. The Halifax index had risen by 0.8% in April, having fallen by 0.4% and 0.9% in March and February respectively. The twelve month rate was 14.2% in April. A quite different picture was presented, though, by a preview of the April Royal Institute of Chartered Surveyors’ measure of house price pressure. The number of particulars delivered had fallen slightly in March, but were still well up on a year ago. The House Builders’ Federation site visits balance had fallen slightly over the month, but the net reservation balance had risen</w:t>
      </w:r>
      <w:r>
        <w:rPr>
          <w:spacing w:val="-11"/>
          <w:sz w:val="18"/>
        </w:rPr>
        <w:t> </w:t>
      </w:r>
      <w:r>
        <w:rPr>
          <w:sz w:val="18"/>
        </w:rPr>
        <w:t>slightly.</w:t>
      </w:r>
    </w:p>
    <w:p>
      <w:pPr>
        <w:pStyle w:val="BodyText"/>
        <w:spacing w:before="7"/>
        <w:rPr>
          <w:sz w:val="16"/>
        </w:rPr>
      </w:pPr>
    </w:p>
    <w:p>
      <w:pPr>
        <w:pStyle w:val="ListParagraph"/>
        <w:numPr>
          <w:ilvl w:val="0"/>
          <w:numId w:val="45"/>
        </w:numPr>
        <w:tabs>
          <w:tab w:pos="634" w:val="left" w:leader="none"/>
          <w:tab w:pos="635" w:val="left" w:leader="none"/>
        </w:tabs>
        <w:spacing w:line="232" w:lineRule="auto" w:before="0" w:after="0"/>
        <w:ind w:left="154" w:right="62" w:firstLine="0"/>
        <w:jc w:val="left"/>
        <w:rPr>
          <w:sz w:val="18"/>
        </w:rPr>
      </w:pPr>
      <w:r>
        <w:rPr>
          <w:sz w:val="18"/>
        </w:rPr>
        <w:t>Put together with the lending data and with anecdote of financing terms being eased over recent months in the face of intense competitive conditions, the overall evidence of the housing market having peaked was perhaps slightly weaker than in the previous month. It was possible, however, that the regional pattern was changing, with slightly slower growth in London and the South East than a few months ago. Looking further ahead, the Committee judged that house prices rises would moderate, but by slightly less than assumed in its February central</w:t>
      </w:r>
      <w:r>
        <w:rPr>
          <w:spacing w:val="-12"/>
          <w:sz w:val="18"/>
        </w:rPr>
        <w:t> </w:t>
      </w:r>
      <w:r>
        <w:rPr>
          <w:sz w:val="18"/>
        </w:rPr>
        <w:t>projection.</w:t>
      </w:r>
    </w:p>
    <w:p>
      <w:pPr>
        <w:pStyle w:val="BodyText"/>
        <w:spacing w:before="9"/>
        <w:rPr>
          <w:sz w:val="21"/>
        </w:rPr>
      </w:pPr>
    </w:p>
    <w:p>
      <w:pPr>
        <w:pStyle w:val="Heading4"/>
        <w:ind w:left="154"/>
      </w:pPr>
      <w:r>
        <w:rPr>
          <w:color w:val="009391"/>
        </w:rPr>
        <w:t>Demand and output</w:t>
      </w:r>
    </w:p>
    <w:p>
      <w:pPr>
        <w:pStyle w:val="ListParagraph"/>
        <w:numPr>
          <w:ilvl w:val="0"/>
          <w:numId w:val="45"/>
        </w:numPr>
        <w:tabs>
          <w:tab w:pos="634" w:val="left" w:leader="none"/>
          <w:tab w:pos="635" w:val="left" w:leader="none"/>
        </w:tabs>
        <w:spacing w:line="232" w:lineRule="auto" w:before="130" w:after="0"/>
        <w:ind w:left="154" w:right="78" w:firstLine="0"/>
        <w:jc w:val="left"/>
        <w:rPr>
          <w:sz w:val="18"/>
        </w:rPr>
      </w:pPr>
      <w:r>
        <w:rPr>
          <w:sz w:val="18"/>
        </w:rPr>
        <w:t>The Q1 GDP data presented an important puzzle. Growth was recorded at 0.4%, which was below the Committee’s February central assumption. Official data suggested that output growth might have been accounted for entirely by net trade, which had apparently bounced back: in particular, exports to non-EU countries had grown by 7.1% over the quarter. If so, domestic demand growth had been zero. But growth in retail sales had clearly</w:t>
      </w:r>
      <w:r>
        <w:rPr>
          <w:spacing w:val="-6"/>
          <w:sz w:val="18"/>
        </w:rPr>
        <w:t> </w:t>
      </w:r>
      <w:r>
        <w:rPr>
          <w:sz w:val="18"/>
        </w:rPr>
        <w:t>been</w:t>
      </w:r>
      <w:r>
        <w:rPr>
          <w:spacing w:val="-6"/>
          <w:sz w:val="18"/>
        </w:rPr>
        <w:t> </w:t>
      </w:r>
      <w:r>
        <w:rPr>
          <w:sz w:val="18"/>
        </w:rPr>
        <w:t>positive,</w:t>
      </w:r>
      <w:r>
        <w:rPr>
          <w:spacing w:val="-6"/>
          <w:sz w:val="18"/>
        </w:rPr>
        <w:t> </w:t>
      </w:r>
      <w:r>
        <w:rPr>
          <w:sz w:val="18"/>
        </w:rPr>
        <w:t>and</w:t>
      </w:r>
      <w:r>
        <w:rPr>
          <w:spacing w:val="-6"/>
          <w:sz w:val="18"/>
        </w:rPr>
        <w:t> </w:t>
      </w:r>
      <w:r>
        <w:rPr>
          <w:sz w:val="18"/>
        </w:rPr>
        <w:t>other</w:t>
      </w:r>
      <w:r>
        <w:rPr>
          <w:spacing w:val="-6"/>
          <w:sz w:val="18"/>
        </w:rPr>
        <w:t> </w:t>
      </w:r>
      <w:r>
        <w:rPr>
          <w:sz w:val="18"/>
        </w:rPr>
        <w:t>indicators</w:t>
      </w:r>
      <w:r>
        <w:rPr>
          <w:spacing w:val="-6"/>
          <w:sz w:val="18"/>
        </w:rPr>
        <w:t> </w:t>
      </w:r>
      <w:r>
        <w:rPr>
          <w:sz w:val="18"/>
        </w:rPr>
        <w:t>also</w:t>
      </w:r>
      <w:r>
        <w:rPr>
          <w:spacing w:val="-6"/>
          <w:sz w:val="18"/>
        </w:rPr>
        <w:t> </w:t>
      </w:r>
      <w:r>
        <w:rPr>
          <w:sz w:val="18"/>
        </w:rPr>
        <w:t>pointed</w:t>
      </w:r>
      <w:r>
        <w:rPr>
          <w:spacing w:val="-6"/>
          <w:sz w:val="18"/>
        </w:rPr>
        <w:t> </w:t>
      </w:r>
      <w:r>
        <w:rPr>
          <w:sz w:val="18"/>
        </w:rPr>
        <w:t>to</w:t>
      </w:r>
      <w:r>
        <w:rPr>
          <w:spacing w:val="-6"/>
          <w:sz w:val="18"/>
        </w:rPr>
        <w:t> </w:t>
      </w:r>
      <w:r>
        <w:rPr>
          <w:sz w:val="18"/>
        </w:rPr>
        <w:t>continued</w:t>
      </w:r>
    </w:p>
    <w:p>
      <w:pPr>
        <w:pStyle w:val="BodyText"/>
        <w:spacing w:before="4"/>
        <w:rPr>
          <w:sz w:val="21"/>
        </w:rPr>
      </w:pPr>
      <w:r>
        <w:rPr/>
        <w:br w:type="column"/>
      </w:r>
      <w:r>
        <w:rPr>
          <w:sz w:val="21"/>
        </w:rPr>
      </w:r>
    </w:p>
    <w:p>
      <w:pPr>
        <w:pStyle w:val="BodyText"/>
        <w:spacing w:line="232" w:lineRule="auto" w:before="1"/>
        <w:ind w:left="154" w:right="130"/>
      </w:pPr>
      <w:r>
        <w:rPr/>
        <w:t>consumption growth. If so, other components of domestic demand must have fallen quite sharply.</w:t>
      </w:r>
    </w:p>
    <w:p>
      <w:pPr>
        <w:pStyle w:val="BodyText"/>
        <w:spacing w:before="2"/>
        <w:rPr>
          <w:sz w:val="17"/>
        </w:rPr>
      </w:pPr>
    </w:p>
    <w:p>
      <w:pPr>
        <w:pStyle w:val="ListParagraph"/>
        <w:numPr>
          <w:ilvl w:val="0"/>
          <w:numId w:val="45"/>
        </w:numPr>
        <w:tabs>
          <w:tab w:pos="634" w:val="left" w:leader="none"/>
          <w:tab w:pos="635" w:val="left" w:leader="none"/>
        </w:tabs>
        <w:spacing w:line="232" w:lineRule="auto" w:before="1" w:after="0"/>
        <w:ind w:left="154" w:right="143" w:firstLine="0"/>
        <w:jc w:val="left"/>
        <w:rPr>
          <w:sz w:val="18"/>
        </w:rPr>
      </w:pPr>
      <w:r>
        <w:rPr>
          <w:sz w:val="18"/>
        </w:rPr>
        <w:t>While business investment intentions had recently weakened, this survey evidence was about periods beyond Q1. Earlier surveys, which were more relevant to Q1, had suggested positive business investment growth. Recent survey evidence might be consistent with a fall in stockbuilding in Q1, perhaps reflecting an unwind of a millennium-related build up, but this did not sit comfortably with the robust corporate sector borrowing data. There was clearer evidence that government consumption had been weak in Q1. Another possible factor was that energy production had been weak during the quarter. Bank staff estimates suggested that, excluding energy, GDP growth had been somewhat stronger than 0.4%. If so, it was possible on the expenditure side that the energy-related component of consumption had been</w:t>
      </w:r>
      <w:r>
        <w:rPr>
          <w:spacing w:val="-9"/>
          <w:sz w:val="18"/>
        </w:rPr>
        <w:t> </w:t>
      </w:r>
      <w:r>
        <w:rPr>
          <w:sz w:val="18"/>
        </w:rPr>
        <w:t>weak.</w:t>
      </w:r>
    </w:p>
    <w:p>
      <w:pPr>
        <w:pStyle w:val="BodyText"/>
        <w:spacing w:before="5"/>
        <w:rPr>
          <w:sz w:val="16"/>
        </w:rPr>
      </w:pPr>
    </w:p>
    <w:p>
      <w:pPr>
        <w:pStyle w:val="ListParagraph"/>
        <w:numPr>
          <w:ilvl w:val="0"/>
          <w:numId w:val="45"/>
        </w:numPr>
        <w:tabs>
          <w:tab w:pos="634" w:val="left" w:leader="none"/>
          <w:tab w:pos="635" w:val="left" w:leader="none"/>
        </w:tabs>
        <w:spacing w:line="232" w:lineRule="auto" w:before="0" w:after="0"/>
        <w:ind w:left="154" w:right="343" w:firstLine="0"/>
        <w:jc w:val="left"/>
        <w:rPr>
          <w:sz w:val="18"/>
        </w:rPr>
      </w:pPr>
      <w:r>
        <w:rPr>
          <w:sz w:val="18"/>
        </w:rPr>
        <w:t>Overall it would probably be some time before the picture was clearer. The Committee thought that the Q1 GDP data contained limited information about the future path of output, but agreed that it would be a mistake to give them no weight in the immediate policy decision. Looking back over a longer period, it did now seem that output growth had peaked in 1999</w:t>
      </w:r>
      <w:r>
        <w:rPr>
          <w:spacing w:val="-24"/>
          <w:sz w:val="18"/>
        </w:rPr>
        <w:t> </w:t>
      </w:r>
      <w:r>
        <w:rPr>
          <w:sz w:val="18"/>
        </w:rPr>
        <w:t>Q3.</w:t>
      </w:r>
    </w:p>
    <w:p>
      <w:pPr>
        <w:pStyle w:val="BodyText"/>
        <w:rPr>
          <w:sz w:val="17"/>
        </w:rPr>
      </w:pPr>
    </w:p>
    <w:p>
      <w:pPr>
        <w:pStyle w:val="ListParagraph"/>
        <w:numPr>
          <w:ilvl w:val="0"/>
          <w:numId w:val="45"/>
        </w:numPr>
        <w:tabs>
          <w:tab w:pos="634" w:val="left" w:leader="none"/>
          <w:tab w:pos="635" w:val="left" w:leader="none"/>
        </w:tabs>
        <w:spacing w:line="232" w:lineRule="auto" w:before="0" w:after="0"/>
        <w:ind w:left="154" w:right="157" w:firstLine="0"/>
        <w:jc w:val="left"/>
        <w:rPr>
          <w:sz w:val="18"/>
        </w:rPr>
      </w:pPr>
      <w:r>
        <w:rPr>
          <w:sz w:val="18"/>
        </w:rPr>
        <w:t>Recent forward-looking survey data contained mixed signals. Survey evidence did not seem to point to a fall in manufacturing output, although the outlook had clearly weakened given sterling’s strength; and indicators of service sector and construction activity, while slightly weaker, were still clearly pointing to growth. Other surveys implied that export orders had fallen, as had business optimism and, in particular, consumer</w:t>
      </w:r>
      <w:r>
        <w:rPr>
          <w:spacing w:val="-11"/>
          <w:sz w:val="18"/>
        </w:rPr>
        <w:t> </w:t>
      </w:r>
      <w:r>
        <w:rPr>
          <w:sz w:val="18"/>
        </w:rPr>
        <w:t>confidence.</w:t>
      </w:r>
    </w:p>
    <w:p>
      <w:pPr>
        <w:pStyle w:val="BodyText"/>
        <w:spacing w:before="11"/>
        <w:rPr>
          <w:sz w:val="16"/>
        </w:rPr>
      </w:pPr>
    </w:p>
    <w:p>
      <w:pPr>
        <w:pStyle w:val="ListParagraph"/>
        <w:numPr>
          <w:ilvl w:val="0"/>
          <w:numId w:val="45"/>
        </w:numPr>
        <w:tabs>
          <w:tab w:pos="634" w:val="left" w:leader="none"/>
          <w:tab w:pos="635" w:val="left" w:leader="none"/>
        </w:tabs>
        <w:spacing w:line="232" w:lineRule="auto" w:before="0" w:after="0"/>
        <w:ind w:left="154" w:right="528" w:firstLine="0"/>
        <w:jc w:val="left"/>
        <w:rPr>
          <w:sz w:val="18"/>
        </w:rPr>
      </w:pPr>
      <w:r>
        <w:rPr>
          <w:sz w:val="18"/>
        </w:rPr>
        <w:t>There seemed to be somewhat clearer news on the fiscal position. The 1999/00 surplus had been even larger than the Government had forecast at the time of its March Budget, with both weaker-than-expected departmental spending</w:t>
      </w:r>
      <w:r>
        <w:rPr>
          <w:spacing w:val="-14"/>
          <w:sz w:val="18"/>
        </w:rPr>
        <w:t> </w:t>
      </w:r>
      <w:r>
        <w:rPr>
          <w:sz w:val="18"/>
        </w:rPr>
        <w:t>and</w:t>
      </w:r>
    </w:p>
    <w:p>
      <w:pPr>
        <w:pStyle w:val="BodyText"/>
        <w:spacing w:line="232" w:lineRule="auto"/>
        <w:ind w:left="154" w:right="130"/>
      </w:pPr>
      <w:r>
        <w:rPr/>
        <w:t>higher-than-expected revenues. On spending, it seemed that departments were making greater-than-anticipated use of their ability to roll over unspent amounts into the next fiscal year. It was therefore an important question whether that would continue in future years or whether, as the Committee assumed, annual nominal spending would rise to the budgeted amount in the current year. On the revenue side, the question was whether output had been stronger than measured or whether the effective tax yield had risen, so that there had in effect been a further unanticipated tightening of fiscal policy.</w:t>
      </w:r>
    </w:p>
    <w:p>
      <w:pPr>
        <w:pStyle w:val="BodyText"/>
        <w:spacing w:before="8"/>
        <w:rPr>
          <w:sz w:val="19"/>
        </w:rPr>
      </w:pPr>
    </w:p>
    <w:p>
      <w:pPr>
        <w:pStyle w:val="Heading4"/>
        <w:ind w:left="154"/>
      </w:pPr>
      <w:r>
        <w:rPr>
          <w:color w:val="009391"/>
        </w:rPr>
        <w:t>Labour market conditions</w:t>
      </w:r>
    </w:p>
    <w:p>
      <w:pPr>
        <w:pStyle w:val="ListParagraph"/>
        <w:numPr>
          <w:ilvl w:val="0"/>
          <w:numId w:val="45"/>
        </w:numPr>
        <w:tabs>
          <w:tab w:pos="634" w:val="left" w:leader="none"/>
          <w:tab w:pos="635" w:val="left" w:leader="none"/>
        </w:tabs>
        <w:spacing w:line="232" w:lineRule="auto" w:before="130" w:after="0"/>
        <w:ind w:left="154" w:right="138" w:firstLine="0"/>
        <w:jc w:val="left"/>
        <w:rPr>
          <w:sz w:val="18"/>
        </w:rPr>
      </w:pPr>
      <w:r>
        <w:rPr>
          <w:sz w:val="18"/>
        </w:rPr>
        <w:t>The wedge between the earnings and settlement data remained. The increase in the headline Average Earnings Index had risen to 6.0% in the three months to February, the fastest</w:t>
      </w:r>
      <w:r>
        <w:rPr>
          <w:spacing w:val="-32"/>
          <w:sz w:val="18"/>
        </w:rPr>
        <w:t> </w:t>
      </w:r>
      <w:r>
        <w:rPr>
          <w:sz w:val="18"/>
        </w:rPr>
        <w:t>since</w:t>
      </w:r>
    </w:p>
    <w:p>
      <w:pPr>
        <w:pStyle w:val="BodyText"/>
        <w:spacing w:line="232" w:lineRule="auto"/>
        <w:ind w:left="154" w:right="160"/>
      </w:pPr>
      <w:r>
        <w:rPr/>
        <w:t>July 1992. This figure was affected by millennium-related payments, and so was judged to overstate underlying earnings growth. The twelve month rate of earnings growth in February was 5.5%. There was a major difference between earnings growth and settlements: settlements over the same period had been 3.3%.</w:t>
      </w:r>
    </w:p>
    <w:p>
      <w:pPr>
        <w:pStyle w:val="BodyText"/>
        <w:spacing w:line="232" w:lineRule="auto"/>
        <w:ind w:left="154" w:right="150"/>
      </w:pPr>
      <w:r>
        <w:rPr/>
        <w:t>Members differed in their interpretation of these data. Some, noting that on any reasonable assumptions earnings growth in the UK was well above the rate of productivity growth, were concerned about consequent upward pressures on prices. The recent very strong earnings increases would most likely have some impact on prices, including via the effect on demand of higher incomes: that was assumed in the central projection. Others believed that settlements had a bigger impact than earnings growth on prices, and that unmeasured productivity improvements would help to offset rapid earnings growth.  They preferred an assumption that the recent spike up in earnings growth would have a smaller effect on prices than had been assumed in the central</w:t>
      </w:r>
      <w:r>
        <w:rPr>
          <w:spacing w:val="-13"/>
        </w:rPr>
        <w:t> </w:t>
      </w:r>
      <w:r>
        <w:rPr/>
        <w:t>projection.</w:t>
      </w:r>
    </w:p>
    <w:p>
      <w:pPr>
        <w:pStyle w:val="BodyText"/>
        <w:rPr>
          <w:sz w:val="16"/>
        </w:rPr>
      </w:pPr>
    </w:p>
    <w:p>
      <w:pPr>
        <w:pStyle w:val="ListParagraph"/>
        <w:numPr>
          <w:ilvl w:val="0"/>
          <w:numId w:val="45"/>
        </w:numPr>
        <w:tabs>
          <w:tab w:pos="634" w:val="left" w:leader="none"/>
          <w:tab w:pos="635" w:val="left" w:leader="none"/>
        </w:tabs>
        <w:spacing w:line="232" w:lineRule="auto" w:before="0" w:after="0"/>
        <w:ind w:left="154" w:right="222" w:firstLine="0"/>
        <w:jc w:val="left"/>
        <w:rPr>
          <w:sz w:val="18"/>
        </w:rPr>
      </w:pPr>
      <w:r>
        <w:rPr>
          <w:sz w:val="18"/>
        </w:rPr>
        <w:t>The Labour Force Survey measure of employment had increased</w:t>
      </w:r>
      <w:r>
        <w:rPr>
          <w:spacing w:val="-5"/>
          <w:sz w:val="18"/>
        </w:rPr>
        <w:t> </w:t>
      </w:r>
      <w:r>
        <w:rPr>
          <w:sz w:val="18"/>
        </w:rPr>
        <w:t>by</w:t>
      </w:r>
      <w:r>
        <w:rPr>
          <w:spacing w:val="-5"/>
          <w:sz w:val="18"/>
        </w:rPr>
        <w:t> </w:t>
      </w:r>
      <w:r>
        <w:rPr>
          <w:sz w:val="18"/>
        </w:rPr>
        <w:t>59,000</w:t>
      </w:r>
      <w:r>
        <w:rPr>
          <w:spacing w:val="-4"/>
          <w:sz w:val="18"/>
        </w:rPr>
        <w:t> </w:t>
      </w:r>
      <w:r>
        <w:rPr>
          <w:sz w:val="18"/>
        </w:rPr>
        <w:t>(0.2%)</w:t>
      </w:r>
      <w:r>
        <w:rPr>
          <w:spacing w:val="-5"/>
          <w:sz w:val="18"/>
        </w:rPr>
        <w:t> </w:t>
      </w:r>
      <w:r>
        <w:rPr>
          <w:sz w:val="18"/>
        </w:rPr>
        <w:t>in</w:t>
      </w:r>
      <w:r>
        <w:rPr>
          <w:spacing w:val="-5"/>
          <w:sz w:val="18"/>
        </w:rPr>
        <w:t> </w:t>
      </w:r>
      <w:r>
        <w:rPr>
          <w:sz w:val="18"/>
        </w:rPr>
        <w:t>the</w:t>
      </w:r>
      <w:r>
        <w:rPr>
          <w:spacing w:val="-4"/>
          <w:sz w:val="18"/>
        </w:rPr>
        <w:t> </w:t>
      </w:r>
      <w:r>
        <w:rPr>
          <w:sz w:val="18"/>
        </w:rPr>
        <w:t>three</w:t>
      </w:r>
      <w:r>
        <w:rPr>
          <w:spacing w:val="-5"/>
          <w:sz w:val="18"/>
        </w:rPr>
        <w:t> </w:t>
      </w:r>
      <w:r>
        <w:rPr>
          <w:sz w:val="18"/>
        </w:rPr>
        <w:t>months</w:t>
      </w:r>
      <w:r>
        <w:rPr>
          <w:spacing w:val="-5"/>
          <w:sz w:val="18"/>
        </w:rPr>
        <w:t> </w:t>
      </w:r>
      <w:r>
        <w:rPr>
          <w:sz w:val="18"/>
        </w:rPr>
        <w:t>to</w:t>
      </w:r>
      <w:r>
        <w:rPr>
          <w:spacing w:val="-4"/>
          <w:sz w:val="18"/>
        </w:rPr>
        <w:t> </w:t>
      </w:r>
      <w:r>
        <w:rPr>
          <w:sz w:val="18"/>
        </w:rPr>
        <w:t>February,</w:t>
      </w:r>
      <w:r>
        <w:rPr>
          <w:spacing w:val="-5"/>
          <w:sz w:val="18"/>
        </w:rPr>
        <w:t> </w:t>
      </w:r>
      <w:r>
        <w:rPr>
          <w:sz w:val="18"/>
        </w:rPr>
        <w:t>in</w:t>
      </w:r>
      <w:r>
        <w:rPr>
          <w:spacing w:val="-5"/>
          <w:sz w:val="18"/>
        </w:rPr>
        <w:t> </w:t>
      </w:r>
      <w:r>
        <w:rPr>
          <w:sz w:val="18"/>
        </w:rPr>
        <w:t>line</w:t>
      </w:r>
    </w:p>
    <w:p>
      <w:pPr>
        <w:spacing w:after="0" w:line="232" w:lineRule="auto"/>
        <w:jc w:val="left"/>
        <w:rPr>
          <w:sz w:val="18"/>
        </w:rPr>
        <w:sectPr>
          <w:type w:val="continuous"/>
          <w:pgSz w:w="11900" w:h="16840"/>
          <w:pgMar w:top="1260" w:bottom="280" w:left="640" w:right="640"/>
          <w:cols w:num="2" w:equalWidth="0">
            <w:col w:w="5103" w:space="299"/>
            <w:col w:w="5218"/>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6"/>
        <w:rPr>
          <w:sz w:val="20"/>
        </w:rPr>
      </w:pPr>
    </w:p>
    <w:p>
      <w:pPr>
        <w:pStyle w:val="BodyText"/>
        <w:spacing w:line="232" w:lineRule="auto"/>
        <w:ind w:left="180"/>
      </w:pPr>
      <w:r>
        <w:rPr/>
        <w:t>with recent quarters. The number of people unemployed had fallen slightly. Evidence from surveys and the Bank’s regional Agents suggested that skill shortages remained a concern, but had perhaps stabilised.</w:t>
      </w:r>
    </w:p>
    <w:p>
      <w:pPr>
        <w:pStyle w:val="BodyText"/>
        <w:spacing w:before="10"/>
      </w:pPr>
    </w:p>
    <w:p>
      <w:pPr>
        <w:pStyle w:val="ListParagraph"/>
        <w:numPr>
          <w:ilvl w:val="0"/>
          <w:numId w:val="45"/>
        </w:numPr>
        <w:tabs>
          <w:tab w:pos="659" w:val="left" w:leader="none"/>
          <w:tab w:pos="660" w:val="left" w:leader="none"/>
        </w:tabs>
        <w:spacing w:line="232" w:lineRule="auto" w:before="0" w:after="0"/>
        <w:ind w:left="180" w:right="187" w:firstLine="0"/>
        <w:jc w:val="left"/>
        <w:rPr>
          <w:sz w:val="18"/>
        </w:rPr>
      </w:pPr>
      <w:r>
        <w:rPr>
          <w:sz w:val="18"/>
        </w:rPr>
        <w:t>Overall the labour market remained tight. While it was not obviously tightening further, there was not much evidence of conditions</w:t>
      </w:r>
      <w:r>
        <w:rPr>
          <w:spacing w:val="-2"/>
          <w:sz w:val="18"/>
        </w:rPr>
        <w:t> </w:t>
      </w:r>
      <w:r>
        <w:rPr>
          <w:sz w:val="18"/>
        </w:rPr>
        <w:t>easing.</w:t>
      </w:r>
    </w:p>
    <w:p>
      <w:pPr>
        <w:pStyle w:val="BodyText"/>
        <w:spacing w:before="2"/>
        <w:rPr>
          <w:sz w:val="22"/>
        </w:rPr>
      </w:pPr>
    </w:p>
    <w:p>
      <w:pPr>
        <w:pStyle w:val="Heading4"/>
        <w:ind w:left="180"/>
      </w:pPr>
      <w:r>
        <w:rPr>
          <w:color w:val="009391"/>
        </w:rPr>
        <w:t>Prices and costs</w:t>
      </w:r>
    </w:p>
    <w:p>
      <w:pPr>
        <w:pStyle w:val="ListParagraph"/>
        <w:numPr>
          <w:ilvl w:val="0"/>
          <w:numId w:val="45"/>
        </w:numPr>
        <w:tabs>
          <w:tab w:pos="659" w:val="left" w:leader="none"/>
          <w:tab w:pos="660" w:val="left" w:leader="none"/>
        </w:tabs>
        <w:spacing w:line="203" w:lineRule="exact" w:before="125" w:after="0"/>
        <w:ind w:left="659" w:right="0" w:hanging="480"/>
        <w:jc w:val="left"/>
        <w:rPr>
          <w:sz w:val="18"/>
        </w:rPr>
      </w:pPr>
      <w:r>
        <w:rPr>
          <w:sz w:val="18"/>
        </w:rPr>
        <w:t>RPIX inflation was 2.0% in March, with the fall</w:t>
      </w:r>
      <w:r>
        <w:rPr>
          <w:spacing w:val="-20"/>
          <w:sz w:val="18"/>
        </w:rPr>
        <w:t> </w:t>
      </w:r>
      <w:r>
        <w:rPr>
          <w:sz w:val="18"/>
        </w:rPr>
        <w:t>of</w:t>
      </w:r>
    </w:p>
    <w:p>
      <w:pPr>
        <w:pStyle w:val="BodyText"/>
        <w:spacing w:line="232" w:lineRule="auto" w:before="1"/>
        <w:ind w:left="180"/>
      </w:pPr>
      <w:r>
        <w:rPr/>
        <w:t>0.2 percentage points on the month being slightly larger than expected. There continued to be a large divergence between goods price inflation, which at -0.2% was the lowest on record; and services inflation, which had remained at 4.2%.</w:t>
      </w:r>
    </w:p>
    <w:p>
      <w:pPr>
        <w:pStyle w:val="BodyText"/>
        <w:spacing w:before="10"/>
      </w:pPr>
    </w:p>
    <w:p>
      <w:pPr>
        <w:pStyle w:val="ListParagraph"/>
        <w:numPr>
          <w:ilvl w:val="0"/>
          <w:numId w:val="45"/>
        </w:numPr>
        <w:tabs>
          <w:tab w:pos="659" w:val="left" w:leader="none"/>
          <w:tab w:pos="660" w:val="left" w:leader="none"/>
        </w:tabs>
        <w:spacing w:line="232" w:lineRule="auto" w:before="0" w:after="0"/>
        <w:ind w:left="180" w:right="147" w:firstLine="0"/>
        <w:jc w:val="left"/>
        <w:rPr>
          <w:sz w:val="18"/>
        </w:rPr>
      </w:pPr>
      <w:r>
        <w:rPr>
          <w:sz w:val="18"/>
        </w:rPr>
        <w:t>Some members did not think that the size of the sectoral divergence was significant for the overall inflation outlook, although it was an unwelcome sign of imbalances in the economy. Overall, the Committee agreed that there was little if any news in the latest data relevant to the</w:t>
      </w:r>
      <w:r>
        <w:rPr>
          <w:spacing w:val="-10"/>
          <w:sz w:val="18"/>
        </w:rPr>
        <w:t> </w:t>
      </w:r>
      <w:r>
        <w:rPr>
          <w:sz w:val="18"/>
        </w:rPr>
        <w:t>outlook.</w:t>
      </w:r>
    </w:p>
    <w:p>
      <w:pPr>
        <w:pStyle w:val="BodyText"/>
        <w:spacing w:before="9"/>
      </w:pPr>
    </w:p>
    <w:p>
      <w:pPr>
        <w:pStyle w:val="ListParagraph"/>
        <w:numPr>
          <w:ilvl w:val="0"/>
          <w:numId w:val="45"/>
        </w:numPr>
        <w:tabs>
          <w:tab w:pos="659" w:val="left" w:leader="none"/>
          <w:tab w:pos="660" w:val="left" w:leader="none"/>
        </w:tabs>
        <w:spacing w:line="232" w:lineRule="auto" w:before="0" w:after="0"/>
        <w:ind w:left="180" w:right="52" w:firstLine="0"/>
        <w:jc w:val="left"/>
        <w:rPr>
          <w:sz w:val="18"/>
        </w:rPr>
      </w:pPr>
      <w:r>
        <w:rPr>
          <w:sz w:val="18"/>
        </w:rPr>
        <w:t>In terms of the outlook for prices, an important consideration was the impact of any supply side changes in the economy. The Committee decided to retain in its central projection February’s assumptions about structural pressures on domestic margins (and the latest projections had also incorporated a downward adjustment to margins on imports). Also as in February, some members preferred to assume a smaller effect, and some preferred a larger effect. In addition, some members preferred to assume that trend productivity in the UK would rise towards the levels achieved in the US, which would reduce the rate of increase in prices for any given rate of earnings</w:t>
      </w:r>
      <w:r>
        <w:rPr>
          <w:spacing w:val="-6"/>
          <w:sz w:val="18"/>
        </w:rPr>
        <w:t> </w:t>
      </w:r>
      <w:r>
        <w:rPr>
          <w:sz w:val="18"/>
        </w:rPr>
        <w:t>growth.</w:t>
      </w:r>
    </w:p>
    <w:p>
      <w:pPr>
        <w:pStyle w:val="BodyText"/>
        <w:spacing w:before="5"/>
        <w:rPr>
          <w:sz w:val="23"/>
        </w:rPr>
      </w:pPr>
    </w:p>
    <w:p>
      <w:pPr>
        <w:pStyle w:val="Heading4"/>
        <w:ind w:left="180"/>
      </w:pPr>
      <w:r>
        <w:rPr>
          <w:color w:val="009391"/>
        </w:rPr>
        <w:t>The May output growth and inflation projections</w:t>
      </w:r>
    </w:p>
    <w:p>
      <w:pPr>
        <w:pStyle w:val="ListParagraph"/>
        <w:numPr>
          <w:ilvl w:val="0"/>
          <w:numId w:val="45"/>
        </w:numPr>
        <w:tabs>
          <w:tab w:pos="659" w:val="left" w:leader="none"/>
          <w:tab w:pos="660" w:val="left" w:leader="none"/>
        </w:tabs>
        <w:spacing w:line="203" w:lineRule="exact" w:before="124" w:after="0"/>
        <w:ind w:left="659" w:right="0" w:hanging="480"/>
        <w:jc w:val="left"/>
        <w:rPr>
          <w:sz w:val="18"/>
        </w:rPr>
      </w:pPr>
      <w:r>
        <w:rPr>
          <w:sz w:val="18"/>
        </w:rPr>
        <w:t>The</w:t>
      </w:r>
      <w:r>
        <w:rPr>
          <w:spacing w:val="-5"/>
          <w:sz w:val="18"/>
        </w:rPr>
        <w:t> </w:t>
      </w:r>
      <w:r>
        <w:rPr>
          <w:sz w:val="18"/>
        </w:rPr>
        <w:t>Committee</w:t>
      </w:r>
      <w:r>
        <w:rPr>
          <w:spacing w:val="-4"/>
          <w:sz w:val="18"/>
        </w:rPr>
        <w:t> </w:t>
      </w:r>
      <w:r>
        <w:rPr>
          <w:sz w:val="18"/>
        </w:rPr>
        <w:t>agreed</w:t>
      </w:r>
      <w:r>
        <w:rPr>
          <w:spacing w:val="-4"/>
          <w:sz w:val="18"/>
        </w:rPr>
        <w:t> </w:t>
      </w:r>
      <w:r>
        <w:rPr>
          <w:sz w:val="18"/>
        </w:rPr>
        <w:t>the</w:t>
      </w:r>
      <w:r>
        <w:rPr>
          <w:spacing w:val="-5"/>
          <w:sz w:val="18"/>
        </w:rPr>
        <w:t> </w:t>
      </w:r>
      <w:r>
        <w:rPr>
          <w:sz w:val="18"/>
        </w:rPr>
        <w:t>projections</w:t>
      </w:r>
      <w:r>
        <w:rPr>
          <w:spacing w:val="-4"/>
          <w:sz w:val="18"/>
        </w:rPr>
        <w:t> </w:t>
      </w:r>
      <w:r>
        <w:rPr>
          <w:sz w:val="18"/>
        </w:rPr>
        <w:t>to</w:t>
      </w:r>
      <w:r>
        <w:rPr>
          <w:spacing w:val="-4"/>
          <w:sz w:val="18"/>
        </w:rPr>
        <w:t> </w:t>
      </w:r>
      <w:r>
        <w:rPr>
          <w:sz w:val="18"/>
        </w:rPr>
        <w:t>be</w:t>
      </w:r>
      <w:r>
        <w:rPr>
          <w:spacing w:val="-5"/>
          <w:sz w:val="18"/>
        </w:rPr>
        <w:t> </w:t>
      </w:r>
      <w:r>
        <w:rPr>
          <w:sz w:val="18"/>
        </w:rPr>
        <w:t>published</w:t>
      </w:r>
      <w:r>
        <w:rPr>
          <w:spacing w:val="-4"/>
          <w:sz w:val="18"/>
        </w:rPr>
        <w:t> </w:t>
      </w:r>
      <w:r>
        <w:rPr>
          <w:sz w:val="18"/>
        </w:rPr>
        <w:t>in</w:t>
      </w:r>
      <w:r>
        <w:rPr>
          <w:spacing w:val="-4"/>
          <w:sz w:val="18"/>
        </w:rPr>
        <w:t> </w:t>
      </w:r>
      <w:r>
        <w:rPr>
          <w:sz w:val="18"/>
        </w:rPr>
        <w:t>the</w:t>
      </w:r>
    </w:p>
    <w:p>
      <w:pPr>
        <w:spacing w:line="203" w:lineRule="exact" w:before="0"/>
        <w:ind w:left="180" w:right="0" w:firstLine="0"/>
        <w:jc w:val="left"/>
        <w:rPr>
          <w:sz w:val="18"/>
        </w:rPr>
      </w:pPr>
      <w:r>
        <w:rPr>
          <w:i/>
          <w:sz w:val="18"/>
        </w:rPr>
        <w:t>Inflation Report </w:t>
      </w:r>
      <w:r>
        <w:rPr>
          <w:sz w:val="18"/>
        </w:rPr>
        <w:t>on Wednesday 10 May.</w:t>
      </w:r>
    </w:p>
    <w:p>
      <w:pPr>
        <w:pStyle w:val="BodyText"/>
        <w:rPr>
          <w:sz w:val="19"/>
        </w:rPr>
      </w:pPr>
    </w:p>
    <w:p>
      <w:pPr>
        <w:pStyle w:val="ListParagraph"/>
        <w:numPr>
          <w:ilvl w:val="0"/>
          <w:numId w:val="45"/>
        </w:numPr>
        <w:tabs>
          <w:tab w:pos="659" w:val="left" w:leader="none"/>
          <w:tab w:pos="660" w:val="left" w:leader="none"/>
        </w:tabs>
        <w:spacing w:line="232" w:lineRule="auto" w:before="0" w:after="0"/>
        <w:ind w:left="179" w:right="52" w:firstLine="0"/>
        <w:jc w:val="left"/>
        <w:rPr>
          <w:sz w:val="18"/>
        </w:rPr>
      </w:pPr>
      <w:r>
        <w:rPr>
          <w:sz w:val="18"/>
        </w:rPr>
        <w:t>On the assumption of an official repo rate of 6.0% over the next two years, the central projection was for output growth to slow slightly from 3% to a rate at or a little above trend. The profile was slightly stronger than in the February </w:t>
      </w:r>
      <w:r>
        <w:rPr>
          <w:i/>
          <w:sz w:val="18"/>
        </w:rPr>
        <w:t>Report</w:t>
      </w:r>
      <w:r>
        <w:rPr>
          <w:sz w:val="18"/>
        </w:rPr>
        <w:t>. The balance of risks was on the downside, principally on account of the possibility of a setback to world economic</w:t>
      </w:r>
      <w:r>
        <w:rPr>
          <w:spacing w:val="-6"/>
          <w:sz w:val="18"/>
        </w:rPr>
        <w:t> </w:t>
      </w:r>
      <w:r>
        <w:rPr>
          <w:sz w:val="18"/>
        </w:rPr>
        <w:t>growth.</w:t>
      </w:r>
    </w:p>
    <w:p>
      <w:pPr>
        <w:pStyle w:val="BodyText"/>
        <w:spacing w:before="8"/>
      </w:pPr>
    </w:p>
    <w:p>
      <w:pPr>
        <w:pStyle w:val="ListParagraph"/>
        <w:numPr>
          <w:ilvl w:val="0"/>
          <w:numId w:val="45"/>
        </w:numPr>
        <w:tabs>
          <w:tab w:pos="659" w:val="left" w:leader="none"/>
          <w:tab w:pos="660" w:val="left" w:leader="none"/>
        </w:tabs>
        <w:spacing w:line="232" w:lineRule="auto" w:before="0" w:after="0"/>
        <w:ind w:left="179" w:right="107" w:firstLine="0"/>
        <w:jc w:val="left"/>
        <w:rPr>
          <w:sz w:val="18"/>
        </w:rPr>
      </w:pPr>
      <w:r>
        <w:rPr>
          <w:sz w:val="18"/>
        </w:rPr>
        <w:t>On the central projection, RPIX inflation rose to around the 2</w:t>
      </w:r>
      <w:r>
        <w:rPr>
          <w:position w:val="6"/>
          <w:sz w:val="9"/>
        </w:rPr>
        <w:t>1</w:t>
      </w:r>
      <w:r>
        <w:rPr>
          <w:sz w:val="18"/>
        </w:rPr>
        <w:t>/</w:t>
      </w:r>
      <w:r>
        <w:rPr>
          <w:sz w:val="9"/>
        </w:rPr>
        <w:t>2</w:t>
      </w:r>
      <w:r>
        <w:rPr>
          <w:sz w:val="18"/>
        </w:rPr>
        <w:t>% target over the coming year or so and then stabilised at around that level. The profile was much the same as in the February </w:t>
      </w:r>
      <w:r>
        <w:rPr>
          <w:i/>
          <w:sz w:val="18"/>
        </w:rPr>
        <w:t>Report</w:t>
      </w:r>
      <w:r>
        <w:rPr>
          <w:sz w:val="18"/>
        </w:rPr>
        <w:t>, with the effects of sterling’s appreciation broadly offsetting those of slightly stronger world and domestic demand and a higher profile for earnings growth. The balance of risks was slightly on the upside in the first year and on the downside in the second</w:t>
      </w:r>
      <w:r>
        <w:rPr>
          <w:spacing w:val="-2"/>
          <w:sz w:val="18"/>
        </w:rPr>
        <w:t> </w:t>
      </w:r>
      <w:r>
        <w:rPr>
          <w:sz w:val="18"/>
        </w:rPr>
        <w:t>year.</w:t>
      </w:r>
    </w:p>
    <w:p>
      <w:pPr>
        <w:pStyle w:val="BodyText"/>
        <w:spacing w:before="10"/>
        <w:rPr>
          <w:sz w:val="16"/>
        </w:rPr>
      </w:pPr>
    </w:p>
    <w:p>
      <w:pPr>
        <w:pStyle w:val="ListParagraph"/>
        <w:numPr>
          <w:ilvl w:val="0"/>
          <w:numId w:val="45"/>
        </w:numPr>
        <w:tabs>
          <w:tab w:pos="659" w:val="left" w:leader="none"/>
          <w:tab w:pos="660" w:val="left" w:leader="none"/>
        </w:tabs>
        <w:spacing w:line="232" w:lineRule="auto" w:before="0" w:after="0"/>
        <w:ind w:left="179" w:right="38" w:firstLine="0"/>
        <w:jc w:val="left"/>
        <w:rPr>
          <w:sz w:val="18"/>
        </w:rPr>
      </w:pPr>
      <w:r>
        <w:rPr>
          <w:sz w:val="18"/>
        </w:rPr>
        <w:t>The fan chart projections did not incorporate a risk of a sharp fall in sterling’s exchange rate against the euro, since the timing and size of any such correction were both extremely uncertain. Nor did the projections reflect a risk, seen by some members, of earnings growth being higher than</w:t>
      </w:r>
      <w:r>
        <w:rPr>
          <w:spacing w:val="-9"/>
          <w:sz w:val="18"/>
        </w:rPr>
        <w:t> </w:t>
      </w:r>
      <w:r>
        <w:rPr>
          <w:sz w:val="18"/>
        </w:rPr>
        <w:t>assumed.</w:t>
      </w:r>
    </w:p>
    <w:p>
      <w:pPr>
        <w:pStyle w:val="BodyText"/>
        <w:spacing w:before="1"/>
        <w:rPr>
          <w:sz w:val="17"/>
        </w:rPr>
      </w:pPr>
    </w:p>
    <w:p>
      <w:pPr>
        <w:pStyle w:val="ListParagraph"/>
        <w:numPr>
          <w:ilvl w:val="0"/>
          <w:numId w:val="45"/>
        </w:numPr>
        <w:tabs>
          <w:tab w:pos="659" w:val="left" w:leader="none"/>
          <w:tab w:pos="660" w:val="left" w:leader="none"/>
        </w:tabs>
        <w:spacing w:line="232" w:lineRule="auto" w:before="0" w:after="0"/>
        <w:ind w:left="179" w:right="232" w:firstLine="0"/>
        <w:jc w:val="left"/>
        <w:rPr>
          <w:sz w:val="18"/>
        </w:rPr>
      </w:pPr>
      <w:r>
        <w:rPr>
          <w:sz w:val="18"/>
        </w:rPr>
        <w:t>As described above, there was a range of preferred assumptions for the path of the nominal exchange rate, price-cost margins, trend productivity, and the impact on prices of the unwinding of the recent rise in earnings growth; these were presented in Table 6.B on page 62 of the May </w:t>
      </w:r>
      <w:r>
        <w:rPr>
          <w:i/>
          <w:sz w:val="18"/>
        </w:rPr>
        <w:t>Inflation Report</w:t>
      </w:r>
      <w:r>
        <w:rPr>
          <w:sz w:val="18"/>
        </w:rPr>
        <w:t>. Different members preferred different combinations of these assumptions, with the effect of either reducing or raising the inflation projection at the two-year horizon by up to half a percentage</w:t>
      </w:r>
      <w:r>
        <w:rPr>
          <w:spacing w:val="-2"/>
          <w:sz w:val="18"/>
        </w:rPr>
        <w:t> </w:t>
      </w:r>
      <w:r>
        <w:rPr>
          <w:sz w:val="18"/>
        </w:rPr>
        <w:t>point.</w:t>
      </w:r>
    </w:p>
    <w:p>
      <w:pPr>
        <w:pStyle w:val="BodyText"/>
        <w:spacing w:before="3"/>
        <w:rPr>
          <w:sz w:val="19"/>
        </w:rPr>
      </w:pPr>
      <w:r>
        <w:rPr/>
        <w:br w:type="column"/>
      </w:r>
      <w:r>
        <w:rPr>
          <w:sz w:val="19"/>
        </w:rPr>
      </w:r>
    </w:p>
    <w:p>
      <w:pPr>
        <w:pStyle w:val="Heading4"/>
        <w:spacing w:line="266" w:lineRule="auto"/>
        <w:ind w:left="179"/>
      </w:pPr>
      <w:r>
        <w:rPr>
          <w:color w:val="009391"/>
        </w:rPr>
        <w:t>The implications for policy of strong domestic inflationary pressures versus the disinflationary effects of sterling’s further appreciation</w:t>
      </w:r>
    </w:p>
    <w:p>
      <w:pPr>
        <w:pStyle w:val="ListParagraph"/>
        <w:numPr>
          <w:ilvl w:val="0"/>
          <w:numId w:val="45"/>
        </w:numPr>
        <w:tabs>
          <w:tab w:pos="659" w:val="left" w:leader="none"/>
          <w:tab w:pos="660" w:val="left" w:leader="none"/>
        </w:tabs>
        <w:spacing w:line="232" w:lineRule="auto" w:before="60" w:after="0"/>
        <w:ind w:left="179" w:right="148" w:firstLine="0"/>
        <w:jc w:val="left"/>
        <w:rPr>
          <w:sz w:val="18"/>
        </w:rPr>
      </w:pPr>
      <w:r>
        <w:rPr>
          <w:sz w:val="18"/>
        </w:rPr>
        <w:t>The Committee discussed the challenges which monetary policy faced on account of, on the one hand, the domestic inflationary pressures generated by strong final domestic demand growth and a tight labour market; and, on the other hand, the downward</w:t>
      </w:r>
      <w:r>
        <w:rPr>
          <w:spacing w:val="-6"/>
          <w:sz w:val="18"/>
        </w:rPr>
        <w:t> </w:t>
      </w:r>
      <w:r>
        <w:rPr>
          <w:sz w:val="18"/>
        </w:rPr>
        <w:t>pressures</w:t>
      </w:r>
      <w:r>
        <w:rPr>
          <w:spacing w:val="-6"/>
          <w:sz w:val="18"/>
        </w:rPr>
        <w:t> </w:t>
      </w:r>
      <w:r>
        <w:rPr>
          <w:sz w:val="18"/>
        </w:rPr>
        <w:t>on</w:t>
      </w:r>
      <w:r>
        <w:rPr>
          <w:spacing w:val="-6"/>
          <w:sz w:val="18"/>
        </w:rPr>
        <w:t> </w:t>
      </w:r>
      <w:r>
        <w:rPr>
          <w:sz w:val="18"/>
        </w:rPr>
        <w:t>inflation</w:t>
      </w:r>
      <w:r>
        <w:rPr>
          <w:spacing w:val="-5"/>
          <w:sz w:val="18"/>
        </w:rPr>
        <w:t> </w:t>
      </w:r>
      <w:r>
        <w:rPr>
          <w:sz w:val="18"/>
        </w:rPr>
        <w:t>from</w:t>
      </w:r>
      <w:r>
        <w:rPr>
          <w:spacing w:val="-6"/>
          <w:sz w:val="18"/>
        </w:rPr>
        <w:t> </w:t>
      </w:r>
      <w:r>
        <w:rPr>
          <w:sz w:val="18"/>
        </w:rPr>
        <w:t>the</w:t>
      </w:r>
      <w:r>
        <w:rPr>
          <w:spacing w:val="-6"/>
          <w:sz w:val="18"/>
        </w:rPr>
        <w:t> </w:t>
      </w:r>
      <w:r>
        <w:rPr>
          <w:sz w:val="18"/>
        </w:rPr>
        <w:t>prospective</w:t>
      </w:r>
      <w:r>
        <w:rPr>
          <w:spacing w:val="-6"/>
          <w:sz w:val="18"/>
        </w:rPr>
        <w:t> </w:t>
      </w:r>
      <w:r>
        <w:rPr>
          <w:sz w:val="18"/>
        </w:rPr>
        <w:t>effects</w:t>
      </w:r>
      <w:r>
        <w:rPr>
          <w:spacing w:val="-5"/>
          <w:sz w:val="18"/>
        </w:rPr>
        <w:t> </w:t>
      </w:r>
      <w:r>
        <w:rPr>
          <w:sz w:val="18"/>
        </w:rPr>
        <w:t>on</w:t>
      </w:r>
      <w:r>
        <w:rPr>
          <w:spacing w:val="-6"/>
          <w:sz w:val="18"/>
        </w:rPr>
        <w:t> </w:t>
      </w:r>
      <w:r>
        <w:rPr>
          <w:sz w:val="18"/>
        </w:rPr>
        <w:t>net trade and import prices of sterling’s further appreciation against the euro. There seemed to be material risks to the outlook whatever the Committee’s immediate policy</w:t>
      </w:r>
      <w:r>
        <w:rPr>
          <w:spacing w:val="-5"/>
          <w:sz w:val="18"/>
        </w:rPr>
        <w:t> </w:t>
      </w:r>
      <w:r>
        <w:rPr>
          <w:sz w:val="18"/>
        </w:rPr>
        <w:t>decision.</w:t>
      </w:r>
    </w:p>
    <w:p>
      <w:pPr>
        <w:pStyle w:val="ListParagraph"/>
        <w:numPr>
          <w:ilvl w:val="0"/>
          <w:numId w:val="45"/>
        </w:numPr>
        <w:tabs>
          <w:tab w:pos="659" w:val="left" w:leader="none"/>
          <w:tab w:pos="660" w:val="left" w:leader="none"/>
        </w:tabs>
        <w:spacing w:line="232" w:lineRule="auto" w:before="174" w:after="0"/>
        <w:ind w:left="179" w:right="173" w:firstLine="0"/>
        <w:jc w:val="left"/>
        <w:rPr>
          <w:sz w:val="18"/>
        </w:rPr>
      </w:pPr>
      <w:r>
        <w:rPr>
          <w:sz w:val="18"/>
        </w:rPr>
        <w:t>A risk if interest rates were raised was that inflation could fall further below target if, for example, the Q1 GDP estimate turned out to be an accurate guide to underlying developments and output growth continued to slow. Moreover, in the view of some members,</w:t>
      </w:r>
      <w:r>
        <w:rPr>
          <w:spacing w:val="-6"/>
          <w:sz w:val="18"/>
        </w:rPr>
        <w:t> </w:t>
      </w:r>
      <w:r>
        <w:rPr>
          <w:sz w:val="18"/>
        </w:rPr>
        <w:t>a</w:t>
      </w:r>
      <w:r>
        <w:rPr>
          <w:spacing w:val="-6"/>
          <w:sz w:val="18"/>
        </w:rPr>
        <w:t> </w:t>
      </w:r>
      <w:r>
        <w:rPr>
          <w:sz w:val="18"/>
        </w:rPr>
        <w:t>policy</w:t>
      </w:r>
      <w:r>
        <w:rPr>
          <w:spacing w:val="-5"/>
          <w:sz w:val="18"/>
        </w:rPr>
        <w:t> </w:t>
      </w:r>
      <w:r>
        <w:rPr>
          <w:sz w:val="18"/>
        </w:rPr>
        <w:t>tightening</w:t>
      </w:r>
      <w:r>
        <w:rPr>
          <w:spacing w:val="-6"/>
          <w:sz w:val="18"/>
        </w:rPr>
        <w:t> </w:t>
      </w:r>
      <w:r>
        <w:rPr>
          <w:sz w:val="18"/>
        </w:rPr>
        <w:t>could</w:t>
      </w:r>
      <w:r>
        <w:rPr>
          <w:spacing w:val="-6"/>
          <w:sz w:val="18"/>
        </w:rPr>
        <w:t> </w:t>
      </w:r>
      <w:r>
        <w:rPr>
          <w:sz w:val="18"/>
        </w:rPr>
        <w:t>put</w:t>
      </w:r>
      <w:r>
        <w:rPr>
          <w:spacing w:val="-5"/>
          <w:sz w:val="18"/>
        </w:rPr>
        <w:t> </w:t>
      </w:r>
      <w:r>
        <w:rPr>
          <w:sz w:val="18"/>
        </w:rPr>
        <w:t>further</w:t>
      </w:r>
      <w:r>
        <w:rPr>
          <w:spacing w:val="-6"/>
          <w:sz w:val="18"/>
        </w:rPr>
        <w:t> </w:t>
      </w:r>
      <w:r>
        <w:rPr>
          <w:sz w:val="18"/>
        </w:rPr>
        <w:t>upwards</w:t>
      </w:r>
      <w:r>
        <w:rPr>
          <w:spacing w:val="-6"/>
          <w:sz w:val="18"/>
        </w:rPr>
        <w:t> </w:t>
      </w:r>
      <w:r>
        <w:rPr>
          <w:sz w:val="18"/>
        </w:rPr>
        <w:t>pressure</w:t>
      </w:r>
      <w:r>
        <w:rPr>
          <w:spacing w:val="-5"/>
          <w:sz w:val="18"/>
        </w:rPr>
        <w:t> </w:t>
      </w:r>
      <w:r>
        <w:rPr>
          <w:sz w:val="18"/>
        </w:rPr>
        <w:t>on sterling, which could aggravate the downward pressures on inflation and output. As well as materially undershooting the inflation target for a while, some viable businesses might be unnecessarily damaged. In addition, a further rise in sterling could increase the risk of sterling falling sharply later. Hence, tightening now could increase the deviation of inflation from target, both in the short run and further</w:t>
      </w:r>
      <w:r>
        <w:rPr>
          <w:spacing w:val="-7"/>
          <w:sz w:val="18"/>
        </w:rPr>
        <w:t> </w:t>
      </w:r>
      <w:r>
        <w:rPr>
          <w:sz w:val="18"/>
        </w:rPr>
        <w:t>out.</w:t>
      </w:r>
    </w:p>
    <w:p>
      <w:pPr>
        <w:pStyle w:val="ListParagraph"/>
        <w:numPr>
          <w:ilvl w:val="0"/>
          <w:numId w:val="45"/>
        </w:numPr>
        <w:tabs>
          <w:tab w:pos="659" w:val="left" w:leader="none"/>
          <w:tab w:pos="660" w:val="left" w:leader="none"/>
        </w:tabs>
        <w:spacing w:line="232" w:lineRule="auto" w:before="171" w:after="0"/>
        <w:ind w:left="179" w:right="188" w:firstLine="0"/>
        <w:jc w:val="left"/>
        <w:rPr>
          <w:sz w:val="18"/>
        </w:rPr>
      </w:pPr>
      <w:r>
        <w:rPr>
          <w:sz w:val="18"/>
        </w:rPr>
        <w:t>If, however, interest rates were maintained at 6%, there was a risk that policy might prove to be too easy if, for example, tight labour market conditions were to lead to persistently high earnings growth. That could end up being a classic case of acting too late to head off accumulating inflationary pressures, and that too could damage the real economy. In addition, it was likely that sterling would fall back at some point, given that its rate against the euro in particular seemed unsustainable. If domestically-generated inflation had not been checked by then, policy might need to be tightened quite sharply in order to bring about a material slowdown in output growth. This was not certain, however. For example, if a fall in sterling were prompted by a global equity market correction, which on one view was the most likely trigger, there might be partly offsetting influences on the inflation outlook, although the inflationary effects of a depreciation would tend to come through rather more quickly than the disinflationary effects of a fall in wealth.</w:t>
      </w:r>
    </w:p>
    <w:p>
      <w:pPr>
        <w:pStyle w:val="ListParagraph"/>
        <w:numPr>
          <w:ilvl w:val="0"/>
          <w:numId w:val="45"/>
        </w:numPr>
        <w:tabs>
          <w:tab w:pos="659" w:val="left" w:leader="none"/>
          <w:tab w:pos="660" w:val="left" w:leader="none"/>
        </w:tabs>
        <w:spacing w:line="232" w:lineRule="auto" w:before="166" w:after="0"/>
        <w:ind w:left="179" w:right="153" w:firstLine="0"/>
        <w:jc w:val="left"/>
        <w:rPr>
          <w:sz w:val="18"/>
        </w:rPr>
      </w:pPr>
      <w:r>
        <w:rPr>
          <w:sz w:val="18"/>
        </w:rPr>
        <w:t>Views differed on the relative risks depending on assessments of the current conjuncture and individual members’ preferred central projection assumptions. There was, however, agreement</w:t>
      </w:r>
      <w:r>
        <w:rPr>
          <w:spacing w:val="-6"/>
          <w:sz w:val="18"/>
        </w:rPr>
        <w:t> </w:t>
      </w:r>
      <w:r>
        <w:rPr>
          <w:sz w:val="18"/>
        </w:rPr>
        <w:t>that</w:t>
      </w:r>
      <w:r>
        <w:rPr>
          <w:spacing w:val="-5"/>
          <w:sz w:val="18"/>
        </w:rPr>
        <w:t> </w:t>
      </w:r>
      <w:r>
        <w:rPr>
          <w:sz w:val="18"/>
        </w:rPr>
        <w:t>it</w:t>
      </w:r>
      <w:r>
        <w:rPr>
          <w:spacing w:val="-5"/>
          <w:sz w:val="18"/>
        </w:rPr>
        <w:t> </w:t>
      </w:r>
      <w:r>
        <w:rPr>
          <w:sz w:val="18"/>
        </w:rPr>
        <w:t>was</w:t>
      </w:r>
      <w:r>
        <w:rPr>
          <w:spacing w:val="-6"/>
          <w:sz w:val="18"/>
        </w:rPr>
        <w:t> </w:t>
      </w:r>
      <w:r>
        <w:rPr>
          <w:sz w:val="18"/>
        </w:rPr>
        <w:t>relevant</w:t>
      </w:r>
      <w:r>
        <w:rPr>
          <w:spacing w:val="-5"/>
          <w:sz w:val="18"/>
        </w:rPr>
        <w:t> </w:t>
      </w:r>
      <w:r>
        <w:rPr>
          <w:sz w:val="18"/>
        </w:rPr>
        <w:t>that</w:t>
      </w:r>
      <w:r>
        <w:rPr>
          <w:spacing w:val="-5"/>
          <w:sz w:val="18"/>
        </w:rPr>
        <w:t> </w:t>
      </w:r>
      <w:r>
        <w:rPr>
          <w:sz w:val="18"/>
        </w:rPr>
        <w:t>inflation</w:t>
      </w:r>
      <w:r>
        <w:rPr>
          <w:spacing w:val="-6"/>
          <w:sz w:val="18"/>
        </w:rPr>
        <w:t> </w:t>
      </w:r>
      <w:r>
        <w:rPr>
          <w:sz w:val="18"/>
        </w:rPr>
        <w:t>was</w:t>
      </w:r>
      <w:r>
        <w:rPr>
          <w:spacing w:val="-5"/>
          <w:sz w:val="18"/>
        </w:rPr>
        <w:t> </w:t>
      </w:r>
      <w:r>
        <w:rPr>
          <w:sz w:val="18"/>
        </w:rPr>
        <w:t>currently</w:t>
      </w:r>
      <w:r>
        <w:rPr>
          <w:spacing w:val="-5"/>
          <w:sz w:val="18"/>
        </w:rPr>
        <w:t> </w:t>
      </w:r>
      <w:r>
        <w:rPr>
          <w:sz w:val="18"/>
        </w:rPr>
        <w:t>below</w:t>
      </w:r>
      <w:r>
        <w:rPr>
          <w:spacing w:val="-6"/>
          <w:sz w:val="18"/>
        </w:rPr>
        <w:t> </w:t>
      </w:r>
      <w:r>
        <w:rPr>
          <w:sz w:val="18"/>
        </w:rPr>
        <w:t>the inflation target, and that sterling was materially higher at the time of the meeting than the 15 working day average used as the assumed starting point in the </w:t>
      </w:r>
      <w:r>
        <w:rPr>
          <w:i/>
          <w:sz w:val="18"/>
        </w:rPr>
        <w:t>Inflation Report </w:t>
      </w:r>
      <w:r>
        <w:rPr>
          <w:sz w:val="18"/>
        </w:rPr>
        <w:t>projections. The actual exchange rate at the time of the meeting was judged to be more relevant to the immediate policy</w:t>
      </w:r>
      <w:r>
        <w:rPr>
          <w:spacing w:val="-12"/>
          <w:sz w:val="18"/>
        </w:rPr>
        <w:t> </w:t>
      </w:r>
      <w:r>
        <w:rPr>
          <w:sz w:val="18"/>
        </w:rPr>
        <w:t>decision.</w:t>
      </w:r>
    </w:p>
    <w:p>
      <w:pPr>
        <w:pStyle w:val="BodyText"/>
        <w:spacing w:before="1"/>
        <w:rPr>
          <w:sz w:val="20"/>
        </w:rPr>
      </w:pPr>
    </w:p>
    <w:p>
      <w:pPr>
        <w:pStyle w:val="Heading4"/>
        <w:ind w:left="179"/>
      </w:pPr>
      <w:r>
        <w:rPr>
          <w:color w:val="009391"/>
        </w:rPr>
        <w:t>Tactical issues</w:t>
      </w:r>
    </w:p>
    <w:p>
      <w:pPr>
        <w:pStyle w:val="ListParagraph"/>
        <w:numPr>
          <w:ilvl w:val="0"/>
          <w:numId w:val="45"/>
        </w:numPr>
        <w:tabs>
          <w:tab w:pos="659" w:val="left" w:leader="none"/>
          <w:tab w:pos="660" w:val="left" w:leader="none"/>
        </w:tabs>
        <w:spacing w:line="240" w:lineRule="auto" w:before="85" w:after="0"/>
        <w:ind w:left="659" w:right="0" w:hanging="481"/>
        <w:jc w:val="left"/>
        <w:rPr>
          <w:sz w:val="18"/>
        </w:rPr>
      </w:pPr>
      <w:r>
        <w:rPr>
          <w:sz w:val="18"/>
        </w:rPr>
        <w:t>The Committee discussed two tactical</w:t>
      </w:r>
      <w:r>
        <w:rPr>
          <w:spacing w:val="-10"/>
          <w:sz w:val="18"/>
        </w:rPr>
        <w:t> </w:t>
      </w:r>
      <w:r>
        <w:rPr>
          <w:sz w:val="18"/>
        </w:rPr>
        <w:t>issues.</w:t>
      </w:r>
    </w:p>
    <w:p>
      <w:pPr>
        <w:pStyle w:val="BodyText"/>
        <w:spacing w:before="2"/>
        <w:rPr>
          <w:sz w:val="17"/>
        </w:rPr>
      </w:pPr>
    </w:p>
    <w:p>
      <w:pPr>
        <w:pStyle w:val="ListParagraph"/>
        <w:numPr>
          <w:ilvl w:val="0"/>
          <w:numId w:val="45"/>
        </w:numPr>
        <w:tabs>
          <w:tab w:pos="659" w:val="left" w:leader="none"/>
          <w:tab w:pos="660" w:val="left" w:leader="none"/>
        </w:tabs>
        <w:spacing w:line="232" w:lineRule="auto" w:before="0" w:after="0"/>
        <w:ind w:left="179" w:right="256" w:firstLine="0"/>
        <w:jc w:val="left"/>
        <w:rPr>
          <w:sz w:val="18"/>
        </w:rPr>
      </w:pPr>
      <w:r>
        <w:rPr>
          <w:sz w:val="18"/>
        </w:rPr>
        <w:t>First, the Federal Open Markets Committee (FOMC) was expected by the market to increase the Fed funds target by at least 25 basis points, perhaps by 50 basis points, on 16 May. Assuming that the FOMC did tighten, it was conceivable that sterling might decouple somewhat from the dollar, and so perhaps fall slightly against the euro, if UK rates had not been raised again this month, since that might help to signal that the US and UK did not face the same conjunctural</w:t>
      </w:r>
      <w:r>
        <w:rPr>
          <w:spacing w:val="-3"/>
          <w:sz w:val="18"/>
        </w:rPr>
        <w:t> </w:t>
      </w:r>
      <w:r>
        <w:rPr>
          <w:sz w:val="18"/>
        </w:rPr>
        <w:t>issues.</w:t>
      </w:r>
    </w:p>
    <w:p>
      <w:pPr>
        <w:pStyle w:val="BodyText"/>
        <w:spacing w:before="10"/>
        <w:rPr>
          <w:sz w:val="16"/>
        </w:rPr>
      </w:pPr>
    </w:p>
    <w:p>
      <w:pPr>
        <w:pStyle w:val="ListParagraph"/>
        <w:numPr>
          <w:ilvl w:val="0"/>
          <w:numId w:val="45"/>
        </w:numPr>
        <w:tabs>
          <w:tab w:pos="659" w:val="left" w:leader="none"/>
          <w:tab w:pos="660" w:val="left" w:leader="none"/>
        </w:tabs>
        <w:spacing w:line="232" w:lineRule="auto" w:before="0" w:after="0"/>
        <w:ind w:left="179" w:right="238" w:firstLine="0"/>
        <w:jc w:val="left"/>
        <w:rPr>
          <w:sz w:val="18"/>
        </w:rPr>
      </w:pPr>
      <w:r>
        <w:rPr>
          <w:sz w:val="18"/>
        </w:rPr>
        <w:t>Second, the Committee discussed a suggestion that, if the repo rate were maintained at 6%, the Bank should intervene in the foreign exchange markets, ideally as part of concerted intervention to strengthen the euro. A majority of members did not want to contemplate intervention in the current</w:t>
      </w:r>
      <w:r>
        <w:rPr>
          <w:spacing w:val="-14"/>
          <w:sz w:val="18"/>
        </w:rPr>
        <w:t> </w:t>
      </w:r>
      <w:r>
        <w:rPr>
          <w:sz w:val="18"/>
        </w:rPr>
        <w:t>circumstances.</w:t>
      </w:r>
    </w:p>
    <w:p>
      <w:pPr>
        <w:spacing w:after="0" w:line="232" w:lineRule="auto"/>
        <w:jc w:val="left"/>
        <w:rPr>
          <w:sz w:val="18"/>
        </w:rPr>
        <w:sectPr>
          <w:type w:val="continuous"/>
          <w:pgSz w:w="11900" w:h="16840"/>
          <w:pgMar w:top="1260" w:bottom="280" w:left="640" w:right="640"/>
          <w:cols w:num="2" w:equalWidth="0">
            <w:col w:w="5113" w:space="275"/>
            <w:col w:w="5232"/>
          </w:cols>
        </w:sectPr>
      </w:pPr>
    </w:p>
    <w:p>
      <w:pPr>
        <w:pStyle w:val="BodyText"/>
        <w:rPr>
          <w:sz w:val="20"/>
        </w:rPr>
      </w:pPr>
    </w:p>
    <w:p>
      <w:pPr>
        <w:spacing w:after="0"/>
        <w:rPr>
          <w:sz w:val="20"/>
        </w:rPr>
        <w:sectPr>
          <w:pgSz w:w="11900" w:h="16840"/>
          <w:pgMar w:header="566" w:footer="597" w:top="760" w:bottom="780" w:left="640" w:right="640"/>
        </w:sectPr>
      </w:pPr>
    </w:p>
    <w:p>
      <w:pPr>
        <w:pStyle w:val="Heading4"/>
        <w:spacing w:before="212"/>
        <w:ind w:left="180"/>
      </w:pPr>
      <w:r>
        <w:rPr>
          <w:color w:val="009391"/>
        </w:rPr>
        <w:t>The immediate policy decision</w:t>
      </w:r>
    </w:p>
    <w:p>
      <w:pPr>
        <w:pStyle w:val="ListParagraph"/>
        <w:numPr>
          <w:ilvl w:val="0"/>
          <w:numId w:val="45"/>
        </w:numPr>
        <w:tabs>
          <w:tab w:pos="659" w:val="left" w:leader="none"/>
          <w:tab w:pos="660" w:val="left" w:leader="none"/>
        </w:tabs>
        <w:spacing w:line="232" w:lineRule="auto" w:before="129" w:after="0"/>
        <w:ind w:left="180" w:right="126" w:firstLine="0"/>
        <w:jc w:val="left"/>
        <w:rPr>
          <w:sz w:val="18"/>
        </w:rPr>
      </w:pPr>
      <w:r>
        <w:rPr>
          <w:sz w:val="18"/>
        </w:rPr>
        <w:t>A variety of arguments were identified for maintaining interest rates at 6%. The central projection for inflation was broadly in line with the target in the second year of the forecast period, with the level of output around most estimates of trend. While some members had preferred assumptions producing a somewhat higher inflation projection, this was offset by the fact that sterling was, at the time of the meeting, nearly 3% above the starting point assumed in the May projections. For those members who had favoured a tightening of policy in the previous month, the balance of argument had shifted to leaving rates unchanged this month. This was partly because of the Q1 GDP figure,</w:t>
      </w:r>
      <w:r>
        <w:rPr>
          <w:spacing w:val="9"/>
          <w:sz w:val="18"/>
        </w:rPr>
        <w:t> </w:t>
      </w:r>
      <w:r>
        <w:rPr>
          <w:sz w:val="18"/>
        </w:rPr>
        <w:t>but</w:t>
      </w:r>
    </w:p>
    <w:p>
      <w:pPr>
        <w:pStyle w:val="BodyText"/>
        <w:spacing w:line="232" w:lineRule="auto"/>
        <w:ind w:left="180" w:right="223"/>
      </w:pPr>
      <w:r>
        <w:rPr/>
        <w:t>it was also on account of sterling’s sharp appreciation since then and the implications which these developments, if they persisted, would have for the inflation outlook. On the economic analysis there was no need to change rates this month, and as a matter of tactics doing so might compound the problem of sterling’s appreciation.</w:t>
      </w:r>
    </w:p>
    <w:p>
      <w:pPr>
        <w:pStyle w:val="BodyText"/>
        <w:spacing w:before="3"/>
        <w:rPr>
          <w:sz w:val="16"/>
        </w:rPr>
      </w:pPr>
    </w:p>
    <w:p>
      <w:pPr>
        <w:pStyle w:val="ListParagraph"/>
        <w:numPr>
          <w:ilvl w:val="0"/>
          <w:numId w:val="45"/>
        </w:numPr>
        <w:tabs>
          <w:tab w:pos="659" w:val="left" w:leader="none"/>
          <w:tab w:pos="660" w:val="left" w:leader="none"/>
        </w:tabs>
        <w:spacing w:line="232" w:lineRule="auto" w:before="0" w:after="0"/>
        <w:ind w:left="180" w:right="38" w:firstLine="0"/>
        <w:jc w:val="left"/>
        <w:rPr>
          <w:sz w:val="18"/>
        </w:rPr>
      </w:pPr>
      <w:r>
        <w:rPr>
          <w:sz w:val="18"/>
        </w:rPr>
        <w:t>There was, however, a wider range of views on the underlying picture. Some members remained very concerned about the strength of domestically-generated inflationary pressures, reflecting the tight labour market and still-buoyant final domestic demand growth. There were upside risks to inflation from earnings and the possibility of a decline in sterling’s exchange rate. Sterling’s level against the euro was unlikely to be sustainable; the most likely resolution of this was a rise in the euro’s nominal exchange rate against sterling, but the timing was extremely uncertain. Taking these things together, there was a general need to restrain domestic demand growth. This would also guard against having to tighten policy more aggressively later if, for example, sterling fell sharply. While it was therefore more likely than not that policy would need to be tightened again in due course, a tightening was not needed this month; the immediate outlook provided time to see more evidence on output and expenditure and on exchange market developments.  Some members taking this view were concerned that economic agents and commentators may have concluded from the recent macroeconomic performance that the Committee could, as a general matter, achieve the inflation target and stabilise the path of output with a series of fairly small changes in interest rates. That was by no means assured. The uncomfortable current combination of internal and external conditions suggested that the operation of policy in the period ahead might easily be considerably more difficult than over the past three</w:t>
      </w:r>
      <w:r>
        <w:rPr>
          <w:spacing w:val="-2"/>
          <w:sz w:val="18"/>
        </w:rPr>
        <w:t> </w:t>
      </w:r>
      <w:r>
        <w:rPr>
          <w:sz w:val="18"/>
        </w:rPr>
        <w:t>years.</w:t>
      </w:r>
    </w:p>
    <w:p>
      <w:pPr>
        <w:pStyle w:val="BodyText"/>
        <w:spacing w:before="7"/>
        <w:rPr>
          <w:sz w:val="15"/>
        </w:rPr>
      </w:pPr>
    </w:p>
    <w:p>
      <w:pPr>
        <w:pStyle w:val="ListParagraph"/>
        <w:numPr>
          <w:ilvl w:val="0"/>
          <w:numId w:val="45"/>
        </w:numPr>
        <w:tabs>
          <w:tab w:pos="659" w:val="left" w:leader="none"/>
          <w:tab w:pos="660" w:val="left" w:leader="none"/>
        </w:tabs>
        <w:spacing w:line="232" w:lineRule="auto" w:before="0" w:after="0"/>
        <w:ind w:left="180" w:right="237" w:firstLine="0"/>
        <w:jc w:val="left"/>
        <w:rPr>
          <w:sz w:val="18"/>
        </w:rPr>
      </w:pPr>
      <w:r>
        <w:rPr>
          <w:sz w:val="18"/>
        </w:rPr>
        <w:t>While agreeing that the conjuncture was particularly challenging,</w:t>
      </w:r>
      <w:r>
        <w:rPr>
          <w:spacing w:val="-6"/>
          <w:sz w:val="18"/>
        </w:rPr>
        <w:t> </w:t>
      </w:r>
      <w:r>
        <w:rPr>
          <w:sz w:val="18"/>
        </w:rPr>
        <w:t>other</w:t>
      </w:r>
      <w:r>
        <w:rPr>
          <w:spacing w:val="-6"/>
          <w:sz w:val="18"/>
        </w:rPr>
        <w:t> </w:t>
      </w:r>
      <w:r>
        <w:rPr>
          <w:sz w:val="18"/>
        </w:rPr>
        <w:t>members</w:t>
      </w:r>
      <w:r>
        <w:rPr>
          <w:spacing w:val="-5"/>
          <w:sz w:val="18"/>
        </w:rPr>
        <w:t> </w:t>
      </w:r>
      <w:r>
        <w:rPr>
          <w:sz w:val="18"/>
        </w:rPr>
        <w:t>did</w:t>
      </w:r>
      <w:r>
        <w:rPr>
          <w:spacing w:val="-6"/>
          <w:sz w:val="18"/>
        </w:rPr>
        <w:t> </w:t>
      </w:r>
      <w:r>
        <w:rPr>
          <w:sz w:val="18"/>
        </w:rPr>
        <w:t>not</w:t>
      </w:r>
      <w:r>
        <w:rPr>
          <w:spacing w:val="-5"/>
          <w:sz w:val="18"/>
        </w:rPr>
        <w:t> </w:t>
      </w:r>
      <w:r>
        <w:rPr>
          <w:sz w:val="18"/>
        </w:rPr>
        <w:t>agree</w:t>
      </w:r>
      <w:r>
        <w:rPr>
          <w:spacing w:val="-6"/>
          <w:sz w:val="18"/>
        </w:rPr>
        <w:t> </w:t>
      </w:r>
      <w:r>
        <w:rPr>
          <w:sz w:val="18"/>
        </w:rPr>
        <w:t>that,</w:t>
      </w:r>
      <w:r>
        <w:rPr>
          <w:spacing w:val="-5"/>
          <w:sz w:val="18"/>
        </w:rPr>
        <w:t> </w:t>
      </w:r>
      <w:r>
        <w:rPr>
          <w:sz w:val="18"/>
        </w:rPr>
        <w:t>other</w:t>
      </w:r>
      <w:r>
        <w:rPr>
          <w:spacing w:val="-6"/>
          <w:sz w:val="18"/>
        </w:rPr>
        <w:t> </w:t>
      </w:r>
      <w:r>
        <w:rPr>
          <w:sz w:val="18"/>
        </w:rPr>
        <w:t>things</w:t>
      </w:r>
      <w:r>
        <w:rPr>
          <w:spacing w:val="-6"/>
          <w:sz w:val="18"/>
        </w:rPr>
        <w:t> </w:t>
      </w:r>
      <w:r>
        <w:rPr>
          <w:sz w:val="18"/>
        </w:rPr>
        <w:t>being equal, policy was more likely than not to be tightened further. First,</w:t>
      </w:r>
      <w:r>
        <w:rPr>
          <w:spacing w:val="-3"/>
          <w:sz w:val="18"/>
        </w:rPr>
        <w:t> </w:t>
      </w:r>
      <w:r>
        <w:rPr>
          <w:sz w:val="18"/>
        </w:rPr>
        <w:t>taken</w:t>
      </w:r>
      <w:r>
        <w:rPr>
          <w:spacing w:val="-3"/>
          <w:sz w:val="18"/>
        </w:rPr>
        <w:t> </w:t>
      </w:r>
      <w:r>
        <w:rPr>
          <w:sz w:val="18"/>
        </w:rPr>
        <w:t>at</w:t>
      </w:r>
      <w:r>
        <w:rPr>
          <w:spacing w:val="-3"/>
          <w:sz w:val="18"/>
        </w:rPr>
        <w:t> </w:t>
      </w:r>
      <w:r>
        <w:rPr>
          <w:sz w:val="18"/>
        </w:rPr>
        <w:t>face</w:t>
      </w:r>
      <w:r>
        <w:rPr>
          <w:spacing w:val="-3"/>
          <w:sz w:val="18"/>
        </w:rPr>
        <w:t> </w:t>
      </w:r>
      <w:r>
        <w:rPr>
          <w:sz w:val="18"/>
        </w:rPr>
        <w:t>value</w:t>
      </w:r>
      <w:r>
        <w:rPr>
          <w:spacing w:val="-3"/>
          <w:sz w:val="18"/>
        </w:rPr>
        <w:t> </w:t>
      </w:r>
      <w:r>
        <w:rPr>
          <w:sz w:val="18"/>
        </w:rPr>
        <w:t>the</w:t>
      </w:r>
      <w:r>
        <w:rPr>
          <w:spacing w:val="-3"/>
          <w:sz w:val="18"/>
        </w:rPr>
        <w:t> </w:t>
      </w:r>
      <w:r>
        <w:rPr>
          <w:sz w:val="18"/>
        </w:rPr>
        <w:t>Q1</w:t>
      </w:r>
      <w:r>
        <w:rPr>
          <w:spacing w:val="-3"/>
          <w:sz w:val="18"/>
        </w:rPr>
        <w:t> </w:t>
      </w:r>
      <w:r>
        <w:rPr>
          <w:sz w:val="18"/>
        </w:rPr>
        <w:t>GDP</w:t>
      </w:r>
      <w:r>
        <w:rPr>
          <w:spacing w:val="-2"/>
          <w:sz w:val="18"/>
        </w:rPr>
        <w:t> </w:t>
      </w:r>
      <w:r>
        <w:rPr>
          <w:sz w:val="18"/>
        </w:rPr>
        <w:t>numbers</w:t>
      </w:r>
      <w:r>
        <w:rPr>
          <w:spacing w:val="-3"/>
          <w:sz w:val="18"/>
        </w:rPr>
        <w:t> </w:t>
      </w:r>
      <w:r>
        <w:rPr>
          <w:sz w:val="18"/>
        </w:rPr>
        <w:t>and</w:t>
      </w:r>
      <w:r>
        <w:rPr>
          <w:spacing w:val="-3"/>
          <w:sz w:val="18"/>
        </w:rPr>
        <w:t> </w:t>
      </w:r>
      <w:r>
        <w:rPr>
          <w:sz w:val="18"/>
        </w:rPr>
        <w:t>the</w:t>
      </w:r>
      <w:r>
        <w:rPr>
          <w:spacing w:val="-3"/>
          <w:sz w:val="18"/>
        </w:rPr>
        <w:t> </w:t>
      </w:r>
      <w:r>
        <w:rPr>
          <w:sz w:val="18"/>
        </w:rPr>
        <w:t>fall</w:t>
      </w:r>
      <w:r>
        <w:rPr>
          <w:spacing w:val="-3"/>
          <w:sz w:val="18"/>
        </w:rPr>
        <w:t> </w:t>
      </w:r>
      <w:r>
        <w:rPr>
          <w:sz w:val="18"/>
        </w:rPr>
        <w:t>in</w:t>
      </w:r>
    </w:p>
    <w:p>
      <w:pPr>
        <w:pStyle w:val="BodyText"/>
        <w:spacing w:before="7"/>
        <w:rPr>
          <w:sz w:val="19"/>
        </w:rPr>
      </w:pPr>
      <w:r>
        <w:rPr/>
        <w:br w:type="column"/>
      </w:r>
      <w:r>
        <w:rPr>
          <w:sz w:val="19"/>
        </w:rPr>
      </w:r>
    </w:p>
    <w:p>
      <w:pPr>
        <w:pStyle w:val="BodyText"/>
        <w:spacing w:line="232" w:lineRule="auto"/>
        <w:ind w:left="180" w:right="216"/>
      </w:pPr>
      <w:r>
        <w:rPr/>
        <w:t>several survey indicators might suggest that the earlier interest rate increases had had a faster and larger effect than expected. Second, to tighten policy would tend to put further upwards pressure on sterling, compounding the problem of economic imbalances.</w:t>
      </w:r>
    </w:p>
    <w:p>
      <w:pPr>
        <w:pStyle w:val="BodyText"/>
        <w:spacing w:line="232" w:lineRule="auto"/>
        <w:ind w:left="180" w:right="130"/>
      </w:pPr>
      <w:r>
        <w:rPr/>
        <w:t>Attempting to slow domestic demand growth below trend by tightening now in anticipation of a fall in sterling would run the risk both of increasing the degree of undershoot of inflation relative to the target in the short run, and of increasing the size of any inflation overshoot later, by exacerbating the size of sterling’s overvaluation now. Third, sterling was most likely to fall in response to a global equity market correction, which would tend to reduce domestic demand and so help to offset upward pressures on inflation from depreciation. In such circumstances, policy might not need to be tightened aggressively. Fourth, inflation was still materially below target, and was set to remain so for a while, which provided a cushion against a short-term inflationary shock from a fall in sterling. Fifth, to the extent that movements in sterling proved to be erratic, they had no necessary implications for policy. Sixth, some members placed greater weight on downward price pressures from changes in the supply-side of the economy, which would interact with and at least partly offset the inflationary pressures from strong domestic demand.</w:t>
      </w:r>
    </w:p>
    <w:p>
      <w:pPr>
        <w:pStyle w:val="BodyText"/>
        <w:spacing w:before="11"/>
        <w:rPr>
          <w:sz w:val="15"/>
        </w:rPr>
      </w:pPr>
    </w:p>
    <w:p>
      <w:pPr>
        <w:pStyle w:val="ListParagraph"/>
        <w:numPr>
          <w:ilvl w:val="0"/>
          <w:numId w:val="45"/>
        </w:numPr>
        <w:tabs>
          <w:tab w:pos="660" w:val="left" w:leader="none"/>
        </w:tabs>
        <w:spacing w:line="232" w:lineRule="auto" w:before="0" w:after="0"/>
        <w:ind w:left="180" w:right="365" w:firstLine="0"/>
        <w:jc w:val="both"/>
        <w:rPr>
          <w:sz w:val="18"/>
        </w:rPr>
      </w:pPr>
      <w:r>
        <w:rPr>
          <w:sz w:val="18"/>
        </w:rPr>
        <w:t>The Governor invited members to vote on the proposition that the Bank’s repo rate be maintained at 6.0%. The Committee voted unanimously in favour of the</w:t>
      </w:r>
      <w:r>
        <w:rPr>
          <w:spacing w:val="-12"/>
          <w:sz w:val="18"/>
        </w:rPr>
        <w:t> </w:t>
      </w:r>
      <w:r>
        <w:rPr>
          <w:sz w:val="18"/>
        </w:rPr>
        <w:t>proposition.</w:t>
      </w:r>
    </w:p>
    <w:p>
      <w:pPr>
        <w:pStyle w:val="BodyText"/>
        <w:spacing w:before="2"/>
        <w:rPr>
          <w:sz w:val="17"/>
        </w:rPr>
      </w:pPr>
    </w:p>
    <w:p>
      <w:pPr>
        <w:pStyle w:val="ListParagraph"/>
        <w:numPr>
          <w:ilvl w:val="0"/>
          <w:numId w:val="45"/>
        </w:numPr>
        <w:tabs>
          <w:tab w:pos="659" w:val="left" w:leader="none"/>
          <w:tab w:pos="660" w:val="left" w:leader="none"/>
        </w:tabs>
        <w:spacing w:line="232" w:lineRule="auto" w:before="0" w:after="0"/>
        <w:ind w:left="180" w:right="160" w:firstLine="0"/>
        <w:jc w:val="left"/>
        <w:rPr>
          <w:sz w:val="18"/>
        </w:rPr>
      </w:pPr>
      <w:r>
        <w:rPr>
          <w:sz w:val="18"/>
        </w:rPr>
        <w:t>Finally, on behalf of the Committee the Governor expressed his profound thanks to Willem Buiter and Charles Goodhart for their enormous contributions to establishing the MPC process and for the open-minded way in which they had participated in the Committee’s discussions and decisions. On behalf of the Chancellor of the Exchequer, the Treasury representative expressed warm thanks for the contribution they had both made to establishing</w:t>
      </w:r>
      <w:r>
        <w:rPr>
          <w:spacing w:val="-7"/>
          <w:sz w:val="18"/>
        </w:rPr>
        <w:t> </w:t>
      </w:r>
      <w:r>
        <w:rPr>
          <w:sz w:val="18"/>
        </w:rPr>
        <w:t>the</w:t>
      </w:r>
      <w:r>
        <w:rPr>
          <w:spacing w:val="-7"/>
          <w:sz w:val="18"/>
        </w:rPr>
        <w:t> </w:t>
      </w:r>
      <w:r>
        <w:rPr>
          <w:sz w:val="18"/>
        </w:rPr>
        <w:t>credibility</w:t>
      </w:r>
      <w:r>
        <w:rPr>
          <w:spacing w:val="-6"/>
          <w:sz w:val="18"/>
        </w:rPr>
        <w:t> </w:t>
      </w:r>
      <w:r>
        <w:rPr>
          <w:sz w:val="18"/>
        </w:rPr>
        <w:t>of</w:t>
      </w:r>
      <w:r>
        <w:rPr>
          <w:spacing w:val="-7"/>
          <w:sz w:val="18"/>
        </w:rPr>
        <w:t> </w:t>
      </w:r>
      <w:r>
        <w:rPr>
          <w:sz w:val="18"/>
        </w:rPr>
        <w:t>the</w:t>
      </w:r>
      <w:r>
        <w:rPr>
          <w:spacing w:val="-6"/>
          <w:sz w:val="18"/>
        </w:rPr>
        <w:t> </w:t>
      </w:r>
      <w:r>
        <w:rPr>
          <w:sz w:val="18"/>
        </w:rPr>
        <w:t>UK’s</w:t>
      </w:r>
      <w:r>
        <w:rPr>
          <w:spacing w:val="-7"/>
          <w:sz w:val="18"/>
        </w:rPr>
        <w:t> </w:t>
      </w:r>
      <w:r>
        <w:rPr>
          <w:sz w:val="18"/>
        </w:rPr>
        <w:t>new</w:t>
      </w:r>
      <w:r>
        <w:rPr>
          <w:spacing w:val="-6"/>
          <w:sz w:val="18"/>
        </w:rPr>
        <w:t> </w:t>
      </w:r>
      <w:r>
        <w:rPr>
          <w:sz w:val="18"/>
        </w:rPr>
        <w:t>institutional</w:t>
      </w:r>
      <w:r>
        <w:rPr>
          <w:spacing w:val="-7"/>
          <w:sz w:val="18"/>
        </w:rPr>
        <w:t> </w:t>
      </w:r>
      <w:r>
        <w:rPr>
          <w:sz w:val="18"/>
        </w:rPr>
        <w:t>framework for monetary</w:t>
      </w:r>
      <w:r>
        <w:rPr>
          <w:spacing w:val="-3"/>
          <w:sz w:val="18"/>
        </w:rPr>
        <w:t> </w:t>
      </w:r>
      <w:r>
        <w:rPr>
          <w:sz w:val="18"/>
        </w:rPr>
        <w:t>policy.</w:t>
      </w:r>
    </w:p>
    <w:p>
      <w:pPr>
        <w:pStyle w:val="ListParagraph"/>
        <w:numPr>
          <w:ilvl w:val="0"/>
          <w:numId w:val="45"/>
        </w:numPr>
        <w:tabs>
          <w:tab w:pos="659" w:val="left" w:leader="none"/>
          <w:tab w:pos="660" w:val="left" w:leader="none"/>
        </w:tabs>
        <w:spacing w:line="400" w:lineRule="exact" w:before="36" w:after="0"/>
        <w:ind w:left="180" w:right="525" w:firstLine="0"/>
        <w:jc w:val="left"/>
        <w:rPr>
          <w:sz w:val="18"/>
        </w:rPr>
      </w:pPr>
      <w:r>
        <w:rPr>
          <w:sz w:val="18"/>
        </w:rPr>
        <w:t>The following members of the Committee were present: Eddie George,</w:t>
      </w:r>
      <w:r>
        <w:rPr>
          <w:spacing w:val="-3"/>
          <w:sz w:val="18"/>
        </w:rPr>
        <w:t> </w:t>
      </w:r>
      <w:r>
        <w:rPr>
          <w:sz w:val="18"/>
        </w:rPr>
        <w:t>Governor</w:t>
      </w:r>
    </w:p>
    <w:p>
      <w:pPr>
        <w:pStyle w:val="BodyText"/>
        <w:spacing w:line="155" w:lineRule="exact"/>
        <w:ind w:left="180"/>
      </w:pPr>
      <w:r>
        <w:rPr/>
        <w:t>Mervyn King, Deputy Governor responsible for monetary policy</w:t>
      </w:r>
    </w:p>
    <w:p>
      <w:pPr>
        <w:pStyle w:val="BodyText"/>
        <w:spacing w:line="232" w:lineRule="auto" w:before="2"/>
        <w:ind w:left="180" w:right="736"/>
      </w:pPr>
      <w:r>
        <w:rPr/>
        <w:t>David Clementi, Deputy Governor responsible for financial stability</w:t>
      </w:r>
    </w:p>
    <w:p>
      <w:pPr>
        <w:pStyle w:val="BodyText"/>
        <w:spacing w:line="232" w:lineRule="auto"/>
        <w:ind w:left="180" w:right="3755"/>
      </w:pPr>
      <w:r>
        <w:rPr/>
        <w:t>Willem Buiter Charles Goodhart DeAnne Julius Ian Plenderleith John Vickers Sushil Wadhwani</w:t>
      </w:r>
    </w:p>
    <w:p>
      <w:pPr>
        <w:pStyle w:val="BodyText"/>
        <w:spacing w:before="4"/>
        <w:rPr>
          <w:sz w:val="16"/>
        </w:rPr>
      </w:pPr>
    </w:p>
    <w:p>
      <w:pPr>
        <w:pStyle w:val="ListParagraph"/>
        <w:numPr>
          <w:ilvl w:val="0"/>
          <w:numId w:val="45"/>
        </w:numPr>
        <w:tabs>
          <w:tab w:pos="659" w:val="left" w:leader="none"/>
          <w:tab w:pos="660" w:val="left" w:leader="none"/>
        </w:tabs>
        <w:spacing w:line="240" w:lineRule="auto" w:before="1" w:after="0"/>
        <w:ind w:left="659" w:right="0" w:hanging="480"/>
        <w:jc w:val="left"/>
        <w:rPr>
          <w:sz w:val="18"/>
        </w:rPr>
      </w:pPr>
      <w:r>
        <w:rPr>
          <w:sz w:val="18"/>
        </w:rPr>
        <w:t>Gus O’Donnell was present as the Treasury</w:t>
      </w:r>
      <w:r>
        <w:rPr>
          <w:spacing w:val="-27"/>
          <w:sz w:val="18"/>
        </w:rPr>
        <w:t> </w:t>
      </w:r>
      <w:r>
        <w:rPr>
          <w:sz w:val="18"/>
        </w:rPr>
        <w:t>representative.</w:t>
      </w:r>
    </w:p>
    <w:p>
      <w:pPr>
        <w:spacing w:after="0" w:line="240" w:lineRule="auto"/>
        <w:jc w:val="left"/>
        <w:rPr>
          <w:sz w:val="18"/>
        </w:rPr>
        <w:sectPr>
          <w:type w:val="continuous"/>
          <w:pgSz w:w="11900" w:h="16840"/>
          <w:pgMar w:top="1260" w:bottom="280" w:left="640" w:right="640"/>
          <w:cols w:num="2" w:equalWidth="0">
            <w:col w:w="5112" w:space="278"/>
            <w:col w:w="5230"/>
          </w:cols>
        </w:sectPr>
      </w:pPr>
    </w:p>
    <w:p>
      <w:pPr>
        <w:pStyle w:val="BodyText"/>
        <w:rPr>
          <w:sz w:val="20"/>
        </w:rPr>
      </w:pPr>
    </w:p>
    <w:p>
      <w:pPr>
        <w:pStyle w:val="BodyText"/>
        <w:rPr>
          <w:sz w:val="20"/>
        </w:rPr>
      </w:pPr>
    </w:p>
    <w:p>
      <w:pPr>
        <w:spacing w:before="256"/>
        <w:ind w:left="169" w:right="0" w:firstLine="0"/>
        <w:jc w:val="left"/>
        <w:rPr>
          <w:b/>
          <w:sz w:val="32"/>
        </w:rPr>
      </w:pPr>
      <w:r>
        <w:rPr>
          <w:b/>
          <w:color w:val="009391"/>
          <w:sz w:val="32"/>
        </w:rPr>
        <w:t>Annex: Summary of data presented by Bank staff</w:t>
      </w:r>
    </w:p>
    <w:p>
      <w:pPr>
        <w:pStyle w:val="BodyText"/>
        <w:spacing w:before="9"/>
        <w:rPr>
          <w:b/>
          <w:sz w:val="25"/>
        </w:rPr>
      </w:pPr>
    </w:p>
    <w:p>
      <w:pPr>
        <w:spacing w:after="0"/>
        <w:rPr>
          <w:sz w:val="25"/>
        </w:rPr>
        <w:sectPr>
          <w:pgSz w:w="11900" w:h="16840"/>
          <w:pgMar w:header="566" w:footer="597" w:top="760" w:bottom="780" w:left="640" w:right="640"/>
        </w:sectPr>
      </w:pPr>
    </w:p>
    <w:p>
      <w:pPr>
        <w:pStyle w:val="ListParagraph"/>
        <w:numPr>
          <w:ilvl w:val="0"/>
          <w:numId w:val="47"/>
        </w:numPr>
        <w:tabs>
          <w:tab w:pos="649" w:val="left" w:leader="none"/>
          <w:tab w:pos="650" w:val="left" w:leader="none"/>
        </w:tabs>
        <w:spacing w:line="232" w:lineRule="auto" w:before="105" w:after="0"/>
        <w:ind w:left="170" w:right="113" w:firstLine="0"/>
        <w:jc w:val="left"/>
        <w:rPr>
          <w:sz w:val="18"/>
        </w:rPr>
      </w:pPr>
      <w:r>
        <w:rPr>
          <w:sz w:val="18"/>
        </w:rPr>
        <w:t>This annex summarises the analysis presented by Bank staff to the Monetary Policy Committee on 28 April in advance of its meeting on 3–4 May 2000. At the start of the Committee meeting itself, members were made aware of information that had subsequently</w:t>
      </w:r>
      <w:r>
        <w:rPr>
          <w:spacing w:val="-7"/>
          <w:sz w:val="18"/>
        </w:rPr>
        <w:t> </w:t>
      </w:r>
      <w:r>
        <w:rPr>
          <w:sz w:val="18"/>
        </w:rPr>
        <w:t>become</w:t>
      </w:r>
      <w:r>
        <w:rPr>
          <w:spacing w:val="-6"/>
          <w:sz w:val="18"/>
        </w:rPr>
        <w:t> </w:t>
      </w:r>
      <w:r>
        <w:rPr>
          <w:sz w:val="18"/>
        </w:rPr>
        <w:t>available,</w:t>
      </w:r>
      <w:r>
        <w:rPr>
          <w:spacing w:val="-7"/>
          <w:sz w:val="18"/>
        </w:rPr>
        <w:t> </w:t>
      </w:r>
      <w:r>
        <w:rPr>
          <w:sz w:val="18"/>
        </w:rPr>
        <w:t>and</w:t>
      </w:r>
      <w:r>
        <w:rPr>
          <w:spacing w:val="-6"/>
          <w:sz w:val="18"/>
        </w:rPr>
        <w:t> </w:t>
      </w:r>
      <w:r>
        <w:rPr>
          <w:sz w:val="18"/>
        </w:rPr>
        <w:t>that</w:t>
      </w:r>
      <w:r>
        <w:rPr>
          <w:spacing w:val="-6"/>
          <w:sz w:val="18"/>
        </w:rPr>
        <w:t> </w:t>
      </w:r>
      <w:r>
        <w:rPr>
          <w:sz w:val="18"/>
        </w:rPr>
        <w:t>information</w:t>
      </w:r>
      <w:r>
        <w:rPr>
          <w:spacing w:val="-7"/>
          <w:sz w:val="18"/>
        </w:rPr>
        <w:t> </w:t>
      </w:r>
      <w:r>
        <w:rPr>
          <w:sz w:val="18"/>
        </w:rPr>
        <w:t>is</w:t>
      </w:r>
      <w:r>
        <w:rPr>
          <w:spacing w:val="-6"/>
          <w:sz w:val="18"/>
        </w:rPr>
        <w:t> </w:t>
      </w:r>
      <w:r>
        <w:rPr>
          <w:sz w:val="18"/>
        </w:rPr>
        <w:t>included</w:t>
      </w:r>
      <w:r>
        <w:rPr>
          <w:spacing w:val="-6"/>
          <w:sz w:val="18"/>
        </w:rPr>
        <w:t> </w:t>
      </w:r>
      <w:r>
        <w:rPr>
          <w:sz w:val="18"/>
        </w:rPr>
        <w:t>in this</w:t>
      </w:r>
      <w:r>
        <w:rPr>
          <w:spacing w:val="-2"/>
          <w:sz w:val="18"/>
        </w:rPr>
        <w:t> </w:t>
      </w:r>
      <w:r>
        <w:rPr>
          <w:sz w:val="18"/>
        </w:rPr>
        <w:t>Annex.</w:t>
      </w:r>
    </w:p>
    <w:p>
      <w:pPr>
        <w:pStyle w:val="BodyText"/>
        <w:spacing w:before="8"/>
        <w:rPr>
          <w:sz w:val="23"/>
        </w:rPr>
      </w:pPr>
    </w:p>
    <w:p>
      <w:pPr>
        <w:pStyle w:val="Heading4"/>
        <w:numPr>
          <w:ilvl w:val="0"/>
          <w:numId w:val="48"/>
        </w:numPr>
        <w:tabs>
          <w:tab w:pos="649" w:val="left" w:leader="none"/>
          <w:tab w:pos="651" w:val="left" w:leader="none"/>
        </w:tabs>
        <w:spacing w:line="240" w:lineRule="auto" w:before="1" w:after="0"/>
        <w:ind w:left="650" w:right="0" w:hanging="481"/>
        <w:jc w:val="left"/>
      </w:pPr>
      <w:r>
        <w:rPr>
          <w:color w:val="009391"/>
        </w:rPr>
        <w:t>The international</w:t>
      </w:r>
      <w:r>
        <w:rPr>
          <w:color w:val="009391"/>
          <w:spacing w:val="-5"/>
        </w:rPr>
        <w:t> </w:t>
      </w:r>
      <w:r>
        <w:rPr>
          <w:color w:val="009391"/>
        </w:rPr>
        <w:t>environment</w:t>
      </w:r>
    </w:p>
    <w:p>
      <w:pPr>
        <w:pStyle w:val="ListParagraph"/>
        <w:numPr>
          <w:ilvl w:val="0"/>
          <w:numId w:val="47"/>
        </w:numPr>
        <w:tabs>
          <w:tab w:pos="649" w:val="left" w:leader="none"/>
          <w:tab w:pos="650" w:val="left" w:leader="none"/>
        </w:tabs>
        <w:spacing w:line="232" w:lineRule="auto" w:before="169" w:after="0"/>
        <w:ind w:left="170" w:right="38" w:firstLine="0"/>
        <w:jc w:val="left"/>
        <w:rPr>
          <w:sz w:val="18"/>
        </w:rPr>
      </w:pPr>
      <w:r>
        <w:rPr>
          <w:sz w:val="18"/>
        </w:rPr>
        <w:t>The advance estimate of US GDP had risen by 1.3% in Q1, with growth continuing to be driven by consumer spending. Investment had also increased strongly, probably partly reflecting the effect of preparations for the century date change on the profile of investment spending in recent quarters. Industrial confidence had fallen further in April, but was still robust. Non-farm payrolls had risen by 416,000 in March, boosted by temporary hiring for the US 2000 Census, the end of the Boeing strike, and a five week March survey period. Employment costs had picked up in Q1, rising by 1.4% on the quarter. Benefit costs had risen by 2%, possibly</w:t>
      </w:r>
      <w:r>
        <w:rPr>
          <w:spacing w:val="-7"/>
          <w:sz w:val="18"/>
        </w:rPr>
        <w:t> </w:t>
      </w:r>
      <w:r>
        <w:rPr>
          <w:sz w:val="18"/>
        </w:rPr>
        <w:t>reflecting</w:t>
      </w:r>
      <w:r>
        <w:rPr>
          <w:spacing w:val="-6"/>
          <w:sz w:val="18"/>
        </w:rPr>
        <w:t> </w:t>
      </w:r>
      <w:r>
        <w:rPr>
          <w:sz w:val="18"/>
        </w:rPr>
        <w:t>bonus</w:t>
      </w:r>
      <w:r>
        <w:rPr>
          <w:spacing w:val="-7"/>
          <w:sz w:val="18"/>
        </w:rPr>
        <w:t> </w:t>
      </w:r>
      <w:r>
        <w:rPr>
          <w:sz w:val="18"/>
        </w:rPr>
        <w:t>payments</w:t>
      </w:r>
      <w:r>
        <w:rPr>
          <w:spacing w:val="-6"/>
          <w:sz w:val="18"/>
        </w:rPr>
        <w:t> </w:t>
      </w:r>
      <w:r>
        <w:rPr>
          <w:sz w:val="18"/>
        </w:rPr>
        <w:t>associated</w:t>
      </w:r>
      <w:r>
        <w:rPr>
          <w:spacing w:val="-7"/>
          <w:sz w:val="18"/>
        </w:rPr>
        <w:t> </w:t>
      </w:r>
      <w:r>
        <w:rPr>
          <w:sz w:val="18"/>
        </w:rPr>
        <w:t>with</w:t>
      </w:r>
      <w:r>
        <w:rPr>
          <w:spacing w:val="-6"/>
          <w:sz w:val="18"/>
        </w:rPr>
        <w:t> </w:t>
      </w:r>
      <w:r>
        <w:rPr>
          <w:sz w:val="18"/>
        </w:rPr>
        <w:t>the</w:t>
      </w:r>
      <w:r>
        <w:rPr>
          <w:spacing w:val="-7"/>
          <w:sz w:val="18"/>
        </w:rPr>
        <w:t> </w:t>
      </w:r>
      <w:r>
        <w:rPr>
          <w:sz w:val="18"/>
        </w:rPr>
        <w:t>century</w:t>
      </w:r>
      <w:r>
        <w:rPr>
          <w:spacing w:val="-6"/>
          <w:sz w:val="18"/>
        </w:rPr>
        <w:t> </w:t>
      </w:r>
      <w:r>
        <w:rPr>
          <w:sz w:val="18"/>
        </w:rPr>
        <w:t>date change, as well as higher healthcare</w:t>
      </w:r>
      <w:r>
        <w:rPr>
          <w:spacing w:val="-10"/>
          <w:sz w:val="18"/>
        </w:rPr>
        <w:t> </w:t>
      </w:r>
      <w:r>
        <w:rPr>
          <w:sz w:val="18"/>
        </w:rPr>
        <w:t>costs.</w:t>
      </w:r>
    </w:p>
    <w:p>
      <w:pPr>
        <w:pStyle w:val="BodyText"/>
        <w:spacing w:before="4"/>
      </w:pPr>
    </w:p>
    <w:p>
      <w:pPr>
        <w:pStyle w:val="ListParagraph"/>
        <w:numPr>
          <w:ilvl w:val="0"/>
          <w:numId w:val="47"/>
        </w:numPr>
        <w:tabs>
          <w:tab w:pos="649" w:val="left" w:leader="none"/>
          <w:tab w:pos="650" w:val="left" w:leader="none"/>
        </w:tabs>
        <w:spacing w:line="232" w:lineRule="auto" w:before="0" w:after="0"/>
        <w:ind w:left="170" w:right="78" w:firstLine="0"/>
        <w:jc w:val="left"/>
        <w:rPr>
          <w:sz w:val="18"/>
        </w:rPr>
      </w:pPr>
      <w:r>
        <w:rPr>
          <w:sz w:val="18"/>
        </w:rPr>
        <w:t>In the euro area, industrial production had risen by 1.2% in February, and industrial confidence had increased again in March. Although the western German IFO survey of business confidence had fallen in March, this had reflected a decline in sentiment in the retail and wholesale sectors, since manufacturing sector confidence had risen. German data had also shown strong industrial orders growth in recent months, especially in the external</w:t>
      </w:r>
      <w:r>
        <w:rPr>
          <w:spacing w:val="-22"/>
          <w:sz w:val="18"/>
        </w:rPr>
        <w:t> </w:t>
      </w:r>
      <w:r>
        <w:rPr>
          <w:sz w:val="18"/>
        </w:rPr>
        <w:t>sector.</w:t>
      </w:r>
    </w:p>
    <w:p>
      <w:pPr>
        <w:pStyle w:val="BodyText"/>
        <w:spacing w:line="232" w:lineRule="auto"/>
        <w:ind w:left="170" w:right="30"/>
      </w:pPr>
      <w:r>
        <w:rPr/>
        <w:t>Euro-area consumer confidence had remained unchanged in March. Annual euro-area M3 growth had risen to 6.5% in March, from 5.9% in February.</w:t>
      </w:r>
    </w:p>
    <w:p>
      <w:pPr>
        <w:pStyle w:val="BodyText"/>
        <w:spacing w:before="5"/>
      </w:pPr>
    </w:p>
    <w:p>
      <w:pPr>
        <w:pStyle w:val="ListParagraph"/>
        <w:numPr>
          <w:ilvl w:val="0"/>
          <w:numId w:val="47"/>
        </w:numPr>
        <w:tabs>
          <w:tab w:pos="649" w:val="left" w:leader="none"/>
          <w:tab w:pos="650" w:val="left" w:leader="none"/>
        </w:tabs>
        <w:spacing w:line="232" w:lineRule="auto" w:before="0" w:after="0"/>
        <w:ind w:left="170" w:right="282" w:firstLine="0"/>
        <w:jc w:val="left"/>
        <w:rPr>
          <w:sz w:val="18"/>
        </w:rPr>
      </w:pPr>
      <w:r>
        <w:rPr>
          <w:sz w:val="18"/>
        </w:rPr>
        <w:t>Japanese industrial production had risen by 2.8% in the first quarter, boosted partly by the effect of the leap year. Machinery orders had strengthened in recent months, as had construction orders, particularly in the private sector. Workers’ expenditure rose by 0.7% in Q1, though it remained 1.4% below its level a year earlier. The unemployment rate had remained at 4.9% in March, and new job offers had risen by 6.4% in the first quarter.</w:t>
      </w:r>
    </w:p>
    <w:p>
      <w:pPr>
        <w:pStyle w:val="BodyText"/>
        <w:spacing w:before="7"/>
      </w:pPr>
    </w:p>
    <w:p>
      <w:pPr>
        <w:pStyle w:val="ListParagraph"/>
        <w:numPr>
          <w:ilvl w:val="0"/>
          <w:numId w:val="47"/>
        </w:numPr>
        <w:tabs>
          <w:tab w:pos="649" w:val="left" w:leader="none"/>
          <w:tab w:pos="650" w:val="left" w:leader="none"/>
        </w:tabs>
        <w:spacing w:line="232" w:lineRule="auto" w:before="0" w:after="0"/>
        <w:ind w:left="170" w:right="43" w:firstLine="0"/>
        <w:jc w:val="left"/>
        <w:rPr>
          <w:sz w:val="18"/>
        </w:rPr>
      </w:pPr>
      <w:r>
        <w:rPr>
          <w:sz w:val="18"/>
        </w:rPr>
        <w:t>The one-month Brent crude oil futures price had risen slightly since the previous meeting, to around $25 per barrel. Other industrial commodity prices had declined, however. Earlier rises in oil prices had boosted both US CPI and euro-area Harmonised Index of Consumer Prices (HICP) inflation, to 3.7% and 2.1% respectively in March.  US core CPI inflation (excluding energy and food) had risen to 2.4%. In the euro area, however, core HICP inflation had remained flat at 1.1% in March, and preliminary estimates of German CPI inflation had shown a 0.4 percentage point fall in April. The rate of consumer price deflation in Japan had continued to</w:t>
      </w:r>
      <w:r>
        <w:rPr>
          <w:spacing w:val="-4"/>
          <w:sz w:val="18"/>
        </w:rPr>
        <w:t> </w:t>
      </w:r>
      <w:r>
        <w:rPr>
          <w:sz w:val="18"/>
        </w:rPr>
        <w:t>moderate.</w:t>
      </w:r>
    </w:p>
    <w:p>
      <w:pPr>
        <w:pStyle w:val="BodyText"/>
        <w:spacing w:before="4"/>
      </w:pPr>
    </w:p>
    <w:p>
      <w:pPr>
        <w:pStyle w:val="ListParagraph"/>
        <w:numPr>
          <w:ilvl w:val="0"/>
          <w:numId w:val="47"/>
        </w:numPr>
        <w:tabs>
          <w:tab w:pos="649" w:val="left" w:leader="none"/>
          <w:tab w:pos="650" w:val="left" w:leader="none"/>
        </w:tabs>
        <w:spacing w:line="232" w:lineRule="auto" w:before="0" w:after="0"/>
        <w:ind w:left="170" w:right="63" w:firstLine="0"/>
        <w:jc w:val="left"/>
        <w:rPr>
          <w:sz w:val="18"/>
        </w:rPr>
      </w:pPr>
      <w:r>
        <w:rPr>
          <w:sz w:val="18"/>
        </w:rPr>
        <w:t>The ECB had increased the official interest rate by 25 basis points on 27 April. Interest rates implied by futures contracts had risen on the month for both the United States and euro-area. US bond yield volatility had increased, perhaps because of the effects of US Treasury repurchases. In equity markets, the volatility of the major technology indexes had increased markedly, though index levels had partly recovered after large falls earlier in the month (the largest fall was in the US-based NASDAQ, down by around 11% since the April meeting). Both the volatilities and levels of broader stock market indices had changed by much less on the month; for example the Wilshire 5000, a broader measure of US stocks, had fallen by about</w:t>
      </w:r>
      <w:r>
        <w:rPr>
          <w:spacing w:val="-4"/>
          <w:sz w:val="18"/>
        </w:rPr>
        <w:t> </w:t>
      </w:r>
      <w:r>
        <w:rPr>
          <w:sz w:val="18"/>
        </w:rPr>
        <w:t>4%.</w:t>
      </w:r>
    </w:p>
    <w:p>
      <w:pPr>
        <w:pStyle w:val="Heading4"/>
        <w:numPr>
          <w:ilvl w:val="0"/>
          <w:numId w:val="48"/>
        </w:numPr>
        <w:tabs>
          <w:tab w:pos="649" w:val="left" w:leader="none"/>
          <w:tab w:pos="651" w:val="left" w:leader="none"/>
        </w:tabs>
        <w:spacing w:line="240" w:lineRule="auto" w:before="91" w:after="0"/>
        <w:ind w:left="650" w:right="0" w:hanging="481"/>
        <w:jc w:val="left"/>
      </w:pPr>
      <w:r>
        <w:rPr>
          <w:color w:val="009391"/>
          <w:spacing w:val="-1"/>
        </w:rPr>
        <w:br w:type="column"/>
      </w:r>
      <w:r>
        <w:rPr>
          <w:color w:val="009391"/>
        </w:rPr>
        <w:t>Monetary and financial</w:t>
      </w:r>
      <w:r>
        <w:rPr>
          <w:color w:val="009391"/>
          <w:spacing w:val="-7"/>
        </w:rPr>
        <w:t> </w:t>
      </w:r>
      <w:r>
        <w:rPr>
          <w:color w:val="009391"/>
        </w:rPr>
        <w:t>conditions</w:t>
      </w:r>
    </w:p>
    <w:p>
      <w:pPr>
        <w:pStyle w:val="ListParagraph"/>
        <w:numPr>
          <w:ilvl w:val="0"/>
          <w:numId w:val="47"/>
        </w:numPr>
        <w:tabs>
          <w:tab w:pos="649" w:val="left" w:leader="none"/>
          <w:tab w:pos="650" w:val="left" w:leader="none"/>
        </w:tabs>
        <w:spacing w:line="232" w:lineRule="auto" w:before="149" w:after="0"/>
        <w:ind w:left="170" w:right="168" w:firstLine="0"/>
        <w:jc w:val="left"/>
        <w:rPr>
          <w:sz w:val="18"/>
        </w:rPr>
      </w:pPr>
      <w:r>
        <w:rPr>
          <w:sz w:val="18"/>
        </w:rPr>
        <w:t>The twelve-month growth rate of notes and coin had fallen slightly from 8.4% in March to 8.2% in April, still within the underlying</w:t>
      </w:r>
      <w:r>
        <w:rPr>
          <w:spacing w:val="-7"/>
          <w:sz w:val="18"/>
        </w:rPr>
        <w:t> </w:t>
      </w:r>
      <w:r>
        <w:rPr>
          <w:sz w:val="18"/>
        </w:rPr>
        <w:t>(excluding</w:t>
      </w:r>
      <w:r>
        <w:rPr>
          <w:spacing w:val="-6"/>
          <w:sz w:val="18"/>
        </w:rPr>
        <w:t> </w:t>
      </w:r>
      <w:r>
        <w:rPr>
          <w:sz w:val="18"/>
        </w:rPr>
        <w:t>Y2K</w:t>
      </w:r>
      <w:r>
        <w:rPr>
          <w:spacing w:val="-6"/>
          <w:sz w:val="18"/>
        </w:rPr>
        <w:t> </w:t>
      </w:r>
      <w:r>
        <w:rPr>
          <w:sz w:val="18"/>
        </w:rPr>
        <w:t>effects)</w:t>
      </w:r>
      <w:r>
        <w:rPr>
          <w:spacing w:val="-6"/>
          <w:sz w:val="18"/>
        </w:rPr>
        <w:t> </w:t>
      </w:r>
      <w:r>
        <w:rPr>
          <w:sz w:val="18"/>
        </w:rPr>
        <w:t>range</w:t>
      </w:r>
      <w:r>
        <w:rPr>
          <w:spacing w:val="-6"/>
          <w:sz w:val="18"/>
        </w:rPr>
        <w:t> </w:t>
      </w:r>
      <w:r>
        <w:rPr>
          <w:sz w:val="18"/>
        </w:rPr>
        <w:t>of</w:t>
      </w:r>
      <w:r>
        <w:rPr>
          <w:spacing w:val="-6"/>
          <w:sz w:val="18"/>
        </w:rPr>
        <w:t> </w:t>
      </w:r>
      <w:r>
        <w:rPr>
          <w:sz w:val="18"/>
        </w:rPr>
        <w:t>8%–9%</w:t>
      </w:r>
      <w:r>
        <w:rPr>
          <w:spacing w:val="-6"/>
          <w:sz w:val="18"/>
        </w:rPr>
        <w:t> </w:t>
      </w:r>
      <w:r>
        <w:rPr>
          <w:sz w:val="18"/>
        </w:rPr>
        <w:t>observed</w:t>
      </w:r>
      <w:r>
        <w:rPr>
          <w:spacing w:val="-6"/>
          <w:sz w:val="18"/>
        </w:rPr>
        <w:t> </w:t>
      </w:r>
      <w:r>
        <w:rPr>
          <w:sz w:val="18"/>
        </w:rPr>
        <w:t>over the past 6</w:t>
      </w:r>
      <w:r>
        <w:rPr>
          <w:spacing w:val="-4"/>
          <w:sz w:val="18"/>
        </w:rPr>
        <w:t> </w:t>
      </w:r>
      <w:r>
        <w:rPr>
          <w:sz w:val="18"/>
        </w:rPr>
        <w:t>months.</w:t>
      </w:r>
    </w:p>
    <w:p>
      <w:pPr>
        <w:pStyle w:val="BodyText"/>
        <w:spacing w:before="1"/>
        <w:rPr>
          <w:sz w:val="17"/>
        </w:rPr>
      </w:pPr>
    </w:p>
    <w:p>
      <w:pPr>
        <w:pStyle w:val="ListParagraph"/>
        <w:numPr>
          <w:ilvl w:val="0"/>
          <w:numId w:val="47"/>
        </w:numPr>
        <w:tabs>
          <w:tab w:pos="649" w:val="left" w:leader="none"/>
          <w:tab w:pos="650" w:val="left" w:leader="none"/>
        </w:tabs>
        <w:spacing w:line="232" w:lineRule="auto" w:before="1" w:after="0"/>
        <w:ind w:left="170" w:right="202" w:firstLine="0"/>
        <w:jc w:val="left"/>
        <w:rPr>
          <w:sz w:val="18"/>
        </w:rPr>
      </w:pPr>
      <w:r>
        <w:rPr>
          <w:sz w:val="18"/>
        </w:rPr>
        <w:t>The stock of M4 had risen by £13.8 billion (1.7%) in March. The exceptional strength of M4 had been concentrated mainly in the</w:t>
      </w:r>
      <w:r>
        <w:rPr>
          <w:spacing w:val="-7"/>
          <w:sz w:val="18"/>
        </w:rPr>
        <w:t> </w:t>
      </w:r>
      <w:r>
        <w:rPr>
          <w:sz w:val="18"/>
        </w:rPr>
        <w:t>other</w:t>
      </w:r>
      <w:r>
        <w:rPr>
          <w:spacing w:val="-6"/>
          <w:sz w:val="18"/>
        </w:rPr>
        <w:t> </w:t>
      </w:r>
      <w:r>
        <w:rPr>
          <w:sz w:val="18"/>
        </w:rPr>
        <w:t>financial</w:t>
      </w:r>
      <w:r>
        <w:rPr>
          <w:spacing w:val="-6"/>
          <w:sz w:val="18"/>
        </w:rPr>
        <w:t> </w:t>
      </w:r>
      <w:r>
        <w:rPr>
          <w:sz w:val="18"/>
        </w:rPr>
        <w:t>corporations</w:t>
      </w:r>
      <w:r>
        <w:rPr>
          <w:spacing w:val="-6"/>
          <w:sz w:val="18"/>
        </w:rPr>
        <w:t> </w:t>
      </w:r>
      <w:r>
        <w:rPr>
          <w:sz w:val="18"/>
        </w:rPr>
        <w:t>(OFC)</w:t>
      </w:r>
      <w:r>
        <w:rPr>
          <w:spacing w:val="-6"/>
          <w:sz w:val="18"/>
        </w:rPr>
        <w:t> </w:t>
      </w:r>
      <w:r>
        <w:rPr>
          <w:sz w:val="18"/>
        </w:rPr>
        <w:t>sector,</w:t>
      </w:r>
      <w:r>
        <w:rPr>
          <w:spacing w:val="-6"/>
          <w:sz w:val="18"/>
        </w:rPr>
        <w:t> </w:t>
      </w:r>
      <w:r>
        <w:rPr>
          <w:sz w:val="18"/>
        </w:rPr>
        <w:t>though</w:t>
      </w:r>
      <w:r>
        <w:rPr>
          <w:spacing w:val="-7"/>
          <w:sz w:val="18"/>
        </w:rPr>
        <w:t> </w:t>
      </w:r>
      <w:r>
        <w:rPr>
          <w:sz w:val="18"/>
        </w:rPr>
        <w:t>non-OFC</w:t>
      </w:r>
      <w:r>
        <w:rPr>
          <w:spacing w:val="-6"/>
          <w:sz w:val="18"/>
        </w:rPr>
        <w:t> </w:t>
      </w:r>
      <w:r>
        <w:rPr>
          <w:sz w:val="18"/>
        </w:rPr>
        <w:t>M4 growth had ticked up as well, primarily because of the household sector component. Aggregate M4 lending (excluding the effects of securitisations) had also been very strong in March, rising</w:t>
      </w:r>
      <w:r>
        <w:rPr>
          <w:spacing w:val="-29"/>
          <w:sz w:val="18"/>
        </w:rPr>
        <w:t> </w:t>
      </w:r>
      <w:r>
        <w:rPr>
          <w:sz w:val="18"/>
        </w:rPr>
        <w:t>by</w:t>
      </w:r>
    </w:p>
    <w:p>
      <w:pPr>
        <w:pStyle w:val="BodyText"/>
        <w:spacing w:line="232" w:lineRule="auto"/>
        <w:ind w:left="170" w:right="308"/>
      </w:pPr>
      <w:r>
        <w:rPr/>
        <w:t>£18.3 billion (1.9%). Much of the increase on the month had reflected activity in the OFC sector, although borrowing by the non-OFC sectors had also risen. In fact, the annual growth rate in Q1 of M4L, excluding OFCs, was at its highest level since</w:t>
      </w:r>
    </w:p>
    <w:p>
      <w:pPr>
        <w:pStyle w:val="BodyText"/>
        <w:spacing w:line="199" w:lineRule="exact"/>
        <w:ind w:left="170"/>
      </w:pPr>
      <w:r>
        <w:rPr/>
        <w:t>1991 Q1, at 9.0%.</w:t>
      </w:r>
    </w:p>
    <w:p>
      <w:pPr>
        <w:pStyle w:val="BodyText"/>
        <w:spacing w:before="9"/>
        <w:rPr>
          <w:sz w:val="16"/>
        </w:rPr>
      </w:pPr>
    </w:p>
    <w:p>
      <w:pPr>
        <w:pStyle w:val="ListParagraph"/>
        <w:numPr>
          <w:ilvl w:val="0"/>
          <w:numId w:val="47"/>
        </w:numPr>
        <w:tabs>
          <w:tab w:pos="649" w:val="left" w:leader="none"/>
          <w:tab w:pos="650" w:val="left" w:leader="none"/>
        </w:tabs>
        <w:spacing w:line="232" w:lineRule="auto" w:before="0" w:after="0"/>
        <w:ind w:left="170" w:right="212" w:firstLine="0"/>
        <w:jc w:val="left"/>
        <w:rPr>
          <w:sz w:val="18"/>
        </w:rPr>
      </w:pPr>
      <w:r>
        <w:rPr>
          <w:sz w:val="18"/>
        </w:rPr>
        <w:t>Households’</w:t>
      </w:r>
      <w:r>
        <w:rPr>
          <w:spacing w:val="-6"/>
          <w:sz w:val="18"/>
        </w:rPr>
        <w:t> </w:t>
      </w:r>
      <w:r>
        <w:rPr>
          <w:sz w:val="18"/>
        </w:rPr>
        <w:t>M4</w:t>
      </w:r>
      <w:r>
        <w:rPr>
          <w:spacing w:val="-5"/>
          <w:sz w:val="18"/>
        </w:rPr>
        <w:t> </w:t>
      </w:r>
      <w:r>
        <w:rPr>
          <w:sz w:val="18"/>
        </w:rPr>
        <w:t>deposits</w:t>
      </w:r>
      <w:r>
        <w:rPr>
          <w:spacing w:val="-5"/>
          <w:sz w:val="18"/>
        </w:rPr>
        <w:t> </w:t>
      </w:r>
      <w:r>
        <w:rPr>
          <w:sz w:val="18"/>
        </w:rPr>
        <w:t>had</w:t>
      </w:r>
      <w:r>
        <w:rPr>
          <w:spacing w:val="-5"/>
          <w:sz w:val="18"/>
        </w:rPr>
        <w:t> </w:t>
      </w:r>
      <w:r>
        <w:rPr>
          <w:sz w:val="18"/>
        </w:rPr>
        <w:t>risen</w:t>
      </w:r>
      <w:r>
        <w:rPr>
          <w:spacing w:val="-5"/>
          <w:sz w:val="18"/>
        </w:rPr>
        <w:t> </w:t>
      </w:r>
      <w:r>
        <w:rPr>
          <w:sz w:val="18"/>
        </w:rPr>
        <w:t>by</w:t>
      </w:r>
      <w:r>
        <w:rPr>
          <w:spacing w:val="-5"/>
          <w:sz w:val="18"/>
        </w:rPr>
        <w:t> </w:t>
      </w:r>
      <w:r>
        <w:rPr>
          <w:sz w:val="18"/>
        </w:rPr>
        <w:t>£4.6</w:t>
      </w:r>
      <w:r>
        <w:rPr>
          <w:spacing w:val="-5"/>
          <w:sz w:val="18"/>
        </w:rPr>
        <w:t> </w:t>
      </w:r>
      <w:r>
        <w:rPr>
          <w:sz w:val="18"/>
        </w:rPr>
        <w:t>billion</w:t>
      </w:r>
      <w:r>
        <w:rPr>
          <w:spacing w:val="-5"/>
          <w:sz w:val="18"/>
        </w:rPr>
        <w:t> </w:t>
      </w:r>
      <w:r>
        <w:rPr>
          <w:sz w:val="18"/>
        </w:rPr>
        <w:t>(0.9%)</w:t>
      </w:r>
      <w:r>
        <w:rPr>
          <w:spacing w:val="-5"/>
          <w:sz w:val="18"/>
        </w:rPr>
        <w:t> </w:t>
      </w:r>
      <w:r>
        <w:rPr>
          <w:sz w:val="18"/>
        </w:rPr>
        <w:t>in March. M4 lending to households (excluding the effects of securitisations) had remained robust, increasing by £5.2 billion (0.9%) in March. The annual growth rate in Q1 was at its highest level since 1991 Q2, at</w:t>
      </w:r>
      <w:r>
        <w:rPr>
          <w:spacing w:val="-7"/>
          <w:sz w:val="18"/>
        </w:rPr>
        <w:t> </w:t>
      </w:r>
      <w:r>
        <w:rPr>
          <w:sz w:val="18"/>
        </w:rPr>
        <w:t>10.1%.</w:t>
      </w:r>
    </w:p>
    <w:p>
      <w:pPr>
        <w:pStyle w:val="BodyText"/>
        <w:rPr>
          <w:sz w:val="17"/>
        </w:rPr>
      </w:pPr>
    </w:p>
    <w:p>
      <w:pPr>
        <w:pStyle w:val="ListParagraph"/>
        <w:numPr>
          <w:ilvl w:val="0"/>
          <w:numId w:val="47"/>
        </w:numPr>
        <w:tabs>
          <w:tab w:pos="649" w:val="left" w:leader="none"/>
          <w:tab w:pos="650" w:val="left" w:leader="none"/>
        </w:tabs>
        <w:spacing w:line="232" w:lineRule="auto" w:before="1" w:after="0"/>
        <w:ind w:left="170" w:right="267" w:firstLine="0"/>
        <w:jc w:val="left"/>
        <w:rPr>
          <w:sz w:val="18"/>
        </w:rPr>
      </w:pPr>
      <w:r>
        <w:rPr>
          <w:sz w:val="18"/>
        </w:rPr>
        <w:t>Within total lending to individuals, net secured lending to individuals had increased sharply in March by £4.1 billion (0.8%). The value of loan approvals had also risen further to £10.5 billion. Both loan approvals (numbers and values) and secured lending were above their peak levels reached in</w:t>
      </w:r>
      <w:r>
        <w:rPr>
          <w:spacing w:val="-13"/>
          <w:sz w:val="18"/>
        </w:rPr>
        <w:t> </w:t>
      </w:r>
      <w:r>
        <w:rPr>
          <w:sz w:val="18"/>
        </w:rPr>
        <w:t>1999.</w:t>
      </w:r>
    </w:p>
    <w:p>
      <w:pPr>
        <w:pStyle w:val="BodyText"/>
        <w:rPr>
          <w:sz w:val="17"/>
        </w:rPr>
      </w:pPr>
    </w:p>
    <w:p>
      <w:pPr>
        <w:pStyle w:val="ListParagraph"/>
        <w:numPr>
          <w:ilvl w:val="0"/>
          <w:numId w:val="47"/>
        </w:numPr>
        <w:tabs>
          <w:tab w:pos="649" w:val="left" w:leader="none"/>
          <w:tab w:pos="650" w:val="left" w:leader="none"/>
        </w:tabs>
        <w:spacing w:line="232" w:lineRule="auto" w:before="0" w:after="0"/>
        <w:ind w:left="170" w:right="297" w:firstLine="0"/>
        <w:jc w:val="left"/>
        <w:rPr>
          <w:sz w:val="18"/>
        </w:rPr>
      </w:pPr>
      <w:r>
        <w:rPr>
          <w:sz w:val="18"/>
        </w:rPr>
        <w:t>Net M4 borrowing (borrowing less M4 deposits) by private non-financial corporations (PNFCs) had risen substantially</w:t>
      </w:r>
      <w:r>
        <w:rPr>
          <w:spacing w:val="-26"/>
          <w:sz w:val="18"/>
        </w:rPr>
        <w:t> </w:t>
      </w:r>
      <w:r>
        <w:rPr>
          <w:sz w:val="18"/>
        </w:rPr>
        <w:t>in</w:t>
      </w:r>
    </w:p>
    <w:p>
      <w:pPr>
        <w:pStyle w:val="BodyText"/>
        <w:spacing w:line="232" w:lineRule="auto"/>
        <w:ind w:left="170" w:right="194"/>
      </w:pPr>
      <w:r>
        <w:rPr/>
        <w:t>2000 Q1, largely reflecting an increase in PNFCs’ bank borrowing, which had grown by £7.4 billion (3.7%) on the quarter. A broader measure of PNFCs’ external borrowing (which included capital issues and foreign currency borrowing) had also risen strongly on the quarter (up by £15.8 billion).</w:t>
      </w:r>
    </w:p>
    <w:p>
      <w:pPr>
        <w:pStyle w:val="BodyText"/>
        <w:spacing w:before="11"/>
        <w:rPr>
          <w:sz w:val="16"/>
        </w:rPr>
      </w:pPr>
    </w:p>
    <w:p>
      <w:pPr>
        <w:pStyle w:val="ListParagraph"/>
        <w:numPr>
          <w:ilvl w:val="0"/>
          <w:numId w:val="47"/>
        </w:numPr>
        <w:tabs>
          <w:tab w:pos="649" w:val="left" w:leader="none"/>
          <w:tab w:pos="650" w:val="left" w:leader="none"/>
        </w:tabs>
        <w:spacing w:line="232" w:lineRule="auto" w:before="0" w:after="0"/>
        <w:ind w:left="170" w:right="362" w:firstLine="0"/>
        <w:jc w:val="left"/>
        <w:rPr>
          <w:sz w:val="18"/>
        </w:rPr>
      </w:pPr>
      <w:r>
        <w:rPr>
          <w:sz w:val="18"/>
        </w:rPr>
        <w:t>OFCs’ M4 and M4 borrowing had risen exceptionally strongly</w:t>
      </w:r>
      <w:r>
        <w:rPr>
          <w:spacing w:val="-5"/>
          <w:sz w:val="18"/>
        </w:rPr>
        <w:t> </w:t>
      </w:r>
      <w:r>
        <w:rPr>
          <w:sz w:val="18"/>
        </w:rPr>
        <w:t>in</w:t>
      </w:r>
      <w:r>
        <w:rPr>
          <w:spacing w:val="-5"/>
          <w:sz w:val="18"/>
        </w:rPr>
        <w:t> </w:t>
      </w:r>
      <w:r>
        <w:rPr>
          <w:sz w:val="18"/>
        </w:rPr>
        <w:t>March,</w:t>
      </w:r>
      <w:r>
        <w:rPr>
          <w:spacing w:val="-5"/>
          <w:sz w:val="18"/>
        </w:rPr>
        <w:t> </w:t>
      </w:r>
      <w:r>
        <w:rPr>
          <w:sz w:val="18"/>
        </w:rPr>
        <w:t>by</w:t>
      </w:r>
      <w:r>
        <w:rPr>
          <w:spacing w:val="-5"/>
          <w:sz w:val="18"/>
        </w:rPr>
        <w:t> </w:t>
      </w:r>
      <w:r>
        <w:rPr>
          <w:sz w:val="18"/>
        </w:rPr>
        <w:t>£9.0</w:t>
      </w:r>
      <w:r>
        <w:rPr>
          <w:spacing w:val="-5"/>
          <w:sz w:val="18"/>
        </w:rPr>
        <w:t> </w:t>
      </w:r>
      <w:r>
        <w:rPr>
          <w:sz w:val="18"/>
        </w:rPr>
        <w:t>billion</w:t>
      </w:r>
      <w:r>
        <w:rPr>
          <w:spacing w:val="-5"/>
          <w:sz w:val="18"/>
        </w:rPr>
        <w:t> </w:t>
      </w:r>
      <w:r>
        <w:rPr>
          <w:sz w:val="18"/>
        </w:rPr>
        <w:t>(5.0%)</w:t>
      </w:r>
      <w:r>
        <w:rPr>
          <w:spacing w:val="-5"/>
          <w:sz w:val="18"/>
        </w:rPr>
        <w:t> </w:t>
      </w:r>
      <w:r>
        <w:rPr>
          <w:sz w:val="18"/>
        </w:rPr>
        <w:t>and</w:t>
      </w:r>
      <w:r>
        <w:rPr>
          <w:spacing w:val="-5"/>
          <w:sz w:val="18"/>
        </w:rPr>
        <w:t> </w:t>
      </w:r>
      <w:r>
        <w:rPr>
          <w:sz w:val="18"/>
        </w:rPr>
        <w:t>£8.6</w:t>
      </w:r>
      <w:r>
        <w:rPr>
          <w:spacing w:val="-5"/>
          <w:sz w:val="18"/>
        </w:rPr>
        <w:t> </w:t>
      </w:r>
      <w:r>
        <w:rPr>
          <w:sz w:val="18"/>
        </w:rPr>
        <w:t>billion</w:t>
      </w:r>
      <w:r>
        <w:rPr>
          <w:spacing w:val="-5"/>
          <w:sz w:val="18"/>
        </w:rPr>
        <w:t> </w:t>
      </w:r>
      <w:r>
        <w:rPr>
          <w:sz w:val="18"/>
        </w:rPr>
        <w:t>(4.0%) respectively on the month. But much of this rise had reflected matched financial transactions between securities dealers and the banking</w:t>
      </w:r>
      <w:r>
        <w:rPr>
          <w:spacing w:val="-5"/>
          <w:sz w:val="18"/>
        </w:rPr>
        <w:t> </w:t>
      </w:r>
      <w:r>
        <w:rPr>
          <w:sz w:val="18"/>
        </w:rPr>
        <w:t>sector</w:t>
      </w:r>
      <w:r>
        <w:rPr>
          <w:spacing w:val="-4"/>
          <w:sz w:val="18"/>
        </w:rPr>
        <w:t> </w:t>
      </w:r>
      <w:r>
        <w:rPr>
          <w:sz w:val="18"/>
        </w:rPr>
        <w:t>which</w:t>
      </w:r>
      <w:r>
        <w:rPr>
          <w:spacing w:val="-5"/>
          <w:sz w:val="18"/>
        </w:rPr>
        <w:t> </w:t>
      </w:r>
      <w:r>
        <w:rPr>
          <w:sz w:val="18"/>
        </w:rPr>
        <w:t>had</w:t>
      </w:r>
      <w:r>
        <w:rPr>
          <w:spacing w:val="-4"/>
          <w:sz w:val="18"/>
        </w:rPr>
        <w:t> </w:t>
      </w:r>
      <w:r>
        <w:rPr>
          <w:sz w:val="18"/>
        </w:rPr>
        <w:t>been</w:t>
      </w:r>
      <w:r>
        <w:rPr>
          <w:spacing w:val="-5"/>
          <w:sz w:val="18"/>
        </w:rPr>
        <w:t> </w:t>
      </w:r>
      <w:r>
        <w:rPr>
          <w:sz w:val="18"/>
        </w:rPr>
        <w:t>outstanding</w:t>
      </w:r>
      <w:r>
        <w:rPr>
          <w:spacing w:val="-4"/>
          <w:sz w:val="18"/>
        </w:rPr>
        <w:t> </w:t>
      </w:r>
      <w:r>
        <w:rPr>
          <w:sz w:val="18"/>
        </w:rPr>
        <w:t>over</w:t>
      </w:r>
      <w:r>
        <w:rPr>
          <w:spacing w:val="-5"/>
          <w:sz w:val="18"/>
        </w:rPr>
        <w:t> </w:t>
      </w:r>
      <w:r>
        <w:rPr>
          <w:sz w:val="18"/>
        </w:rPr>
        <w:t>the</w:t>
      </w:r>
      <w:r>
        <w:rPr>
          <w:spacing w:val="-4"/>
          <w:sz w:val="18"/>
        </w:rPr>
        <w:t> </w:t>
      </w:r>
      <w:r>
        <w:rPr>
          <w:sz w:val="18"/>
        </w:rPr>
        <w:t>month</w:t>
      </w:r>
      <w:r>
        <w:rPr>
          <w:spacing w:val="-5"/>
          <w:sz w:val="18"/>
        </w:rPr>
        <w:t> </w:t>
      </w:r>
      <w:r>
        <w:rPr>
          <w:sz w:val="18"/>
        </w:rPr>
        <w:t>end.</w:t>
      </w:r>
    </w:p>
    <w:p>
      <w:pPr>
        <w:pStyle w:val="BodyText"/>
        <w:rPr>
          <w:sz w:val="17"/>
        </w:rPr>
      </w:pPr>
    </w:p>
    <w:p>
      <w:pPr>
        <w:pStyle w:val="ListParagraph"/>
        <w:numPr>
          <w:ilvl w:val="0"/>
          <w:numId w:val="47"/>
        </w:numPr>
        <w:tabs>
          <w:tab w:pos="649" w:val="left" w:leader="none"/>
          <w:tab w:pos="650" w:val="left" w:leader="none"/>
        </w:tabs>
        <w:spacing w:line="232" w:lineRule="auto" w:before="0" w:after="0"/>
        <w:ind w:left="170" w:right="533" w:firstLine="0"/>
        <w:jc w:val="left"/>
        <w:rPr>
          <w:sz w:val="18"/>
        </w:rPr>
      </w:pPr>
      <w:r>
        <w:rPr>
          <w:sz w:val="18"/>
        </w:rPr>
        <w:t>Since the previous MPC meeting, short interest rate expectations, as measured by the two-week gilt repo curve, had</w:t>
      </w:r>
      <w:r>
        <w:rPr>
          <w:spacing w:val="-5"/>
          <w:sz w:val="18"/>
        </w:rPr>
        <w:t> </w:t>
      </w:r>
      <w:r>
        <w:rPr>
          <w:sz w:val="18"/>
        </w:rPr>
        <w:t>fallen</w:t>
      </w:r>
      <w:r>
        <w:rPr>
          <w:spacing w:val="-4"/>
          <w:sz w:val="18"/>
        </w:rPr>
        <w:t> </w:t>
      </w:r>
      <w:r>
        <w:rPr>
          <w:sz w:val="18"/>
        </w:rPr>
        <w:t>slightly</w:t>
      </w:r>
      <w:r>
        <w:rPr>
          <w:spacing w:val="-4"/>
          <w:sz w:val="18"/>
        </w:rPr>
        <w:t> </w:t>
      </w:r>
      <w:r>
        <w:rPr>
          <w:sz w:val="18"/>
        </w:rPr>
        <w:t>at</w:t>
      </w:r>
      <w:r>
        <w:rPr>
          <w:spacing w:val="-4"/>
          <w:sz w:val="18"/>
        </w:rPr>
        <w:t> </w:t>
      </w:r>
      <w:r>
        <w:rPr>
          <w:sz w:val="18"/>
        </w:rPr>
        <w:t>the</w:t>
      </w:r>
      <w:r>
        <w:rPr>
          <w:spacing w:val="-4"/>
          <w:sz w:val="18"/>
        </w:rPr>
        <w:t> </w:t>
      </w:r>
      <w:r>
        <w:rPr>
          <w:sz w:val="18"/>
        </w:rPr>
        <w:t>short</w:t>
      </w:r>
      <w:r>
        <w:rPr>
          <w:spacing w:val="-5"/>
          <w:sz w:val="18"/>
        </w:rPr>
        <w:t> </w:t>
      </w:r>
      <w:r>
        <w:rPr>
          <w:sz w:val="18"/>
        </w:rPr>
        <w:t>end</w:t>
      </w:r>
      <w:r>
        <w:rPr>
          <w:spacing w:val="-4"/>
          <w:sz w:val="18"/>
        </w:rPr>
        <w:t> </w:t>
      </w:r>
      <w:r>
        <w:rPr>
          <w:sz w:val="18"/>
        </w:rPr>
        <w:t>(one</w:t>
      </w:r>
      <w:r>
        <w:rPr>
          <w:spacing w:val="-4"/>
          <w:sz w:val="18"/>
        </w:rPr>
        <w:t> </w:t>
      </w:r>
      <w:r>
        <w:rPr>
          <w:sz w:val="18"/>
        </w:rPr>
        <w:t>year</w:t>
      </w:r>
      <w:r>
        <w:rPr>
          <w:spacing w:val="-4"/>
          <w:sz w:val="18"/>
        </w:rPr>
        <w:t> </w:t>
      </w:r>
      <w:r>
        <w:rPr>
          <w:sz w:val="18"/>
        </w:rPr>
        <w:t>out),</w:t>
      </w:r>
      <w:r>
        <w:rPr>
          <w:spacing w:val="-4"/>
          <w:sz w:val="18"/>
        </w:rPr>
        <w:t> </w:t>
      </w:r>
      <w:r>
        <w:rPr>
          <w:sz w:val="18"/>
        </w:rPr>
        <w:t>but</w:t>
      </w:r>
      <w:r>
        <w:rPr>
          <w:spacing w:val="-4"/>
          <w:sz w:val="18"/>
        </w:rPr>
        <w:t> </w:t>
      </w:r>
      <w:r>
        <w:rPr>
          <w:sz w:val="18"/>
        </w:rPr>
        <w:t>had</w:t>
      </w:r>
      <w:r>
        <w:rPr>
          <w:spacing w:val="-5"/>
          <w:sz w:val="18"/>
        </w:rPr>
        <w:t> </w:t>
      </w:r>
      <w:r>
        <w:rPr>
          <w:sz w:val="18"/>
        </w:rPr>
        <w:t>risen</w:t>
      </w:r>
    </w:p>
    <w:p>
      <w:pPr>
        <w:pStyle w:val="BodyText"/>
        <w:spacing w:line="232" w:lineRule="auto"/>
        <w:ind w:left="170"/>
      </w:pPr>
      <w:r>
        <w:rPr/>
        <w:t>2–3 years out. Longer nominal interest rates (15–25 years) had also risen slightly, in line with yields in international government bond markets.</w:t>
      </w:r>
    </w:p>
    <w:p>
      <w:pPr>
        <w:pStyle w:val="BodyText"/>
        <w:rPr>
          <w:sz w:val="17"/>
        </w:rPr>
      </w:pPr>
    </w:p>
    <w:p>
      <w:pPr>
        <w:pStyle w:val="ListParagraph"/>
        <w:numPr>
          <w:ilvl w:val="0"/>
          <w:numId w:val="47"/>
        </w:numPr>
        <w:tabs>
          <w:tab w:pos="649" w:val="left" w:leader="none"/>
          <w:tab w:pos="650" w:val="left" w:leader="none"/>
        </w:tabs>
        <w:spacing w:line="232" w:lineRule="auto" w:before="0" w:after="0"/>
        <w:ind w:left="170" w:right="238" w:firstLine="0"/>
        <w:jc w:val="left"/>
        <w:rPr>
          <w:sz w:val="18"/>
        </w:rPr>
      </w:pPr>
      <w:r>
        <w:rPr>
          <w:sz w:val="18"/>
        </w:rPr>
        <w:t>Within retail interest rates, there had been little change in secured rates or in savings rates. However there had been significant</w:t>
      </w:r>
      <w:r>
        <w:rPr>
          <w:spacing w:val="-6"/>
          <w:sz w:val="18"/>
        </w:rPr>
        <w:t> </w:t>
      </w:r>
      <w:r>
        <w:rPr>
          <w:sz w:val="18"/>
        </w:rPr>
        <w:t>increases</w:t>
      </w:r>
      <w:r>
        <w:rPr>
          <w:spacing w:val="-6"/>
          <w:sz w:val="18"/>
        </w:rPr>
        <w:t> </w:t>
      </w:r>
      <w:r>
        <w:rPr>
          <w:sz w:val="18"/>
        </w:rPr>
        <w:t>in</w:t>
      </w:r>
      <w:r>
        <w:rPr>
          <w:spacing w:val="-6"/>
          <w:sz w:val="18"/>
        </w:rPr>
        <w:t> </w:t>
      </w:r>
      <w:r>
        <w:rPr>
          <w:sz w:val="18"/>
        </w:rPr>
        <w:t>unsecured</w:t>
      </w:r>
      <w:r>
        <w:rPr>
          <w:spacing w:val="-6"/>
          <w:sz w:val="18"/>
        </w:rPr>
        <w:t> </w:t>
      </w:r>
      <w:r>
        <w:rPr>
          <w:sz w:val="18"/>
        </w:rPr>
        <w:t>rates,</w:t>
      </w:r>
      <w:r>
        <w:rPr>
          <w:spacing w:val="-6"/>
          <w:sz w:val="18"/>
        </w:rPr>
        <w:t> </w:t>
      </w:r>
      <w:r>
        <w:rPr>
          <w:sz w:val="18"/>
        </w:rPr>
        <w:t>though</w:t>
      </w:r>
      <w:r>
        <w:rPr>
          <w:spacing w:val="-6"/>
          <w:sz w:val="18"/>
        </w:rPr>
        <w:t> </w:t>
      </w:r>
      <w:r>
        <w:rPr>
          <w:sz w:val="18"/>
        </w:rPr>
        <w:t>these</w:t>
      </w:r>
      <w:r>
        <w:rPr>
          <w:spacing w:val="-6"/>
          <w:sz w:val="18"/>
        </w:rPr>
        <w:t> </w:t>
      </w:r>
      <w:r>
        <w:rPr>
          <w:sz w:val="18"/>
        </w:rPr>
        <w:t>rates</w:t>
      </w:r>
      <w:r>
        <w:rPr>
          <w:spacing w:val="-6"/>
          <w:sz w:val="18"/>
        </w:rPr>
        <w:t> </w:t>
      </w:r>
      <w:r>
        <w:rPr>
          <w:sz w:val="18"/>
        </w:rPr>
        <w:t>had</w:t>
      </w:r>
      <w:r>
        <w:rPr>
          <w:spacing w:val="-6"/>
          <w:sz w:val="18"/>
        </w:rPr>
        <w:t> </w:t>
      </w:r>
      <w:r>
        <w:rPr>
          <w:sz w:val="18"/>
        </w:rPr>
        <w:t>still registered a net fall since August 1999—a period over which the official repo rate had risen by 100 basis</w:t>
      </w:r>
      <w:r>
        <w:rPr>
          <w:spacing w:val="-15"/>
          <w:sz w:val="18"/>
        </w:rPr>
        <w:t> </w:t>
      </w:r>
      <w:r>
        <w:rPr>
          <w:sz w:val="18"/>
        </w:rPr>
        <w:t>points.</w:t>
      </w:r>
    </w:p>
    <w:p>
      <w:pPr>
        <w:pStyle w:val="BodyText"/>
        <w:spacing w:before="1"/>
        <w:rPr>
          <w:sz w:val="17"/>
        </w:rPr>
      </w:pPr>
    </w:p>
    <w:p>
      <w:pPr>
        <w:pStyle w:val="ListParagraph"/>
        <w:numPr>
          <w:ilvl w:val="0"/>
          <w:numId w:val="47"/>
        </w:numPr>
        <w:tabs>
          <w:tab w:pos="649" w:val="left" w:leader="none"/>
          <w:tab w:pos="650" w:val="left" w:leader="none"/>
        </w:tabs>
        <w:spacing w:line="232" w:lineRule="auto" w:before="0" w:after="0"/>
        <w:ind w:left="170" w:right="698" w:firstLine="0"/>
        <w:jc w:val="left"/>
        <w:rPr>
          <w:sz w:val="18"/>
        </w:rPr>
      </w:pPr>
      <w:r>
        <w:rPr>
          <w:sz w:val="18"/>
        </w:rPr>
        <w:t>Surveys of expected inflation in 2000 and 2001 had remained below target. Longer-term Consensus forecasts of inflation over the next ten years had risen slightly. Survey measures of ten-year real interest rates had fallen marginally between October and</w:t>
      </w:r>
      <w:r>
        <w:rPr>
          <w:spacing w:val="-5"/>
          <w:sz w:val="18"/>
        </w:rPr>
        <w:t> </w:t>
      </w:r>
      <w:r>
        <w:rPr>
          <w:sz w:val="18"/>
        </w:rPr>
        <w:t>April.</w:t>
      </w:r>
    </w:p>
    <w:p>
      <w:pPr>
        <w:pStyle w:val="BodyText"/>
        <w:rPr>
          <w:sz w:val="17"/>
        </w:rPr>
      </w:pPr>
    </w:p>
    <w:p>
      <w:pPr>
        <w:pStyle w:val="ListParagraph"/>
        <w:numPr>
          <w:ilvl w:val="0"/>
          <w:numId w:val="47"/>
        </w:numPr>
        <w:tabs>
          <w:tab w:pos="649" w:val="left" w:leader="none"/>
          <w:tab w:pos="650" w:val="left" w:leader="none"/>
        </w:tabs>
        <w:spacing w:line="232" w:lineRule="auto" w:before="1" w:after="0"/>
        <w:ind w:left="170" w:right="162" w:firstLine="0"/>
        <w:jc w:val="left"/>
        <w:rPr>
          <w:sz w:val="18"/>
        </w:rPr>
      </w:pPr>
      <w:r>
        <w:rPr>
          <w:sz w:val="18"/>
        </w:rPr>
        <w:t>Since the previous MPC meeting, sterling had appreciated by 6.3% against the euro, but had depreciated by 1.8% against the dollar. The sterling effective exchange rate index (ERI) had</w:t>
      </w:r>
      <w:r>
        <w:rPr>
          <w:spacing w:val="3"/>
          <w:sz w:val="18"/>
        </w:rPr>
        <w:t> </w:t>
      </w:r>
      <w:r>
        <w:rPr>
          <w:sz w:val="18"/>
        </w:rPr>
        <w:t>risen</w:t>
      </w:r>
    </w:p>
    <w:p>
      <w:pPr>
        <w:spacing w:after="0" w:line="232" w:lineRule="auto"/>
        <w:jc w:val="left"/>
        <w:rPr>
          <w:sz w:val="18"/>
        </w:rPr>
        <w:sectPr>
          <w:type w:val="continuous"/>
          <w:pgSz w:w="11900" w:h="16840"/>
          <w:pgMar w:top="1260" w:bottom="280" w:left="640" w:right="640"/>
          <w:cols w:num="2" w:equalWidth="0">
            <w:col w:w="5098" w:space="294"/>
            <w:col w:w="5228"/>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4"/>
        <w:rPr>
          <w:sz w:val="21"/>
        </w:rPr>
      </w:pPr>
    </w:p>
    <w:p>
      <w:pPr>
        <w:pStyle w:val="BodyText"/>
        <w:spacing w:line="232" w:lineRule="auto" w:before="1"/>
        <w:ind w:left="185" w:right="474"/>
      </w:pPr>
      <w:r>
        <w:rPr/>
        <w:t>by 4.3% over the same period to 113.6, taking the index to its highest level since November 1985.</w:t>
      </w:r>
    </w:p>
    <w:p>
      <w:pPr>
        <w:pStyle w:val="BodyText"/>
        <w:spacing w:before="6"/>
        <w:rPr>
          <w:sz w:val="20"/>
        </w:rPr>
      </w:pPr>
    </w:p>
    <w:p>
      <w:pPr>
        <w:pStyle w:val="Heading4"/>
        <w:numPr>
          <w:ilvl w:val="0"/>
          <w:numId w:val="48"/>
        </w:numPr>
        <w:tabs>
          <w:tab w:pos="665" w:val="left" w:leader="none"/>
          <w:tab w:pos="666" w:val="left" w:leader="none"/>
        </w:tabs>
        <w:spacing w:line="240" w:lineRule="auto" w:before="0" w:after="0"/>
        <w:ind w:left="665" w:right="0" w:hanging="481"/>
        <w:jc w:val="left"/>
      </w:pPr>
      <w:r>
        <w:rPr>
          <w:color w:val="009391"/>
        </w:rPr>
        <w:t>Demand and</w:t>
      </w:r>
      <w:r>
        <w:rPr>
          <w:color w:val="009391"/>
          <w:spacing w:val="-3"/>
        </w:rPr>
        <w:t> </w:t>
      </w:r>
      <w:r>
        <w:rPr>
          <w:color w:val="009391"/>
        </w:rPr>
        <w:t>output</w:t>
      </w:r>
    </w:p>
    <w:p>
      <w:pPr>
        <w:pStyle w:val="ListParagraph"/>
        <w:numPr>
          <w:ilvl w:val="0"/>
          <w:numId w:val="47"/>
        </w:numPr>
        <w:tabs>
          <w:tab w:pos="665" w:val="left" w:leader="none"/>
          <w:tab w:pos="666" w:val="left" w:leader="none"/>
        </w:tabs>
        <w:spacing w:line="232" w:lineRule="auto" w:before="129" w:after="0"/>
        <w:ind w:left="185" w:right="62" w:firstLine="0"/>
        <w:jc w:val="left"/>
        <w:rPr>
          <w:sz w:val="18"/>
        </w:rPr>
      </w:pPr>
      <w:r>
        <w:rPr>
          <w:sz w:val="18"/>
        </w:rPr>
        <w:t>The preliminary Office for National Statistics (ONS) estimate of GDP growth in 2000 Q1 had shown growth slowing to 0.4% from 0.8% in Q4. The annual growth rate had fallen slightly to 2.9%. Service sector output had grown by 0.8% in Q1 and had been 3.2% up on a year earlier. Within services, the distribution, hotels and catering sector had grown by 0.5%. The ONS had said that growth in the transport and communications sectors was strong and that growth in business services had been more moderate. Industrial production had fallen by 0.8% on a three-month basis in February, and manufacturing output had fallen by 0.5% over the same</w:t>
      </w:r>
      <w:r>
        <w:rPr>
          <w:spacing w:val="-2"/>
          <w:sz w:val="18"/>
        </w:rPr>
        <w:t> </w:t>
      </w:r>
      <w:r>
        <w:rPr>
          <w:sz w:val="18"/>
        </w:rPr>
        <w:t>period.</w:t>
      </w:r>
    </w:p>
    <w:p>
      <w:pPr>
        <w:pStyle w:val="BodyText"/>
        <w:spacing w:before="7"/>
        <w:rPr>
          <w:sz w:val="16"/>
        </w:rPr>
      </w:pPr>
    </w:p>
    <w:p>
      <w:pPr>
        <w:pStyle w:val="ListParagraph"/>
        <w:numPr>
          <w:ilvl w:val="0"/>
          <w:numId w:val="47"/>
        </w:numPr>
        <w:tabs>
          <w:tab w:pos="665" w:val="left" w:leader="none"/>
          <w:tab w:pos="666" w:val="left" w:leader="none"/>
        </w:tabs>
        <w:spacing w:line="232" w:lineRule="auto" w:before="1" w:after="0"/>
        <w:ind w:left="185" w:right="148" w:firstLine="0"/>
        <w:jc w:val="left"/>
        <w:rPr>
          <w:sz w:val="18"/>
        </w:rPr>
      </w:pPr>
      <w:r>
        <w:rPr>
          <w:sz w:val="18"/>
        </w:rPr>
        <w:t>Although there had been no new national accounts data, the ONS had reported that construction output had risen at a similar rate to that in earlier quarters. New construction orders had risen by 5.8% in the three months to February. And the Chartered Institute of Purchasing and Supply (CIPS) index of construction activity had risen to 63.9 in March, its highest level since early 1998.</w:t>
      </w:r>
    </w:p>
    <w:p>
      <w:pPr>
        <w:pStyle w:val="BodyText"/>
        <w:spacing w:before="10"/>
        <w:rPr>
          <w:sz w:val="16"/>
        </w:rPr>
      </w:pPr>
    </w:p>
    <w:p>
      <w:pPr>
        <w:pStyle w:val="ListParagraph"/>
        <w:numPr>
          <w:ilvl w:val="0"/>
          <w:numId w:val="47"/>
        </w:numPr>
        <w:tabs>
          <w:tab w:pos="665" w:val="left" w:leader="none"/>
          <w:tab w:pos="666" w:val="left" w:leader="none"/>
        </w:tabs>
        <w:spacing w:line="232" w:lineRule="auto" w:before="0" w:after="0"/>
        <w:ind w:left="185" w:right="38" w:firstLine="0"/>
        <w:jc w:val="left"/>
        <w:rPr>
          <w:sz w:val="18"/>
        </w:rPr>
      </w:pPr>
      <w:r>
        <w:rPr>
          <w:sz w:val="18"/>
        </w:rPr>
        <w:t>The deficit on trade in goods and services had narrowed slightly to £1.4 billion in February from £1.7 billion in January. The EU goods deficit had widened to £0.6 billion but the non-EU goods deficit had narrowed to £1.8 billion. The non-EU goods deficit had narrowed to £1.5 billion in March. Excluding oil and erratics, the volume of goods exports had fallen by 0.2% in the three months to February compared with the previous three months, and imports had risen by 1.6%. Total import volumes had risen by 1.7% over the same</w:t>
      </w:r>
      <w:r>
        <w:rPr>
          <w:spacing w:val="-6"/>
          <w:sz w:val="18"/>
        </w:rPr>
        <w:t> </w:t>
      </w:r>
      <w:r>
        <w:rPr>
          <w:sz w:val="18"/>
        </w:rPr>
        <w:t>period.</w:t>
      </w:r>
    </w:p>
    <w:p>
      <w:pPr>
        <w:pStyle w:val="BodyText"/>
        <w:spacing w:before="9"/>
        <w:rPr>
          <w:sz w:val="16"/>
        </w:rPr>
      </w:pPr>
    </w:p>
    <w:p>
      <w:pPr>
        <w:pStyle w:val="ListParagraph"/>
        <w:numPr>
          <w:ilvl w:val="0"/>
          <w:numId w:val="47"/>
        </w:numPr>
        <w:tabs>
          <w:tab w:pos="665" w:val="left" w:leader="none"/>
          <w:tab w:pos="666" w:val="left" w:leader="none"/>
        </w:tabs>
        <w:spacing w:line="232" w:lineRule="auto" w:before="0" w:after="0"/>
        <w:ind w:left="185" w:right="68" w:firstLine="0"/>
        <w:jc w:val="left"/>
        <w:rPr>
          <w:sz w:val="18"/>
        </w:rPr>
      </w:pPr>
      <w:r>
        <w:rPr>
          <w:sz w:val="18"/>
        </w:rPr>
        <w:t>Retail sales volumes had risen by 0.5% in March and by 1.5% on a three-month basis. The GfK consumer confidence index had fallen to -3.8 in April, its lowest level since December 1998 and below its historical average. The quarterly Consumers’ Association survey of confidence had been +33 in April compared with +41 in</w:t>
      </w:r>
      <w:r>
        <w:rPr>
          <w:spacing w:val="-4"/>
          <w:sz w:val="18"/>
        </w:rPr>
        <w:t> </w:t>
      </w:r>
      <w:r>
        <w:rPr>
          <w:sz w:val="18"/>
        </w:rPr>
        <w:t>January.</w:t>
      </w:r>
    </w:p>
    <w:p>
      <w:pPr>
        <w:pStyle w:val="BodyText"/>
        <w:rPr>
          <w:sz w:val="17"/>
        </w:rPr>
      </w:pPr>
    </w:p>
    <w:p>
      <w:pPr>
        <w:pStyle w:val="ListParagraph"/>
        <w:numPr>
          <w:ilvl w:val="0"/>
          <w:numId w:val="47"/>
        </w:numPr>
        <w:tabs>
          <w:tab w:pos="666" w:val="left" w:leader="none"/>
        </w:tabs>
        <w:spacing w:line="232" w:lineRule="auto" w:before="0" w:after="0"/>
        <w:ind w:left="185" w:right="288" w:firstLine="0"/>
        <w:jc w:val="both"/>
        <w:rPr>
          <w:sz w:val="18"/>
        </w:rPr>
      </w:pPr>
      <w:r>
        <w:rPr>
          <w:sz w:val="18"/>
        </w:rPr>
        <w:t>Private car registrations in the three months to March had fallen by 3.8% on a year earlier. Total registrations had risen by 3.9% over the same</w:t>
      </w:r>
      <w:r>
        <w:rPr>
          <w:spacing w:val="-6"/>
          <w:sz w:val="18"/>
        </w:rPr>
        <w:t> </w:t>
      </w:r>
      <w:r>
        <w:rPr>
          <w:sz w:val="18"/>
        </w:rPr>
        <w:t>period.</w:t>
      </w:r>
    </w:p>
    <w:p>
      <w:pPr>
        <w:pStyle w:val="BodyText"/>
        <w:spacing w:before="2"/>
        <w:rPr>
          <w:sz w:val="17"/>
        </w:rPr>
      </w:pPr>
    </w:p>
    <w:p>
      <w:pPr>
        <w:pStyle w:val="ListParagraph"/>
        <w:numPr>
          <w:ilvl w:val="0"/>
          <w:numId w:val="47"/>
        </w:numPr>
        <w:tabs>
          <w:tab w:pos="665" w:val="left" w:leader="none"/>
          <w:tab w:pos="666" w:val="left" w:leader="none"/>
        </w:tabs>
        <w:spacing w:line="232" w:lineRule="auto" w:before="0" w:after="0"/>
        <w:ind w:left="185" w:right="82" w:firstLine="0"/>
        <w:jc w:val="left"/>
        <w:rPr>
          <w:sz w:val="18"/>
        </w:rPr>
      </w:pPr>
      <w:r>
        <w:rPr>
          <w:sz w:val="18"/>
        </w:rPr>
        <w:t>House prices had risen by 1.6% in April according to the Nationwide measure, and annual house price inflation rose to 17.5%. The Halifax price index had risen by 0.8% in April, and annual inflation had fallen to 14.2%. Particulars delivered had fallen by 0.8% in March. The Royal Institute of Chartered Surveyors (RICS) survey had shown continuing strength in sales in March.</w:t>
      </w:r>
    </w:p>
    <w:p>
      <w:pPr>
        <w:pStyle w:val="BodyText"/>
        <w:spacing w:before="6"/>
        <w:rPr>
          <w:sz w:val="16"/>
        </w:rPr>
      </w:pPr>
    </w:p>
    <w:p>
      <w:pPr>
        <w:pStyle w:val="ListParagraph"/>
        <w:numPr>
          <w:ilvl w:val="0"/>
          <w:numId w:val="47"/>
        </w:numPr>
        <w:tabs>
          <w:tab w:pos="665" w:val="left" w:leader="none"/>
          <w:tab w:pos="666" w:val="left" w:leader="none"/>
        </w:tabs>
        <w:spacing w:line="203" w:lineRule="exact" w:before="0" w:after="0"/>
        <w:ind w:left="665" w:right="0" w:hanging="481"/>
        <w:jc w:val="left"/>
        <w:rPr>
          <w:sz w:val="18"/>
        </w:rPr>
      </w:pPr>
      <w:r>
        <w:rPr>
          <w:sz w:val="18"/>
        </w:rPr>
        <w:t>The public sector net borrowing requirement had</w:t>
      </w:r>
      <w:r>
        <w:rPr>
          <w:spacing w:val="-21"/>
          <w:sz w:val="18"/>
        </w:rPr>
        <w:t> </w:t>
      </w:r>
      <w:r>
        <w:rPr>
          <w:sz w:val="18"/>
        </w:rPr>
        <w:t>been</w:t>
      </w:r>
    </w:p>
    <w:p>
      <w:pPr>
        <w:pStyle w:val="BodyText"/>
        <w:spacing w:line="232" w:lineRule="auto" w:before="1"/>
        <w:ind w:left="185"/>
      </w:pPr>
      <w:r>
        <w:rPr/>
        <w:t>-£1.5 billion in March. For financial year 1999–2000 as a whole, it was -£15.0 billion, compared with the Budget projection of</w:t>
      </w:r>
    </w:p>
    <w:p>
      <w:pPr>
        <w:pStyle w:val="BodyText"/>
        <w:spacing w:line="200" w:lineRule="exact"/>
        <w:ind w:left="185"/>
      </w:pPr>
      <w:r>
        <w:rPr/>
        <w:t>-£11.0 billion.</w:t>
      </w:r>
    </w:p>
    <w:p>
      <w:pPr>
        <w:pStyle w:val="BodyText"/>
        <w:spacing w:before="3"/>
        <w:rPr>
          <w:sz w:val="17"/>
        </w:rPr>
      </w:pPr>
    </w:p>
    <w:p>
      <w:pPr>
        <w:pStyle w:val="ListParagraph"/>
        <w:numPr>
          <w:ilvl w:val="0"/>
          <w:numId w:val="47"/>
        </w:numPr>
        <w:tabs>
          <w:tab w:pos="665" w:val="left" w:leader="none"/>
          <w:tab w:pos="666" w:val="left" w:leader="none"/>
        </w:tabs>
        <w:spacing w:line="232" w:lineRule="auto" w:before="0" w:after="0"/>
        <w:ind w:left="185" w:right="57" w:firstLine="0"/>
        <w:jc w:val="left"/>
        <w:rPr>
          <w:sz w:val="18"/>
        </w:rPr>
      </w:pPr>
      <w:r>
        <w:rPr>
          <w:sz w:val="18"/>
        </w:rPr>
        <w:t>The Confederation of British Industry (CBI) and the British Chambers of Commerce (BCC) quarterly surveys had shown a fall in their indices of manufacturing investment intentions in Q1. The CBI investment intentions balance fell to -21 in 2000 Q2 from -9 in Q1, the lowest since 1999 Q2. The BCC had shown a deterioration in manufacturing investment intentions (plant and machinery) to 9 in Q1 from 14 in Q4. The BCC survey had also shown a fall in service sector investment intentions back to mid-1999 levels, the balance falling to 18 from 25 in</w:t>
      </w:r>
      <w:r>
        <w:rPr>
          <w:spacing w:val="-10"/>
          <w:sz w:val="18"/>
        </w:rPr>
        <w:t> </w:t>
      </w:r>
      <w:r>
        <w:rPr>
          <w:sz w:val="18"/>
        </w:rPr>
        <w:t>Q4.</w:t>
      </w:r>
    </w:p>
    <w:p>
      <w:pPr>
        <w:pStyle w:val="BodyText"/>
        <w:spacing w:before="9"/>
        <w:rPr>
          <w:sz w:val="16"/>
        </w:rPr>
      </w:pPr>
    </w:p>
    <w:p>
      <w:pPr>
        <w:pStyle w:val="ListParagraph"/>
        <w:numPr>
          <w:ilvl w:val="0"/>
          <w:numId w:val="47"/>
        </w:numPr>
        <w:tabs>
          <w:tab w:pos="665" w:val="left" w:leader="none"/>
          <w:tab w:pos="666" w:val="left" w:leader="none"/>
        </w:tabs>
        <w:spacing w:line="232" w:lineRule="auto" w:before="0" w:after="0"/>
        <w:ind w:left="185" w:right="482" w:firstLine="0"/>
        <w:jc w:val="left"/>
        <w:rPr>
          <w:sz w:val="18"/>
        </w:rPr>
      </w:pPr>
      <w:r>
        <w:rPr>
          <w:sz w:val="18"/>
        </w:rPr>
        <w:t>The CBI Industrial Quarterly Trends stock balance had risen to +3 in Q2 from -10 in Q1. The CIPS survey of manufacturing</w:t>
      </w:r>
      <w:r>
        <w:rPr>
          <w:spacing w:val="-5"/>
          <w:sz w:val="18"/>
        </w:rPr>
        <w:t> </w:t>
      </w:r>
      <w:r>
        <w:rPr>
          <w:sz w:val="18"/>
        </w:rPr>
        <w:t>had</w:t>
      </w:r>
      <w:r>
        <w:rPr>
          <w:spacing w:val="-4"/>
          <w:sz w:val="18"/>
        </w:rPr>
        <w:t> </w:t>
      </w:r>
      <w:r>
        <w:rPr>
          <w:sz w:val="18"/>
        </w:rPr>
        <w:t>shown</w:t>
      </w:r>
      <w:r>
        <w:rPr>
          <w:spacing w:val="-4"/>
          <w:sz w:val="18"/>
        </w:rPr>
        <w:t> </w:t>
      </w:r>
      <w:r>
        <w:rPr>
          <w:sz w:val="18"/>
        </w:rPr>
        <w:t>that</w:t>
      </w:r>
      <w:r>
        <w:rPr>
          <w:spacing w:val="-4"/>
          <w:sz w:val="18"/>
        </w:rPr>
        <w:t> </w:t>
      </w:r>
      <w:r>
        <w:rPr>
          <w:sz w:val="18"/>
        </w:rPr>
        <w:t>stocks</w:t>
      </w:r>
      <w:r>
        <w:rPr>
          <w:spacing w:val="-4"/>
          <w:sz w:val="18"/>
        </w:rPr>
        <w:t> </w:t>
      </w:r>
      <w:r>
        <w:rPr>
          <w:sz w:val="18"/>
        </w:rPr>
        <w:t>of</w:t>
      </w:r>
      <w:r>
        <w:rPr>
          <w:spacing w:val="-5"/>
          <w:sz w:val="18"/>
        </w:rPr>
        <w:t> </w:t>
      </w:r>
      <w:r>
        <w:rPr>
          <w:sz w:val="18"/>
        </w:rPr>
        <w:t>finished</w:t>
      </w:r>
      <w:r>
        <w:rPr>
          <w:spacing w:val="-4"/>
          <w:sz w:val="18"/>
        </w:rPr>
        <w:t> </w:t>
      </w:r>
      <w:r>
        <w:rPr>
          <w:sz w:val="18"/>
        </w:rPr>
        <w:t>goods</w:t>
      </w:r>
      <w:r>
        <w:rPr>
          <w:spacing w:val="-4"/>
          <w:sz w:val="18"/>
        </w:rPr>
        <w:t> </w:t>
      </w:r>
      <w:r>
        <w:rPr>
          <w:sz w:val="18"/>
        </w:rPr>
        <w:t>had</w:t>
      </w:r>
    </w:p>
    <w:p>
      <w:pPr>
        <w:pStyle w:val="BodyText"/>
        <w:spacing w:before="4"/>
        <w:rPr>
          <w:sz w:val="21"/>
        </w:rPr>
      </w:pPr>
      <w:r>
        <w:rPr/>
        <w:br w:type="column"/>
      </w:r>
      <w:r>
        <w:rPr>
          <w:sz w:val="21"/>
        </w:rPr>
      </w:r>
    </w:p>
    <w:p>
      <w:pPr>
        <w:pStyle w:val="BodyText"/>
        <w:spacing w:line="232" w:lineRule="auto"/>
        <w:ind w:left="185" w:right="185"/>
      </w:pPr>
      <w:r>
        <w:rPr/>
        <w:t>been gently eroded through Q1 and into April. The CBI Distributive</w:t>
      </w:r>
      <w:r>
        <w:rPr>
          <w:spacing w:val="-6"/>
        </w:rPr>
        <w:t> </w:t>
      </w:r>
      <w:r>
        <w:rPr/>
        <w:t>Trades</w:t>
      </w:r>
      <w:r>
        <w:rPr>
          <w:spacing w:val="-5"/>
        </w:rPr>
        <w:t> </w:t>
      </w:r>
      <w:r>
        <w:rPr/>
        <w:t>Survey</w:t>
      </w:r>
      <w:r>
        <w:rPr>
          <w:spacing w:val="-6"/>
        </w:rPr>
        <w:t> </w:t>
      </w:r>
      <w:r>
        <w:rPr/>
        <w:t>had</w:t>
      </w:r>
      <w:r>
        <w:rPr>
          <w:spacing w:val="-5"/>
        </w:rPr>
        <w:t> </w:t>
      </w:r>
      <w:r>
        <w:rPr/>
        <w:t>reported</w:t>
      </w:r>
      <w:r>
        <w:rPr>
          <w:spacing w:val="-5"/>
        </w:rPr>
        <w:t> </w:t>
      </w:r>
      <w:r>
        <w:rPr/>
        <w:t>a</w:t>
      </w:r>
      <w:r>
        <w:rPr>
          <w:spacing w:val="-6"/>
        </w:rPr>
        <w:t> </w:t>
      </w:r>
      <w:r>
        <w:rPr/>
        <w:t>rise</w:t>
      </w:r>
      <w:r>
        <w:rPr>
          <w:spacing w:val="-5"/>
        </w:rPr>
        <w:t> </w:t>
      </w:r>
      <w:r>
        <w:rPr/>
        <w:t>in</w:t>
      </w:r>
      <w:r>
        <w:rPr>
          <w:spacing w:val="-6"/>
        </w:rPr>
        <w:t> </w:t>
      </w:r>
      <w:r>
        <w:rPr/>
        <w:t>retailers’</w:t>
      </w:r>
      <w:r>
        <w:rPr>
          <w:spacing w:val="-5"/>
        </w:rPr>
        <w:t> </w:t>
      </w:r>
      <w:r>
        <w:rPr/>
        <w:t>stocks</w:t>
      </w:r>
      <w:r>
        <w:rPr>
          <w:spacing w:val="-5"/>
        </w:rPr>
        <w:t> </w:t>
      </w:r>
      <w:r>
        <w:rPr/>
        <w:t>in April.</w:t>
      </w:r>
    </w:p>
    <w:p>
      <w:pPr>
        <w:pStyle w:val="BodyText"/>
        <w:spacing w:before="2"/>
        <w:rPr>
          <w:sz w:val="17"/>
        </w:rPr>
      </w:pPr>
    </w:p>
    <w:p>
      <w:pPr>
        <w:pStyle w:val="ListParagraph"/>
        <w:numPr>
          <w:ilvl w:val="0"/>
          <w:numId w:val="47"/>
        </w:numPr>
        <w:tabs>
          <w:tab w:pos="665" w:val="left" w:leader="none"/>
          <w:tab w:pos="666" w:val="left" w:leader="none"/>
        </w:tabs>
        <w:spacing w:line="232" w:lineRule="auto" w:before="1" w:after="0"/>
        <w:ind w:left="185" w:right="215" w:firstLine="0"/>
        <w:jc w:val="left"/>
        <w:rPr>
          <w:sz w:val="18"/>
        </w:rPr>
      </w:pPr>
      <w:r>
        <w:rPr>
          <w:sz w:val="18"/>
        </w:rPr>
        <w:t>Looking ahead to 2000 Q2, survey evidence suggested slower GDP growth than in Q1. The CBI Industrial Quarterly Trends Survey had shown a notable fall in manufacturing sector new orders in Q1. The BCC survey for Q1 had shown declines in domestic orders in both the manufacturing and service sectors, and overseas</w:t>
      </w:r>
      <w:r>
        <w:rPr>
          <w:spacing w:val="-6"/>
          <w:sz w:val="18"/>
        </w:rPr>
        <w:t> </w:t>
      </w:r>
      <w:r>
        <w:rPr>
          <w:sz w:val="18"/>
        </w:rPr>
        <w:t>orders</w:t>
      </w:r>
      <w:r>
        <w:rPr>
          <w:spacing w:val="-6"/>
          <w:sz w:val="18"/>
        </w:rPr>
        <w:t> </w:t>
      </w:r>
      <w:r>
        <w:rPr>
          <w:sz w:val="18"/>
        </w:rPr>
        <w:t>in</w:t>
      </w:r>
      <w:r>
        <w:rPr>
          <w:spacing w:val="-6"/>
          <w:sz w:val="18"/>
        </w:rPr>
        <w:t> </w:t>
      </w:r>
      <w:r>
        <w:rPr>
          <w:sz w:val="18"/>
        </w:rPr>
        <w:t>manufacturing</w:t>
      </w:r>
      <w:r>
        <w:rPr>
          <w:spacing w:val="-5"/>
          <w:sz w:val="18"/>
        </w:rPr>
        <w:t> </w:t>
      </w:r>
      <w:r>
        <w:rPr>
          <w:sz w:val="18"/>
        </w:rPr>
        <w:t>had</w:t>
      </w:r>
      <w:r>
        <w:rPr>
          <w:spacing w:val="-6"/>
          <w:sz w:val="18"/>
        </w:rPr>
        <w:t> </w:t>
      </w:r>
      <w:r>
        <w:rPr>
          <w:sz w:val="18"/>
        </w:rPr>
        <w:t>also</w:t>
      </w:r>
      <w:r>
        <w:rPr>
          <w:spacing w:val="-6"/>
          <w:sz w:val="18"/>
        </w:rPr>
        <w:t> </w:t>
      </w:r>
      <w:r>
        <w:rPr>
          <w:sz w:val="18"/>
        </w:rPr>
        <w:t>fallen,</w:t>
      </w:r>
      <w:r>
        <w:rPr>
          <w:spacing w:val="-6"/>
          <w:sz w:val="18"/>
        </w:rPr>
        <w:t> </w:t>
      </w:r>
      <w:r>
        <w:rPr>
          <w:sz w:val="18"/>
        </w:rPr>
        <w:t>but</w:t>
      </w:r>
      <w:r>
        <w:rPr>
          <w:spacing w:val="-5"/>
          <w:sz w:val="18"/>
        </w:rPr>
        <w:t> </w:t>
      </w:r>
      <w:r>
        <w:rPr>
          <w:sz w:val="18"/>
        </w:rPr>
        <w:t>had</w:t>
      </w:r>
      <w:r>
        <w:rPr>
          <w:spacing w:val="-6"/>
          <w:sz w:val="18"/>
        </w:rPr>
        <w:t> </w:t>
      </w:r>
      <w:r>
        <w:rPr>
          <w:sz w:val="18"/>
        </w:rPr>
        <w:t>increased in the service sector. The CIPS purchasing managers’ survey of manufacturing showed a fall in the headline index to 50.6 in April from 51.4 in March. The CIPS services measure had been broadly flat, while construction had fallen</w:t>
      </w:r>
      <w:r>
        <w:rPr>
          <w:spacing w:val="-9"/>
          <w:sz w:val="18"/>
        </w:rPr>
        <w:t> </w:t>
      </w:r>
      <w:r>
        <w:rPr>
          <w:sz w:val="18"/>
        </w:rPr>
        <w:t>slightly.</w:t>
      </w:r>
    </w:p>
    <w:p>
      <w:pPr>
        <w:pStyle w:val="BodyText"/>
        <w:spacing w:before="8"/>
        <w:rPr>
          <w:sz w:val="16"/>
        </w:rPr>
      </w:pPr>
    </w:p>
    <w:p>
      <w:pPr>
        <w:pStyle w:val="ListParagraph"/>
        <w:numPr>
          <w:ilvl w:val="0"/>
          <w:numId w:val="47"/>
        </w:numPr>
        <w:tabs>
          <w:tab w:pos="665" w:val="left" w:leader="none"/>
          <w:tab w:pos="666" w:val="left" w:leader="none"/>
        </w:tabs>
        <w:spacing w:line="232" w:lineRule="auto" w:before="0" w:after="0"/>
        <w:ind w:left="185" w:right="494" w:firstLine="0"/>
        <w:jc w:val="left"/>
        <w:rPr>
          <w:sz w:val="18"/>
        </w:rPr>
      </w:pPr>
      <w:r>
        <w:rPr>
          <w:sz w:val="18"/>
        </w:rPr>
        <w:t>Other</w:t>
      </w:r>
      <w:r>
        <w:rPr>
          <w:spacing w:val="-5"/>
          <w:sz w:val="18"/>
        </w:rPr>
        <w:t> </w:t>
      </w:r>
      <w:r>
        <w:rPr>
          <w:sz w:val="18"/>
        </w:rPr>
        <w:t>surveys</w:t>
      </w:r>
      <w:r>
        <w:rPr>
          <w:spacing w:val="-5"/>
          <w:sz w:val="18"/>
        </w:rPr>
        <w:t> </w:t>
      </w:r>
      <w:r>
        <w:rPr>
          <w:sz w:val="18"/>
        </w:rPr>
        <w:t>such</w:t>
      </w:r>
      <w:r>
        <w:rPr>
          <w:spacing w:val="-5"/>
          <w:sz w:val="18"/>
        </w:rPr>
        <w:t> </w:t>
      </w:r>
      <w:r>
        <w:rPr>
          <w:sz w:val="18"/>
        </w:rPr>
        <w:t>as</w:t>
      </w:r>
      <w:r>
        <w:rPr>
          <w:spacing w:val="-5"/>
          <w:sz w:val="18"/>
        </w:rPr>
        <w:t> </w:t>
      </w:r>
      <w:r>
        <w:rPr>
          <w:sz w:val="18"/>
        </w:rPr>
        <w:t>those</w:t>
      </w:r>
      <w:r>
        <w:rPr>
          <w:spacing w:val="-5"/>
          <w:sz w:val="18"/>
        </w:rPr>
        <w:t> </w:t>
      </w:r>
      <w:r>
        <w:rPr>
          <w:sz w:val="18"/>
        </w:rPr>
        <w:t>by</w:t>
      </w:r>
      <w:r>
        <w:rPr>
          <w:spacing w:val="-5"/>
          <w:sz w:val="18"/>
        </w:rPr>
        <w:t> </w:t>
      </w:r>
      <w:r>
        <w:rPr>
          <w:sz w:val="18"/>
        </w:rPr>
        <w:t>the</w:t>
      </w:r>
      <w:r>
        <w:rPr>
          <w:spacing w:val="-5"/>
          <w:sz w:val="18"/>
        </w:rPr>
        <w:t> </w:t>
      </w:r>
      <w:r>
        <w:rPr>
          <w:sz w:val="18"/>
        </w:rPr>
        <w:t>Institute</w:t>
      </w:r>
      <w:r>
        <w:rPr>
          <w:spacing w:val="-5"/>
          <w:sz w:val="18"/>
        </w:rPr>
        <w:t> </w:t>
      </w:r>
      <w:r>
        <w:rPr>
          <w:sz w:val="18"/>
        </w:rPr>
        <w:t>of</w:t>
      </w:r>
      <w:r>
        <w:rPr>
          <w:spacing w:val="-5"/>
          <w:sz w:val="18"/>
        </w:rPr>
        <w:t> </w:t>
      </w:r>
      <w:r>
        <w:rPr>
          <w:sz w:val="18"/>
        </w:rPr>
        <w:t>Directors, Euler Trade Indemnity and Dun &amp; Bradstreet had suggested continued strength in sales and optimism in 2000</w:t>
      </w:r>
      <w:r>
        <w:rPr>
          <w:spacing w:val="-20"/>
          <w:sz w:val="18"/>
        </w:rPr>
        <w:t> </w:t>
      </w:r>
      <w:r>
        <w:rPr>
          <w:sz w:val="18"/>
        </w:rPr>
        <w:t>Q2.</w:t>
      </w:r>
    </w:p>
    <w:p>
      <w:pPr>
        <w:pStyle w:val="BodyText"/>
        <w:spacing w:before="2"/>
        <w:rPr>
          <w:sz w:val="17"/>
        </w:rPr>
      </w:pPr>
    </w:p>
    <w:p>
      <w:pPr>
        <w:pStyle w:val="ListParagraph"/>
        <w:numPr>
          <w:ilvl w:val="0"/>
          <w:numId w:val="47"/>
        </w:numPr>
        <w:tabs>
          <w:tab w:pos="665" w:val="left" w:leader="none"/>
          <w:tab w:pos="666" w:val="left" w:leader="none"/>
        </w:tabs>
        <w:spacing w:line="232" w:lineRule="auto" w:before="0" w:after="0"/>
        <w:ind w:left="185" w:right="155" w:firstLine="0"/>
        <w:jc w:val="left"/>
        <w:rPr>
          <w:sz w:val="18"/>
        </w:rPr>
      </w:pPr>
      <w:r>
        <w:rPr>
          <w:sz w:val="18"/>
        </w:rPr>
        <w:t>The Bank’s regional Agents had conducted a survey of UK firms regarding business growth and profit margins in 2000 Q1. Output growth was reported to have been widespread in Q1, but there were notable sectoral differences. Construction and non-retail services had shown the strongest growth. Domestic demand was cited as the main driver of non-retail services growth, but price competition was reported to have held back manufacturing and retail growth. Overall, profit margins had narrowed slightly in Q1, but there were substantial sectoral differences. Construction and non-retail services firms had reported wider margins, while manufacturers’ margins had narrowed considerably. Retail margins had narrowed</w:t>
      </w:r>
      <w:r>
        <w:rPr>
          <w:spacing w:val="-3"/>
          <w:sz w:val="18"/>
        </w:rPr>
        <w:t> </w:t>
      </w:r>
      <w:r>
        <w:rPr>
          <w:sz w:val="18"/>
        </w:rPr>
        <w:t>slightly.</w:t>
      </w:r>
    </w:p>
    <w:p>
      <w:pPr>
        <w:pStyle w:val="BodyText"/>
        <w:spacing w:before="10"/>
        <w:rPr>
          <w:sz w:val="19"/>
        </w:rPr>
      </w:pPr>
    </w:p>
    <w:p>
      <w:pPr>
        <w:pStyle w:val="Heading4"/>
        <w:numPr>
          <w:ilvl w:val="0"/>
          <w:numId w:val="48"/>
        </w:numPr>
        <w:tabs>
          <w:tab w:pos="665" w:val="left" w:leader="none"/>
          <w:tab w:pos="666" w:val="left" w:leader="none"/>
        </w:tabs>
        <w:spacing w:line="240" w:lineRule="auto" w:before="0" w:after="0"/>
        <w:ind w:left="665" w:right="0" w:hanging="481"/>
        <w:jc w:val="left"/>
      </w:pPr>
      <w:r>
        <w:rPr>
          <w:color w:val="009391"/>
        </w:rPr>
        <w:t>The labour</w:t>
      </w:r>
      <w:r>
        <w:rPr>
          <w:color w:val="009391"/>
          <w:spacing w:val="-3"/>
        </w:rPr>
        <w:t> </w:t>
      </w:r>
      <w:r>
        <w:rPr>
          <w:color w:val="009391"/>
        </w:rPr>
        <w:t>market</w:t>
      </w:r>
    </w:p>
    <w:p>
      <w:pPr>
        <w:pStyle w:val="ListParagraph"/>
        <w:numPr>
          <w:ilvl w:val="0"/>
          <w:numId w:val="47"/>
        </w:numPr>
        <w:tabs>
          <w:tab w:pos="665" w:val="left" w:leader="none"/>
          <w:tab w:pos="666" w:val="left" w:leader="none"/>
        </w:tabs>
        <w:spacing w:line="232" w:lineRule="auto" w:before="130" w:after="0"/>
        <w:ind w:left="185" w:right="215" w:firstLine="0"/>
        <w:jc w:val="left"/>
        <w:rPr>
          <w:sz w:val="18"/>
        </w:rPr>
      </w:pPr>
      <w:r>
        <w:rPr>
          <w:sz w:val="18"/>
        </w:rPr>
        <w:t>Employment had continued to grow steadily. Labour Force Survey (LFS) employment had increased by 59,000 (0.2%) in December to February, compared with the three previous months. The increase had been more than accounted for by higher part-time employment, which had risen by 75,000. So employment growth had been lower in full-time equivalent terms. Despite the shift towards part-time work, average hours worked had increased by 0.2%. As a result, total hours worked had risen by 0.3% in December-February compared with the previous three months, although they were unchanged compared with the same period last year.</w:t>
      </w:r>
    </w:p>
    <w:p>
      <w:pPr>
        <w:pStyle w:val="BodyText"/>
        <w:spacing w:before="7"/>
        <w:rPr>
          <w:sz w:val="16"/>
        </w:rPr>
      </w:pPr>
    </w:p>
    <w:p>
      <w:pPr>
        <w:pStyle w:val="ListParagraph"/>
        <w:numPr>
          <w:ilvl w:val="0"/>
          <w:numId w:val="47"/>
        </w:numPr>
        <w:tabs>
          <w:tab w:pos="665" w:val="left" w:leader="none"/>
          <w:tab w:pos="666" w:val="left" w:leader="none"/>
        </w:tabs>
        <w:spacing w:line="232" w:lineRule="auto" w:before="0" w:after="0"/>
        <w:ind w:left="185" w:right="219" w:firstLine="0"/>
        <w:jc w:val="left"/>
        <w:rPr>
          <w:sz w:val="18"/>
        </w:rPr>
      </w:pPr>
      <w:r>
        <w:rPr>
          <w:sz w:val="18"/>
        </w:rPr>
        <w:t>Survey-based evidence had indicated that employment conditions continued to differ between the manufacturing and service sectors. The CIPS survey in April had indicated faster employment growth in the service sector than in March, slightly slower growth in construction, and a continued decline in manufacturing employment. Both the BCC Quarterly Economic Survey and the CBI Industrial Trends Survey had indicated that employment intentions in the service sector had remained strong in Q1, but had weakened in</w:t>
      </w:r>
      <w:r>
        <w:rPr>
          <w:spacing w:val="-8"/>
          <w:sz w:val="18"/>
        </w:rPr>
        <w:t> </w:t>
      </w:r>
      <w:r>
        <w:rPr>
          <w:sz w:val="18"/>
        </w:rPr>
        <w:t>manufacturing.</w:t>
      </w:r>
    </w:p>
    <w:p>
      <w:pPr>
        <w:pStyle w:val="BodyText"/>
        <w:spacing w:before="9"/>
        <w:rPr>
          <w:sz w:val="16"/>
        </w:rPr>
      </w:pPr>
    </w:p>
    <w:p>
      <w:pPr>
        <w:pStyle w:val="ListParagraph"/>
        <w:numPr>
          <w:ilvl w:val="0"/>
          <w:numId w:val="47"/>
        </w:numPr>
        <w:tabs>
          <w:tab w:pos="665" w:val="left" w:leader="none"/>
          <w:tab w:pos="666" w:val="left" w:leader="none"/>
        </w:tabs>
        <w:spacing w:line="232" w:lineRule="auto" w:before="0" w:after="0"/>
        <w:ind w:left="185" w:right="214" w:firstLine="0"/>
        <w:jc w:val="left"/>
        <w:rPr>
          <w:sz w:val="18"/>
        </w:rPr>
      </w:pPr>
      <w:r>
        <w:rPr>
          <w:sz w:val="18"/>
        </w:rPr>
        <w:t>The latest data suggested that labour shortages persisted. The CBI survey had reported that shortages of both skilled and unskilled staff had increased slightly in Q1. According to the BCC survey, recruitment difficulties had also remained high.</w:t>
      </w:r>
      <w:r>
        <w:rPr>
          <w:spacing w:val="19"/>
          <w:sz w:val="18"/>
        </w:rPr>
        <w:t> </w:t>
      </w:r>
      <w:r>
        <w:rPr>
          <w:sz w:val="18"/>
        </w:rPr>
        <w:t>The</w:t>
      </w:r>
    </w:p>
    <w:p>
      <w:pPr>
        <w:pStyle w:val="BodyText"/>
        <w:spacing w:line="232" w:lineRule="auto"/>
        <w:ind w:left="185" w:right="141"/>
      </w:pPr>
      <w:r>
        <w:rPr/>
        <w:t>Recruitment and Employment Confederation (REC) survey in April had shown a deterioration in the availability of permanent and temporary agency staff. The Bank’s regional Agents had reported that skill shortages remained a concern, though overall they might have lessened slightly.</w:t>
      </w:r>
    </w:p>
    <w:p>
      <w:pPr>
        <w:pStyle w:val="BodyText"/>
        <w:spacing w:before="9"/>
        <w:rPr>
          <w:sz w:val="16"/>
        </w:rPr>
      </w:pPr>
    </w:p>
    <w:p>
      <w:pPr>
        <w:pStyle w:val="ListParagraph"/>
        <w:numPr>
          <w:ilvl w:val="0"/>
          <w:numId w:val="47"/>
        </w:numPr>
        <w:tabs>
          <w:tab w:pos="665" w:val="left" w:leader="none"/>
          <w:tab w:pos="666" w:val="left" w:leader="none"/>
        </w:tabs>
        <w:spacing w:line="232" w:lineRule="auto" w:before="0" w:after="0"/>
        <w:ind w:left="185" w:right="204" w:firstLine="0"/>
        <w:jc w:val="left"/>
        <w:rPr>
          <w:sz w:val="18"/>
        </w:rPr>
      </w:pPr>
      <w:r>
        <w:rPr>
          <w:sz w:val="18"/>
        </w:rPr>
        <w:t>Unemployment had fallen on both the LFS and claimant count bases. LFS unemployment had fallen by 25,000 in three months</w:t>
      </w:r>
      <w:r>
        <w:rPr>
          <w:spacing w:val="-6"/>
          <w:sz w:val="18"/>
        </w:rPr>
        <w:t> </w:t>
      </w:r>
      <w:r>
        <w:rPr>
          <w:sz w:val="18"/>
        </w:rPr>
        <w:t>to</w:t>
      </w:r>
      <w:r>
        <w:rPr>
          <w:spacing w:val="-5"/>
          <w:sz w:val="18"/>
        </w:rPr>
        <w:t> </w:t>
      </w:r>
      <w:r>
        <w:rPr>
          <w:sz w:val="18"/>
        </w:rPr>
        <w:t>February</w:t>
      </w:r>
      <w:r>
        <w:rPr>
          <w:spacing w:val="-6"/>
          <w:sz w:val="18"/>
        </w:rPr>
        <w:t> </w:t>
      </w:r>
      <w:r>
        <w:rPr>
          <w:sz w:val="18"/>
        </w:rPr>
        <w:t>compared</w:t>
      </w:r>
      <w:r>
        <w:rPr>
          <w:spacing w:val="-5"/>
          <w:sz w:val="18"/>
        </w:rPr>
        <w:t> </w:t>
      </w:r>
      <w:r>
        <w:rPr>
          <w:sz w:val="18"/>
        </w:rPr>
        <w:t>with</w:t>
      </w:r>
      <w:r>
        <w:rPr>
          <w:spacing w:val="-6"/>
          <w:sz w:val="18"/>
        </w:rPr>
        <w:t> </w:t>
      </w:r>
      <w:r>
        <w:rPr>
          <w:sz w:val="18"/>
        </w:rPr>
        <w:t>the</w:t>
      </w:r>
      <w:r>
        <w:rPr>
          <w:spacing w:val="-5"/>
          <w:sz w:val="18"/>
        </w:rPr>
        <w:t> </w:t>
      </w:r>
      <w:r>
        <w:rPr>
          <w:sz w:val="18"/>
        </w:rPr>
        <w:t>previous</w:t>
      </w:r>
      <w:r>
        <w:rPr>
          <w:spacing w:val="-6"/>
          <w:sz w:val="18"/>
        </w:rPr>
        <w:t> </w:t>
      </w:r>
      <w:r>
        <w:rPr>
          <w:sz w:val="18"/>
        </w:rPr>
        <w:t>three</w:t>
      </w:r>
      <w:r>
        <w:rPr>
          <w:spacing w:val="-5"/>
          <w:sz w:val="18"/>
        </w:rPr>
        <w:t> </w:t>
      </w:r>
      <w:r>
        <w:rPr>
          <w:sz w:val="18"/>
        </w:rPr>
        <w:t>months,</w:t>
      </w:r>
      <w:r>
        <w:rPr>
          <w:spacing w:val="-6"/>
          <w:sz w:val="18"/>
        </w:rPr>
        <w:t> </w:t>
      </w:r>
      <w:r>
        <w:rPr>
          <w:sz w:val="18"/>
        </w:rPr>
        <w:t>with the rate falling 0.1 percentage points to 5.8%. Claimant count unemployment had fallen by 7,700 in March compared with the previous month, with the rate unchanged at 4.0%. The fall in LFS</w:t>
      </w:r>
    </w:p>
    <w:p>
      <w:pPr>
        <w:spacing w:after="0" w:line="232" w:lineRule="auto"/>
        <w:jc w:val="left"/>
        <w:rPr>
          <w:sz w:val="18"/>
        </w:rPr>
        <w:sectPr>
          <w:type w:val="continuous"/>
          <w:pgSz w:w="11900" w:h="16840"/>
          <w:pgMar w:top="1260" w:bottom="280" w:left="640" w:right="640"/>
          <w:cols w:num="2" w:equalWidth="0">
            <w:col w:w="5114" w:space="266"/>
            <w:col w:w="5240"/>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4"/>
        <w:rPr>
          <w:sz w:val="21"/>
        </w:rPr>
      </w:pPr>
    </w:p>
    <w:p>
      <w:pPr>
        <w:pStyle w:val="BodyText"/>
        <w:spacing w:line="232" w:lineRule="auto" w:before="1"/>
        <w:ind w:left="174" w:right="698"/>
      </w:pPr>
      <w:r>
        <w:rPr/>
        <w:t>unemployment had been more than accounted for by lower long-term unemployment.</w:t>
      </w:r>
    </w:p>
    <w:p>
      <w:pPr>
        <w:pStyle w:val="BodyText"/>
        <w:spacing w:before="2"/>
        <w:rPr>
          <w:sz w:val="17"/>
        </w:rPr>
      </w:pPr>
    </w:p>
    <w:p>
      <w:pPr>
        <w:pStyle w:val="ListParagraph"/>
        <w:numPr>
          <w:ilvl w:val="0"/>
          <w:numId w:val="47"/>
        </w:numPr>
        <w:tabs>
          <w:tab w:pos="654" w:val="left" w:leader="none"/>
          <w:tab w:pos="655" w:val="left" w:leader="none"/>
        </w:tabs>
        <w:spacing w:line="232" w:lineRule="auto" w:before="1" w:after="0"/>
        <w:ind w:left="174" w:right="77" w:firstLine="0"/>
        <w:jc w:val="left"/>
        <w:rPr>
          <w:sz w:val="18"/>
        </w:rPr>
      </w:pPr>
      <w:r>
        <w:rPr>
          <w:sz w:val="18"/>
        </w:rPr>
        <w:t>Inactivity had been broadly flat, rising by only 3,000 in three months to February compared with the previous three months. An increase of 36,000 in male inactivity had more than offset a fall of 34,000 in female</w:t>
      </w:r>
      <w:r>
        <w:rPr>
          <w:spacing w:val="-4"/>
          <w:sz w:val="18"/>
        </w:rPr>
        <w:t> </w:t>
      </w:r>
      <w:r>
        <w:rPr>
          <w:sz w:val="18"/>
        </w:rPr>
        <w:t>inactivity.</w:t>
      </w:r>
    </w:p>
    <w:p>
      <w:pPr>
        <w:pStyle w:val="BodyText"/>
        <w:spacing w:before="1"/>
        <w:rPr>
          <w:sz w:val="17"/>
        </w:rPr>
      </w:pPr>
    </w:p>
    <w:p>
      <w:pPr>
        <w:pStyle w:val="ListParagraph"/>
        <w:numPr>
          <w:ilvl w:val="0"/>
          <w:numId w:val="47"/>
        </w:numPr>
        <w:tabs>
          <w:tab w:pos="654" w:val="left" w:leader="none"/>
          <w:tab w:pos="655" w:val="left" w:leader="none"/>
        </w:tabs>
        <w:spacing w:line="232" w:lineRule="auto" w:before="0" w:after="0"/>
        <w:ind w:left="174" w:right="57" w:firstLine="0"/>
        <w:jc w:val="left"/>
        <w:rPr>
          <w:sz w:val="18"/>
        </w:rPr>
      </w:pPr>
      <w:r>
        <w:rPr>
          <w:sz w:val="18"/>
        </w:rPr>
        <w:t>All LFS data from autumn 1993 onwards had been revised to incorporate more up-to-date population estimates. Estimates of the population aged sixteen and above had been revised up by 0.5% by autumn 1999. However, quarterly growth rates, participation, employment and unemployment rates had been little</w:t>
      </w:r>
      <w:r>
        <w:rPr>
          <w:spacing w:val="-25"/>
          <w:sz w:val="18"/>
        </w:rPr>
        <w:t> </w:t>
      </w:r>
      <w:r>
        <w:rPr>
          <w:sz w:val="18"/>
        </w:rPr>
        <w:t>changed.</w:t>
      </w:r>
    </w:p>
    <w:p>
      <w:pPr>
        <w:pStyle w:val="BodyText"/>
        <w:rPr>
          <w:sz w:val="17"/>
        </w:rPr>
      </w:pPr>
    </w:p>
    <w:p>
      <w:pPr>
        <w:pStyle w:val="ListParagraph"/>
        <w:numPr>
          <w:ilvl w:val="0"/>
          <w:numId w:val="47"/>
        </w:numPr>
        <w:tabs>
          <w:tab w:pos="654" w:val="left" w:leader="none"/>
          <w:tab w:pos="655" w:val="left" w:leader="none"/>
        </w:tabs>
        <w:spacing w:line="232" w:lineRule="auto" w:before="1" w:after="0"/>
        <w:ind w:left="174" w:right="188" w:firstLine="0"/>
        <w:jc w:val="left"/>
        <w:rPr>
          <w:sz w:val="18"/>
        </w:rPr>
      </w:pPr>
      <w:r>
        <w:rPr>
          <w:sz w:val="18"/>
        </w:rPr>
        <w:t>Earnings growth had remained strong. Whole-economy headline earnings growth had risen by 0.1 percentage points in February to 6.0%, with higher growth in both the private sector (up</w:t>
      </w:r>
      <w:r>
        <w:rPr>
          <w:spacing w:val="-5"/>
          <w:sz w:val="18"/>
        </w:rPr>
        <w:t> </w:t>
      </w:r>
      <w:r>
        <w:rPr>
          <w:sz w:val="18"/>
        </w:rPr>
        <w:t>by</w:t>
      </w:r>
      <w:r>
        <w:rPr>
          <w:spacing w:val="-4"/>
          <w:sz w:val="18"/>
        </w:rPr>
        <w:t> </w:t>
      </w:r>
      <w:r>
        <w:rPr>
          <w:sz w:val="18"/>
        </w:rPr>
        <w:t>0.2</w:t>
      </w:r>
      <w:r>
        <w:rPr>
          <w:spacing w:val="-4"/>
          <w:sz w:val="18"/>
        </w:rPr>
        <w:t> </w:t>
      </w:r>
      <w:r>
        <w:rPr>
          <w:sz w:val="18"/>
        </w:rPr>
        <w:t>percentage</w:t>
      </w:r>
      <w:r>
        <w:rPr>
          <w:spacing w:val="-4"/>
          <w:sz w:val="18"/>
        </w:rPr>
        <w:t> </w:t>
      </w:r>
      <w:r>
        <w:rPr>
          <w:sz w:val="18"/>
        </w:rPr>
        <w:t>points</w:t>
      </w:r>
      <w:r>
        <w:rPr>
          <w:spacing w:val="-4"/>
          <w:sz w:val="18"/>
        </w:rPr>
        <w:t> </w:t>
      </w:r>
      <w:r>
        <w:rPr>
          <w:sz w:val="18"/>
        </w:rPr>
        <w:t>to</w:t>
      </w:r>
      <w:r>
        <w:rPr>
          <w:spacing w:val="-4"/>
          <w:sz w:val="18"/>
        </w:rPr>
        <w:t> </w:t>
      </w:r>
      <w:r>
        <w:rPr>
          <w:sz w:val="18"/>
        </w:rPr>
        <w:t>6.5%)</w:t>
      </w:r>
      <w:r>
        <w:rPr>
          <w:spacing w:val="-5"/>
          <w:sz w:val="18"/>
        </w:rPr>
        <w:t> </w:t>
      </w:r>
      <w:r>
        <w:rPr>
          <w:sz w:val="18"/>
        </w:rPr>
        <w:t>and</w:t>
      </w:r>
      <w:r>
        <w:rPr>
          <w:spacing w:val="-4"/>
          <w:sz w:val="18"/>
        </w:rPr>
        <w:t> </w:t>
      </w:r>
      <w:r>
        <w:rPr>
          <w:sz w:val="18"/>
        </w:rPr>
        <w:t>the</w:t>
      </w:r>
      <w:r>
        <w:rPr>
          <w:spacing w:val="-4"/>
          <w:sz w:val="18"/>
        </w:rPr>
        <w:t> </w:t>
      </w:r>
      <w:r>
        <w:rPr>
          <w:sz w:val="18"/>
        </w:rPr>
        <w:t>public</w:t>
      </w:r>
      <w:r>
        <w:rPr>
          <w:spacing w:val="-4"/>
          <w:sz w:val="18"/>
        </w:rPr>
        <w:t> </w:t>
      </w:r>
      <w:r>
        <w:rPr>
          <w:sz w:val="18"/>
        </w:rPr>
        <w:t>sector</w:t>
      </w:r>
      <w:r>
        <w:rPr>
          <w:spacing w:val="-4"/>
          <w:sz w:val="18"/>
        </w:rPr>
        <w:t> </w:t>
      </w:r>
      <w:r>
        <w:rPr>
          <w:sz w:val="18"/>
        </w:rPr>
        <w:t>(up</w:t>
      </w:r>
      <w:r>
        <w:rPr>
          <w:spacing w:val="-4"/>
          <w:sz w:val="18"/>
        </w:rPr>
        <w:t> </w:t>
      </w:r>
      <w:r>
        <w:rPr>
          <w:sz w:val="18"/>
        </w:rPr>
        <w:t>by</w:t>
      </w:r>
    </w:p>
    <w:p>
      <w:pPr>
        <w:pStyle w:val="BodyText"/>
        <w:spacing w:line="232" w:lineRule="auto"/>
        <w:ind w:left="174"/>
      </w:pPr>
      <w:r>
        <w:rPr/>
        <w:t>0.2 percentage points to 4.2%). Earnings growth in the private services sector (a newly published series) had risen by</w:t>
      </w:r>
    </w:p>
    <w:p>
      <w:pPr>
        <w:pStyle w:val="BodyText"/>
        <w:spacing w:line="232" w:lineRule="auto"/>
        <w:ind w:left="174" w:right="47"/>
      </w:pPr>
      <w:r>
        <w:rPr/>
        <w:t>0.1 percentage points in February to 6.9%. Manufacturing earnings growth had fallen by 0.1 percentage points, to 5.3%. Data on the bonus contribution to earnings growth that were not distorted by the change to the Average Earnings Index (AEI) questionnaire in February 1999 had become available for the first time.  Bonuses had contributed around 0.5 percentage points to whole-economy earnings growth in February. Earnings growth, excluding bonuses, had been 5.1%. However, interpreting recent earnings data had remained problematic, since it was difficult to estimate the impact of millennium-related</w:t>
      </w:r>
      <w:r>
        <w:rPr>
          <w:spacing w:val="-3"/>
        </w:rPr>
        <w:t> </w:t>
      </w:r>
      <w:r>
        <w:rPr/>
        <w:t>payments.</w:t>
      </w:r>
    </w:p>
    <w:p>
      <w:pPr>
        <w:pStyle w:val="BodyText"/>
        <w:spacing w:before="3"/>
        <w:rPr>
          <w:sz w:val="16"/>
        </w:rPr>
      </w:pPr>
    </w:p>
    <w:p>
      <w:pPr>
        <w:pStyle w:val="ListParagraph"/>
        <w:numPr>
          <w:ilvl w:val="0"/>
          <w:numId w:val="47"/>
        </w:numPr>
        <w:tabs>
          <w:tab w:pos="654" w:val="left" w:leader="none"/>
          <w:tab w:pos="655" w:val="left" w:leader="none"/>
        </w:tabs>
        <w:spacing w:line="232" w:lineRule="auto" w:before="0" w:after="0"/>
        <w:ind w:left="174" w:right="108" w:firstLine="0"/>
        <w:jc w:val="left"/>
        <w:rPr>
          <w:sz w:val="18"/>
        </w:rPr>
      </w:pPr>
      <w:r>
        <w:rPr>
          <w:sz w:val="18"/>
        </w:rPr>
        <w:t>Settlements had stopped falling and were now broadly flat. The Bank’s twelve-month AEI-weighted mean had been 3.3% in March, unchanged since January. Public and private sector means were also unchanged. A majority of settlements in Q1 had been lower than during the same period last year: of the 138 settlements that could be matched, 28 had been higher, 16 had been the same and 94 had been lower. In real terms, however, settlements had continued to grow. Wage drift, the difference between annual earnings growth and pay settlements, had continued to rise in March, though it had remained below the levels seen in the late 1980s.</w:t>
      </w:r>
    </w:p>
    <w:p>
      <w:pPr>
        <w:pStyle w:val="BodyText"/>
        <w:spacing w:before="11"/>
        <w:rPr>
          <w:sz w:val="19"/>
        </w:rPr>
      </w:pPr>
    </w:p>
    <w:p>
      <w:pPr>
        <w:pStyle w:val="Heading4"/>
        <w:numPr>
          <w:ilvl w:val="0"/>
          <w:numId w:val="48"/>
        </w:numPr>
        <w:tabs>
          <w:tab w:pos="654" w:val="left" w:leader="none"/>
          <w:tab w:pos="655" w:val="left" w:leader="none"/>
        </w:tabs>
        <w:spacing w:line="240" w:lineRule="auto" w:before="0" w:after="0"/>
        <w:ind w:left="654" w:right="0" w:hanging="481"/>
        <w:jc w:val="left"/>
      </w:pPr>
      <w:r>
        <w:rPr>
          <w:color w:val="009391"/>
        </w:rPr>
        <w:t>Prices</w:t>
      </w:r>
    </w:p>
    <w:p>
      <w:pPr>
        <w:pStyle w:val="ListParagraph"/>
        <w:numPr>
          <w:ilvl w:val="0"/>
          <w:numId w:val="47"/>
        </w:numPr>
        <w:tabs>
          <w:tab w:pos="654" w:val="left" w:leader="none"/>
          <w:tab w:pos="655" w:val="left" w:leader="none"/>
        </w:tabs>
        <w:spacing w:line="232" w:lineRule="auto" w:before="129" w:after="0"/>
        <w:ind w:left="174" w:right="38" w:firstLine="0"/>
        <w:jc w:val="left"/>
        <w:rPr>
          <w:sz w:val="18"/>
        </w:rPr>
      </w:pPr>
      <w:r>
        <w:rPr>
          <w:sz w:val="18"/>
        </w:rPr>
        <w:t>The Bank’s oil-inclusive commodity price index had risen by 1.8% in March, taking the annual inflation rate from 22.6% down to 20.7%. The effects of last year’s rise in oil prices had largely accounted for the fall in the annual rate. So given the sharp rise in oil prices between March 1999 and February 2000, annual commodity price inflation may thus have peaked in</w:t>
      </w:r>
      <w:r>
        <w:rPr>
          <w:spacing w:val="-26"/>
          <w:sz w:val="18"/>
        </w:rPr>
        <w:t> </w:t>
      </w:r>
      <w:r>
        <w:rPr>
          <w:sz w:val="18"/>
        </w:rPr>
        <w:t>February.</w:t>
      </w:r>
    </w:p>
    <w:p>
      <w:pPr>
        <w:pStyle w:val="BodyText"/>
        <w:rPr>
          <w:sz w:val="17"/>
        </w:rPr>
      </w:pPr>
    </w:p>
    <w:p>
      <w:pPr>
        <w:pStyle w:val="ListParagraph"/>
        <w:numPr>
          <w:ilvl w:val="0"/>
          <w:numId w:val="47"/>
        </w:numPr>
        <w:tabs>
          <w:tab w:pos="654" w:val="left" w:leader="none"/>
          <w:tab w:pos="655" w:val="left" w:leader="none"/>
        </w:tabs>
        <w:spacing w:line="232" w:lineRule="auto" w:before="0" w:after="0"/>
        <w:ind w:left="174" w:right="53" w:firstLine="0"/>
        <w:jc w:val="left"/>
        <w:rPr>
          <w:sz w:val="18"/>
        </w:rPr>
      </w:pPr>
      <w:r>
        <w:rPr>
          <w:sz w:val="18"/>
        </w:rPr>
        <w:t>Seasonally adjusted manufacturing input prices had risen by 0.8% in March, taking the annual inflation rate from 14.2% to 13.8%. Again, the decline in the annual rate of change reflected the sharp fall in the annual inflation rate of oil prices. The annual rate of change of seasonally adjusted total output prices excluding excise duties (PPIY) had risen slightly to 1.8% from 1.7% in February. The latest CBI expected output price balance for Q2 had weakened to -13 from</w:t>
      </w:r>
      <w:r>
        <w:rPr>
          <w:spacing w:val="-5"/>
          <w:sz w:val="18"/>
        </w:rPr>
        <w:t> </w:t>
      </w:r>
      <w:r>
        <w:rPr>
          <w:sz w:val="18"/>
        </w:rPr>
        <w:t>-4.</w:t>
      </w:r>
    </w:p>
    <w:p>
      <w:pPr>
        <w:pStyle w:val="BodyText"/>
        <w:spacing w:before="10"/>
        <w:rPr>
          <w:sz w:val="16"/>
        </w:rPr>
      </w:pPr>
    </w:p>
    <w:p>
      <w:pPr>
        <w:pStyle w:val="ListParagraph"/>
        <w:numPr>
          <w:ilvl w:val="0"/>
          <w:numId w:val="47"/>
        </w:numPr>
        <w:tabs>
          <w:tab w:pos="654" w:val="left" w:leader="none"/>
          <w:tab w:pos="655" w:val="left" w:leader="none"/>
        </w:tabs>
        <w:spacing w:line="232" w:lineRule="auto" w:before="0" w:after="0"/>
        <w:ind w:left="174" w:right="97" w:firstLine="0"/>
        <w:jc w:val="left"/>
        <w:rPr>
          <w:sz w:val="18"/>
        </w:rPr>
      </w:pPr>
      <w:r>
        <w:rPr>
          <w:sz w:val="18"/>
        </w:rPr>
        <w:t>Prices of total imported goods had risen by 1.0% in the three months to February compared with the previous three months. Excluding oil and erratics, prices of imported goods had risen by only 0.3%. Total export prices had remained broadly flat over the same</w:t>
      </w:r>
      <w:r>
        <w:rPr>
          <w:spacing w:val="-2"/>
          <w:sz w:val="18"/>
        </w:rPr>
        <w:t> </w:t>
      </w:r>
      <w:r>
        <w:rPr>
          <w:sz w:val="18"/>
        </w:rPr>
        <w:t>period.</w:t>
      </w:r>
    </w:p>
    <w:p>
      <w:pPr>
        <w:pStyle w:val="BodyText"/>
        <w:rPr>
          <w:sz w:val="17"/>
        </w:rPr>
      </w:pPr>
    </w:p>
    <w:p>
      <w:pPr>
        <w:pStyle w:val="ListParagraph"/>
        <w:numPr>
          <w:ilvl w:val="0"/>
          <w:numId w:val="47"/>
        </w:numPr>
        <w:tabs>
          <w:tab w:pos="654" w:val="left" w:leader="none"/>
          <w:tab w:pos="655" w:val="left" w:leader="none"/>
        </w:tabs>
        <w:spacing w:line="232" w:lineRule="auto" w:before="1" w:after="0"/>
        <w:ind w:left="174" w:right="77" w:firstLine="0"/>
        <w:jc w:val="left"/>
        <w:rPr>
          <w:sz w:val="18"/>
        </w:rPr>
      </w:pPr>
      <w:r>
        <w:rPr>
          <w:sz w:val="18"/>
        </w:rPr>
        <w:t>Annual RPIX inflation had fallen by 0.2 percentage points to 2.0% in March, largely owing to last year’s rise in tobacco and petrol duties dropping out of the annual comparison and a smaller rise in household goods prices than in March 1999. Service price inflation had continued at an annual rate of 4.2% in</w:t>
      </w:r>
      <w:r>
        <w:rPr>
          <w:spacing w:val="-26"/>
          <w:sz w:val="18"/>
        </w:rPr>
        <w:t> </w:t>
      </w:r>
      <w:r>
        <w:rPr>
          <w:sz w:val="18"/>
        </w:rPr>
        <w:t>March.</w:t>
      </w:r>
    </w:p>
    <w:p>
      <w:pPr>
        <w:pStyle w:val="BodyText"/>
        <w:spacing w:before="1"/>
        <w:rPr>
          <w:sz w:val="20"/>
        </w:rPr>
      </w:pPr>
      <w:r>
        <w:rPr/>
        <w:br w:type="column"/>
      </w:r>
      <w:r>
        <w:rPr>
          <w:sz w:val="20"/>
        </w:rPr>
      </w:r>
    </w:p>
    <w:p>
      <w:pPr>
        <w:pStyle w:val="Heading4"/>
        <w:numPr>
          <w:ilvl w:val="0"/>
          <w:numId w:val="48"/>
        </w:numPr>
        <w:tabs>
          <w:tab w:pos="654" w:val="left" w:leader="none"/>
          <w:tab w:pos="655" w:val="left" w:leader="none"/>
        </w:tabs>
        <w:spacing w:line="240" w:lineRule="auto" w:before="1" w:after="0"/>
        <w:ind w:left="654" w:right="0" w:hanging="481"/>
        <w:jc w:val="left"/>
      </w:pPr>
      <w:r>
        <w:rPr>
          <w:color w:val="009391"/>
        </w:rPr>
        <w:t>Reports by the </w:t>
      </w:r>
      <w:r>
        <w:rPr>
          <w:color w:val="009391"/>
          <w:spacing w:val="-3"/>
        </w:rPr>
        <w:t>Bank’s</w:t>
      </w:r>
      <w:r>
        <w:rPr>
          <w:color w:val="009391"/>
          <w:spacing w:val="-6"/>
        </w:rPr>
        <w:t> </w:t>
      </w:r>
      <w:r>
        <w:rPr>
          <w:color w:val="009391"/>
        </w:rPr>
        <w:t>Agents</w:t>
      </w:r>
    </w:p>
    <w:p>
      <w:pPr>
        <w:pStyle w:val="ListParagraph"/>
        <w:numPr>
          <w:ilvl w:val="0"/>
          <w:numId w:val="47"/>
        </w:numPr>
        <w:tabs>
          <w:tab w:pos="654" w:val="left" w:leader="none"/>
          <w:tab w:pos="655" w:val="left" w:leader="none"/>
        </w:tabs>
        <w:spacing w:line="232" w:lineRule="auto" w:before="129" w:after="0"/>
        <w:ind w:left="174" w:right="156" w:firstLine="0"/>
        <w:jc w:val="left"/>
        <w:rPr>
          <w:sz w:val="18"/>
        </w:rPr>
      </w:pPr>
      <w:r>
        <w:rPr>
          <w:sz w:val="18"/>
        </w:rPr>
        <w:t>The Bank’s regional Agents had reported that manufacturing growth, although continuing, had moderated recently. The exchange rate had been reported as a greater concern and the outlook for orders had weakened in most regions. Service sector output growth had remained strong, and there had been some evidence of a strengthening in business services growth. The demand for housing had remained strong, but was not accelerating, and growth had eased in some regions.  Agents had reported broadly unchanged annual retail sales growth in April, although the retail sector remained difficult to read in many regions. The Agents had noted that moderate export growth was continuing. Import growth was reported to have strengthened again, and import penetration was expected to rise further in coming months. Investment in the retail and leisure sectors had remained strong, but manufacturing investment intentions had weakened with an increased number of firms cancelling investment plans or switching to overseas</w:t>
      </w:r>
      <w:r>
        <w:rPr>
          <w:spacing w:val="-3"/>
          <w:sz w:val="18"/>
        </w:rPr>
        <w:t> </w:t>
      </w:r>
      <w:r>
        <w:rPr>
          <w:sz w:val="18"/>
        </w:rPr>
        <w:t>locations.</w:t>
      </w:r>
    </w:p>
    <w:p>
      <w:pPr>
        <w:pStyle w:val="BodyText"/>
        <w:spacing w:before="3"/>
        <w:rPr>
          <w:sz w:val="16"/>
        </w:rPr>
      </w:pPr>
    </w:p>
    <w:p>
      <w:pPr>
        <w:pStyle w:val="ListParagraph"/>
        <w:numPr>
          <w:ilvl w:val="0"/>
          <w:numId w:val="47"/>
        </w:numPr>
        <w:tabs>
          <w:tab w:pos="654" w:val="left" w:leader="none"/>
          <w:tab w:pos="655" w:val="left" w:leader="none"/>
        </w:tabs>
        <w:spacing w:line="232" w:lineRule="auto" w:before="0" w:after="0"/>
        <w:ind w:left="174" w:right="186" w:firstLine="0"/>
        <w:jc w:val="left"/>
        <w:rPr>
          <w:sz w:val="18"/>
        </w:rPr>
      </w:pPr>
      <w:r>
        <w:rPr>
          <w:sz w:val="18"/>
        </w:rPr>
        <w:t>With the exception of some pass-through from higher oil prices, manufacturers had continued to find it difficult to pass on increases in input prices. There had been further downward pressure on retail goods prices, while service sector inflation was thought to have remained stable. Contacts had remained concerned about skill shortages in the labour market, although most Agents suggested that concerns were no worse than in recent months. Some contacts had reported expectations of increasing pressure on pay in some sectors in 2000</w:t>
      </w:r>
      <w:r>
        <w:rPr>
          <w:spacing w:val="-8"/>
          <w:sz w:val="18"/>
        </w:rPr>
        <w:t> </w:t>
      </w:r>
      <w:r>
        <w:rPr>
          <w:sz w:val="18"/>
        </w:rPr>
        <w:t>H2.</w:t>
      </w:r>
    </w:p>
    <w:p>
      <w:pPr>
        <w:pStyle w:val="BodyText"/>
        <w:rPr>
          <w:sz w:val="20"/>
        </w:rPr>
      </w:pPr>
    </w:p>
    <w:p>
      <w:pPr>
        <w:pStyle w:val="Heading4"/>
        <w:numPr>
          <w:ilvl w:val="0"/>
          <w:numId w:val="48"/>
        </w:numPr>
        <w:tabs>
          <w:tab w:pos="655" w:val="left" w:leader="none"/>
        </w:tabs>
        <w:spacing w:line="240" w:lineRule="auto" w:before="1" w:after="0"/>
        <w:ind w:left="654" w:right="0" w:hanging="481"/>
        <w:jc w:val="left"/>
      </w:pPr>
      <w:r>
        <w:rPr>
          <w:color w:val="009391"/>
        </w:rPr>
        <w:t>Market</w:t>
      </w:r>
      <w:r>
        <w:rPr>
          <w:color w:val="009391"/>
          <w:spacing w:val="-2"/>
        </w:rPr>
        <w:t> </w:t>
      </w:r>
      <w:r>
        <w:rPr>
          <w:color w:val="009391"/>
        </w:rPr>
        <w:t>intelligence</w:t>
      </w:r>
    </w:p>
    <w:p>
      <w:pPr>
        <w:pStyle w:val="ListParagraph"/>
        <w:numPr>
          <w:ilvl w:val="0"/>
          <w:numId w:val="47"/>
        </w:numPr>
        <w:tabs>
          <w:tab w:pos="654" w:val="left" w:leader="none"/>
          <w:tab w:pos="655" w:val="left" w:leader="none"/>
        </w:tabs>
        <w:spacing w:line="232" w:lineRule="auto" w:before="129" w:after="0"/>
        <w:ind w:left="174" w:right="301" w:firstLine="0"/>
        <w:jc w:val="left"/>
        <w:rPr>
          <w:sz w:val="18"/>
        </w:rPr>
      </w:pPr>
      <w:r>
        <w:rPr>
          <w:sz w:val="18"/>
        </w:rPr>
        <w:t>Expectations of short-term interest rates implied by short sterling futures and gilt repo yields had fallen slightly over the month, notwithstanding volatility within the period. Over the second half of the month, the appreciation of sterling against the euro had led some market participants, who had previously expected the MPC to increase official rates in May, no longer to expect such an increase. Market participants subscribing to this view had also noted that there were signs that the rate of increase in domestic asset prices had stabilised. Expectations of interest rates implied by futures contracts and derived from SONIA swaps had suggested that a majority of market participants did not expect an increase in official rates. However, a poll of economists conducted by Reuters had found that a majority expected an interest rate increase in May. Those participants who expected an increase in official interest rates had attached importance to the robustness of domestic demand and labour market indicators over the period since the MPC last increased interest rates in</w:t>
      </w:r>
      <w:r>
        <w:rPr>
          <w:spacing w:val="-4"/>
          <w:sz w:val="18"/>
        </w:rPr>
        <w:t> </w:t>
      </w:r>
      <w:r>
        <w:rPr>
          <w:sz w:val="18"/>
        </w:rPr>
        <w:t>February.</w:t>
      </w:r>
    </w:p>
    <w:p>
      <w:pPr>
        <w:pStyle w:val="BodyText"/>
        <w:spacing w:before="2"/>
        <w:rPr>
          <w:sz w:val="16"/>
        </w:rPr>
      </w:pPr>
    </w:p>
    <w:p>
      <w:pPr>
        <w:pStyle w:val="ListParagraph"/>
        <w:numPr>
          <w:ilvl w:val="0"/>
          <w:numId w:val="47"/>
        </w:numPr>
        <w:tabs>
          <w:tab w:pos="654" w:val="left" w:leader="none"/>
          <w:tab w:pos="655" w:val="left" w:leader="none"/>
        </w:tabs>
        <w:spacing w:line="232" w:lineRule="auto" w:before="0" w:after="0"/>
        <w:ind w:left="174" w:right="150" w:firstLine="0"/>
        <w:jc w:val="left"/>
        <w:rPr>
          <w:sz w:val="18"/>
        </w:rPr>
      </w:pPr>
      <w:r>
        <w:rPr>
          <w:sz w:val="18"/>
        </w:rPr>
        <w:t>Since last October the broad US and UK equity indices had risen and then fallen, but these fluctuations had been more restrained than those in high-tech stocks, and had not been unusual. Volatility and uncertainty had increased to unprecedented levels for the NASDAQ, but did not look out of the ordinary for either the FTSE or S&amp;P. There had also been an inverse relationship between the</w:t>
      </w:r>
      <w:r>
        <w:rPr>
          <w:spacing w:val="-5"/>
          <w:sz w:val="18"/>
        </w:rPr>
        <w:t> </w:t>
      </w:r>
      <w:r>
        <w:rPr>
          <w:sz w:val="18"/>
        </w:rPr>
        <w:t>level</w:t>
      </w:r>
      <w:r>
        <w:rPr>
          <w:spacing w:val="-5"/>
          <w:sz w:val="18"/>
        </w:rPr>
        <w:t> </w:t>
      </w:r>
      <w:r>
        <w:rPr>
          <w:sz w:val="18"/>
        </w:rPr>
        <w:t>of</w:t>
      </w:r>
      <w:r>
        <w:rPr>
          <w:spacing w:val="-5"/>
          <w:sz w:val="18"/>
        </w:rPr>
        <w:t> </w:t>
      </w:r>
      <w:r>
        <w:rPr>
          <w:sz w:val="18"/>
        </w:rPr>
        <w:t>the</w:t>
      </w:r>
      <w:r>
        <w:rPr>
          <w:spacing w:val="-5"/>
          <w:sz w:val="18"/>
        </w:rPr>
        <w:t> </w:t>
      </w:r>
      <w:r>
        <w:rPr>
          <w:sz w:val="18"/>
        </w:rPr>
        <w:t>NASDAQ</w:t>
      </w:r>
      <w:r>
        <w:rPr>
          <w:spacing w:val="-5"/>
          <w:sz w:val="18"/>
        </w:rPr>
        <w:t> </w:t>
      </w:r>
      <w:r>
        <w:rPr>
          <w:sz w:val="18"/>
        </w:rPr>
        <w:t>and</w:t>
      </w:r>
      <w:r>
        <w:rPr>
          <w:spacing w:val="-4"/>
          <w:sz w:val="18"/>
        </w:rPr>
        <w:t> </w:t>
      </w:r>
      <w:r>
        <w:rPr>
          <w:sz w:val="18"/>
        </w:rPr>
        <w:t>both</w:t>
      </w:r>
      <w:r>
        <w:rPr>
          <w:spacing w:val="-5"/>
          <w:sz w:val="18"/>
        </w:rPr>
        <w:t> </w:t>
      </w:r>
      <w:r>
        <w:rPr>
          <w:sz w:val="18"/>
        </w:rPr>
        <w:t>implied</w:t>
      </w:r>
      <w:r>
        <w:rPr>
          <w:spacing w:val="-5"/>
          <w:sz w:val="18"/>
        </w:rPr>
        <w:t> </w:t>
      </w:r>
      <w:r>
        <w:rPr>
          <w:sz w:val="18"/>
        </w:rPr>
        <w:t>volatility</w:t>
      </w:r>
      <w:r>
        <w:rPr>
          <w:spacing w:val="-5"/>
          <w:sz w:val="18"/>
        </w:rPr>
        <w:t> </w:t>
      </w:r>
      <w:r>
        <w:rPr>
          <w:sz w:val="18"/>
        </w:rPr>
        <w:t>and</w:t>
      </w:r>
      <w:r>
        <w:rPr>
          <w:spacing w:val="-5"/>
          <w:sz w:val="18"/>
        </w:rPr>
        <w:t> </w:t>
      </w:r>
      <w:r>
        <w:rPr>
          <w:sz w:val="18"/>
        </w:rPr>
        <w:t>skewness. The further the NASDAQ had fallen, the more uncertain investors had become, but also the less inclined they had been to believe that subsequent price movements would be downward rather than upward.</w:t>
      </w:r>
    </w:p>
    <w:p>
      <w:pPr>
        <w:pStyle w:val="BodyText"/>
        <w:spacing w:before="7"/>
        <w:rPr>
          <w:sz w:val="16"/>
        </w:rPr>
      </w:pPr>
    </w:p>
    <w:p>
      <w:pPr>
        <w:pStyle w:val="ListParagraph"/>
        <w:numPr>
          <w:ilvl w:val="0"/>
          <w:numId w:val="47"/>
        </w:numPr>
        <w:tabs>
          <w:tab w:pos="654" w:val="left" w:leader="none"/>
          <w:tab w:pos="655" w:val="left" w:leader="none"/>
        </w:tabs>
        <w:spacing w:line="232" w:lineRule="auto" w:before="1" w:after="0"/>
        <w:ind w:left="174" w:right="156" w:firstLine="0"/>
        <w:jc w:val="left"/>
        <w:rPr>
          <w:sz w:val="18"/>
        </w:rPr>
      </w:pPr>
      <w:r>
        <w:rPr>
          <w:sz w:val="18"/>
        </w:rPr>
        <w:t>Although the high-tech indices had fallen, their contribution to the fall in the broader indices had been small; in terms of market capitalisation they remain a small part of the broader indices. A more important contributor to the fall in the FTSE All-Share index than the IT sector (4.8% weight) had been non-cyclical services (20.5% weight). This had mostly reflected a fall in telecoms, which had perhaps been influenced by the same factors as IT, but it was possible that the recent UK spectrum auctions had also played a role.</w:t>
      </w:r>
    </w:p>
    <w:p>
      <w:pPr>
        <w:spacing w:after="0" w:line="232" w:lineRule="auto"/>
        <w:jc w:val="left"/>
        <w:rPr>
          <w:sz w:val="18"/>
        </w:rPr>
        <w:sectPr>
          <w:type w:val="continuous"/>
          <w:pgSz w:w="11900" w:h="16840"/>
          <w:pgMar w:top="1260" w:bottom="280" w:left="640" w:right="640"/>
          <w:cols w:num="2" w:equalWidth="0">
            <w:col w:w="5123" w:space="267"/>
            <w:col w:w="5230"/>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4"/>
        <w:rPr>
          <w:sz w:val="21"/>
        </w:rPr>
      </w:pPr>
    </w:p>
    <w:p>
      <w:pPr>
        <w:pStyle w:val="ListParagraph"/>
        <w:numPr>
          <w:ilvl w:val="0"/>
          <w:numId w:val="47"/>
        </w:numPr>
        <w:tabs>
          <w:tab w:pos="665" w:val="left" w:leader="none"/>
          <w:tab w:pos="666" w:val="left" w:leader="none"/>
        </w:tabs>
        <w:spacing w:line="232" w:lineRule="auto" w:before="1" w:after="0"/>
        <w:ind w:left="185" w:right="38" w:firstLine="0"/>
        <w:jc w:val="left"/>
        <w:rPr>
          <w:sz w:val="18"/>
        </w:rPr>
      </w:pPr>
      <w:r>
        <w:rPr>
          <w:sz w:val="18"/>
        </w:rPr>
        <w:t>Sterling had strengthened by 4.3% over the month in effective terms, with a 1.8% depreciation of sterling’s exchange rate against the dollar outweighed by a 6.3% appreciation against the euro. The euro’s weakness over the month had been broadly based: it had also depreciated against the yen and dollar, and in effective terms. Expected correlations between exchange rate pairs implied by options prices suggested that the exchange rates for the euro against both the dollar and sterling were expected to move together, but that the exchange rates for sterling against the dollar and the euro were not expected to move together. Over the month, the euro had depreciated notwithstanding an increase in market interest rates relative to those outside the euro-area. Market participants had suggested that euro-area political and economic developments had been a factor behind the depreciation of the currency. Another influence was the stability of the dollar</w:t>
      </w:r>
      <w:r>
        <w:rPr>
          <w:spacing w:val="-30"/>
          <w:sz w:val="18"/>
        </w:rPr>
        <w:t> </w:t>
      </w:r>
      <w:r>
        <w:rPr>
          <w:sz w:val="18"/>
        </w:rPr>
        <w:t>in</w:t>
      </w:r>
    </w:p>
    <w:p>
      <w:pPr>
        <w:pStyle w:val="BodyText"/>
        <w:spacing w:before="4"/>
        <w:rPr>
          <w:sz w:val="21"/>
        </w:rPr>
      </w:pPr>
      <w:r>
        <w:rPr/>
        <w:br w:type="column"/>
      </w:r>
      <w:r>
        <w:rPr>
          <w:sz w:val="21"/>
        </w:rPr>
      </w:r>
    </w:p>
    <w:p>
      <w:pPr>
        <w:pStyle w:val="BodyText"/>
        <w:spacing w:line="232" w:lineRule="auto" w:before="1"/>
        <w:ind w:left="185" w:right="249"/>
      </w:pPr>
      <w:r>
        <w:rPr/>
        <w:t>response to large falls on certain days in the NASDAQ and Dow indices, contrary to the expectation of many market participants who had believed that the dollar would depreciate against the euro following falls in US equity markets. Surveys had suggested that forecasters continued to expect the euro to appreciate against sterling over the next twelve months.</w:t>
      </w:r>
    </w:p>
    <w:p>
      <w:pPr>
        <w:pStyle w:val="BodyText"/>
        <w:spacing w:before="11"/>
        <w:rPr>
          <w:sz w:val="16"/>
        </w:rPr>
      </w:pPr>
    </w:p>
    <w:p>
      <w:pPr>
        <w:pStyle w:val="ListParagraph"/>
        <w:numPr>
          <w:ilvl w:val="0"/>
          <w:numId w:val="47"/>
        </w:numPr>
        <w:tabs>
          <w:tab w:pos="665" w:val="left" w:leader="none"/>
          <w:tab w:pos="666" w:val="left" w:leader="none"/>
        </w:tabs>
        <w:spacing w:line="232" w:lineRule="auto" w:before="0" w:after="0"/>
        <w:ind w:left="185" w:right="177" w:firstLine="0"/>
        <w:jc w:val="left"/>
        <w:rPr>
          <w:sz w:val="18"/>
        </w:rPr>
      </w:pPr>
      <w:r>
        <w:rPr>
          <w:sz w:val="18"/>
        </w:rPr>
        <w:t>The government’s prospective receipts from the auction of third-generation mobile phone licences had not had any observable impact in the money or gilt markets. It was possible that the spread between secured and unsecured money might widen, at least temporarily, depending on how quickly liquid collateral could be mobilised. In the foreign exchange markets, some participants expected sterling to be supported in the short term by inflows related to payment for the</w:t>
      </w:r>
      <w:r>
        <w:rPr>
          <w:spacing w:val="-8"/>
          <w:sz w:val="18"/>
        </w:rPr>
        <w:t> </w:t>
      </w:r>
      <w:r>
        <w:rPr>
          <w:sz w:val="18"/>
        </w:rPr>
        <w:t>licences.</w:t>
      </w:r>
    </w:p>
    <w:p>
      <w:pPr>
        <w:spacing w:after="0" w:line="232" w:lineRule="auto"/>
        <w:jc w:val="left"/>
        <w:rPr>
          <w:sz w:val="18"/>
        </w:rPr>
        <w:sectPr>
          <w:type w:val="continuous"/>
          <w:pgSz w:w="11900" w:h="16840"/>
          <w:pgMar w:top="1260" w:bottom="280" w:left="640" w:right="640"/>
          <w:cols w:num="2" w:equalWidth="0">
            <w:col w:w="5077" w:space="310"/>
            <w:col w:w="5233"/>
          </w:cols>
        </w:sectPr>
      </w:pPr>
    </w:p>
    <w:p>
      <w:pPr>
        <w:pStyle w:val="BodyText"/>
        <w:rPr>
          <w:sz w:val="20"/>
        </w:rPr>
      </w:pPr>
    </w:p>
    <w:p>
      <w:pPr>
        <w:pStyle w:val="BodyText"/>
        <w:rPr>
          <w:sz w:val="20"/>
        </w:rPr>
      </w:pPr>
    </w:p>
    <w:p>
      <w:pPr>
        <w:pStyle w:val="BodyText"/>
        <w:rPr>
          <w:sz w:val="21"/>
        </w:rPr>
      </w:pPr>
    </w:p>
    <w:p>
      <w:pPr>
        <w:spacing w:before="87"/>
        <w:ind w:left="170" w:right="0" w:firstLine="0"/>
        <w:jc w:val="left"/>
        <w:rPr>
          <w:b/>
          <w:sz w:val="32"/>
        </w:rPr>
      </w:pPr>
      <w:bookmarkStart w:name="June minutes" w:id="92"/>
      <w:bookmarkEnd w:id="92"/>
      <w:r>
        <w:rPr/>
      </w:r>
      <w:bookmarkStart w:name="_bookmark40" w:id="93"/>
      <w:bookmarkEnd w:id="93"/>
      <w:r>
        <w:rPr/>
      </w:r>
      <w:r>
        <w:rPr>
          <w:b/>
          <w:color w:val="009391"/>
          <w:sz w:val="32"/>
        </w:rPr>
        <w:t>Minutes of the Monetary Policy Committee meeting on 6–7 June 2000</w:t>
      </w:r>
    </w:p>
    <w:p>
      <w:pPr>
        <w:pStyle w:val="BodyText"/>
        <w:rPr>
          <w:b/>
          <w:sz w:val="20"/>
        </w:rPr>
      </w:pPr>
    </w:p>
    <w:p>
      <w:pPr>
        <w:pStyle w:val="BodyText"/>
        <w:spacing w:before="2"/>
        <w:rPr>
          <w:b/>
          <w:sz w:val="28"/>
        </w:rPr>
      </w:pPr>
    </w:p>
    <w:p>
      <w:pPr>
        <w:spacing w:after="0"/>
        <w:rPr>
          <w:sz w:val="28"/>
        </w:rPr>
        <w:sectPr>
          <w:pgSz w:w="11900" w:h="16840"/>
          <w:pgMar w:header="566" w:footer="597" w:top="760" w:bottom="780" w:left="640" w:right="640"/>
        </w:sectPr>
      </w:pPr>
    </w:p>
    <w:p>
      <w:pPr>
        <w:pStyle w:val="ListParagraph"/>
        <w:numPr>
          <w:ilvl w:val="0"/>
          <w:numId w:val="49"/>
        </w:numPr>
        <w:tabs>
          <w:tab w:pos="654" w:val="left" w:leader="none"/>
          <w:tab w:pos="655" w:val="left" w:leader="none"/>
        </w:tabs>
        <w:spacing w:line="232" w:lineRule="auto" w:before="106" w:after="0"/>
        <w:ind w:left="174" w:right="77" w:firstLine="0"/>
        <w:jc w:val="left"/>
        <w:rPr>
          <w:sz w:val="18"/>
        </w:rPr>
      </w:pPr>
      <w:r>
        <w:rPr>
          <w:sz w:val="18"/>
        </w:rPr>
        <w:t>Before turning to its immediate policy decision, the Committee discussed the world economic outlook; exchange rates; money and asset prices; demand and output; the labour market; prices and costs; tactical considerations; and the overall conjuncture. The Committee had also received a letter from the Chancellor (attached as an annex) setting out the inflation target at which the Committee should aim in accordance with section 12 of the Bank of England Act</w:t>
      </w:r>
      <w:r>
        <w:rPr>
          <w:spacing w:val="-7"/>
          <w:sz w:val="18"/>
        </w:rPr>
        <w:t> </w:t>
      </w:r>
      <w:r>
        <w:rPr>
          <w:sz w:val="18"/>
        </w:rPr>
        <w:t>1998.</w:t>
      </w:r>
    </w:p>
    <w:p>
      <w:pPr>
        <w:pStyle w:val="BodyText"/>
        <w:spacing w:before="6"/>
        <w:rPr>
          <w:sz w:val="23"/>
        </w:rPr>
      </w:pPr>
    </w:p>
    <w:p>
      <w:pPr>
        <w:pStyle w:val="Heading4"/>
        <w:spacing w:before="1"/>
      </w:pPr>
      <w:r>
        <w:rPr>
          <w:color w:val="009391"/>
        </w:rPr>
        <w:t>The world economy</w:t>
      </w:r>
    </w:p>
    <w:p>
      <w:pPr>
        <w:pStyle w:val="ListParagraph"/>
        <w:numPr>
          <w:ilvl w:val="0"/>
          <w:numId w:val="49"/>
        </w:numPr>
        <w:tabs>
          <w:tab w:pos="654" w:val="left" w:leader="none"/>
          <w:tab w:pos="655" w:val="left" w:leader="none"/>
        </w:tabs>
        <w:spacing w:line="232" w:lineRule="auto" w:before="149" w:after="0"/>
        <w:ind w:left="174" w:right="62" w:firstLine="0"/>
        <w:jc w:val="left"/>
        <w:rPr>
          <w:sz w:val="18"/>
        </w:rPr>
      </w:pPr>
      <w:r>
        <w:rPr>
          <w:sz w:val="18"/>
        </w:rPr>
        <w:t>The latest estimates of growth in the euro area had been broadly in line with the Committee’s forecast. In the United States, there had been a rise in consumer confidence in May. Non-farm payrolls had risen in May, although this may be a temporary effect because the rise was entirely accounted for by an increase in the number of those working on the national census. The unemployment rate had risen by 0.2 percentage points in May. There</w:t>
      </w:r>
      <w:r>
        <w:rPr>
          <w:spacing w:val="-3"/>
          <w:sz w:val="18"/>
        </w:rPr>
        <w:t> </w:t>
      </w:r>
      <w:r>
        <w:rPr>
          <w:sz w:val="18"/>
        </w:rPr>
        <w:t>had</w:t>
      </w:r>
      <w:r>
        <w:rPr>
          <w:spacing w:val="-3"/>
          <w:sz w:val="18"/>
        </w:rPr>
        <w:t> </w:t>
      </w:r>
      <w:r>
        <w:rPr>
          <w:sz w:val="18"/>
        </w:rPr>
        <w:t>also</w:t>
      </w:r>
      <w:r>
        <w:rPr>
          <w:spacing w:val="-3"/>
          <w:sz w:val="18"/>
        </w:rPr>
        <w:t> </w:t>
      </w:r>
      <w:r>
        <w:rPr>
          <w:sz w:val="18"/>
        </w:rPr>
        <w:t>been</w:t>
      </w:r>
      <w:r>
        <w:rPr>
          <w:spacing w:val="-3"/>
          <w:sz w:val="18"/>
        </w:rPr>
        <w:t> </w:t>
      </w:r>
      <w:r>
        <w:rPr>
          <w:sz w:val="18"/>
        </w:rPr>
        <w:t>a</w:t>
      </w:r>
      <w:r>
        <w:rPr>
          <w:spacing w:val="-3"/>
          <w:sz w:val="18"/>
        </w:rPr>
        <w:t> </w:t>
      </w:r>
      <w:r>
        <w:rPr>
          <w:sz w:val="18"/>
        </w:rPr>
        <w:t>rise</w:t>
      </w:r>
      <w:r>
        <w:rPr>
          <w:spacing w:val="-3"/>
          <w:sz w:val="18"/>
        </w:rPr>
        <w:t> </w:t>
      </w:r>
      <w:r>
        <w:rPr>
          <w:sz w:val="18"/>
        </w:rPr>
        <w:t>in</w:t>
      </w:r>
      <w:r>
        <w:rPr>
          <w:spacing w:val="-3"/>
          <w:sz w:val="18"/>
        </w:rPr>
        <w:t> </w:t>
      </w:r>
      <w:r>
        <w:rPr>
          <w:sz w:val="18"/>
        </w:rPr>
        <w:t>equity</w:t>
      </w:r>
      <w:r>
        <w:rPr>
          <w:spacing w:val="-3"/>
          <w:sz w:val="18"/>
        </w:rPr>
        <w:t> </w:t>
      </w:r>
      <w:r>
        <w:rPr>
          <w:sz w:val="18"/>
        </w:rPr>
        <w:t>prices</w:t>
      </w:r>
      <w:r>
        <w:rPr>
          <w:spacing w:val="-3"/>
          <w:sz w:val="18"/>
        </w:rPr>
        <w:t> </w:t>
      </w:r>
      <w:r>
        <w:rPr>
          <w:sz w:val="18"/>
        </w:rPr>
        <w:t>over</w:t>
      </w:r>
      <w:r>
        <w:rPr>
          <w:spacing w:val="-3"/>
          <w:sz w:val="18"/>
        </w:rPr>
        <w:t> </w:t>
      </w:r>
      <w:r>
        <w:rPr>
          <w:sz w:val="18"/>
        </w:rPr>
        <w:t>the</w:t>
      </w:r>
      <w:r>
        <w:rPr>
          <w:spacing w:val="-3"/>
          <w:sz w:val="18"/>
        </w:rPr>
        <w:t> </w:t>
      </w:r>
      <w:r>
        <w:rPr>
          <w:sz w:val="18"/>
        </w:rPr>
        <w:t>past</w:t>
      </w:r>
      <w:r>
        <w:rPr>
          <w:spacing w:val="-3"/>
          <w:sz w:val="18"/>
        </w:rPr>
        <w:t> </w:t>
      </w:r>
      <w:r>
        <w:rPr>
          <w:sz w:val="18"/>
        </w:rPr>
        <w:t>month.</w:t>
      </w:r>
    </w:p>
    <w:p>
      <w:pPr>
        <w:pStyle w:val="BodyText"/>
        <w:spacing w:line="232" w:lineRule="auto"/>
        <w:ind w:left="174" w:right="144"/>
      </w:pPr>
      <w:r>
        <w:rPr/>
        <w:t>But the purchasing managers’ index in April and the latest data on retail sales seemed to be a little weaker. Developments on prices and costs appeared more benign than in recent months. The reaction of some analysts, and in press reports, to the latest</w:t>
      </w:r>
    </w:p>
    <w:p>
      <w:pPr>
        <w:pStyle w:val="BodyText"/>
        <w:spacing w:line="232" w:lineRule="auto"/>
        <w:ind w:left="174" w:right="84"/>
      </w:pPr>
      <w:r>
        <w:rPr/>
        <w:t>US data seemed quite marked and was perhaps a little surprising in the light of these mixed indicators. Commentators no longer expected a sharp rise in interest rates—and this could explain why equity prices had risen. But the latest indicators might be interpreted as suggesting that the US economy was returning to the previous pattern of strong demand growth and benign price pressures. The imbalances in the US economy—for example between domestic demand and net trade—remained, and so the question was still whether the economy would experience a ‘soft’ or ‘hard’ landing.</w:t>
      </w:r>
    </w:p>
    <w:p>
      <w:pPr>
        <w:pStyle w:val="BodyText"/>
        <w:spacing w:before="4"/>
        <w:rPr>
          <w:sz w:val="19"/>
        </w:rPr>
      </w:pPr>
    </w:p>
    <w:p>
      <w:pPr>
        <w:pStyle w:val="ListParagraph"/>
        <w:numPr>
          <w:ilvl w:val="0"/>
          <w:numId w:val="49"/>
        </w:numPr>
        <w:tabs>
          <w:tab w:pos="654" w:val="left" w:leader="none"/>
          <w:tab w:pos="655" w:val="left" w:leader="none"/>
        </w:tabs>
        <w:spacing w:line="232" w:lineRule="auto" w:before="1" w:after="0"/>
        <w:ind w:left="174" w:right="38" w:firstLine="0"/>
        <w:jc w:val="left"/>
        <w:rPr>
          <w:sz w:val="18"/>
        </w:rPr>
      </w:pPr>
      <w:r>
        <w:rPr>
          <w:sz w:val="18"/>
        </w:rPr>
        <w:t>Since the previous meeting, the OECD had published its latest forecasts. These projections were for slightly stronger growth overall in the G7 compared with the December projections. The broad picture was for stronger growth in 2000 and slightly weaker growth in 2001 than the Committee had assumed in producing the May </w:t>
      </w:r>
      <w:r>
        <w:rPr>
          <w:i/>
          <w:sz w:val="18"/>
        </w:rPr>
        <w:t>Inflation Report </w:t>
      </w:r>
      <w:r>
        <w:rPr>
          <w:sz w:val="18"/>
        </w:rPr>
        <w:t>projections. But these differences were not particularly large. However, the latest OECD projections of slower growth in 2001 than in 2000 did highlight the broader question of whether 2000 would prove to be the peak in world growth during the current cycle. Over the past six months there had been significant monetary policy tightening in a number of countries, and that might support a view that world growth would slow. Looking at financial market conditions more generally, there had been a rise in shorter-dated bond yields in many of the major industrial countries, although not the US, and equity prices had fallen somewhat since the peaks reached in the first quarter. Of course, it was possible that a rise in bond yields reflected market expectations of higher inflation, rather than a view that monetary authorities would tighten real interest rates more than previously thought. There were also signs that growth was slowing in various countries in Asia, and any further tightening by the US Federal Reserve was likely to have some effect on many developing economies, especially in Latin</w:t>
      </w:r>
      <w:r>
        <w:rPr>
          <w:spacing w:val="-7"/>
          <w:sz w:val="18"/>
        </w:rPr>
        <w:t> </w:t>
      </w:r>
      <w:r>
        <w:rPr>
          <w:sz w:val="18"/>
        </w:rPr>
        <w:t>America.</w:t>
      </w:r>
    </w:p>
    <w:p>
      <w:pPr>
        <w:pStyle w:val="BodyText"/>
        <w:spacing w:before="3"/>
        <w:rPr>
          <w:sz w:val="19"/>
        </w:rPr>
      </w:pPr>
    </w:p>
    <w:p>
      <w:pPr>
        <w:pStyle w:val="ListParagraph"/>
        <w:numPr>
          <w:ilvl w:val="0"/>
          <w:numId w:val="49"/>
        </w:numPr>
        <w:tabs>
          <w:tab w:pos="654" w:val="left" w:leader="none"/>
          <w:tab w:pos="655" w:val="left" w:leader="none"/>
        </w:tabs>
        <w:spacing w:line="232" w:lineRule="auto" w:before="0" w:after="0"/>
        <w:ind w:left="174" w:right="93" w:firstLine="0"/>
        <w:jc w:val="left"/>
        <w:rPr>
          <w:sz w:val="18"/>
        </w:rPr>
      </w:pPr>
      <w:r>
        <w:rPr>
          <w:sz w:val="18"/>
        </w:rPr>
        <w:t>The oil price had risen over the past month, but this did not seem primarily to reflect a stronger world demand picture. The Committee noted that there was an OPEC meeting towards the end of June. The rise in oil prices would put some upward pressure on UK</w:t>
      </w:r>
      <w:r>
        <w:rPr>
          <w:spacing w:val="-5"/>
          <w:sz w:val="18"/>
        </w:rPr>
        <w:t> </w:t>
      </w:r>
      <w:r>
        <w:rPr>
          <w:sz w:val="18"/>
        </w:rPr>
        <w:t>inflation</w:t>
      </w:r>
      <w:r>
        <w:rPr>
          <w:spacing w:val="-4"/>
          <w:sz w:val="18"/>
        </w:rPr>
        <w:t> </w:t>
      </w:r>
      <w:r>
        <w:rPr>
          <w:sz w:val="18"/>
        </w:rPr>
        <w:t>in</w:t>
      </w:r>
      <w:r>
        <w:rPr>
          <w:spacing w:val="-4"/>
          <w:sz w:val="18"/>
        </w:rPr>
        <w:t> </w:t>
      </w:r>
      <w:r>
        <w:rPr>
          <w:sz w:val="18"/>
        </w:rPr>
        <w:t>the</w:t>
      </w:r>
      <w:r>
        <w:rPr>
          <w:spacing w:val="-4"/>
          <w:sz w:val="18"/>
        </w:rPr>
        <w:t> </w:t>
      </w:r>
      <w:r>
        <w:rPr>
          <w:sz w:val="18"/>
        </w:rPr>
        <w:t>near</w:t>
      </w:r>
      <w:r>
        <w:rPr>
          <w:spacing w:val="-5"/>
          <w:sz w:val="18"/>
        </w:rPr>
        <w:t> </w:t>
      </w:r>
      <w:r>
        <w:rPr>
          <w:sz w:val="18"/>
        </w:rPr>
        <w:t>term,</w:t>
      </w:r>
      <w:r>
        <w:rPr>
          <w:spacing w:val="-4"/>
          <w:sz w:val="18"/>
        </w:rPr>
        <w:t> </w:t>
      </w:r>
      <w:r>
        <w:rPr>
          <w:sz w:val="18"/>
        </w:rPr>
        <w:t>relative</w:t>
      </w:r>
      <w:r>
        <w:rPr>
          <w:spacing w:val="-4"/>
          <w:sz w:val="18"/>
        </w:rPr>
        <w:t> </w:t>
      </w:r>
      <w:r>
        <w:rPr>
          <w:sz w:val="18"/>
        </w:rPr>
        <w:t>to</w:t>
      </w:r>
      <w:r>
        <w:rPr>
          <w:spacing w:val="-4"/>
          <w:sz w:val="18"/>
        </w:rPr>
        <w:t> </w:t>
      </w:r>
      <w:r>
        <w:rPr>
          <w:sz w:val="18"/>
        </w:rPr>
        <w:t>what</w:t>
      </w:r>
      <w:r>
        <w:rPr>
          <w:spacing w:val="-5"/>
          <w:sz w:val="18"/>
        </w:rPr>
        <w:t> </w:t>
      </w:r>
      <w:r>
        <w:rPr>
          <w:sz w:val="18"/>
        </w:rPr>
        <w:t>had</w:t>
      </w:r>
      <w:r>
        <w:rPr>
          <w:spacing w:val="-4"/>
          <w:sz w:val="18"/>
        </w:rPr>
        <w:t> </w:t>
      </w:r>
      <w:r>
        <w:rPr>
          <w:sz w:val="18"/>
        </w:rPr>
        <w:t>been</w:t>
      </w:r>
      <w:r>
        <w:rPr>
          <w:spacing w:val="-4"/>
          <w:sz w:val="18"/>
        </w:rPr>
        <w:t> </w:t>
      </w:r>
      <w:r>
        <w:rPr>
          <w:sz w:val="18"/>
        </w:rPr>
        <w:t>assumed</w:t>
      </w:r>
      <w:r>
        <w:rPr>
          <w:spacing w:val="-4"/>
          <w:sz w:val="18"/>
        </w:rPr>
        <w:t> </w:t>
      </w:r>
      <w:r>
        <w:rPr>
          <w:sz w:val="18"/>
        </w:rPr>
        <w:t>in preparing the May </w:t>
      </w:r>
      <w:r>
        <w:rPr>
          <w:i/>
          <w:sz w:val="18"/>
        </w:rPr>
        <w:t>Inflation Report</w:t>
      </w:r>
      <w:r>
        <w:rPr>
          <w:i/>
          <w:spacing w:val="-8"/>
          <w:sz w:val="18"/>
        </w:rPr>
        <w:t> </w:t>
      </w:r>
      <w:r>
        <w:rPr>
          <w:sz w:val="18"/>
        </w:rPr>
        <w:t>projections.</w:t>
      </w:r>
    </w:p>
    <w:p>
      <w:pPr>
        <w:pStyle w:val="Heading4"/>
        <w:spacing w:before="91"/>
      </w:pPr>
      <w:r>
        <w:rPr>
          <w:b w:val="0"/>
        </w:rPr>
        <w:br w:type="column"/>
      </w:r>
      <w:r>
        <w:rPr>
          <w:color w:val="009391"/>
        </w:rPr>
        <w:t>The exchange rate</w:t>
      </w:r>
    </w:p>
    <w:p>
      <w:pPr>
        <w:pStyle w:val="ListParagraph"/>
        <w:numPr>
          <w:ilvl w:val="0"/>
          <w:numId w:val="49"/>
        </w:numPr>
        <w:tabs>
          <w:tab w:pos="654" w:val="left" w:leader="none"/>
          <w:tab w:pos="655" w:val="left" w:leader="none"/>
        </w:tabs>
        <w:spacing w:line="232" w:lineRule="auto" w:before="150" w:after="0"/>
        <w:ind w:left="174" w:right="168" w:firstLine="0"/>
        <w:jc w:val="left"/>
        <w:rPr>
          <w:sz w:val="18"/>
        </w:rPr>
      </w:pPr>
      <w:r>
        <w:rPr>
          <w:sz w:val="18"/>
        </w:rPr>
        <w:t>The sterling effective exchange rate had fallen by around 5% compared with the profile assumed in the May </w:t>
      </w:r>
      <w:r>
        <w:rPr>
          <w:i/>
          <w:sz w:val="18"/>
        </w:rPr>
        <w:t>Inflation Report</w:t>
      </w:r>
      <w:r>
        <w:rPr>
          <w:sz w:val="18"/>
        </w:rPr>
        <w:t>, which used a 15 day average as its starting point. Since the time of the May meeting, there had been a larger fall of more than 7</w:t>
      </w:r>
      <w:r>
        <w:rPr>
          <w:position w:val="6"/>
          <w:sz w:val="9"/>
        </w:rPr>
        <w:t>1</w:t>
      </w:r>
      <w:r>
        <w:rPr>
          <w:sz w:val="18"/>
        </w:rPr>
        <w:t>/</w:t>
      </w:r>
      <w:r>
        <w:rPr>
          <w:sz w:val="9"/>
        </w:rPr>
        <w:t>2</w:t>
      </w:r>
      <w:r>
        <w:rPr>
          <w:sz w:val="18"/>
        </w:rPr>
        <w:t>%, reversing the rise in sterling over the previous six months. Apart from the period when sterling left the Exchange Rate Mechanism in 1992, it was the largest one-month change in the ERI since 1986. It was noted that the risks of a large or rapid depreciation in the exchange rate had been explicitly recognised, but not been built into the May fan chart</w:t>
      </w:r>
      <w:r>
        <w:rPr>
          <w:spacing w:val="-8"/>
          <w:sz w:val="18"/>
        </w:rPr>
        <w:t> </w:t>
      </w:r>
      <w:r>
        <w:rPr>
          <w:sz w:val="18"/>
        </w:rPr>
        <w:t>projections.</w:t>
      </w:r>
    </w:p>
    <w:p>
      <w:pPr>
        <w:pStyle w:val="BodyText"/>
        <w:spacing w:before="2"/>
        <w:rPr>
          <w:sz w:val="20"/>
        </w:rPr>
      </w:pPr>
    </w:p>
    <w:p>
      <w:pPr>
        <w:pStyle w:val="ListParagraph"/>
        <w:numPr>
          <w:ilvl w:val="0"/>
          <w:numId w:val="49"/>
        </w:numPr>
        <w:tabs>
          <w:tab w:pos="654" w:val="left" w:leader="none"/>
          <w:tab w:pos="655" w:val="left" w:leader="none"/>
        </w:tabs>
        <w:spacing w:line="232" w:lineRule="auto" w:before="0" w:after="0"/>
        <w:ind w:left="174" w:right="188" w:firstLine="0"/>
        <w:jc w:val="left"/>
        <w:rPr>
          <w:sz w:val="18"/>
        </w:rPr>
      </w:pPr>
      <w:r>
        <w:rPr>
          <w:sz w:val="18"/>
        </w:rPr>
        <w:t>Staff analysis suggested that the size of the depreciation over the month could not be accounted for by a change in interest rate differentials. The markets now expected no change in UK interest rates this month and there remained some expectation of interest rate increases in the euro area and in the United States. Looking along the yield curve as a whole however suggested that there was little monetary news over the month. It was possible that the decision not to raise interest rates in May would have lowered short-run interest rate expectations, but that this might have been masked because the large fall in sterling led to expectations of higher interest rates further out. Large transactions related to mergers and acquisitions could have pushed sterling down at least temporarily on the day of the MPC decision, and the no change decision might have triggered further momentum-based sales, which might account for the size of the</w:t>
      </w:r>
      <w:r>
        <w:rPr>
          <w:spacing w:val="-17"/>
          <w:sz w:val="18"/>
        </w:rPr>
        <w:t> </w:t>
      </w:r>
      <w:r>
        <w:rPr>
          <w:sz w:val="18"/>
        </w:rPr>
        <w:t>depreciation.</w:t>
      </w:r>
    </w:p>
    <w:p>
      <w:pPr>
        <w:pStyle w:val="BodyText"/>
        <w:spacing w:before="7"/>
        <w:rPr>
          <w:sz w:val="21"/>
        </w:rPr>
      </w:pPr>
    </w:p>
    <w:p>
      <w:pPr>
        <w:pStyle w:val="ListParagraph"/>
        <w:numPr>
          <w:ilvl w:val="0"/>
          <w:numId w:val="49"/>
        </w:numPr>
        <w:tabs>
          <w:tab w:pos="654" w:val="left" w:leader="none"/>
          <w:tab w:pos="655" w:val="left" w:leader="none"/>
        </w:tabs>
        <w:spacing w:line="232" w:lineRule="auto" w:before="0" w:after="0"/>
        <w:ind w:left="174" w:right="463" w:firstLine="0"/>
        <w:jc w:val="left"/>
        <w:rPr>
          <w:sz w:val="18"/>
        </w:rPr>
      </w:pPr>
      <w:r>
        <w:rPr>
          <w:sz w:val="18"/>
        </w:rPr>
        <w:t>The Committee agreed that there could be no mechanical link between changes in the exchange rate and the</w:t>
      </w:r>
      <w:r>
        <w:rPr>
          <w:spacing w:val="-29"/>
          <w:sz w:val="18"/>
        </w:rPr>
        <w:t> </w:t>
      </w:r>
      <w:r>
        <w:rPr>
          <w:sz w:val="18"/>
        </w:rPr>
        <w:t>decision</w:t>
      </w:r>
    </w:p>
    <w:p>
      <w:pPr>
        <w:pStyle w:val="BodyText"/>
        <w:spacing w:line="232" w:lineRule="auto"/>
        <w:ind w:left="174"/>
      </w:pPr>
      <w:r>
        <w:rPr/>
        <w:t>on interest rates. The exchange rate change had to be taken into account, however, when assessing the prospects for inflation.</w:t>
      </w:r>
    </w:p>
    <w:p>
      <w:pPr>
        <w:pStyle w:val="BodyText"/>
        <w:spacing w:line="232" w:lineRule="auto"/>
        <w:ind w:left="174" w:right="296"/>
      </w:pPr>
      <w:r>
        <w:rPr/>
        <w:t>Calibrating the magnitude of what appeared to be a real exchange rate depreciation on inflation over the next two years was difficult, just as it had been difficult to calibrate the effects of sterling’s earlier appreciation. To the extent that the earlier rise in the exchange rate had not yet fed through to domestic prices, the recent fall might likewise have correspondingly less effect on prices.</w:t>
      </w:r>
    </w:p>
    <w:p>
      <w:pPr>
        <w:pStyle w:val="BodyText"/>
        <w:spacing w:before="10"/>
        <w:rPr>
          <w:sz w:val="21"/>
        </w:rPr>
      </w:pPr>
    </w:p>
    <w:p>
      <w:pPr>
        <w:pStyle w:val="ListParagraph"/>
        <w:numPr>
          <w:ilvl w:val="0"/>
          <w:numId w:val="49"/>
        </w:numPr>
        <w:tabs>
          <w:tab w:pos="654" w:val="left" w:leader="none"/>
          <w:tab w:pos="655" w:val="left" w:leader="none"/>
        </w:tabs>
        <w:spacing w:line="232" w:lineRule="auto" w:before="0" w:after="0"/>
        <w:ind w:left="174" w:right="163" w:firstLine="0"/>
        <w:jc w:val="left"/>
        <w:rPr>
          <w:sz w:val="18"/>
        </w:rPr>
      </w:pPr>
      <w:r>
        <w:rPr>
          <w:sz w:val="18"/>
        </w:rPr>
        <w:t>In its May projections the Committee had taken into account the rise in the exchange rate and had assumed that the pass-through to retail prices would be somewhat slower than its historical average—although the eventual effect on the price level would be the same. There was great uncertainty about this, but applying the same procedure to the recent fall would on the face of it imply a rise in the inflation projection two years ahead on account of the exchange rate shift—of around half of a percentage point compared with the May </w:t>
      </w:r>
      <w:r>
        <w:rPr>
          <w:i/>
          <w:sz w:val="18"/>
        </w:rPr>
        <w:t>Report </w:t>
      </w:r>
      <w:r>
        <w:rPr>
          <w:sz w:val="18"/>
        </w:rPr>
        <w:t>projections. If the comparison was with the level of the exchange rate immediately prior to the Committee’s May meeting rather than the 15 day average used in the forecast then the impact on future inflation would be correspondingly larger. However, these estimates were extremely sensitive to the assumptions made and it was possible that the effect on inflation would be smaller or larger than this. In particular it was suggested that, given the depreciation, the Committee might review the assumptions earlier made on overseas exporters’ margins to the UK, and on retail margins in the UK. Some members thought that the recent depreciation was likely to have a smaller effect on prospective inflation, since overseas producers’ margins to</w:t>
      </w:r>
      <w:r>
        <w:rPr>
          <w:spacing w:val="-27"/>
          <w:sz w:val="18"/>
        </w:rPr>
        <w:t> </w:t>
      </w:r>
      <w:r>
        <w:rPr>
          <w:sz w:val="18"/>
        </w:rPr>
        <w:t>the</w:t>
      </w:r>
    </w:p>
    <w:p>
      <w:pPr>
        <w:pStyle w:val="BodyText"/>
        <w:spacing w:line="183" w:lineRule="exact"/>
        <w:ind w:left="174"/>
      </w:pPr>
      <w:r>
        <w:rPr/>
        <w:t>UK might fall back faster than had previously been assumed.</w:t>
      </w:r>
    </w:p>
    <w:p>
      <w:pPr>
        <w:spacing w:line="200" w:lineRule="exact" w:before="0"/>
        <w:ind w:left="174" w:right="0" w:firstLine="0"/>
        <w:jc w:val="left"/>
        <w:rPr>
          <w:i/>
          <w:sz w:val="18"/>
        </w:rPr>
      </w:pPr>
      <w:r>
        <w:rPr>
          <w:sz w:val="18"/>
        </w:rPr>
        <w:t>These issues would be reviewed in the August </w:t>
      </w:r>
      <w:r>
        <w:rPr>
          <w:i/>
          <w:sz w:val="18"/>
        </w:rPr>
        <w:t>Inflation Report</w:t>
      </w:r>
    </w:p>
    <w:p>
      <w:pPr>
        <w:pStyle w:val="BodyText"/>
        <w:spacing w:line="203" w:lineRule="exact"/>
        <w:ind w:left="174"/>
      </w:pPr>
      <w:r>
        <w:rPr/>
        <w:t>round.</w:t>
      </w:r>
    </w:p>
    <w:p>
      <w:pPr>
        <w:spacing w:after="0" w:line="203" w:lineRule="exact"/>
        <w:sectPr>
          <w:type w:val="continuous"/>
          <w:pgSz w:w="11900" w:h="16840"/>
          <w:pgMar w:top="1260" w:bottom="280" w:left="640" w:right="640"/>
          <w:cols w:num="2" w:equalWidth="0">
            <w:col w:w="5112" w:space="270"/>
            <w:col w:w="5238"/>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1"/>
        <w:rPr>
          <w:sz w:val="20"/>
        </w:rPr>
      </w:pPr>
    </w:p>
    <w:p>
      <w:pPr>
        <w:pStyle w:val="Heading4"/>
        <w:spacing w:before="1"/>
        <w:ind w:left="185"/>
      </w:pPr>
      <w:r>
        <w:rPr>
          <w:color w:val="009391"/>
        </w:rPr>
        <w:t>Money and asset prices</w:t>
      </w:r>
    </w:p>
    <w:p>
      <w:pPr>
        <w:pStyle w:val="ListParagraph"/>
        <w:numPr>
          <w:ilvl w:val="0"/>
          <w:numId w:val="49"/>
        </w:numPr>
        <w:tabs>
          <w:tab w:pos="665" w:val="left" w:leader="none"/>
          <w:tab w:pos="666" w:val="left" w:leader="none"/>
        </w:tabs>
        <w:spacing w:line="232" w:lineRule="auto" w:before="129" w:after="0"/>
        <w:ind w:left="185" w:right="67" w:firstLine="0"/>
        <w:jc w:val="left"/>
        <w:rPr>
          <w:sz w:val="18"/>
        </w:rPr>
      </w:pPr>
      <w:r>
        <w:rPr>
          <w:sz w:val="18"/>
        </w:rPr>
        <w:t>Both the Halifax and Nationwide measures of house prices had fallen by 0.4% in May, and suggested that house price inflation was slowing at least as rapidly as had been assumed in</w:t>
      </w:r>
      <w:r>
        <w:rPr>
          <w:spacing w:val="-26"/>
          <w:sz w:val="18"/>
        </w:rPr>
        <w:t> </w:t>
      </w:r>
      <w:r>
        <w:rPr>
          <w:sz w:val="18"/>
        </w:rPr>
        <w:t>the</w:t>
      </w:r>
    </w:p>
    <w:p>
      <w:pPr>
        <w:pStyle w:val="BodyText"/>
        <w:spacing w:line="232" w:lineRule="auto"/>
        <w:ind w:left="185" w:right="115"/>
      </w:pPr>
      <w:r>
        <w:rPr>
          <w:i/>
        </w:rPr>
        <w:t>Inflation Report </w:t>
      </w:r>
      <w:r>
        <w:rPr/>
        <w:t>projections. This reduced the risk that domestic demand would grow faster than had been built into the central projection. The latest provisional Royal Institute of Chartered Surveyors’ (RICS) survey pointed to a further reduction in the balance of estate agents reporting price increases in May, although the balance remained strongly positive. The recent pattern of slower growth in southern regions relative to the north had continued, in contrast with the picture a few months ago.</w:t>
      </w:r>
    </w:p>
    <w:p>
      <w:pPr>
        <w:pStyle w:val="BodyText"/>
        <w:spacing w:before="7"/>
        <w:rPr>
          <w:sz w:val="16"/>
        </w:rPr>
      </w:pPr>
    </w:p>
    <w:p>
      <w:pPr>
        <w:pStyle w:val="ListParagraph"/>
        <w:numPr>
          <w:ilvl w:val="0"/>
          <w:numId w:val="49"/>
        </w:numPr>
        <w:tabs>
          <w:tab w:pos="665" w:val="left" w:leader="none"/>
          <w:tab w:pos="666" w:val="left" w:leader="none"/>
        </w:tabs>
        <w:spacing w:line="232" w:lineRule="auto" w:before="1" w:after="0"/>
        <w:ind w:left="185" w:right="38" w:firstLine="0"/>
        <w:jc w:val="left"/>
        <w:rPr>
          <w:sz w:val="18"/>
        </w:rPr>
      </w:pPr>
      <w:r>
        <w:rPr>
          <w:sz w:val="18"/>
        </w:rPr>
        <w:t>The mortgage approvals data had weakened in April. However, the figures might be affected by the number of working days in April and, therefore, the fall might be reversed in May, just as the weakness in December had been reversed in January. The House Builders’ Federation survey of site visits and reservations still pointed to a slight fall in particulars delivered later in the year. The provisional estimate of mortgage equity withdrawal for Q1 was weaker than in Q4, and was consistent with some slowdown in consumption</w:t>
      </w:r>
      <w:r>
        <w:rPr>
          <w:spacing w:val="-2"/>
          <w:sz w:val="18"/>
        </w:rPr>
        <w:t> </w:t>
      </w:r>
      <w:r>
        <w:rPr>
          <w:sz w:val="18"/>
        </w:rPr>
        <w:t>growth.</w:t>
      </w:r>
    </w:p>
    <w:p>
      <w:pPr>
        <w:pStyle w:val="BodyText"/>
        <w:spacing w:before="8"/>
        <w:rPr>
          <w:sz w:val="16"/>
        </w:rPr>
      </w:pPr>
    </w:p>
    <w:p>
      <w:pPr>
        <w:pStyle w:val="ListParagraph"/>
        <w:numPr>
          <w:ilvl w:val="0"/>
          <w:numId w:val="49"/>
        </w:numPr>
        <w:tabs>
          <w:tab w:pos="665" w:val="left" w:leader="none"/>
          <w:tab w:pos="666" w:val="left" w:leader="none"/>
        </w:tabs>
        <w:spacing w:line="232" w:lineRule="auto" w:before="1" w:after="0"/>
        <w:ind w:left="185" w:right="47" w:firstLine="0"/>
        <w:jc w:val="left"/>
        <w:rPr>
          <w:sz w:val="18"/>
        </w:rPr>
      </w:pPr>
      <w:r>
        <w:rPr>
          <w:sz w:val="18"/>
        </w:rPr>
        <w:t>Corporate borrowing growth had again been strong, but it was unclear quite why this was so. One possibility was that it reflected a shift between sources of financing, away from bonds and equities towards bank lending. Another possibility was that the higher borrowing could also reflect a squeeze on profits and hence a tighter liquidity position. Profits had fallen in the first quarter according to the preliminary estimate by the Office for National Statistics (ONS). A fall in final demand, and hence company income, could be consistent with a rise in stocks—but the relationship between the stock-output ratio and corporate borrowing had not been particularly close over recent quarters. In addition, the recent special survey by the Bank’s regional Agents had found little evidence of higher borrowing because of worse cash flow. A third possibility was that higher borrowing was being used to finance current or prospective investment. Although total investment had been a little weaker than expected in Q1, business investment had grown quite</w:t>
      </w:r>
      <w:r>
        <w:rPr>
          <w:spacing w:val="-7"/>
          <w:sz w:val="18"/>
        </w:rPr>
        <w:t> </w:t>
      </w:r>
      <w:r>
        <w:rPr>
          <w:sz w:val="18"/>
        </w:rPr>
        <w:t>strongly.</w:t>
      </w:r>
    </w:p>
    <w:p>
      <w:pPr>
        <w:pStyle w:val="BodyText"/>
        <w:spacing w:before="5"/>
        <w:rPr>
          <w:sz w:val="19"/>
        </w:rPr>
      </w:pPr>
    </w:p>
    <w:p>
      <w:pPr>
        <w:pStyle w:val="Heading4"/>
        <w:spacing w:before="1"/>
        <w:ind w:left="185"/>
      </w:pPr>
      <w:r>
        <w:rPr>
          <w:color w:val="009391"/>
        </w:rPr>
        <w:t>Demand and output</w:t>
      </w:r>
    </w:p>
    <w:p>
      <w:pPr>
        <w:pStyle w:val="ListParagraph"/>
        <w:numPr>
          <w:ilvl w:val="0"/>
          <w:numId w:val="49"/>
        </w:numPr>
        <w:tabs>
          <w:tab w:pos="665" w:val="left" w:leader="none"/>
          <w:tab w:pos="666" w:val="left" w:leader="none"/>
        </w:tabs>
        <w:spacing w:line="232" w:lineRule="auto" w:before="129" w:after="0"/>
        <w:ind w:left="185" w:right="112" w:firstLine="0"/>
        <w:jc w:val="left"/>
        <w:rPr>
          <w:sz w:val="18"/>
        </w:rPr>
      </w:pPr>
      <w:r>
        <w:rPr>
          <w:sz w:val="18"/>
        </w:rPr>
        <w:t>Final domestic demand in Q1 had been weaker than expected at the time of the </w:t>
      </w:r>
      <w:r>
        <w:rPr>
          <w:i/>
          <w:sz w:val="18"/>
        </w:rPr>
        <w:t>Report</w:t>
      </w:r>
      <w:r>
        <w:rPr>
          <w:sz w:val="18"/>
        </w:rPr>
        <w:t>. The annualised six month growth rate was now running at around 3</w:t>
      </w:r>
      <w:r>
        <w:rPr>
          <w:position w:val="6"/>
          <w:sz w:val="9"/>
        </w:rPr>
        <w:t>1</w:t>
      </w:r>
      <w:r>
        <w:rPr>
          <w:sz w:val="18"/>
        </w:rPr>
        <w:t>/</w:t>
      </w:r>
      <w:r>
        <w:rPr>
          <w:sz w:val="9"/>
        </w:rPr>
        <w:t>2</w:t>
      </w:r>
      <w:r>
        <w:rPr>
          <w:sz w:val="18"/>
        </w:rPr>
        <w:t>% compared with about 4</w:t>
      </w:r>
      <w:r>
        <w:rPr>
          <w:position w:val="6"/>
          <w:sz w:val="9"/>
        </w:rPr>
        <w:t>1</w:t>
      </w:r>
      <w:r>
        <w:rPr>
          <w:sz w:val="18"/>
        </w:rPr>
        <w:t>/</w:t>
      </w:r>
      <w:r>
        <w:rPr>
          <w:sz w:val="9"/>
        </w:rPr>
        <w:t>2</w:t>
      </w:r>
      <w:r>
        <w:rPr>
          <w:sz w:val="18"/>
        </w:rPr>
        <w:t>% at the same time last year—a significant slowdown but still robust. The weakness was broadly based across consumption, investment and government spending. The key question was how persistent the slowdown in the Q1 figures would prove to</w:t>
      </w:r>
      <w:r>
        <w:rPr>
          <w:spacing w:val="-30"/>
          <w:sz w:val="18"/>
        </w:rPr>
        <w:t> </w:t>
      </w:r>
      <w:r>
        <w:rPr>
          <w:sz w:val="18"/>
        </w:rPr>
        <w:t>be.</w:t>
      </w:r>
    </w:p>
    <w:p>
      <w:pPr>
        <w:pStyle w:val="BodyText"/>
        <w:spacing w:before="10"/>
        <w:rPr>
          <w:sz w:val="16"/>
        </w:rPr>
      </w:pPr>
    </w:p>
    <w:p>
      <w:pPr>
        <w:pStyle w:val="ListParagraph"/>
        <w:numPr>
          <w:ilvl w:val="0"/>
          <w:numId w:val="49"/>
        </w:numPr>
        <w:tabs>
          <w:tab w:pos="665" w:val="left" w:leader="none"/>
          <w:tab w:pos="666" w:val="left" w:leader="none"/>
        </w:tabs>
        <w:spacing w:line="232" w:lineRule="auto" w:before="1" w:after="0"/>
        <w:ind w:left="185" w:right="42" w:firstLine="0"/>
        <w:jc w:val="left"/>
        <w:rPr>
          <w:sz w:val="18"/>
        </w:rPr>
      </w:pPr>
      <w:r>
        <w:rPr>
          <w:sz w:val="18"/>
        </w:rPr>
        <w:t>In the case of consumption, the Q1 figures looked a little low in the light of the retail sales data and other indicators, although the continuing weakness of car registrations through Q1 might explain part of the difference between retail sales and total consumption growth. At some point household spending on vehicles would recover, and hence the current growth rate might be erratically low. More recently, retail sales had been weak in April. But the latest CBI distributive trades survey and evidence from the British Retail Consortium suggested that retail sales in May would be stronger. The Bank’s regional Agents’ contacts reported early signs of an easing in retail sales growth while consumer services growth remained strong. Both the GfK and MORI consumer confidence indicators had risen slightly—though they were not far from their long run averages once seasonal factors were taken into account. Although slower house price growth and recent movements in equity prices suggested a prospective weaker contribution from household wealth to consumption growth than had been the case over the past few years, this had already been incorporated into the Committee’s projections. Real earnings growth continued to support consumption</w:t>
      </w:r>
      <w:r>
        <w:rPr>
          <w:spacing w:val="-3"/>
          <w:sz w:val="18"/>
        </w:rPr>
        <w:t> </w:t>
      </w:r>
      <w:r>
        <w:rPr>
          <w:sz w:val="18"/>
        </w:rPr>
        <w:t>growth.</w:t>
      </w:r>
    </w:p>
    <w:p>
      <w:pPr>
        <w:pStyle w:val="BodyText"/>
        <w:spacing w:before="4"/>
        <w:rPr>
          <w:sz w:val="21"/>
        </w:rPr>
      </w:pPr>
      <w:r>
        <w:rPr/>
        <w:br w:type="column"/>
      </w:r>
      <w:r>
        <w:rPr>
          <w:sz w:val="21"/>
        </w:rPr>
      </w:r>
    </w:p>
    <w:p>
      <w:pPr>
        <w:pStyle w:val="ListParagraph"/>
        <w:numPr>
          <w:ilvl w:val="0"/>
          <w:numId w:val="49"/>
        </w:numPr>
        <w:tabs>
          <w:tab w:pos="665" w:val="left" w:leader="none"/>
          <w:tab w:pos="666" w:val="left" w:leader="none"/>
        </w:tabs>
        <w:spacing w:line="232" w:lineRule="auto" w:before="1" w:after="0"/>
        <w:ind w:left="185" w:right="154" w:firstLine="0"/>
        <w:jc w:val="left"/>
        <w:rPr>
          <w:sz w:val="18"/>
        </w:rPr>
      </w:pPr>
      <w:r>
        <w:rPr>
          <w:sz w:val="18"/>
        </w:rPr>
        <w:t>On government spending, some weakness in the first quarter had been expected in the light of recent monthly data, and a return to positive growth would be needed if Government spending plans were to be met. There had, more generally, been some recent revisions</w:t>
      </w:r>
      <w:r>
        <w:rPr>
          <w:spacing w:val="-6"/>
          <w:sz w:val="18"/>
        </w:rPr>
        <w:t> </w:t>
      </w:r>
      <w:r>
        <w:rPr>
          <w:sz w:val="18"/>
        </w:rPr>
        <w:t>to</w:t>
      </w:r>
      <w:r>
        <w:rPr>
          <w:spacing w:val="-6"/>
          <w:sz w:val="18"/>
        </w:rPr>
        <w:t> </w:t>
      </w:r>
      <w:r>
        <w:rPr>
          <w:sz w:val="18"/>
        </w:rPr>
        <w:t>the</w:t>
      </w:r>
      <w:r>
        <w:rPr>
          <w:spacing w:val="-6"/>
          <w:sz w:val="18"/>
        </w:rPr>
        <w:t> </w:t>
      </w:r>
      <w:r>
        <w:rPr>
          <w:sz w:val="18"/>
        </w:rPr>
        <w:t>fiscal</w:t>
      </w:r>
      <w:r>
        <w:rPr>
          <w:spacing w:val="-5"/>
          <w:sz w:val="18"/>
        </w:rPr>
        <w:t> </w:t>
      </w:r>
      <w:r>
        <w:rPr>
          <w:sz w:val="18"/>
        </w:rPr>
        <w:t>numbers,</w:t>
      </w:r>
      <w:r>
        <w:rPr>
          <w:spacing w:val="-6"/>
          <w:sz w:val="18"/>
        </w:rPr>
        <w:t> </w:t>
      </w:r>
      <w:r>
        <w:rPr>
          <w:sz w:val="18"/>
        </w:rPr>
        <w:t>with</w:t>
      </w:r>
      <w:r>
        <w:rPr>
          <w:spacing w:val="-6"/>
          <w:sz w:val="18"/>
        </w:rPr>
        <w:t> </w:t>
      </w:r>
      <w:r>
        <w:rPr>
          <w:sz w:val="18"/>
        </w:rPr>
        <w:t>spending</w:t>
      </w:r>
      <w:r>
        <w:rPr>
          <w:spacing w:val="-6"/>
          <w:sz w:val="18"/>
        </w:rPr>
        <w:t> </w:t>
      </w:r>
      <w:r>
        <w:rPr>
          <w:sz w:val="18"/>
        </w:rPr>
        <w:t>having</w:t>
      </w:r>
      <w:r>
        <w:rPr>
          <w:spacing w:val="-5"/>
          <w:sz w:val="18"/>
        </w:rPr>
        <w:t> </w:t>
      </w:r>
      <w:r>
        <w:rPr>
          <w:sz w:val="18"/>
        </w:rPr>
        <w:t>undershot</w:t>
      </w:r>
      <w:r>
        <w:rPr>
          <w:spacing w:val="-6"/>
          <w:sz w:val="18"/>
        </w:rPr>
        <w:t> </w:t>
      </w:r>
      <w:r>
        <w:rPr>
          <w:sz w:val="18"/>
        </w:rPr>
        <w:t>and revenue having overshot the projections made in the March Budget. More revisions to the estimates of real and nominal government spending were possible when the National Accounts are published on 29 June. The revised data and any possible implications for future government spending and revenue projections would need to be incorporated into the August </w:t>
      </w:r>
      <w:r>
        <w:rPr>
          <w:i/>
          <w:sz w:val="18"/>
        </w:rPr>
        <w:t>Inflation Report</w:t>
      </w:r>
      <w:r>
        <w:rPr>
          <w:i/>
          <w:spacing w:val="-18"/>
          <w:sz w:val="18"/>
        </w:rPr>
        <w:t> </w:t>
      </w:r>
      <w:r>
        <w:rPr>
          <w:sz w:val="18"/>
        </w:rPr>
        <w:t>forecast.</w:t>
      </w:r>
    </w:p>
    <w:p>
      <w:pPr>
        <w:pStyle w:val="BodyText"/>
        <w:spacing w:before="7"/>
        <w:rPr>
          <w:sz w:val="16"/>
        </w:rPr>
      </w:pPr>
    </w:p>
    <w:p>
      <w:pPr>
        <w:pStyle w:val="ListParagraph"/>
        <w:numPr>
          <w:ilvl w:val="0"/>
          <w:numId w:val="49"/>
        </w:numPr>
        <w:tabs>
          <w:tab w:pos="665" w:val="left" w:leader="none"/>
          <w:tab w:pos="666" w:val="left" w:leader="none"/>
        </w:tabs>
        <w:spacing w:line="232" w:lineRule="auto" w:before="0" w:after="0"/>
        <w:ind w:left="185" w:right="191" w:firstLine="0"/>
        <w:jc w:val="left"/>
        <w:rPr>
          <w:sz w:val="18"/>
        </w:rPr>
      </w:pPr>
      <w:r>
        <w:rPr>
          <w:sz w:val="18"/>
        </w:rPr>
        <w:t>Inventories had made a much stronger than expected contribution to GDP growth in Q1, and this had been broadly spread across the manufacturing, wholesale and distribution sectors. It could reflect weaker-than-expected demand and indicate weaker output growth ahead, but it was too early to say. There were no signs of widespread stockbuilding from either</w:t>
      </w:r>
      <w:r>
        <w:rPr>
          <w:spacing w:val="-22"/>
          <w:sz w:val="18"/>
        </w:rPr>
        <w:t> </w:t>
      </w:r>
      <w:r>
        <w:rPr>
          <w:sz w:val="18"/>
        </w:rPr>
        <w:t>the</w:t>
      </w:r>
    </w:p>
    <w:p>
      <w:pPr>
        <w:pStyle w:val="BodyText"/>
        <w:spacing w:line="232" w:lineRule="auto"/>
        <w:ind w:left="185" w:right="180"/>
      </w:pPr>
      <w:r>
        <w:rPr/>
        <w:t>Agents’ contacts or surveys. No details of the alignment adjustments</w:t>
      </w:r>
      <w:r>
        <w:rPr>
          <w:spacing w:val="-5"/>
        </w:rPr>
        <w:t> </w:t>
      </w:r>
      <w:r>
        <w:rPr/>
        <w:t>had</w:t>
      </w:r>
      <w:r>
        <w:rPr>
          <w:spacing w:val="-5"/>
        </w:rPr>
        <w:t> </w:t>
      </w:r>
      <w:r>
        <w:rPr/>
        <w:t>yet</w:t>
      </w:r>
      <w:r>
        <w:rPr>
          <w:spacing w:val="-4"/>
        </w:rPr>
        <w:t> </w:t>
      </w:r>
      <w:r>
        <w:rPr/>
        <w:t>been</w:t>
      </w:r>
      <w:r>
        <w:rPr>
          <w:spacing w:val="-5"/>
        </w:rPr>
        <w:t> </w:t>
      </w:r>
      <w:r>
        <w:rPr/>
        <w:t>published</w:t>
      </w:r>
      <w:r>
        <w:rPr>
          <w:spacing w:val="-4"/>
        </w:rPr>
        <w:t> </w:t>
      </w:r>
      <w:r>
        <w:rPr/>
        <w:t>by</w:t>
      </w:r>
      <w:r>
        <w:rPr>
          <w:spacing w:val="-5"/>
        </w:rPr>
        <w:t> </w:t>
      </w:r>
      <w:r>
        <w:rPr/>
        <w:t>the</w:t>
      </w:r>
      <w:r>
        <w:rPr>
          <w:spacing w:val="-5"/>
        </w:rPr>
        <w:t> </w:t>
      </w:r>
      <w:r>
        <w:rPr/>
        <w:t>ONS,</w:t>
      </w:r>
      <w:r>
        <w:rPr>
          <w:spacing w:val="-4"/>
        </w:rPr>
        <w:t> </w:t>
      </w:r>
      <w:r>
        <w:rPr/>
        <w:t>but</w:t>
      </w:r>
      <w:r>
        <w:rPr>
          <w:spacing w:val="-5"/>
        </w:rPr>
        <w:t> </w:t>
      </w:r>
      <w:r>
        <w:rPr/>
        <w:t>it</w:t>
      </w:r>
      <w:r>
        <w:rPr>
          <w:spacing w:val="-4"/>
        </w:rPr>
        <w:t> </w:t>
      </w:r>
      <w:r>
        <w:rPr/>
        <w:t>was</w:t>
      </w:r>
      <w:r>
        <w:rPr>
          <w:spacing w:val="-5"/>
        </w:rPr>
        <w:t> </w:t>
      </w:r>
      <w:r>
        <w:rPr/>
        <w:t>possible that these adjustments, or other temporary factors, were contributing to a stronger contribution from inventories in Q1. If so, the positive contribution might well be reversed in Q2, with little consequence for output growth in the first half of the year as a whole.</w:t>
      </w:r>
    </w:p>
    <w:p>
      <w:pPr>
        <w:pStyle w:val="BodyText"/>
        <w:spacing w:before="1"/>
        <w:rPr>
          <w:sz w:val="16"/>
        </w:rPr>
      </w:pPr>
    </w:p>
    <w:p>
      <w:pPr>
        <w:pStyle w:val="ListParagraph"/>
        <w:numPr>
          <w:ilvl w:val="0"/>
          <w:numId w:val="49"/>
        </w:numPr>
        <w:tabs>
          <w:tab w:pos="665" w:val="left" w:leader="none"/>
          <w:tab w:pos="666" w:val="left" w:leader="none"/>
        </w:tabs>
        <w:spacing w:line="203" w:lineRule="exact" w:before="0" w:after="0"/>
        <w:ind w:left="665" w:right="0" w:hanging="481"/>
        <w:jc w:val="left"/>
        <w:rPr>
          <w:sz w:val="18"/>
        </w:rPr>
      </w:pPr>
      <w:r>
        <w:rPr>
          <w:sz w:val="18"/>
        </w:rPr>
        <w:t>The positive contribution from net trade to GDP</w:t>
      </w:r>
      <w:r>
        <w:rPr>
          <w:spacing w:val="-23"/>
          <w:sz w:val="18"/>
        </w:rPr>
        <w:t> </w:t>
      </w:r>
      <w:r>
        <w:rPr>
          <w:sz w:val="18"/>
        </w:rPr>
        <w:t>growth</w:t>
      </w:r>
    </w:p>
    <w:p>
      <w:pPr>
        <w:pStyle w:val="BodyText"/>
        <w:spacing w:line="232" w:lineRule="auto" w:before="1"/>
        <w:ind w:left="185" w:right="179"/>
      </w:pPr>
      <w:r>
        <w:rPr/>
        <w:t>was only slightly weaker than expected in Q1, although both export and import volumes had been stronger than expected. There seemed to be little news on the month and the puzzle remained of why net trade was so strong given the previous strength of sterling. The quarterly figures were nonetheless volatile from quarter to quarter, so that caution was needed in placing weight on the Q1 figures.</w:t>
      </w:r>
    </w:p>
    <w:p>
      <w:pPr>
        <w:pStyle w:val="BodyText"/>
        <w:spacing w:before="11"/>
        <w:rPr>
          <w:sz w:val="16"/>
        </w:rPr>
      </w:pPr>
    </w:p>
    <w:p>
      <w:pPr>
        <w:pStyle w:val="ListParagraph"/>
        <w:numPr>
          <w:ilvl w:val="0"/>
          <w:numId w:val="49"/>
        </w:numPr>
        <w:tabs>
          <w:tab w:pos="665" w:val="left" w:leader="none"/>
          <w:tab w:pos="666" w:val="left" w:leader="none"/>
        </w:tabs>
        <w:spacing w:line="232" w:lineRule="auto" w:before="0" w:after="0"/>
        <w:ind w:left="185" w:right="189" w:firstLine="0"/>
        <w:jc w:val="left"/>
        <w:rPr>
          <w:sz w:val="18"/>
        </w:rPr>
      </w:pPr>
      <w:r>
        <w:rPr>
          <w:sz w:val="18"/>
        </w:rPr>
        <w:t>The picture for GDP growth was further complicated by the weakness of energy output in the first quarter, which may have reflected the weather. This suggested that the underlying pace of output growth was stronger than recorded in headline GDP growth. The industrial production numbers for April showed manufacturing moving broadly in line with expectations, but there had been a sharp rise in energy output. That seemed consistent with stronger Q2 GDP growth, all other things being</w:t>
      </w:r>
      <w:r>
        <w:rPr>
          <w:spacing w:val="-12"/>
          <w:sz w:val="18"/>
        </w:rPr>
        <w:t> </w:t>
      </w:r>
      <w:r>
        <w:rPr>
          <w:sz w:val="18"/>
        </w:rPr>
        <w:t>equal.</w:t>
      </w:r>
    </w:p>
    <w:p>
      <w:pPr>
        <w:pStyle w:val="BodyText"/>
        <w:spacing w:before="10"/>
        <w:rPr>
          <w:sz w:val="16"/>
        </w:rPr>
      </w:pPr>
    </w:p>
    <w:p>
      <w:pPr>
        <w:pStyle w:val="ListParagraph"/>
        <w:numPr>
          <w:ilvl w:val="0"/>
          <w:numId w:val="49"/>
        </w:numPr>
        <w:tabs>
          <w:tab w:pos="665" w:val="left" w:leader="none"/>
          <w:tab w:pos="666" w:val="left" w:leader="none"/>
        </w:tabs>
        <w:spacing w:line="232" w:lineRule="auto" w:before="0" w:after="0"/>
        <w:ind w:left="185" w:right="170" w:firstLine="0"/>
        <w:jc w:val="left"/>
        <w:rPr>
          <w:sz w:val="18"/>
        </w:rPr>
      </w:pPr>
      <w:r>
        <w:rPr>
          <w:sz w:val="18"/>
        </w:rPr>
        <w:t>There were significant discrepancies between the estimated Q1 growth rates of the output, income and expenditure measures of GDP, which were difficult to reconcile. The release of the National Accounts for Q1 and the annual rebalancing exercise for the ONS </w:t>
      </w:r>
      <w:r>
        <w:rPr>
          <w:i/>
          <w:sz w:val="18"/>
        </w:rPr>
        <w:t>Blue Book </w:t>
      </w:r>
      <w:r>
        <w:rPr>
          <w:sz w:val="18"/>
        </w:rPr>
        <w:t>might help resolve</w:t>
      </w:r>
      <w:r>
        <w:rPr>
          <w:spacing w:val="-6"/>
          <w:sz w:val="18"/>
        </w:rPr>
        <w:t> </w:t>
      </w:r>
      <w:r>
        <w:rPr>
          <w:sz w:val="18"/>
        </w:rPr>
        <w:t>this.</w:t>
      </w:r>
    </w:p>
    <w:p>
      <w:pPr>
        <w:pStyle w:val="BodyText"/>
        <w:rPr>
          <w:sz w:val="17"/>
        </w:rPr>
      </w:pPr>
    </w:p>
    <w:p>
      <w:pPr>
        <w:pStyle w:val="ListParagraph"/>
        <w:numPr>
          <w:ilvl w:val="0"/>
          <w:numId w:val="49"/>
        </w:numPr>
        <w:tabs>
          <w:tab w:pos="665" w:val="left" w:leader="none"/>
          <w:tab w:pos="666" w:val="left" w:leader="none"/>
        </w:tabs>
        <w:spacing w:line="232" w:lineRule="auto" w:before="1" w:after="0"/>
        <w:ind w:left="185" w:right="195" w:firstLine="0"/>
        <w:jc w:val="left"/>
        <w:rPr>
          <w:sz w:val="18"/>
        </w:rPr>
      </w:pPr>
      <w:r>
        <w:rPr>
          <w:sz w:val="18"/>
        </w:rPr>
        <w:t>Overall,</w:t>
      </w:r>
      <w:r>
        <w:rPr>
          <w:spacing w:val="-5"/>
          <w:sz w:val="18"/>
        </w:rPr>
        <w:t> </w:t>
      </w:r>
      <w:r>
        <w:rPr>
          <w:sz w:val="18"/>
        </w:rPr>
        <w:t>the</w:t>
      </w:r>
      <w:r>
        <w:rPr>
          <w:spacing w:val="-5"/>
          <w:sz w:val="18"/>
        </w:rPr>
        <w:t> </w:t>
      </w:r>
      <w:r>
        <w:rPr>
          <w:sz w:val="18"/>
        </w:rPr>
        <w:t>pace</w:t>
      </w:r>
      <w:r>
        <w:rPr>
          <w:spacing w:val="-5"/>
          <w:sz w:val="18"/>
        </w:rPr>
        <w:t> </w:t>
      </w:r>
      <w:r>
        <w:rPr>
          <w:sz w:val="18"/>
        </w:rPr>
        <w:t>of</w:t>
      </w:r>
      <w:r>
        <w:rPr>
          <w:spacing w:val="-5"/>
          <w:sz w:val="18"/>
        </w:rPr>
        <w:t> </w:t>
      </w:r>
      <w:r>
        <w:rPr>
          <w:sz w:val="18"/>
        </w:rPr>
        <w:t>final</w:t>
      </w:r>
      <w:r>
        <w:rPr>
          <w:spacing w:val="-5"/>
          <w:sz w:val="18"/>
        </w:rPr>
        <w:t> </w:t>
      </w:r>
      <w:r>
        <w:rPr>
          <w:sz w:val="18"/>
        </w:rPr>
        <w:t>domestic</w:t>
      </w:r>
      <w:r>
        <w:rPr>
          <w:spacing w:val="-5"/>
          <w:sz w:val="18"/>
        </w:rPr>
        <w:t> </w:t>
      </w:r>
      <w:r>
        <w:rPr>
          <w:sz w:val="18"/>
        </w:rPr>
        <w:t>demand</w:t>
      </w:r>
      <w:r>
        <w:rPr>
          <w:spacing w:val="-5"/>
          <w:sz w:val="18"/>
        </w:rPr>
        <w:t> </w:t>
      </w:r>
      <w:r>
        <w:rPr>
          <w:sz w:val="18"/>
        </w:rPr>
        <w:t>had</w:t>
      </w:r>
      <w:r>
        <w:rPr>
          <w:spacing w:val="-5"/>
          <w:sz w:val="18"/>
        </w:rPr>
        <w:t> </w:t>
      </w:r>
      <w:r>
        <w:rPr>
          <w:sz w:val="18"/>
        </w:rPr>
        <w:t>slowed</w:t>
      </w:r>
      <w:r>
        <w:rPr>
          <w:spacing w:val="-5"/>
          <w:sz w:val="18"/>
        </w:rPr>
        <w:t> </w:t>
      </w:r>
      <w:r>
        <w:rPr>
          <w:sz w:val="18"/>
        </w:rPr>
        <w:t>more than expected in Q1, but it was too early to judge whether this would be sustained into</w:t>
      </w:r>
      <w:r>
        <w:rPr>
          <w:spacing w:val="-6"/>
          <w:sz w:val="18"/>
        </w:rPr>
        <w:t> </w:t>
      </w:r>
      <w:r>
        <w:rPr>
          <w:sz w:val="18"/>
        </w:rPr>
        <w:t>Q2.</w:t>
      </w:r>
    </w:p>
    <w:p>
      <w:pPr>
        <w:pStyle w:val="BodyText"/>
        <w:spacing w:before="5"/>
        <w:rPr>
          <w:sz w:val="20"/>
        </w:rPr>
      </w:pPr>
    </w:p>
    <w:p>
      <w:pPr>
        <w:pStyle w:val="Heading4"/>
        <w:ind w:left="185"/>
      </w:pPr>
      <w:r>
        <w:rPr>
          <w:color w:val="009391"/>
        </w:rPr>
        <w:t>The labour market</w:t>
      </w:r>
    </w:p>
    <w:p>
      <w:pPr>
        <w:pStyle w:val="ListParagraph"/>
        <w:numPr>
          <w:ilvl w:val="0"/>
          <w:numId w:val="49"/>
        </w:numPr>
        <w:tabs>
          <w:tab w:pos="665" w:val="left" w:leader="none"/>
          <w:tab w:pos="666" w:val="left" w:leader="none"/>
        </w:tabs>
        <w:spacing w:line="232" w:lineRule="auto" w:before="109" w:after="0"/>
        <w:ind w:left="185" w:right="190" w:firstLine="0"/>
        <w:jc w:val="left"/>
        <w:rPr>
          <w:sz w:val="18"/>
        </w:rPr>
      </w:pPr>
      <w:r>
        <w:rPr>
          <w:sz w:val="18"/>
        </w:rPr>
        <w:t>There had been a slight moderation in employment growth, and it seemed likely that average hours worked had fallen in the first quarter. But other data pointed to a slight tightening in labour market conditions. The Recruitment and Employment Confederation survey had shown an intensification of labour market shortages. While the Labour Force Survey measure of unemployment</w:t>
      </w:r>
      <w:r>
        <w:rPr>
          <w:spacing w:val="-5"/>
          <w:sz w:val="18"/>
        </w:rPr>
        <w:t> </w:t>
      </w:r>
      <w:r>
        <w:rPr>
          <w:sz w:val="18"/>
        </w:rPr>
        <w:t>had</w:t>
      </w:r>
      <w:r>
        <w:rPr>
          <w:spacing w:val="-5"/>
          <w:sz w:val="18"/>
        </w:rPr>
        <w:t> </w:t>
      </w:r>
      <w:r>
        <w:rPr>
          <w:sz w:val="18"/>
        </w:rPr>
        <w:t>been</w:t>
      </w:r>
      <w:r>
        <w:rPr>
          <w:spacing w:val="-5"/>
          <w:sz w:val="18"/>
        </w:rPr>
        <w:t> </w:t>
      </w:r>
      <w:r>
        <w:rPr>
          <w:sz w:val="18"/>
        </w:rPr>
        <w:t>unchanged,</w:t>
      </w:r>
      <w:r>
        <w:rPr>
          <w:spacing w:val="-5"/>
          <w:sz w:val="18"/>
        </w:rPr>
        <w:t> </w:t>
      </w:r>
      <w:r>
        <w:rPr>
          <w:sz w:val="18"/>
        </w:rPr>
        <w:t>there</w:t>
      </w:r>
      <w:r>
        <w:rPr>
          <w:spacing w:val="-5"/>
          <w:sz w:val="18"/>
        </w:rPr>
        <w:t> </w:t>
      </w:r>
      <w:r>
        <w:rPr>
          <w:sz w:val="18"/>
        </w:rPr>
        <w:t>had</w:t>
      </w:r>
      <w:r>
        <w:rPr>
          <w:spacing w:val="-5"/>
          <w:sz w:val="18"/>
        </w:rPr>
        <w:t> </w:t>
      </w:r>
      <w:r>
        <w:rPr>
          <w:sz w:val="18"/>
        </w:rPr>
        <w:t>been</w:t>
      </w:r>
      <w:r>
        <w:rPr>
          <w:spacing w:val="-5"/>
          <w:sz w:val="18"/>
        </w:rPr>
        <w:t> </w:t>
      </w:r>
      <w:r>
        <w:rPr>
          <w:sz w:val="18"/>
        </w:rPr>
        <w:t>a</w:t>
      </w:r>
      <w:r>
        <w:rPr>
          <w:spacing w:val="-5"/>
          <w:sz w:val="18"/>
        </w:rPr>
        <w:t> </w:t>
      </w:r>
      <w:r>
        <w:rPr>
          <w:sz w:val="18"/>
        </w:rPr>
        <w:t>further</w:t>
      </w:r>
      <w:r>
        <w:rPr>
          <w:spacing w:val="-5"/>
          <w:sz w:val="18"/>
        </w:rPr>
        <w:t> </w:t>
      </w:r>
      <w:r>
        <w:rPr>
          <w:sz w:val="18"/>
        </w:rPr>
        <w:t>fall</w:t>
      </w:r>
      <w:r>
        <w:rPr>
          <w:spacing w:val="-5"/>
          <w:sz w:val="18"/>
        </w:rPr>
        <w:t> </w:t>
      </w:r>
      <w:r>
        <w:rPr>
          <w:sz w:val="18"/>
        </w:rPr>
        <w:t>in the claimant count</w:t>
      </w:r>
      <w:r>
        <w:rPr>
          <w:spacing w:val="-4"/>
          <w:sz w:val="18"/>
        </w:rPr>
        <w:t> </w:t>
      </w:r>
      <w:r>
        <w:rPr>
          <w:sz w:val="18"/>
        </w:rPr>
        <w:t>measure.</w:t>
      </w:r>
    </w:p>
    <w:p>
      <w:pPr>
        <w:pStyle w:val="BodyText"/>
        <w:spacing w:before="10"/>
        <w:rPr>
          <w:sz w:val="16"/>
        </w:rPr>
      </w:pPr>
    </w:p>
    <w:p>
      <w:pPr>
        <w:pStyle w:val="ListParagraph"/>
        <w:numPr>
          <w:ilvl w:val="0"/>
          <w:numId w:val="49"/>
        </w:numPr>
        <w:tabs>
          <w:tab w:pos="665" w:val="left" w:leader="none"/>
          <w:tab w:pos="666" w:val="left" w:leader="none"/>
        </w:tabs>
        <w:spacing w:line="232" w:lineRule="auto" w:before="0" w:after="0"/>
        <w:ind w:left="185" w:right="294" w:firstLine="0"/>
        <w:jc w:val="left"/>
        <w:rPr>
          <w:sz w:val="18"/>
        </w:rPr>
      </w:pPr>
      <w:r>
        <w:rPr>
          <w:sz w:val="18"/>
        </w:rPr>
        <w:t>There had been a slight pick up in pay settlements, with the three-month mean measure rising to 3.0% in April.</w:t>
      </w:r>
      <w:r>
        <w:rPr>
          <w:spacing w:val="24"/>
          <w:sz w:val="18"/>
        </w:rPr>
        <w:t> </w:t>
      </w:r>
      <w:r>
        <w:rPr>
          <w:sz w:val="18"/>
        </w:rPr>
        <w:t>The</w:t>
      </w:r>
    </w:p>
    <w:p>
      <w:pPr>
        <w:pStyle w:val="BodyText"/>
        <w:spacing w:line="232" w:lineRule="auto"/>
        <w:ind w:left="185" w:right="199"/>
      </w:pPr>
      <w:r>
        <w:rPr/>
        <w:t>twelve-month mean measure had, however, continued to fall and was now at 3.2%. Average earnings growth had fallen back to 5.8% in March on the headline measure, and was below the figure for Q1 in the May </w:t>
      </w:r>
      <w:r>
        <w:rPr>
          <w:i/>
        </w:rPr>
        <w:t>Inflation Report </w:t>
      </w:r>
      <w:r>
        <w:rPr/>
        <w:t>central projection. If the fall persisted</w:t>
      </w:r>
      <w:r>
        <w:rPr>
          <w:spacing w:val="-6"/>
        </w:rPr>
        <w:t> </w:t>
      </w:r>
      <w:r>
        <w:rPr/>
        <w:t>it</w:t>
      </w:r>
      <w:r>
        <w:rPr>
          <w:spacing w:val="-5"/>
        </w:rPr>
        <w:t> </w:t>
      </w:r>
      <w:r>
        <w:rPr/>
        <w:t>might</w:t>
      </w:r>
      <w:r>
        <w:rPr>
          <w:spacing w:val="-5"/>
        </w:rPr>
        <w:t> </w:t>
      </w:r>
      <w:r>
        <w:rPr/>
        <w:t>imply</w:t>
      </w:r>
      <w:r>
        <w:rPr>
          <w:spacing w:val="-6"/>
        </w:rPr>
        <w:t> </w:t>
      </w:r>
      <w:r>
        <w:rPr/>
        <w:t>a</w:t>
      </w:r>
      <w:r>
        <w:rPr>
          <w:spacing w:val="-5"/>
        </w:rPr>
        <w:t> </w:t>
      </w:r>
      <w:r>
        <w:rPr/>
        <w:t>slightly</w:t>
      </w:r>
      <w:r>
        <w:rPr>
          <w:spacing w:val="-5"/>
        </w:rPr>
        <w:t> </w:t>
      </w:r>
      <w:r>
        <w:rPr/>
        <w:t>lower</w:t>
      </w:r>
      <w:r>
        <w:rPr>
          <w:spacing w:val="-6"/>
        </w:rPr>
        <w:t> </w:t>
      </w:r>
      <w:r>
        <w:rPr/>
        <w:t>profile</w:t>
      </w:r>
      <w:r>
        <w:rPr>
          <w:spacing w:val="-5"/>
        </w:rPr>
        <w:t> </w:t>
      </w:r>
      <w:r>
        <w:rPr/>
        <w:t>for</w:t>
      </w:r>
      <w:r>
        <w:rPr>
          <w:spacing w:val="-5"/>
        </w:rPr>
        <w:t> </w:t>
      </w:r>
      <w:r>
        <w:rPr/>
        <w:t>earnings</w:t>
      </w:r>
      <w:r>
        <w:rPr>
          <w:spacing w:val="-6"/>
        </w:rPr>
        <w:t> </w:t>
      </w:r>
      <w:r>
        <w:rPr/>
        <w:t>growth</w:t>
      </w:r>
    </w:p>
    <w:p>
      <w:pPr>
        <w:spacing w:after="0" w:line="232" w:lineRule="auto"/>
        <w:sectPr>
          <w:type w:val="continuous"/>
          <w:pgSz w:w="11900" w:h="16840"/>
          <w:pgMar w:top="1260" w:bottom="280" w:left="640" w:right="640"/>
          <w:cols w:num="2" w:equalWidth="0">
            <w:col w:w="5119" w:space="261"/>
            <w:col w:w="5240"/>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7"/>
        <w:rPr>
          <w:sz w:val="19"/>
        </w:rPr>
      </w:pPr>
    </w:p>
    <w:p>
      <w:pPr>
        <w:pStyle w:val="BodyText"/>
        <w:spacing w:line="232" w:lineRule="auto" w:before="1"/>
        <w:ind w:left="174" w:right="25"/>
      </w:pPr>
      <w:r>
        <w:rPr/>
        <w:t>and hence a slightly lower central projection for inflation over the next two years. At the least, it appeared that the upside risks to the May projection had diminished. However, taken at face value, the latest hours data implied that hourly earnings were rising even more rapidly in Q1, by around 7</w:t>
      </w:r>
      <w:r>
        <w:rPr>
          <w:position w:val="6"/>
          <w:sz w:val="9"/>
        </w:rPr>
        <w:t>1</w:t>
      </w:r>
      <w:r>
        <w:rPr/>
        <w:t>/</w:t>
      </w:r>
      <w:r>
        <w:rPr>
          <w:sz w:val="9"/>
        </w:rPr>
        <w:t>4</w:t>
      </w:r>
      <w:r>
        <w:rPr/>
        <w:t>% at an annual rate, although it was recognised that this calculation was particularly subject to considerable measurement error.</w:t>
      </w:r>
    </w:p>
    <w:p>
      <w:pPr>
        <w:pStyle w:val="BodyText"/>
        <w:spacing w:before="4"/>
        <w:rPr>
          <w:sz w:val="20"/>
        </w:rPr>
      </w:pPr>
    </w:p>
    <w:p>
      <w:pPr>
        <w:pStyle w:val="ListParagraph"/>
        <w:numPr>
          <w:ilvl w:val="0"/>
          <w:numId w:val="49"/>
        </w:numPr>
        <w:tabs>
          <w:tab w:pos="654" w:val="left" w:leader="none"/>
          <w:tab w:pos="655" w:val="left" w:leader="none"/>
        </w:tabs>
        <w:spacing w:line="232" w:lineRule="auto" w:before="0" w:after="0"/>
        <w:ind w:left="174" w:right="38" w:firstLine="0"/>
        <w:jc w:val="left"/>
        <w:rPr>
          <w:sz w:val="18"/>
        </w:rPr>
      </w:pPr>
      <w:r>
        <w:rPr>
          <w:sz w:val="18"/>
        </w:rPr>
        <w:t>Productivity growth had been rising, and the annual rate of growth of output per head had probably risen to around 1</w:t>
      </w:r>
      <w:r>
        <w:rPr>
          <w:position w:val="6"/>
          <w:sz w:val="9"/>
        </w:rPr>
        <w:t>3</w:t>
      </w:r>
      <w:r>
        <w:rPr>
          <w:sz w:val="18"/>
        </w:rPr>
        <w:t>/</w:t>
      </w:r>
      <w:r>
        <w:rPr>
          <w:sz w:val="9"/>
        </w:rPr>
        <w:t>4</w:t>
      </w:r>
      <w:r>
        <w:rPr>
          <w:sz w:val="18"/>
        </w:rPr>
        <w:t>% in Q1, while the estimate of growth in productivity per hour was around 3%. This month’s special survey by the Bank’s regional Agents suggested that many companies planned to purchase and sell on the Internet over the next few years, and this might support future productivity</w:t>
      </w:r>
      <w:r>
        <w:rPr>
          <w:spacing w:val="-2"/>
          <w:sz w:val="18"/>
        </w:rPr>
        <w:t> </w:t>
      </w:r>
      <w:r>
        <w:rPr>
          <w:sz w:val="18"/>
        </w:rPr>
        <w:t>growth.</w:t>
      </w:r>
    </w:p>
    <w:p>
      <w:pPr>
        <w:pStyle w:val="BodyText"/>
        <w:spacing w:before="5"/>
        <w:rPr>
          <w:sz w:val="20"/>
        </w:rPr>
      </w:pPr>
    </w:p>
    <w:p>
      <w:pPr>
        <w:pStyle w:val="ListParagraph"/>
        <w:numPr>
          <w:ilvl w:val="0"/>
          <w:numId w:val="49"/>
        </w:numPr>
        <w:tabs>
          <w:tab w:pos="654" w:val="left" w:leader="none"/>
          <w:tab w:pos="655" w:val="left" w:leader="none"/>
        </w:tabs>
        <w:spacing w:line="232" w:lineRule="auto" w:before="0" w:after="0"/>
        <w:ind w:left="174" w:right="39" w:firstLine="0"/>
        <w:jc w:val="left"/>
        <w:rPr>
          <w:sz w:val="18"/>
        </w:rPr>
      </w:pPr>
      <w:r>
        <w:rPr>
          <w:sz w:val="18"/>
        </w:rPr>
        <w:t>The</w:t>
      </w:r>
      <w:r>
        <w:rPr>
          <w:spacing w:val="-5"/>
          <w:sz w:val="18"/>
        </w:rPr>
        <w:t> </w:t>
      </w:r>
      <w:r>
        <w:rPr>
          <w:sz w:val="18"/>
        </w:rPr>
        <w:t>real</w:t>
      </w:r>
      <w:r>
        <w:rPr>
          <w:spacing w:val="-4"/>
          <w:sz w:val="18"/>
        </w:rPr>
        <w:t> </w:t>
      </w:r>
      <w:r>
        <w:rPr>
          <w:sz w:val="18"/>
        </w:rPr>
        <w:t>product</w:t>
      </w:r>
      <w:r>
        <w:rPr>
          <w:spacing w:val="-4"/>
          <w:sz w:val="18"/>
        </w:rPr>
        <w:t> </w:t>
      </w:r>
      <w:r>
        <w:rPr>
          <w:sz w:val="18"/>
        </w:rPr>
        <w:t>wage</w:t>
      </w:r>
      <w:r>
        <w:rPr>
          <w:spacing w:val="-4"/>
          <w:sz w:val="18"/>
        </w:rPr>
        <w:t> </w:t>
      </w:r>
      <w:r>
        <w:rPr>
          <w:sz w:val="18"/>
        </w:rPr>
        <w:t>(on</w:t>
      </w:r>
      <w:r>
        <w:rPr>
          <w:spacing w:val="-4"/>
          <w:sz w:val="18"/>
        </w:rPr>
        <w:t> </w:t>
      </w:r>
      <w:r>
        <w:rPr>
          <w:sz w:val="18"/>
        </w:rPr>
        <w:t>the</w:t>
      </w:r>
      <w:r>
        <w:rPr>
          <w:spacing w:val="-4"/>
          <w:sz w:val="18"/>
        </w:rPr>
        <w:t> </w:t>
      </w:r>
      <w:r>
        <w:rPr>
          <w:sz w:val="18"/>
        </w:rPr>
        <w:t>basis</w:t>
      </w:r>
      <w:r>
        <w:rPr>
          <w:spacing w:val="-4"/>
          <w:sz w:val="18"/>
        </w:rPr>
        <w:t> </w:t>
      </w:r>
      <w:r>
        <w:rPr>
          <w:sz w:val="18"/>
        </w:rPr>
        <w:t>of</w:t>
      </w:r>
      <w:r>
        <w:rPr>
          <w:spacing w:val="-5"/>
          <w:sz w:val="18"/>
        </w:rPr>
        <w:t> </w:t>
      </w:r>
      <w:r>
        <w:rPr>
          <w:sz w:val="18"/>
        </w:rPr>
        <w:t>the</w:t>
      </w:r>
      <w:r>
        <w:rPr>
          <w:spacing w:val="-4"/>
          <w:sz w:val="18"/>
        </w:rPr>
        <w:t> </w:t>
      </w:r>
      <w:r>
        <w:rPr>
          <w:sz w:val="18"/>
        </w:rPr>
        <w:t>GDP</w:t>
      </w:r>
      <w:r>
        <w:rPr>
          <w:spacing w:val="-4"/>
          <w:sz w:val="18"/>
        </w:rPr>
        <w:t> </w:t>
      </w:r>
      <w:r>
        <w:rPr>
          <w:sz w:val="18"/>
        </w:rPr>
        <w:t>deflator)</w:t>
      </w:r>
      <w:r>
        <w:rPr>
          <w:spacing w:val="-4"/>
          <w:sz w:val="18"/>
        </w:rPr>
        <w:t> </w:t>
      </w:r>
      <w:r>
        <w:rPr>
          <w:sz w:val="18"/>
        </w:rPr>
        <w:t>was growing at around 2</w:t>
      </w:r>
      <w:r>
        <w:rPr>
          <w:position w:val="6"/>
          <w:sz w:val="9"/>
        </w:rPr>
        <w:t>1</w:t>
      </w:r>
      <w:r>
        <w:rPr>
          <w:sz w:val="18"/>
        </w:rPr>
        <w:t>/</w:t>
      </w:r>
      <w:r>
        <w:rPr>
          <w:sz w:val="9"/>
        </w:rPr>
        <w:t>2</w:t>
      </w:r>
      <w:r>
        <w:rPr>
          <w:sz w:val="18"/>
        </w:rPr>
        <w:t>% and was currently above estimates of average historical productivity growth. Whole economy unit labour costs had been rising by around 4% per annum, and were rising in real terms. This entailed a continuing squeeze on the profit share of GDP over recent years, which was unsustainable in the long run. On these measures the labour market continued to look tight. One way in which the tension could be resolved would be a continued fall in earnings</w:t>
      </w:r>
      <w:r>
        <w:rPr>
          <w:spacing w:val="-4"/>
          <w:sz w:val="18"/>
        </w:rPr>
        <w:t> </w:t>
      </w:r>
      <w:r>
        <w:rPr>
          <w:sz w:val="18"/>
        </w:rPr>
        <w:t>growth.</w:t>
      </w:r>
    </w:p>
    <w:p>
      <w:pPr>
        <w:pStyle w:val="BodyText"/>
        <w:spacing w:before="6"/>
        <w:rPr>
          <w:sz w:val="23"/>
        </w:rPr>
      </w:pPr>
    </w:p>
    <w:p>
      <w:pPr>
        <w:pStyle w:val="Heading4"/>
      </w:pPr>
      <w:r>
        <w:rPr>
          <w:color w:val="009391"/>
        </w:rPr>
        <w:t>Prices and costs</w:t>
      </w:r>
    </w:p>
    <w:p>
      <w:pPr>
        <w:pStyle w:val="ListParagraph"/>
        <w:numPr>
          <w:ilvl w:val="0"/>
          <w:numId w:val="49"/>
        </w:numPr>
        <w:tabs>
          <w:tab w:pos="654" w:val="left" w:leader="none"/>
          <w:tab w:pos="655" w:val="left" w:leader="none"/>
        </w:tabs>
        <w:spacing w:line="232" w:lineRule="auto" w:before="109" w:after="0"/>
        <w:ind w:left="174" w:right="43" w:firstLine="0"/>
        <w:jc w:val="left"/>
        <w:rPr>
          <w:sz w:val="18"/>
        </w:rPr>
      </w:pPr>
      <w:r>
        <w:rPr>
          <w:sz w:val="18"/>
        </w:rPr>
        <w:t>RPIX inflation had fallen to 1.9%, consistent with the central projection in the May </w:t>
      </w:r>
      <w:r>
        <w:rPr>
          <w:i/>
          <w:sz w:val="18"/>
        </w:rPr>
        <w:t>Inflation Report</w:t>
      </w:r>
      <w:r>
        <w:rPr>
          <w:sz w:val="18"/>
        </w:rPr>
        <w:t>. The gap between goods and services inflation had narrowed, primarily due to the reductions in utility prices and the timing of duty increases on goods. The latest Bank estimates suggested that there had been a further squeeze on both manufacturing and retail margins. That was supported by the Bank’s regional Agents’ contacts reporting that they were still having difficulty passing through rises in input costs to their output prices. In the case of manufacturing, in particular, the squeeze on margins was reported as having increased the pressures on firms to raise productivity growth over recent</w:t>
      </w:r>
      <w:r>
        <w:rPr>
          <w:spacing w:val="-10"/>
          <w:sz w:val="18"/>
        </w:rPr>
        <w:t> </w:t>
      </w:r>
      <w:r>
        <w:rPr>
          <w:sz w:val="18"/>
        </w:rPr>
        <w:t>quarters.</w:t>
      </w:r>
    </w:p>
    <w:p>
      <w:pPr>
        <w:pStyle w:val="BodyText"/>
        <w:spacing w:before="5"/>
      </w:pPr>
    </w:p>
    <w:p>
      <w:pPr>
        <w:pStyle w:val="ListParagraph"/>
        <w:numPr>
          <w:ilvl w:val="0"/>
          <w:numId w:val="49"/>
        </w:numPr>
        <w:tabs>
          <w:tab w:pos="654" w:val="left" w:leader="none"/>
          <w:tab w:pos="655" w:val="left" w:leader="none"/>
        </w:tabs>
        <w:spacing w:line="232" w:lineRule="auto" w:before="0" w:after="0"/>
        <w:ind w:left="174" w:right="88" w:firstLine="0"/>
        <w:jc w:val="left"/>
        <w:rPr>
          <w:sz w:val="18"/>
        </w:rPr>
      </w:pPr>
      <w:r>
        <w:rPr>
          <w:sz w:val="18"/>
        </w:rPr>
        <w:t>The short-term outlook was for rather higher RPIX inflation than at the time of the </w:t>
      </w:r>
      <w:r>
        <w:rPr>
          <w:i/>
          <w:sz w:val="18"/>
        </w:rPr>
        <w:t>Inflation Report</w:t>
      </w:r>
      <w:r>
        <w:rPr>
          <w:sz w:val="18"/>
        </w:rPr>
        <w:t>. This was partly on account of the rise in the oil price, but this had no obvious implications for the medium term projections. But the main news on the month had been the sharp fall in the exchange rate, which would tend to push inflation back up towards the 2</w:t>
      </w:r>
      <w:r>
        <w:rPr>
          <w:position w:val="6"/>
          <w:sz w:val="9"/>
        </w:rPr>
        <w:t>1</w:t>
      </w:r>
      <w:r>
        <w:rPr>
          <w:sz w:val="18"/>
        </w:rPr>
        <w:t>/</w:t>
      </w:r>
      <w:r>
        <w:rPr>
          <w:sz w:val="9"/>
        </w:rPr>
        <w:t>2</w:t>
      </w:r>
      <w:r>
        <w:rPr>
          <w:sz w:val="18"/>
        </w:rPr>
        <w:t>% target faster than had been expected in</w:t>
      </w:r>
      <w:r>
        <w:rPr>
          <w:spacing w:val="-3"/>
          <w:sz w:val="18"/>
        </w:rPr>
        <w:t> </w:t>
      </w:r>
      <w:r>
        <w:rPr>
          <w:sz w:val="18"/>
        </w:rPr>
        <w:t>May.</w:t>
      </w:r>
    </w:p>
    <w:p>
      <w:pPr>
        <w:pStyle w:val="BodyText"/>
        <w:spacing w:before="7"/>
      </w:pPr>
    </w:p>
    <w:p>
      <w:pPr>
        <w:pStyle w:val="ListParagraph"/>
        <w:numPr>
          <w:ilvl w:val="0"/>
          <w:numId w:val="49"/>
        </w:numPr>
        <w:tabs>
          <w:tab w:pos="654" w:val="left" w:leader="none"/>
          <w:tab w:pos="655" w:val="left" w:leader="none"/>
        </w:tabs>
        <w:spacing w:line="232" w:lineRule="auto" w:before="1" w:after="0"/>
        <w:ind w:left="174" w:right="123" w:firstLine="0"/>
        <w:jc w:val="left"/>
        <w:rPr>
          <w:sz w:val="18"/>
        </w:rPr>
      </w:pPr>
      <w:r>
        <w:rPr>
          <w:sz w:val="18"/>
        </w:rPr>
        <w:t>The British Retail Consortium’s shop price index showed retail prices falling 1.2% in the year to May. The CBI Distributive Trades survey quarterly questions on reported and expected movements in retail prices also showed a marked decline in the balances between February and May, and the level of the balances was now at a record low. However, these indicators primarily related to retail goods price inflation, which continued to be much weaker than that for services. The latest Chartered Institute of Purchasing and Supply (CIPS) services survey indicated a sharp rise in the price index in May. But since the CIPS services survey primarily reflected business-to-business transactions, such strength might take some time to feed through to retail</w:t>
      </w:r>
      <w:r>
        <w:rPr>
          <w:spacing w:val="-19"/>
          <w:sz w:val="18"/>
        </w:rPr>
        <w:t> </w:t>
      </w:r>
      <w:r>
        <w:rPr>
          <w:sz w:val="18"/>
        </w:rPr>
        <w:t>prices.</w:t>
      </w:r>
    </w:p>
    <w:p>
      <w:pPr>
        <w:pStyle w:val="BodyText"/>
        <w:spacing w:before="9"/>
        <w:rPr>
          <w:sz w:val="19"/>
        </w:rPr>
      </w:pPr>
    </w:p>
    <w:p>
      <w:pPr>
        <w:pStyle w:val="Heading4"/>
      </w:pPr>
      <w:r>
        <w:rPr>
          <w:color w:val="009391"/>
        </w:rPr>
        <w:t>Tactical considerations</w:t>
      </w:r>
    </w:p>
    <w:p>
      <w:pPr>
        <w:pStyle w:val="ListParagraph"/>
        <w:numPr>
          <w:ilvl w:val="0"/>
          <w:numId w:val="49"/>
        </w:numPr>
        <w:tabs>
          <w:tab w:pos="654" w:val="left" w:leader="none"/>
          <w:tab w:pos="655" w:val="left" w:leader="none"/>
        </w:tabs>
        <w:spacing w:line="232" w:lineRule="auto" w:before="110" w:after="0"/>
        <w:ind w:left="174" w:right="43" w:firstLine="0"/>
        <w:jc w:val="left"/>
        <w:rPr>
          <w:sz w:val="18"/>
        </w:rPr>
      </w:pPr>
      <w:r>
        <w:rPr>
          <w:sz w:val="18"/>
        </w:rPr>
        <w:t>There was little expectation in financial markets that the Committee would raise interest rates this month, although there was still an expectation of higher rates in the future. So a decision to raise interest rates this month would come as a surprise to the markets and might change expectations. In such circumstances it would be necessary to consider possible effects on the exchange rate and hence the likely consequences for inflation in the medium term.</w:t>
      </w:r>
    </w:p>
    <w:p>
      <w:pPr>
        <w:pStyle w:val="BodyText"/>
        <w:spacing w:before="7"/>
        <w:rPr>
          <w:sz w:val="19"/>
        </w:rPr>
      </w:pPr>
      <w:r>
        <w:rPr/>
        <w:br w:type="column"/>
      </w:r>
      <w:r>
        <w:rPr>
          <w:sz w:val="19"/>
        </w:rPr>
      </w:r>
    </w:p>
    <w:p>
      <w:pPr>
        <w:pStyle w:val="ListParagraph"/>
        <w:numPr>
          <w:ilvl w:val="0"/>
          <w:numId w:val="49"/>
        </w:numPr>
        <w:tabs>
          <w:tab w:pos="654" w:val="left" w:leader="none"/>
          <w:tab w:pos="655" w:val="left" w:leader="none"/>
        </w:tabs>
        <w:spacing w:line="232" w:lineRule="auto" w:before="1" w:after="0"/>
        <w:ind w:left="174" w:right="195" w:firstLine="0"/>
        <w:jc w:val="left"/>
        <w:rPr>
          <w:sz w:val="18"/>
        </w:rPr>
      </w:pPr>
      <w:r>
        <w:rPr>
          <w:sz w:val="18"/>
        </w:rPr>
        <w:t>Previously when the markets had been surprised by a change in interest rates, there had sometimes been a marked change in the exchange rate in the weeks that followed. This might suggest that the exchange rate would appreciate significantly even in response to a 25 basis point rise in interest rates this month. But, in these past examples, it was difficult to isolate the effects of the interest rate decision from the flow of other news affecting market perceptions. It also mattered what market expectations were concerning the decisions at the next ECB and FOMC meetings. If one, or both, surprised the market by raising interest rates more than expected, and UK interest rates were not changed this month, then sterling might depreciate</w:t>
      </w:r>
      <w:r>
        <w:rPr>
          <w:spacing w:val="-7"/>
          <w:sz w:val="18"/>
        </w:rPr>
        <w:t> </w:t>
      </w:r>
      <w:r>
        <w:rPr>
          <w:sz w:val="18"/>
        </w:rPr>
        <w:t>further.</w:t>
      </w:r>
    </w:p>
    <w:p>
      <w:pPr>
        <w:pStyle w:val="BodyText"/>
        <w:spacing w:before="3"/>
        <w:rPr>
          <w:sz w:val="23"/>
        </w:rPr>
      </w:pPr>
    </w:p>
    <w:p>
      <w:pPr>
        <w:pStyle w:val="Heading4"/>
      </w:pPr>
      <w:r>
        <w:rPr>
          <w:color w:val="009391"/>
        </w:rPr>
        <w:t>The overall conjuncture</w:t>
      </w:r>
    </w:p>
    <w:p>
      <w:pPr>
        <w:pStyle w:val="ListParagraph"/>
        <w:numPr>
          <w:ilvl w:val="0"/>
          <w:numId w:val="49"/>
        </w:numPr>
        <w:tabs>
          <w:tab w:pos="654" w:val="left" w:leader="none"/>
          <w:tab w:pos="655" w:val="left" w:leader="none"/>
        </w:tabs>
        <w:spacing w:line="232" w:lineRule="auto" w:before="170" w:after="0"/>
        <w:ind w:left="174" w:right="155" w:firstLine="0"/>
        <w:jc w:val="left"/>
        <w:rPr>
          <w:sz w:val="18"/>
        </w:rPr>
      </w:pPr>
      <w:r>
        <w:rPr>
          <w:sz w:val="18"/>
        </w:rPr>
        <w:t>An important question was how far the evidence over the month suggested that a rebalancing of the economy was in prospect. There were signs of slowing domestic demand and stronger net trade in the first quarter.  There was also the prospect of somewhat stronger net trade in the future given the depreciation of sterling over the past month. So the depreciation of sterling from an unsustainable level was welcome. The important issue for the Committee was what this past and prospective rebalancing of the economy implied for inflation over the next two years or so. How large an effect on inflation would be caused by the exchange rate depreciation? This was especially difficult to know given the uncertainty in gauging pressures on profit margins. Were the signs of slower domestic demand and lower earnings growth sufficient to indicate that domestic inflationary pressures were weaker than previously</w:t>
      </w:r>
      <w:r>
        <w:rPr>
          <w:spacing w:val="-2"/>
          <w:sz w:val="18"/>
        </w:rPr>
        <w:t> </w:t>
      </w:r>
      <w:r>
        <w:rPr>
          <w:sz w:val="18"/>
        </w:rPr>
        <w:t>thought?</w:t>
      </w:r>
    </w:p>
    <w:p>
      <w:pPr>
        <w:pStyle w:val="BodyText"/>
        <w:spacing w:before="7"/>
        <w:rPr>
          <w:sz w:val="21"/>
        </w:rPr>
      </w:pPr>
    </w:p>
    <w:p>
      <w:pPr>
        <w:pStyle w:val="ListParagraph"/>
        <w:numPr>
          <w:ilvl w:val="0"/>
          <w:numId w:val="49"/>
        </w:numPr>
        <w:tabs>
          <w:tab w:pos="654" w:val="left" w:leader="none"/>
          <w:tab w:pos="655" w:val="left" w:leader="none"/>
        </w:tabs>
        <w:spacing w:line="232" w:lineRule="auto" w:before="0" w:after="0"/>
        <w:ind w:left="174" w:right="286" w:firstLine="0"/>
        <w:jc w:val="left"/>
        <w:rPr>
          <w:sz w:val="18"/>
        </w:rPr>
      </w:pPr>
      <w:r>
        <w:rPr>
          <w:sz w:val="18"/>
        </w:rPr>
        <w:t>The effects of real exchange rate changes would typically first be seen on prices and only later on net trade. A weakening in domestic demand would take some time to feed through to lower inflation. So, taken at face value, the recent rebalancing might, other things being equal, raise the prospect of inflation moving closer to target over the next few quarters, assuming the fall in sterling was sustained. Further out, the effects on inflation of the exchange rate depreciation and a possible weakening of domestic demand would need to be carefully</w:t>
      </w:r>
      <w:r>
        <w:rPr>
          <w:spacing w:val="-11"/>
          <w:sz w:val="18"/>
        </w:rPr>
        <w:t> </w:t>
      </w:r>
      <w:r>
        <w:rPr>
          <w:sz w:val="18"/>
        </w:rPr>
        <w:t>weighed.</w:t>
      </w:r>
    </w:p>
    <w:p>
      <w:pPr>
        <w:pStyle w:val="BodyText"/>
        <w:rPr>
          <w:sz w:val="22"/>
        </w:rPr>
      </w:pPr>
    </w:p>
    <w:p>
      <w:pPr>
        <w:pStyle w:val="ListParagraph"/>
        <w:numPr>
          <w:ilvl w:val="0"/>
          <w:numId w:val="49"/>
        </w:numPr>
        <w:tabs>
          <w:tab w:pos="654" w:val="left" w:leader="none"/>
          <w:tab w:pos="655" w:val="left" w:leader="none"/>
        </w:tabs>
        <w:spacing w:line="232" w:lineRule="auto" w:before="0" w:after="0"/>
        <w:ind w:left="174" w:right="251" w:firstLine="0"/>
        <w:jc w:val="left"/>
        <w:rPr>
          <w:sz w:val="18"/>
        </w:rPr>
      </w:pPr>
      <w:r>
        <w:rPr>
          <w:sz w:val="18"/>
        </w:rPr>
        <w:t>Other</w:t>
      </w:r>
      <w:r>
        <w:rPr>
          <w:spacing w:val="-6"/>
          <w:sz w:val="18"/>
        </w:rPr>
        <w:t> </w:t>
      </w:r>
      <w:r>
        <w:rPr>
          <w:sz w:val="18"/>
        </w:rPr>
        <w:t>indicators,</w:t>
      </w:r>
      <w:r>
        <w:rPr>
          <w:spacing w:val="-5"/>
          <w:sz w:val="18"/>
        </w:rPr>
        <w:t> </w:t>
      </w:r>
      <w:r>
        <w:rPr>
          <w:sz w:val="18"/>
        </w:rPr>
        <w:t>such</w:t>
      </w:r>
      <w:r>
        <w:rPr>
          <w:spacing w:val="-5"/>
          <w:sz w:val="18"/>
        </w:rPr>
        <w:t> </w:t>
      </w:r>
      <w:r>
        <w:rPr>
          <w:sz w:val="18"/>
        </w:rPr>
        <w:t>as</w:t>
      </w:r>
      <w:r>
        <w:rPr>
          <w:spacing w:val="-5"/>
          <w:sz w:val="18"/>
        </w:rPr>
        <w:t> </w:t>
      </w:r>
      <w:r>
        <w:rPr>
          <w:sz w:val="18"/>
        </w:rPr>
        <w:t>the</w:t>
      </w:r>
      <w:r>
        <w:rPr>
          <w:spacing w:val="-5"/>
          <w:sz w:val="18"/>
        </w:rPr>
        <w:t> </w:t>
      </w:r>
      <w:r>
        <w:rPr>
          <w:sz w:val="18"/>
        </w:rPr>
        <w:t>gap</w:t>
      </w:r>
      <w:r>
        <w:rPr>
          <w:spacing w:val="-5"/>
          <w:sz w:val="18"/>
        </w:rPr>
        <w:t> </w:t>
      </w:r>
      <w:r>
        <w:rPr>
          <w:sz w:val="18"/>
        </w:rPr>
        <w:t>between</w:t>
      </w:r>
      <w:r>
        <w:rPr>
          <w:spacing w:val="-5"/>
          <w:sz w:val="18"/>
        </w:rPr>
        <w:t> </w:t>
      </w:r>
      <w:r>
        <w:rPr>
          <w:sz w:val="18"/>
        </w:rPr>
        <w:t>service</w:t>
      </w:r>
      <w:r>
        <w:rPr>
          <w:spacing w:val="-5"/>
          <w:sz w:val="18"/>
        </w:rPr>
        <w:t> </w:t>
      </w:r>
      <w:r>
        <w:rPr>
          <w:sz w:val="18"/>
        </w:rPr>
        <w:t>sector</w:t>
      </w:r>
      <w:r>
        <w:rPr>
          <w:spacing w:val="-6"/>
          <w:sz w:val="18"/>
        </w:rPr>
        <w:t> </w:t>
      </w:r>
      <w:r>
        <w:rPr>
          <w:sz w:val="18"/>
        </w:rPr>
        <w:t>and industrial production growth in the first quarter, suggested that the economy was far from being in balance. Indeed, the sterling ERI had only fallen back to its November 1999 level. There was also uncertainty about whether sterling had truly decoupled from the dollar and hence was being influenced by domestic factors, and therefore about how far it would move if the dollar/euro exchange rate changed significantly. The evidence from options markets suggested that the implied correlation between the dollar and sterling</w:t>
      </w:r>
      <w:r>
        <w:rPr>
          <w:spacing w:val="-5"/>
          <w:sz w:val="18"/>
        </w:rPr>
        <w:t> </w:t>
      </w:r>
      <w:r>
        <w:rPr>
          <w:sz w:val="18"/>
        </w:rPr>
        <w:t>was</w:t>
      </w:r>
      <w:r>
        <w:rPr>
          <w:spacing w:val="-5"/>
          <w:sz w:val="18"/>
        </w:rPr>
        <w:t> </w:t>
      </w:r>
      <w:r>
        <w:rPr>
          <w:sz w:val="18"/>
        </w:rPr>
        <w:t>expected</w:t>
      </w:r>
      <w:r>
        <w:rPr>
          <w:spacing w:val="-5"/>
          <w:sz w:val="18"/>
        </w:rPr>
        <w:t> </w:t>
      </w:r>
      <w:r>
        <w:rPr>
          <w:sz w:val="18"/>
        </w:rPr>
        <w:t>to</w:t>
      </w:r>
      <w:r>
        <w:rPr>
          <w:spacing w:val="-5"/>
          <w:sz w:val="18"/>
        </w:rPr>
        <w:t> </w:t>
      </w:r>
      <w:r>
        <w:rPr>
          <w:sz w:val="18"/>
        </w:rPr>
        <w:t>be</w:t>
      </w:r>
      <w:r>
        <w:rPr>
          <w:spacing w:val="-5"/>
          <w:sz w:val="18"/>
        </w:rPr>
        <w:t> </w:t>
      </w:r>
      <w:r>
        <w:rPr>
          <w:sz w:val="18"/>
        </w:rPr>
        <w:t>stronger</w:t>
      </w:r>
      <w:r>
        <w:rPr>
          <w:spacing w:val="-5"/>
          <w:sz w:val="18"/>
        </w:rPr>
        <w:t> </w:t>
      </w:r>
      <w:r>
        <w:rPr>
          <w:sz w:val="18"/>
        </w:rPr>
        <w:t>twelve</w:t>
      </w:r>
      <w:r>
        <w:rPr>
          <w:spacing w:val="-5"/>
          <w:sz w:val="18"/>
        </w:rPr>
        <w:t> </w:t>
      </w:r>
      <w:r>
        <w:rPr>
          <w:sz w:val="18"/>
        </w:rPr>
        <w:t>months</w:t>
      </w:r>
      <w:r>
        <w:rPr>
          <w:spacing w:val="-5"/>
          <w:sz w:val="18"/>
        </w:rPr>
        <w:t> </w:t>
      </w:r>
      <w:r>
        <w:rPr>
          <w:sz w:val="18"/>
        </w:rPr>
        <w:t>ahead</w:t>
      </w:r>
      <w:r>
        <w:rPr>
          <w:spacing w:val="-5"/>
          <w:sz w:val="18"/>
        </w:rPr>
        <w:t> </w:t>
      </w:r>
      <w:r>
        <w:rPr>
          <w:sz w:val="18"/>
        </w:rPr>
        <w:t>than</w:t>
      </w:r>
      <w:r>
        <w:rPr>
          <w:spacing w:val="-5"/>
          <w:sz w:val="18"/>
        </w:rPr>
        <w:t> </w:t>
      </w:r>
      <w:r>
        <w:rPr>
          <w:sz w:val="18"/>
        </w:rPr>
        <w:t>one month ahead, suggesting that the markets anticipated a degree of recoupling.</w:t>
      </w:r>
    </w:p>
    <w:p>
      <w:pPr>
        <w:pStyle w:val="BodyText"/>
        <w:spacing w:before="9"/>
        <w:rPr>
          <w:sz w:val="26"/>
        </w:rPr>
      </w:pPr>
    </w:p>
    <w:p>
      <w:pPr>
        <w:pStyle w:val="Heading4"/>
      </w:pPr>
      <w:r>
        <w:rPr>
          <w:color w:val="009391"/>
        </w:rPr>
        <w:t>The immediate policy decision</w:t>
      </w:r>
    </w:p>
    <w:p>
      <w:pPr>
        <w:pStyle w:val="ListParagraph"/>
        <w:numPr>
          <w:ilvl w:val="0"/>
          <w:numId w:val="49"/>
        </w:numPr>
        <w:tabs>
          <w:tab w:pos="654" w:val="left" w:leader="none"/>
          <w:tab w:pos="655" w:val="left" w:leader="none"/>
        </w:tabs>
        <w:spacing w:line="232" w:lineRule="auto" w:before="170" w:after="0"/>
        <w:ind w:left="174" w:right="226" w:firstLine="0"/>
        <w:jc w:val="left"/>
        <w:rPr>
          <w:sz w:val="18"/>
        </w:rPr>
      </w:pPr>
      <w:r>
        <w:rPr>
          <w:sz w:val="18"/>
        </w:rPr>
        <w:t>One view was that interest rates should be maintained at 6% this month. The most significant development over the month had been the fall in sterling. Treating the recent exchange rate depreciation in the same way as the previous appreciation suggested that inflation would be higher than projected in May. However, in the view of some, not all of the fall in sterling should be treated as an exogenous fall in the real exchange rate, and some of the depreciation might be attributed to changes in the market’s expectation of future UK inflation. The overall effect of the exchange rate depreciation on inflation was highly uncertain, especially if overseas exporters’ margins to the UK fell more sharply than previously expected and if retail margins were squeezed further. Raising interest rates this month might push sterling</w:t>
      </w:r>
      <w:r>
        <w:rPr>
          <w:spacing w:val="-6"/>
          <w:sz w:val="18"/>
        </w:rPr>
        <w:t> </w:t>
      </w:r>
      <w:r>
        <w:rPr>
          <w:sz w:val="18"/>
        </w:rPr>
        <w:t>up</w:t>
      </w:r>
      <w:r>
        <w:rPr>
          <w:spacing w:val="-6"/>
          <w:sz w:val="18"/>
        </w:rPr>
        <w:t> </w:t>
      </w:r>
      <w:r>
        <w:rPr>
          <w:sz w:val="18"/>
        </w:rPr>
        <w:t>again</w:t>
      </w:r>
      <w:r>
        <w:rPr>
          <w:spacing w:val="-6"/>
          <w:sz w:val="18"/>
        </w:rPr>
        <w:t> </w:t>
      </w:r>
      <w:r>
        <w:rPr>
          <w:sz w:val="18"/>
        </w:rPr>
        <w:t>and</w:t>
      </w:r>
      <w:r>
        <w:rPr>
          <w:spacing w:val="-6"/>
          <w:sz w:val="18"/>
        </w:rPr>
        <w:t> </w:t>
      </w:r>
      <w:r>
        <w:rPr>
          <w:sz w:val="18"/>
        </w:rPr>
        <w:t>exacerbate</w:t>
      </w:r>
      <w:r>
        <w:rPr>
          <w:spacing w:val="-6"/>
          <w:sz w:val="18"/>
        </w:rPr>
        <w:t> </w:t>
      </w:r>
      <w:r>
        <w:rPr>
          <w:sz w:val="18"/>
        </w:rPr>
        <w:t>the</w:t>
      </w:r>
      <w:r>
        <w:rPr>
          <w:spacing w:val="-5"/>
          <w:sz w:val="18"/>
        </w:rPr>
        <w:t> </w:t>
      </w:r>
      <w:r>
        <w:rPr>
          <w:sz w:val="18"/>
        </w:rPr>
        <w:t>undershoot</w:t>
      </w:r>
      <w:r>
        <w:rPr>
          <w:spacing w:val="-6"/>
          <w:sz w:val="18"/>
        </w:rPr>
        <w:t> </w:t>
      </w:r>
      <w:r>
        <w:rPr>
          <w:sz w:val="18"/>
        </w:rPr>
        <w:t>of</w:t>
      </w:r>
      <w:r>
        <w:rPr>
          <w:spacing w:val="-6"/>
          <w:sz w:val="18"/>
        </w:rPr>
        <w:t> </w:t>
      </w:r>
      <w:r>
        <w:rPr>
          <w:sz w:val="18"/>
        </w:rPr>
        <w:t>inflation</w:t>
      </w:r>
      <w:r>
        <w:rPr>
          <w:spacing w:val="-6"/>
          <w:sz w:val="18"/>
        </w:rPr>
        <w:t> </w:t>
      </w:r>
      <w:r>
        <w:rPr>
          <w:sz w:val="18"/>
        </w:rPr>
        <w:t>against</w:t>
      </w:r>
    </w:p>
    <w:p>
      <w:pPr>
        <w:spacing w:after="0" w:line="232" w:lineRule="auto"/>
        <w:jc w:val="left"/>
        <w:rPr>
          <w:sz w:val="18"/>
        </w:rPr>
        <w:sectPr>
          <w:type w:val="continuous"/>
          <w:pgSz w:w="11900" w:h="16840"/>
          <w:pgMar w:top="1260" w:bottom="280" w:left="640" w:right="640"/>
          <w:cols w:num="2" w:equalWidth="0">
            <w:col w:w="5118" w:space="267"/>
            <w:col w:w="5235"/>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4"/>
        <w:rPr>
          <w:sz w:val="21"/>
        </w:rPr>
      </w:pPr>
    </w:p>
    <w:p>
      <w:pPr>
        <w:pStyle w:val="BodyText"/>
        <w:spacing w:line="232" w:lineRule="auto" w:before="1"/>
        <w:ind w:left="180" w:right="99"/>
      </w:pPr>
      <w:r>
        <w:rPr/>
        <w:t>the target in the near-term, while simultaneously aggravating the potential size of the inflationary shock further out as sterling would fall from a more elevated level.</w:t>
      </w:r>
    </w:p>
    <w:p>
      <w:pPr>
        <w:pStyle w:val="BodyText"/>
        <w:spacing w:before="2"/>
        <w:rPr>
          <w:sz w:val="17"/>
        </w:rPr>
      </w:pPr>
    </w:p>
    <w:p>
      <w:pPr>
        <w:pStyle w:val="ListParagraph"/>
        <w:numPr>
          <w:ilvl w:val="0"/>
          <w:numId w:val="49"/>
        </w:numPr>
        <w:tabs>
          <w:tab w:pos="659" w:val="left" w:leader="none"/>
          <w:tab w:pos="660" w:val="left" w:leader="none"/>
        </w:tabs>
        <w:spacing w:line="232" w:lineRule="auto" w:before="0" w:after="0"/>
        <w:ind w:left="180" w:right="82" w:firstLine="0"/>
        <w:jc w:val="left"/>
        <w:rPr>
          <w:sz w:val="18"/>
        </w:rPr>
      </w:pPr>
      <w:r>
        <w:rPr>
          <w:sz w:val="18"/>
        </w:rPr>
        <w:t>Some of the other indicators suggested that domestic inflationary pressures might be showing signs of easing more than expected. For example, final domestic demand growth had been weaker than previously expected in Q1. Retail sales had also been weak in April, although indicators pointed to a resumption in growth in May. The housing market seemed to have slowed, which appeared consistent with slowing consumption growth. The release of the National Accounts data for Q1 on 29 June might help clarify the extent of the slowdown. Earnings growth had so far turned out weaker than in the central projection—although other indicators suggested that the labour market remained tight. While the depreciation would, other things being equal, lead to higher inflation looking further out, inflation was still below target and likely to be so for some time. There was no need for a rise in interest rates this month, and for some members no presumption that a further rise would be needed. The depreciation of sterling would help bring about a rebalancing of the economy, and that was welcome even if it meant that at some point higher interest rates were needed. Even those members who thought that a further rise in interest rates might eventually be necessary noted that the costs associated with waiting were low in comparison to the costs that would be incurred by moving now and potentially exacerbating sterling’s</w:t>
      </w:r>
      <w:r>
        <w:rPr>
          <w:spacing w:val="-2"/>
          <w:sz w:val="18"/>
        </w:rPr>
        <w:t> </w:t>
      </w:r>
      <w:r>
        <w:rPr>
          <w:sz w:val="18"/>
        </w:rPr>
        <w:t>overvaluation.</w:t>
      </w:r>
    </w:p>
    <w:p>
      <w:pPr>
        <w:pStyle w:val="BodyText"/>
        <w:spacing w:before="9"/>
        <w:rPr>
          <w:sz w:val="15"/>
        </w:rPr>
      </w:pPr>
    </w:p>
    <w:p>
      <w:pPr>
        <w:pStyle w:val="ListParagraph"/>
        <w:numPr>
          <w:ilvl w:val="0"/>
          <w:numId w:val="49"/>
        </w:numPr>
        <w:tabs>
          <w:tab w:pos="659" w:val="left" w:leader="none"/>
          <w:tab w:pos="660" w:val="left" w:leader="none"/>
        </w:tabs>
        <w:spacing w:line="232" w:lineRule="auto" w:before="0" w:after="0"/>
        <w:ind w:left="179" w:right="38" w:firstLine="0"/>
        <w:jc w:val="left"/>
        <w:rPr>
          <w:sz w:val="18"/>
        </w:rPr>
      </w:pPr>
      <w:r>
        <w:rPr>
          <w:sz w:val="18"/>
        </w:rPr>
        <w:t>The alternative view was that, on balance, the data this month required a rise in interest rates of 25 basis points. The effect of the depreciation of the exchange rate on prospective inflation was significant and was not offset by the other news. The slowdown in final domestic demand in the first quarter was probably partly erratic and should not significantly change the outlook, although the upside risks seemed to have diminished since the May </w:t>
      </w:r>
      <w:r>
        <w:rPr>
          <w:i/>
          <w:sz w:val="18"/>
        </w:rPr>
        <w:t>Report</w:t>
      </w:r>
      <w:r>
        <w:rPr>
          <w:sz w:val="18"/>
        </w:rPr>
        <w:t>. The bounce-back in industrial production at the start of Q2 was consistent with a recovery in demand and output growth in Q2. The latest evidence was still consistent with consumption growing close to trend, as projected in May. The labour market was tight on most measures. It was not sensible to place too much weight on the</w:t>
      </w:r>
      <w:r>
        <w:rPr>
          <w:spacing w:val="2"/>
          <w:sz w:val="18"/>
        </w:rPr>
        <w:t> </w:t>
      </w:r>
      <w:r>
        <w:rPr>
          <w:sz w:val="18"/>
        </w:rPr>
        <w:t>fall</w:t>
      </w:r>
    </w:p>
    <w:p>
      <w:pPr>
        <w:pStyle w:val="BodyText"/>
        <w:spacing w:before="4"/>
        <w:rPr>
          <w:sz w:val="21"/>
        </w:rPr>
      </w:pPr>
      <w:r>
        <w:rPr/>
        <w:br w:type="column"/>
      </w:r>
      <w:r>
        <w:rPr>
          <w:sz w:val="21"/>
        </w:rPr>
      </w:r>
    </w:p>
    <w:p>
      <w:pPr>
        <w:pStyle w:val="BodyText"/>
        <w:spacing w:line="232" w:lineRule="auto" w:before="1"/>
        <w:ind w:left="179" w:right="110"/>
      </w:pPr>
      <w:r>
        <w:rPr/>
        <w:t>in earnings growth in March and there was still a risk that earnings could turn out stronger than the deceleration in the May central projection. Given the recent depreciation of sterling, the downward pressure on retail prices from the past appreciation of sterling would cease. Although measures of domestically generated inflation had fallen they remained above the 2</w:t>
      </w:r>
      <w:r>
        <w:rPr>
          <w:position w:val="6"/>
          <w:sz w:val="9"/>
        </w:rPr>
        <w:t>1</w:t>
      </w:r>
      <w:r>
        <w:rPr/>
        <w:t>/</w:t>
      </w:r>
      <w:r>
        <w:rPr>
          <w:sz w:val="9"/>
        </w:rPr>
        <w:t>2</w:t>
      </w:r>
      <w:r>
        <w:rPr/>
        <w:t>% target, so that a slowdown in private sector domestic demand growth was still required. Against this background, the data pointed to higher inflation than thought a month ago. Were there, nevertheless, reasons for waiting? The exchange rate depreciation could reverse;  there was a risk that a rise in interest rates would be misinterpreted as being linked to the exchange rate depreciation in a mechanical way; a rise in rates might lead to an appreciation of sterling if it surprised the markets; and some of the demand and output puzzles might get resolved through the release of the </w:t>
      </w:r>
      <w:r>
        <w:rPr>
          <w:i/>
        </w:rPr>
        <w:t>Blue Book </w:t>
      </w:r>
      <w:r>
        <w:rPr/>
        <w:t>data. While these outcomes were all possible, none seemed sufficiently compelling to delay action warranted by the data. For these reasons a rise in interest rates of 25 basis points was desirable this</w:t>
      </w:r>
      <w:r>
        <w:rPr>
          <w:spacing w:val="-15"/>
        </w:rPr>
        <w:t> </w:t>
      </w:r>
      <w:r>
        <w:rPr/>
        <w:t>month.</w:t>
      </w:r>
    </w:p>
    <w:p>
      <w:pPr>
        <w:pStyle w:val="BodyText"/>
        <w:spacing w:before="1"/>
        <w:rPr>
          <w:sz w:val="16"/>
        </w:rPr>
      </w:pPr>
    </w:p>
    <w:p>
      <w:pPr>
        <w:pStyle w:val="ListParagraph"/>
        <w:numPr>
          <w:ilvl w:val="0"/>
          <w:numId w:val="49"/>
        </w:numPr>
        <w:tabs>
          <w:tab w:pos="659" w:val="left" w:leader="none"/>
          <w:tab w:pos="660" w:val="left" w:leader="none"/>
        </w:tabs>
        <w:spacing w:line="232" w:lineRule="auto" w:before="1" w:after="0"/>
        <w:ind w:left="179" w:right="330" w:firstLine="0"/>
        <w:jc w:val="left"/>
        <w:rPr>
          <w:sz w:val="18"/>
        </w:rPr>
      </w:pPr>
      <w:r>
        <w:rPr>
          <w:sz w:val="18"/>
        </w:rPr>
        <w:t>The Governor invited members to vote on the proposition that the Bank’s repo rate be maintained at 6.0%. Six members of the Committee (the Governor, David Clementi, Christopher Allsopp, DeAnne Julius, Ian Plenderleith and Sushil Wadhwani) voted for the proposition. Mervyn King, Stephen Nickell and John Vickers voted against, preferring a rise in rates of 25 basis points.</w:t>
      </w:r>
    </w:p>
    <w:p>
      <w:pPr>
        <w:pStyle w:val="ListParagraph"/>
        <w:numPr>
          <w:ilvl w:val="0"/>
          <w:numId w:val="49"/>
        </w:numPr>
        <w:tabs>
          <w:tab w:pos="659" w:val="left" w:leader="none"/>
          <w:tab w:pos="660" w:val="left" w:leader="none"/>
        </w:tabs>
        <w:spacing w:line="400" w:lineRule="exact" w:before="37" w:after="0"/>
        <w:ind w:left="179" w:right="505" w:firstLine="0"/>
        <w:jc w:val="left"/>
        <w:rPr>
          <w:sz w:val="18"/>
        </w:rPr>
      </w:pPr>
      <w:r>
        <w:rPr>
          <w:sz w:val="18"/>
        </w:rPr>
        <w:t>The following members of the Committee were present: Eddie George,</w:t>
      </w:r>
      <w:r>
        <w:rPr>
          <w:spacing w:val="-3"/>
          <w:sz w:val="18"/>
        </w:rPr>
        <w:t> </w:t>
      </w:r>
      <w:r>
        <w:rPr>
          <w:sz w:val="18"/>
        </w:rPr>
        <w:t>Governor</w:t>
      </w:r>
    </w:p>
    <w:p>
      <w:pPr>
        <w:pStyle w:val="BodyText"/>
        <w:spacing w:line="155" w:lineRule="exact"/>
        <w:ind w:left="179"/>
      </w:pPr>
      <w:r>
        <w:rPr/>
        <w:t>Mervyn King, Deputy Governor responsible for monetary policy</w:t>
      </w:r>
    </w:p>
    <w:p>
      <w:pPr>
        <w:pStyle w:val="BodyText"/>
        <w:spacing w:line="232" w:lineRule="auto" w:before="2"/>
        <w:ind w:left="179" w:right="92"/>
      </w:pPr>
      <w:r>
        <w:rPr/>
        <w:t>David Clementi, Deputy Governor responsible for financial stability Christopher Allsopp</w:t>
      </w:r>
    </w:p>
    <w:p>
      <w:pPr>
        <w:pStyle w:val="BodyText"/>
        <w:spacing w:line="232" w:lineRule="auto"/>
        <w:ind w:left="179" w:right="3736"/>
      </w:pPr>
      <w:r>
        <w:rPr/>
        <w:t>DeAnne Julius Stephen Nickell Ian Plenderleith John Vickers Sushil Wadhwani</w:t>
      </w:r>
    </w:p>
    <w:p>
      <w:pPr>
        <w:pStyle w:val="BodyText"/>
        <w:spacing w:before="5"/>
        <w:rPr>
          <w:sz w:val="16"/>
        </w:rPr>
      </w:pPr>
    </w:p>
    <w:p>
      <w:pPr>
        <w:pStyle w:val="ListParagraph"/>
        <w:numPr>
          <w:ilvl w:val="0"/>
          <w:numId w:val="49"/>
        </w:numPr>
        <w:tabs>
          <w:tab w:pos="659" w:val="left" w:leader="none"/>
          <w:tab w:pos="660" w:val="left" w:leader="none"/>
        </w:tabs>
        <w:spacing w:line="240" w:lineRule="auto" w:before="0" w:after="0"/>
        <w:ind w:left="659" w:right="0" w:hanging="481"/>
        <w:jc w:val="left"/>
        <w:rPr>
          <w:sz w:val="18"/>
        </w:rPr>
      </w:pPr>
      <w:r>
        <w:rPr>
          <w:sz w:val="18"/>
        </w:rPr>
        <w:t>Gus O’Donnell was present as the Treasury</w:t>
      </w:r>
      <w:r>
        <w:rPr>
          <w:spacing w:val="-27"/>
          <w:sz w:val="18"/>
        </w:rPr>
        <w:t> </w:t>
      </w:r>
      <w:r>
        <w:rPr>
          <w:sz w:val="18"/>
        </w:rPr>
        <w:t>representative.</w:t>
      </w:r>
    </w:p>
    <w:p>
      <w:pPr>
        <w:spacing w:after="0" w:line="240" w:lineRule="auto"/>
        <w:jc w:val="left"/>
        <w:rPr>
          <w:sz w:val="18"/>
        </w:rPr>
        <w:sectPr>
          <w:type w:val="continuous"/>
          <w:pgSz w:w="11900" w:h="16840"/>
          <w:pgMar w:top="1260" w:bottom="280" w:left="640" w:right="640"/>
          <w:cols w:num="2" w:equalWidth="0">
            <w:col w:w="5148" w:space="262"/>
            <w:col w:w="5210"/>
          </w:cols>
        </w:sectPr>
      </w:pPr>
    </w:p>
    <w:p>
      <w:pPr>
        <w:pStyle w:val="BodyText"/>
        <w:rPr>
          <w:sz w:val="20"/>
        </w:rPr>
      </w:pPr>
    </w:p>
    <w:p>
      <w:pPr>
        <w:pStyle w:val="BodyText"/>
        <w:rPr>
          <w:sz w:val="20"/>
        </w:rPr>
      </w:pPr>
    </w:p>
    <w:p>
      <w:pPr>
        <w:pStyle w:val="BodyText"/>
        <w:spacing w:before="1"/>
        <w:rPr>
          <w:sz w:val="16"/>
        </w:rPr>
      </w:pPr>
    </w:p>
    <w:p>
      <w:pPr>
        <w:spacing w:before="86"/>
        <w:ind w:left="179" w:right="0" w:firstLine="0"/>
        <w:jc w:val="left"/>
        <w:rPr>
          <w:b/>
          <w:sz w:val="32"/>
        </w:rPr>
      </w:pPr>
      <w:r>
        <w:rPr>
          <w:b/>
          <w:color w:val="009391"/>
          <w:sz w:val="32"/>
        </w:rPr>
        <w:t>Annex: Summary of data presented by Bank staff</w:t>
      </w:r>
    </w:p>
    <w:p>
      <w:pPr>
        <w:pStyle w:val="BodyText"/>
        <w:spacing w:before="9"/>
        <w:rPr>
          <w:b/>
          <w:sz w:val="27"/>
        </w:rPr>
      </w:pPr>
    </w:p>
    <w:p>
      <w:pPr>
        <w:spacing w:after="0"/>
        <w:rPr>
          <w:sz w:val="27"/>
        </w:rPr>
        <w:sectPr>
          <w:pgSz w:w="11900" w:h="16840"/>
          <w:pgMar w:header="566" w:footer="597" w:top="760" w:bottom="780" w:left="640" w:right="640"/>
        </w:sectPr>
      </w:pPr>
    </w:p>
    <w:p>
      <w:pPr>
        <w:pStyle w:val="ListParagraph"/>
        <w:numPr>
          <w:ilvl w:val="0"/>
          <w:numId w:val="50"/>
        </w:numPr>
        <w:tabs>
          <w:tab w:pos="654" w:val="left" w:leader="none"/>
          <w:tab w:pos="655" w:val="left" w:leader="none"/>
        </w:tabs>
        <w:spacing w:line="232" w:lineRule="auto" w:before="98" w:after="0"/>
        <w:ind w:left="174" w:right="103" w:firstLine="0"/>
        <w:jc w:val="left"/>
        <w:rPr>
          <w:sz w:val="18"/>
        </w:rPr>
      </w:pPr>
      <w:r>
        <w:rPr>
          <w:sz w:val="18"/>
        </w:rPr>
        <w:t>This annex summarises the analysis presented by Bank staff to the Monetary Policy Committee on 1 June in advance of its meeting on 6–7 June 2000. Bank staff also briefed the Committee on the latest outside forecasts available as of 1 June. At the start of the Committee meeting itself, members were made aware of information that had subsequently become available, and that information is included in this</w:t>
      </w:r>
      <w:r>
        <w:rPr>
          <w:spacing w:val="-8"/>
          <w:sz w:val="18"/>
        </w:rPr>
        <w:t> </w:t>
      </w:r>
      <w:r>
        <w:rPr>
          <w:sz w:val="18"/>
        </w:rPr>
        <w:t>Annex.</w:t>
      </w:r>
    </w:p>
    <w:p>
      <w:pPr>
        <w:pStyle w:val="BodyText"/>
        <w:spacing w:before="7"/>
        <w:rPr>
          <w:sz w:val="23"/>
        </w:rPr>
      </w:pPr>
    </w:p>
    <w:p>
      <w:pPr>
        <w:pStyle w:val="Heading4"/>
        <w:numPr>
          <w:ilvl w:val="0"/>
          <w:numId w:val="51"/>
        </w:numPr>
        <w:tabs>
          <w:tab w:pos="655" w:val="left" w:leader="none"/>
        </w:tabs>
        <w:spacing w:line="240" w:lineRule="auto" w:before="0" w:after="0"/>
        <w:ind w:left="654" w:right="0" w:hanging="481"/>
        <w:jc w:val="both"/>
      </w:pPr>
      <w:r>
        <w:rPr>
          <w:color w:val="009391"/>
        </w:rPr>
        <w:t>The international</w:t>
      </w:r>
      <w:r>
        <w:rPr>
          <w:color w:val="009391"/>
          <w:spacing w:val="-5"/>
        </w:rPr>
        <w:t> </w:t>
      </w:r>
      <w:r>
        <w:rPr>
          <w:color w:val="009391"/>
        </w:rPr>
        <w:t>environment</w:t>
      </w:r>
    </w:p>
    <w:p>
      <w:pPr>
        <w:pStyle w:val="ListParagraph"/>
        <w:numPr>
          <w:ilvl w:val="0"/>
          <w:numId w:val="50"/>
        </w:numPr>
        <w:tabs>
          <w:tab w:pos="654" w:val="left" w:leader="none"/>
          <w:tab w:pos="655" w:val="left" w:leader="none"/>
        </w:tabs>
        <w:spacing w:line="232" w:lineRule="auto" w:before="150" w:after="0"/>
        <w:ind w:left="174" w:right="44" w:firstLine="0"/>
        <w:jc w:val="left"/>
        <w:rPr>
          <w:sz w:val="18"/>
        </w:rPr>
      </w:pPr>
      <w:r>
        <w:rPr>
          <w:sz w:val="18"/>
        </w:rPr>
        <w:t>US industrial production had grown strongly during April, and consumer confidence in May had been strong. The National Association of Purchasing Managers’ (NAPM) index had fallen in May,</w:t>
      </w:r>
      <w:r>
        <w:rPr>
          <w:spacing w:val="-5"/>
          <w:sz w:val="18"/>
        </w:rPr>
        <w:t> </w:t>
      </w:r>
      <w:r>
        <w:rPr>
          <w:sz w:val="18"/>
        </w:rPr>
        <w:t>largely</w:t>
      </w:r>
      <w:r>
        <w:rPr>
          <w:spacing w:val="-4"/>
          <w:sz w:val="18"/>
        </w:rPr>
        <w:t> </w:t>
      </w:r>
      <w:r>
        <w:rPr>
          <w:sz w:val="18"/>
        </w:rPr>
        <w:t>because</w:t>
      </w:r>
      <w:r>
        <w:rPr>
          <w:spacing w:val="-4"/>
          <w:sz w:val="18"/>
        </w:rPr>
        <w:t> </w:t>
      </w:r>
      <w:r>
        <w:rPr>
          <w:sz w:val="18"/>
        </w:rPr>
        <w:t>of</w:t>
      </w:r>
      <w:r>
        <w:rPr>
          <w:spacing w:val="-4"/>
          <w:sz w:val="18"/>
        </w:rPr>
        <w:t> </w:t>
      </w:r>
      <w:r>
        <w:rPr>
          <w:sz w:val="18"/>
        </w:rPr>
        <w:t>a</w:t>
      </w:r>
      <w:r>
        <w:rPr>
          <w:spacing w:val="-5"/>
          <w:sz w:val="18"/>
        </w:rPr>
        <w:t> </w:t>
      </w:r>
      <w:r>
        <w:rPr>
          <w:sz w:val="18"/>
        </w:rPr>
        <w:t>sharp</w:t>
      </w:r>
      <w:r>
        <w:rPr>
          <w:spacing w:val="-4"/>
          <w:sz w:val="18"/>
        </w:rPr>
        <w:t> </w:t>
      </w:r>
      <w:r>
        <w:rPr>
          <w:sz w:val="18"/>
        </w:rPr>
        <w:t>fall</w:t>
      </w:r>
      <w:r>
        <w:rPr>
          <w:spacing w:val="-4"/>
          <w:sz w:val="18"/>
        </w:rPr>
        <w:t> </w:t>
      </w:r>
      <w:r>
        <w:rPr>
          <w:sz w:val="18"/>
        </w:rPr>
        <w:t>in</w:t>
      </w:r>
      <w:r>
        <w:rPr>
          <w:spacing w:val="-4"/>
          <w:sz w:val="18"/>
        </w:rPr>
        <w:t> </w:t>
      </w:r>
      <w:r>
        <w:rPr>
          <w:sz w:val="18"/>
        </w:rPr>
        <w:t>the</w:t>
      </w:r>
      <w:r>
        <w:rPr>
          <w:spacing w:val="-5"/>
          <w:sz w:val="18"/>
        </w:rPr>
        <w:t> </w:t>
      </w:r>
      <w:r>
        <w:rPr>
          <w:sz w:val="18"/>
        </w:rPr>
        <w:t>new</w:t>
      </w:r>
      <w:r>
        <w:rPr>
          <w:spacing w:val="-4"/>
          <w:sz w:val="18"/>
        </w:rPr>
        <w:t> </w:t>
      </w:r>
      <w:r>
        <w:rPr>
          <w:sz w:val="18"/>
        </w:rPr>
        <w:t>orders</w:t>
      </w:r>
      <w:r>
        <w:rPr>
          <w:spacing w:val="-4"/>
          <w:sz w:val="18"/>
        </w:rPr>
        <w:t> </w:t>
      </w:r>
      <w:r>
        <w:rPr>
          <w:sz w:val="18"/>
        </w:rPr>
        <w:t>component</w:t>
      </w:r>
      <w:r>
        <w:rPr>
          <w:spacing w:val="-4"/>
          <w:sz w:val="18"/>
        </w:rPr>
        <w:t> </w:t>
      </w:r>
      <w:r>
        <w:rPr>
          <w:sz w:val="18"/>
        </w:rPr>
        <w:t>of the index from 56.3 to 51.1, though the production index had also fallen. The indices for inventories and employment had risen slightly in the month. Retail sales had fallen slightly in April, the first monthly fall since August 1998. The US trade deficit had widened further in March. Trade volumes had risen strongly, with export growth slightly higher than import growth. The unemployment rate in May had risen to 4.1%, from 3.9% in April. Non-farm payrolls had risen by 231,000, although this had been boosted by an additional 357,000 workers recruited for the Census. Unit labour costs had increased in the first quarter, partly due to a slowing in productivity</w:t>
      </w:r>
      <w:r>
        <w:rPr>
          <w:spacing w:val="-5"/>
          <w:sz w:val="18"/>
        </w:rPr>
        <w:t> </w:t>
      </w:r>
      <w:r>
        <w:rPr>
          <w:sz w:val="18"/>
        </w:rPr>
        <w:t>growth.</w:t>
      </w:r>
    </w:p>
    <w:p>
      <w:pPr>
        <w:pStyle w:val="BodyText"/>
        <w:spacing w:before="1"/>
      </w:pPr>
    </w:p>
    <w:p>
      <w:pPr>
        <w:pStyle w:val="ListParagraph"/>
        <w:numPr>
          <w:ilvl w:val="0"/>
          <w:numId w:val="50"/>
        </w:numPr>
        <w:tabs>
          <w:tab w:pos="654" w:val="left" w:leader="none"/>
          <w:tab w:pos="655" w:val="left" w:leader="none"/>
        </w:tabs>
        <w:spacing w:line="232" w:lineRule="auto" w:before="0" w:after="0"/>
        <w:ind w:left="174" w:right="73" w:firstLine="0"/>
        <w:jc w:val="left"/>
        <w:rPr>
          <w:sz w:val="18"/>
        </w:rPr>
      </w:pPr>
      <w:r>
        <w:rPr>
          <w:sz w:val="18"/>
        </w:rPr>
        <w:t>GDP in Germany and France had grown by 0.7% in Q1. In the euro area as a whole both business and consumer confidence had remained at historically high levels. The euro-area unemployment rate had fallen to 9.2% in April, its lowest rate since September</w:t>
      </w:r>
      <w:r>
        <w:rPr>
          <w:spacing w:val="-2"/>
          <w:sz w:val="18"/>
        </w:rPr>
        <w:t> </w:t>
      </w:r>
      <w:r>
        <w:rPr>
          <w:sz w:val="18"/>
        </w:rPr>
        <w:t>1992.</w:t>
      </w:r>
    </w:p>
    <w:p>
      <w:pPr>
        <w:pStyle w:val="BodyText"/>
        <w:spacing w:before="9"/>
      </w:pPr>
    </w:p>
    <w:p>
      <w:pPr>
        <w:pStyle w:val="ListParagraph"/>
        <w:numPr>
          <w:ilvl w:val="0"/>
          <w:numId w:val="50"/>
        </w:numPr>
        <w:tabs>
          <w:tab w:pos="654" w:val="left" w:leader="none"/>
          <w:tab w:pos="655" w:val="left" w:leader="none"/>
        </w:tabs>
        <w:spacing w:line="232" w:lineRule="auto" w:before="0" w:after="0"/>
        <w:ind w:left="174" w:right="38" w:firstLine="0"/>
        <w:jc w:val="left"/>
        <w:rPr>
          <w:sz w:val="18"/>
        </w:rPr>
      </w:pPr>
      <w:r>
        <w:rPr>
          <w:sz w:val="18"/>
        </w:rPr>
        <w:t>In Japan, many estimates of GDP in Q1 had pointed towards strong growth, following negative growth in Q3 and Q4 of 1999. In April, industrial production had risen by 7.8% on a year earlier. A sharp fall in public construction orders during April had indicated that the fiscal package may have been front-loaded into Q1. Nominal retail sales had declined in the year to April. The trade surplus had widened in April. Exports had risen slightly faster than imports,</w:t>
      </w:r>
      <w:r>
        <w:rPr>
          <w:spacing w:val="-4"/>
          <w:sz w:val="18"/>
        </w:rPr>
        <w:t> </w:t>
      </w:r>
      <w:r>
        <w:rPr>
          <w:sz w:val="18"/>
        </w:rPr>
        <w:t>driven</w:t>
      </w:r>
      <w:r>
        <w:rPr>
          <w:spacing w:val="-3"/>
          <w:sz w:val="18"/>
        </w:rPr>
        <w:t> </w:t>
      </w:r>
      <w:r>
        <w:rPr>
          <w:sz w:val="18"/>
        </w:rPr>
        <w:t>by</w:t>
      </w:r>
      <w:r>
        <w:rPr>
          <w:spacing w:val="-4"/>
          <w:sz w:val="18"/>
        </w:rPr>
        <w:t> </w:t>
      </w:r>
      <w:r>
        <w:rPr>
          <w:sz w:val="18"/>
        </w:rPr>
        <w:t>strong</w:t>
      </w:r>
      <w:r>
        <w:rPr>
          <w:spacing w:val="-3"/>
          <w:sz w:val="18"/>
        </w:rPr>
        <w:t> </w:t>
      </w:r>
      <w:r>
        <w:rPr>
          <w:sz w:val="18"/>
        </w:rPr>
        <w:t>demand</w:t>
      </w:r>
      <w:r>
        <w:rPr>
          <w:spacing w:val="-4"/>
          <w:sz w:val="18"/>
        </w:rPr>
        <w:t> </w:t>
      </w:r>
      <w:r>
        <w:rPr>
          <w:sz w:val="18"/>
        </w:rPr>
        <w:t>in</w:t>
      </w:r>
      <w:r>
        <w:rPr>
          <w:spacing w:val="-3"/>
          <w:sz w:val="18"/>
        </w:rPr>
        <w:t> </w:t>
      </w:r>
      <w:r>
        <w:rPr>
          <w:sz w:val="18"/>
        </w:rPr>
        <w:t>Asia</w:t>
      </w:r>
      <w:r>
        <w:rPr>
          <w:spacing w:val="-3"/>
          <w:sz w:val="18"/>
        </w:rPr>
        <w:t> </w:t>
      </w:r>
      <w:r>
        <w:rPr>
          <w:sz w:val="18"/>
        </w:rPr>
        <w:t>and</w:t>
      </w:r>
      <w:r>
        <w:rPr>
          <w:spacing w:val="-4"/>
          <w:sz w:val="18"/>
        </w:rPr>
        <w:t> </w:t>
      </w:r>
      <w:r>
        <w:rPr>
          <w:sz w:val="18"/>
        </w:rPr>
        <w:t>the</w:t>
      </w:r>
      <w:r>
        <w:rPr>
          <w:spacing w:val="-3"/>
          <w:sz w:val="18"/>
        </w:rPr>
        <w:t> </w:t>
      </w:r>
      <w:r>
        <w:rPr>
          <w:sz w:val="18"/>
        </w:rPr>
        <w:t>United</w:t>
      </w:r>
      <w:r>
        <w:rPr>
          <w:spacing w:val="-4"/>
          <w:sz w:val="18"/>
        </w:rPr>
        <w:t> </w:t>
      </w:r>
      <w:r>
        <w:rPr>
          <w:sz w:val="18"/>
        </w:rPr>
        <w:t>States.</w:t>
      </w:r>
    </w:p>
    <w:p>
      <w:pPr>
        <w:pStyle w:val="BodyText"/>
        <w:spacing w:line="232" w:lineRule="auto"/>
        <w:ind w:left="174" w:right="48"/>
        <w:jc w:val="both"/>
      </w:pPr>
      <w:r>
        <w:rPr/>
        <w:t>On an unadjusted basis, nominal wages had increased in the year to April by 1.4%. The unemployment rate had fallen to 4.8% in April, but inactivity had risen as employment fell.</w:t>
      </w:r>
    </w:p>
    <w:p>
      <w:pPr>
        <w:pStyle w:val="BodyText"/>
        <w:spacing w:before="5"/>
      </w:pPr>
    </w:p>
    <w:p>
      <w:pPr>
        <w:pStyle w:val="ListParagraph"/>
        <w:numPr>
          <w:ilvl w:val="0"/>
          <w:numId w:val="50"/>
        </w:numPr>
        <w:tabs>
          <w:tab w:pos="654" w:val="left" w:leader="none"/>
          <w:tab w:pos="655" w:val="left" w:leader="none"/>
        </w:tabs>
        <w:spacing w:line="232" w:lineRule="auto" w:before="0" w:after="0"/>
        <w:ind w:left="174" w:right="243" w:firstLine="0"/>
        <w:jc w:val="left"/>
        <w:rPr>
          <w:sz w:val="18"/>
        </w:rPr>
      </w:pPr>
      <w:r>
        <w:rPr>
          <w:sz w:val="18"/>
        </w:rPr>
        <w:t>Oil</w:t>
      </w:r>
      <w:r>
        <w:rPr>
          <w:spacing w:val="-5"/>
          <w:sz w:val="18"/>
        </w:rPr>
        <w:t> </w:t>
      </w:r>
      <w:r>
        <w:rPr>
          <w:sz w:val="18"/>
        </w:rPr>
        <w:t>prices</w:t>
      </w:r>
      <w:r>
        <w:rPr>
          <w:spacing w:val="-4"/>
          <w:sz w:val="18"/>
        </w:rPr>
        <w:t> </w:t>
      </w:r>
      <w:r>
        <w:rPr>
          <w:sz w:val="18"/>
        </w:rPr>
        <w:t>had</w:t>
      </w:r>
      <w:r>
        <w:rPr>
          <w:spacing w:val="-5"/>
          <w:sz w:val="18"/>
        </w:rPr>
        <w:t> </w:t>
      </w:r>
      <w:r>
        <w:rPr>
          <w:sz w:val="18"/>
        </w:rPr>
        <w:t>risen</w:t>
      </w:r>
      <w:r>
        <w:rPr>
          <w:spacing w:val="-4"/>
          <w:sz w:val="18"/>
        </w:rPr>
        <w:t> </w:t>
      </w:r>
      <w:r>
        <w:rPr>
          <w:sz w:val="18"/>
        </w:rPr>
        <w:t>during</w:t>
      </w:r>
      <w:r>
        <w:rPr>
          <w:spacing w:val="-5"/>
          <w:sz w:val="18"/>
        </w:rPr>
        <w:t> </w:t>
      </w:r>
      <w:r>
        <w:rPr>
          <w:sz w:val="18"/>
        </w:rPr>
        <w:t>the</w:t>
      </w:r>
      <w:r>
        <w:rPr>
          <w:spacing w:val="-4"/>
          <w:sz w:val="18"/>
        </w:rPr>
        <w:t> </w:t>
      </w:r>
      <w:r>
        <w:rPr>
          <w:sz w:val="18"/>
        </w:rPr>
        <w:t>month,</w:t>
      </w:r>
      <w:r>
        <w:rPr>
          <w:spacing w:val="-5"/>
          <w:sz w:val="18"/>
        </w:rPr>
        <w:t> </w:t>
      </w:r>
      <w:r>
        <w:rPr>
          <w:sz w:val="18"/>
        </w:rPr>
        <w:t>with</w:t>
      </w:r>
      <w:r>
        <w:rPr>
          <w:spacing w:val="-4"/>
          <w:sz w:val="18"/>
        </w:rPr>
        <w:t> </w:t>
      </w:r>
      <w:r>
        <w:rPr>
          <w:sz w:val="18"/>
        </w:rPr>
        <w:t>Brent</w:t>
      </w:r>
      <w:r>
        <w:rPr>
          <w:spacing w:val="-5"/>
          <w:sz w:val="18"/>
        </w:rPr>
        <w:t> </w:t>
      </w:r>
      <w:r>
        <w:rPr>
          <w:sz w:val="18"/>
        </w:rPr>
        <w:t>crude</w:t>
      </w:r>
      <w:r>
        <w:rPr>
          <w:spacing w:val="-4"/>
          <w:sz w:val="18"/>
        </w:rPr>
        <w:t> </w:t>
      </w:r>
      <w:r>
        <w:rPr>
          <w:sz w:val="18"/>
        </w:rPr>
        <w:t>oil trading within a $25–$30 range. Prices for non-oil commodities had also risen in the</w:t>
      </w:r>
      <w:r>
        <w:rPr>
          <w:spacing w:val="-7"/>
          <w:sz w:val="18"/>
        </w:rPr>
        <w:t> </w:t>
      </w:r>
      <w:r>
        <w:rPr>
          <w:sz w:val="18"/>
        </w:rPr>
        <w:t>month.</w:t>
      </w:r>
    </w:p>
    <w:p>
      <w:pPr>
        <w:pStyle w:val="BodyText"/>
        <w:spacing w:before="10"/>
      </w:pPr>
    </w:p>
    <w:p>
      <w:pPr>
        <w:pStyle w:val="ListParagraph"/>
        <w:numPr>
          <w:ilvl w:val="0"/>
          <w:numId w:val="50"/>
        </w:numPr>
        <w:tabs>
          <w:tab w:pos="654" w:val="left" w:leader="none"/>
          <w:tab w:pos="655" w:val="left" w:leader="none"/>
        </w:tabs>
        <w:spacing w:line="232" w:lineRule="auto" w:before="1" w:after="0"/>
        <w:ind w:left="174" w:right="69" w:firstLine="0"/>
        <w:jc w:val="left"/>
        <w:rPr>
          <w:sz w:val="18"/>
        </w:rPr>
      </w:pPr>
      <w:r>
        <w:rPr>
          <w:sz w:val="18"/>
        </w:rPr>
        <w:t>In the United States, the CPI price index had remained unchanged on the month in April although the annual rate of CPI inflation had fallen from 3.7% to 3.0%, mainly reflecting a fall in energy prices.  Core CPI inflation (which excludes food and energy) had fallen to 2.2%, while headline producer price inflation had fallen to 3.9%. The level of average hourly earnings had increased by 0.1% in May, following a 0.4% increase in April. Euro-area headline inflation had fallen to 1.9%, although core inflation (which excludes energy, food, alcohol and tobacco) had risen slightly. Euro-area headline producer price inflation had risen to 6.2% in March. In April, Japanese consumer price inflation fell to</w:t>
      </w:r>
      <w:r>
        <w:rPr>
          <w:spacing w:val="-2"/>
          <w:sz w:val="18"/>
        </w:rPr>
        <w:t> </w:t>
      </w:r>
      <w:r>
        <w:rPr>
          <w:sz w:val="18"/>
        </w:rPr>
        <w:t>-0.8%.</w:t>
      </w:r>
    </w:p>
    <w:p>
      <w:pPr>
        <w:pStyle w:val="BodyText"/>
        <w:spacing w:before="6"/>
        <w:rPr>
          <w:sz w:val="16"/>
        </w:rPr>
      </w:pPr>
    </w:p>
    <w:p>
      <w:pPr>
        <w:pStyle w:val="ListParagraph"/>
        <w:numPr>
          <w:ilvl w:val="0"/>
          <w:numId w:val="50"/>
        </w:numPr>
        <w:tabs>
          <w:tab w:pos="654" w:val="left" w:leader="none"/>
          <w:tab w:pos="655" w:val="left" w:leader="none"/>
        </w:tabs>
        <w:spacing w:line="232" w:lineRule="auto" w:before="0" w:after="0"/>
        <w:ind w:left="174" w:right="198" w:firstLine="0"/>
        <w:jc w:val="left"/>
        <w:rPr>
          <w:sz w:val="18"/>
        </w:rPr>
      </w:pPr>
      <w:r>
        <w:rPr>
          <w:sz w:val="18"/>
        </w:rPr>
        <w:t>M3 in the euro area had remained buoyant in April, increasing by 6.5% on the year, while credit to the private sector had increased by 11.4%. The three-month moving average of M3 growth had reached its highest rate since the introduction of the euro. Japanese M2 including CDs had increased by 2.9% in</w:t>
      </w:r>
      <w:r>
        <w:rPr>
          <w:spacing w:val="6"/>
          <w:sz w:val="18"/>
        </w:rPr>
        <w:t> </w:t>
      </w:r>
      <w:r>
        <w:rPr>
          <w:sz w:val="18"/>
        </w:rPr>
        <w:t>the</w:t>
      </w:r>
    </w:p>
    <w:p>
      <w:pPr>
        <w:pStyle w:val="BodyText"/>
        <w:spacing w:line="232" w:lineRule="auto" w:before="98"/>
        <w:ind w:left="174" w:right="254"/>
      </w:pPr>
      <w:r>
        <w:rPr/>
        <w:br w:type="column"/>
      </w:r>
      <w:r>
        <w:rPr/>
        <w:t>year to April, a pick-up from March, partly due to a slight reversal in the decline of bank lending.</w:t>
      </w:r>
    </w:p>
    <w:p>
      <w:pPr>
        <w:pStyle w:val="BodyText"/>
        <w:spacing w:before="2"/>
        <w:rPr>
          <w:sz w:val="17"/>
        </w:rPr>
      </w:pPr>
    </w:p>
    <w:p>
      <w:pPr>
        <w:pStyle w:val="ListParagraph"/>
        <w:numPr>
          <w:ilvl w:val="0"/>
          <w:numId w:val="50"/>
        </w:numPr>
        <w:tabs>
          <w:tab w:pos="654" w:val="left" w:leader="none"/>
          <w:tab w:pos="655" w:val="left" w:leader="none"/>
        </w:tabs>
        <w:spacing w:line="232" w:lineRule="auto" w:before="1" w:after="0"/>
        <w:ind w:left="174" w:right="168" w:firstLine="0"/>
        <w:jc w:val="left"/>
        <w:rPr>
          <w:sz w:val="18"/>
        </w:rPr>
      </w:pPr>
      <w:r>
        <w:rPr>
          <w:sz w:val="18"/>
        </w:rPr>
        <w:t>Since 3 May, the euro and yen effective exchange rate indices had appreciated by around 6% and 1% respectively, while the dollar effective exchange rate index had depreciated by around 3%. Over the same period the Wilshire 5000 index—a broad measure of the US stock market—had increased by just under 3% and the NASDAQ index, which has a higher proportion of technology stocks, ended the month close to its value on 3 May. In Japan the Topix index had fallen by over 6%. Interest rates implied by</w:t>
      </w:r>
      <w:r>
        <w:rPr>
          <w:spacing w:val="-4"/>
          <w:sz w:val="18"/>
        </w:rPr>
        <w:t> </w:t>
      </w:r>
      <w:r>
        <w:rPr>
          <w:sz w:val="18"/>
        </w:rPr>
        <w:t>futures</w:t>
      </w:r>
      <w:r>
        <w:rPr>
          <w:spacing w:val="-4"/>
          <w:sz w:val="18"/>
        </w:rPr>
        <w:t> </w:t>
      </w:r>
      <w:r>
        <w:rPr>
          <w:sz w:val="18"/>
        </w:rPr>
        <w:t>contracts</w:t>
      </w:r>
      <w:r>
        <w:rPr>
          <w:spacing w:val="-3"/>
          <w:sz w:val="18"/>
        </w:rPr>
        <w:t> </w:t>
      </w:r>
      <w:r>
        <w:rPr>
          <w:sz w:val="18"/>
        </w:rPr>
        <w:t>had</w:t>
      </w:r>
      <w:r>
        <w:rPr>
          <w:spacing w:val="-4"/>
          <w:sz w:val="18"/>
        </w:rPr>
        <w:t> </w:t>
      </w:r>
      <w:r>
        <w:rPr>
          <w:sz w:val="18"/>
        </w:rPr>
        <w:t>fallen</w:t>
      </w:r>
      <w:r>
        <w:rPr>
          <w:spacing w:val="-3"/>
          <w:sz w:val="18"/>
        </w:rPr>
        <w:t> </w:t>
      </w:r>
      <w:r>
        <w:rPr>
          <w:sz w:val="18"/>
        </w:rPr>
        <w:t>on</w:t>
      </w:r>
      <w:r>
        <w:rPr>
          <w:spacing w:val="-4"/>
          <w:sz w:val="18"/>
        </w:rPr>
        <w:t> </w:t>
      </w:r>
      <w:r>
        <w:rPr>
          <w:sz w:val="18"/>
        </w:rPr>
        <w:t>the</w:t>
      </w:r>
      <w:r>
        <w:rPr>
          <w:spacing w:val="-4"/>
          <w:sz w:val="18"/>
        </w:rPr>
        <w:t> </w:t>
      </w:r>
      <w:r>
        <w:rPr>
          <w:sz w:val="18"/>
        </w:rPr>
        <w:t>month</w:t>
      </w:r>
      <w:r>
        <w:rPr>
          <w:spacing w:val="-3"/>
          <w:sz w:val="18"/>
        </w:rPr>
        <w:t> </w:t>
      </w:r>
      <w:r>
        <w:rPr>
          <w:sz w:val="18"/>
        </w:rPr>
        <w:t>in</w:t>
      </w:r>
      <w:r>
        <w:rPr>
          <w:spacing w:val="-4"/>
          <w:sz w:val="18"/>
        </w:rPr>
        <w:t> </w:t>
      </w:r>
      <w:r>
        <w:rPr>
          <w:sz w:val="18"/>
        </w:rPr>
        <w:t>the</w:t>
      </w:r>
      <w:r>
        <w:rPr>
          <w:spacing w:val="-3"/>
          <w:sz w:val="18"/>
        </w:rPr>
        <w:t> </w:t>
      </w:r>
      <w:r>
        <w:rPr>
          <w:sz w:val="18"/>
        </w:rPr>
        <w:t>United</w:t>
      </w:r>
      <w:r>
        <w:rPr>
          <w:spacing w:val="-4"/>
          <w:sz w:val="18"/>
        </w:rPr>
        <w:t> </w:t>
      </w:r>
      <w:r>
        <w:rPr>
          <w:sz w:val="18"/>
        </w:rPr>
        <w:t>States.</w:t>
      </w:r>
    </w:p>
    <w:p>
      <w:pPr>
        <w:pStyle w:val="BodyText"/>
        <w:spacing w:line="232" w:lineRule="auto"/>
        <w:ind w:left="174" w:right="449"/>
      </w:pPr>
      <w:r>
        <w:rPr/>
        <w:t>In the euro area, there had been little change in rates implied by futures contracts maturing this year.</w:t>
      </w:r>
    </w:p>
    <w:p>
      <w:pPr>
        <w:pStyle w:val="BodyText"/>
        <w:spacing w:before="10"/>
        <w:rPr>
          <w:sz w:val="19"/>
        </w:rPr>
      </w:pPr>
    </w:p>
    <w:p>
      <w:pPr>
        <w:pStyle w:val="Heading4"/>
        <w:numPr>
          <w:ilvl w:val="0"/>
          <w:numId w:val="51"/>
        </w:numPr>
        <w:tabs>
          <w:tab w:pos="654" w:val="left" w:leader="none"/>
          <w:tab w:pos="655" w:val="left" w:leader="none"/>
        </w:tabs>
        <w:spacing w:line="240" w:lineRule="auto" w:before="0" w:after="0"/>
        <w:ind w:left="654" w:right="0" w:hanging="481"/>
        <w:jc w:val="left"/>
      </w:pPr>
      <w:r>
        <w:rPr>
          <w:color w:val="009391"/>
        </w:rPr>
        <w:t>Monetary and financial</w:t>
      </w:r>
      <w:r>
        <w:rPr>
          <w:color w:val="009391"/>
          <w:spacing w:val="-7"/>
        </w:rPr>
        <w:t> </w:t>
      </w:r>
      <w:r>
        <w:rPr>
          <w:color w:val="009391"/>
        </w:rPr>
        <w:t>conditions</w:t>
      </w:r>
    </w:p>
    <w:p>
      <w:pPr>
        <w:pStyle w:val="ListParagraph"/>
        <w:numPr>
          <w:ilvl w:val="0"/>
          <w:numId w:val="50"/>
        </w:numPr>
        <w:tabs>
          <w:tab w:pos="654" w:val="left" w:leader="none"/>
          <w:tab w:pos="655" w:val="left" w:leader="none"/>
        </w:tabs>
        <w:spacing w:line="232" w:lineRule="auto" w:before="110" w:after="0"/>
        <w:ind w:left="174" w:right="242" w:firstLine="0"/>
        <w:jc w:val="left"/>
        <w:rPr>
          <w:sz w:val="18"/>
        </w:rPr>
      </w:pPr>
      <w:r>
        <w:rPr>
          <w:sz w:val="18"/>
        </w:rPr>
        <w:t>The twelve-month growth rate of notes and coin had continued to fall slightly from 8.2% in April to 7.9% in May. This figure was just below the underlying 8%–9% range that had been observed over recent</w:t>
      </w:r>
      <w:r>
        <w:rPr>
          <w:spacing w:val="-5"/>
          <w:sz w:val="18"/>
        </w:rPr>
        <w:t> </w:t>
      </w:r>
      <w:r>
        <w:rPr>
          <w:sz w:val="18"/>
        </w:rPr>
        <w:t>months.</w:t>
      </w:r>
    </w:p>
    <w:p>
      <w:pPr>
        <w:pStyle w:val="BodyText"/>
        <w:spacing w:before="7"/>
        <w:rPr>
          <w:sz w:val="16"/>
        </w:rPr>
      </w:pPr>
    </w:p>
    <w:p>
      <w:pPr>
        <w:pStyle w:val="ListParagraph"/>
        <w:numPr>
          <w:ilvl w:val="0"/>
          <w:numId w:val="50"/>
        </w:numPr>
        <w:tabs>
          <w:tab w:pos="654" w:val="left" w:leader="none"/>
          <w:tab w:pos="655" w:val="left" w:leader="none"/>
        </w:tabs>
        <w:spacing w:line="203" w:lineRule="exact" w:before="1" w:after="0"/>
        <w:ind w:left="654" w:right="0" w:hanging="481"/>
        <w:jc w:val="left"/>
        <w:rPr>
          <w:sz w:val="18"/>
        </w:rPr>
      </w:pPr>
      <w:r>
        <w:rPr>
          <w:sz w:val="18"/>
        </w:rPr>
        <w:t>M4</w:t>
      </w:r>
      <w:r>
        <w:rPr>
          <w:spacing w:val="-4"/>
          <w:sz w:val="18"/>
        </w:rPr>
        <w:t> </w:t>
      </w:r>
      <w:r>
        <w:rPr>
          <w:sz w:val="18"/>
        </w:rPr>
        <w:t>had</w:t>
      </w:r>
      <w:r>
        <w:rPr>
          <w:spacing w:val="-3"/>
          <w:sz w:val="18"/>
        </w:rPr>
        <w:t> </w:t>
      </w:r>
      <w:r>
        <w:rPr>
          <w:sz w:val="18"/>
        </w:rPr>
        <w:t>risen</w:t>
      </w:r>
      <w:r>
        <w:rPr>
          <w:spacing w:val="-4"/>
          <w:sz w:val="18"/>
        </w:rPr>
        <w:t> </w:t>
      </w:r>
      <w:r>
        <w:rPr>
          <w:sz w:val="18"/>
        </w:rPr>
        <w:t>by</w:t>
      </w:r>
      <w:r>
        <w:rPr>
          <w:spacing w:val="-3"/>
          <w:sz w:val="18"/>
        </w:rPr>
        <w:t> </w:t>
      </w:r>
      <w:r>
        <w:rPr>
          <w:sz w:val="18"/>
        </w:rPr>
        <w:t>£5.1</w:t>
      </w:r>
      <w:r>
        <w:rPr>
          <w:spacing w:val="-4"/>
          <w:sz w:val="18"/>
        </w:rPr>
        <w:t> </w:t>
      </w:r>
      <w:r>
        <w:rPr>
          <w:sz w:val="18"/>
        </w:rPr>
        <w:t>billion</w:t>
      </w:r>
      <w:r>
        <w:rPr>
          <w:spacing w:val="-3"/>
          <w:sz w:val="18"/>
        </w:rPr>
        <w:t> </w:t>
      </w:r>
      <w:r>
        <w:rPr>
          <w:sz w:val="18"/>
        </w:rPr>
        <w:t>(0.6%)</w:t>
      </w:r>
      <w:r>
        <w:rPr>
          <w:spacing w:val="-4"/>
          <w:sz w:val="18"/>
        </w:rPr>
        <w:t> </w:t>
      </w:r>
      <w:r>
        <w:rPr>
          <w:sz w:val="18"/>
        </w:rPr>
        <w:t>in</w:t>
      </w:r>
      <w:r>
        <w:rPr>
          <w:spacing w:val="-3"/>
          <w:sz w:val="18"/>
        </w:rPr>
        <w:t> </w:t>
      </w:r>
      <w:r>
        <w:rPr>
          <w:sz w:val="18"/>
        </w:rPr>
        <w:t>April,</w:t>
      </w:r>
      <w:r>
        <w:rPr>
          <w:spacing w:val="-4"/>
          <w:sz w:val="18"/>
        </w:rPr>
        <w:t> </w:t>
      </w:r>
      <w:r>
        <w:rPr>
          <w:sz w:val="18"/>
        </w:rPr>
        <w:t>compared</w:t>
      </w:r>
      <w:r>
        <w:rPr>
          <w:spacing w:val="-3"/>
          <w:sz w:val="18"/>
        </w:rPr>
        <w:t> </w:t>
      </w:r>
      <w:r>
        <w:rPr>
          <w:sz w:val="18"/>
        </w:rPr>
        <w:t>with</w:t>
      </w:r>
    </w:p>
    <w:p>
      <w:pPr>
        <w:pStyle w:val="BodyText"/>
        <w:spacing w:line="232" w:lineRule="auto" w:before="1"/>
        <w:ind w:left="174" w:right="123"/>
      </w:pPr>
      <w:r>
        <w:rPr/>
        <w:t>£13.8 billion (1.7%) in March, remaining strong despite the unwinding of large repo transactions that took place in March. The increase had been driven by continued growth in M4 excluding Other Financial Corporations (OFCs). Aggregate M4 lending (excluding the effects of securitisations) had also been strong in April, rising by £6.7 billion (0.7%), despite the unwinding of March reverse repos.</w:t>
      </w:r>
    </w:p>
    <w:p>
      <w:pPr>
        <w:pStyle w:val="BodyText"/>
        <w:spacing w:before="11"/>
        <w:rPr>
          <w:sz w:val="16"/>
        </w:rPr>
      </w:pPr>
    </w:p>
    <w:p>
      <w:pPr>
        <w:pStyle w:val="ListParagraph"/>
        <w:numPr>
          <w:ilvl w:val="0"/>
          <w:numId w:val="50"/>
        </w:numPr>
        <w:tabs>
          <w:tab w:pos="654" w:val="left" w:leader="none"/>
          <w:tab w:pos="655" w:val="left" w:leader="none"/>
        </w:tabs>
        <w:spacing w:line="232" w:lineRule="auto" w:before="0" w:after="0"/>
        <w:ind w:left="174" w:right="178" w:firstLine="0"/>
        <w:jc w:val="left"/>
        <w:rPr>
          <w:sz w:val="18"/>
        </w:rPr>
      </w:pPr>
      <w:r>
        <w:rPr>
          <w:sz w:val="18"/>
        </w:rPr>
        <w:t>The gap between M4 lending and M4 had continued to rise in April and was close to historical highs at just under 6% of GDP. The</w:t>
      </w:r>
      <w:r>
        <w:rPr>
          <w:spacing w:val="-5"/>
          <w:sz w:val="18"/>
        </w:rPr>
        <w:t> </w:t>
      </w:r>
      <w:r>
        <w:rPr>
          <w:sz w:val="18"/>
        </w:rPr>
        <w:t>main</w:t>
      </w:r>
      <w:r>
        <w:rPr>
          <w:spacing w:val="-5"/>
          <w:sz w:val="18"/>
        </w:rPr>
        <w:t> </w:t>
      </w:r>
      <w:r>
        <w:rPr>
          <w:sz w:val="18"/>
        </w:rPr>
        <w:t>factor</w:t>
      </w:r>
      <w:r>
        <w:rPr>
          <w:spacing w:val="-4"/>
          <w:sz w:val="18"/>
        </w:rPr>
        <w:t> </w:t>
      </w:r>
      <w:r>
        <w:rPr>
          <w:sz w:val="18"/>
        </w:rPr>
        <w:t>financing</w:t>
      </w:r>
      <w:r>
        <w:rPr>
          <w:spacing w:val="-5"/>
          <w:sz w:val="18"/>
        </w:rPr>
        <w:t> </w:t>
      </w:r>
      <w:r>
        <w:rPr>
          <w:sz w:val="18"/>
        </w:rPr>
        <w:t>this</w:t>
      </w:r>
      <w:r>
        <w:rPr>
          <w:spacing w:val="-5"/>
          <w:sz w:val="18"/>
        </w:rPr>
        <w:t> </w:t>
      </w:r>
      <w:r>
        <w:rPr>
          <w:sz w:val="18"/>
        </w:rPr>
        <w:t>rising</w:t>
      </w:r>
      <w:r>
        <w:rPr>
          <w:spacing w:val="-4"/>
          <w:sz w:val="18"/>
        </w:rPr>
        <w:t> </w:t>
      </w:r>
      <w:r>
        <w:rPr>
          <w:sz w:val="18"/>
        </w:rPr>
        <w:t>gap</w:t>
      </w:r>
      <w:r>
        <w:rPr>
          <w:spacing w:val="-5"/>
          <w:sz w:val="18"/>
        </w:rPr>
        <w:t> </w:t>
      </w:r>
      <w:r>
        <w:rPr>
          <w:sz w:val="18"/>
        </w:rPr>
        <w:t>had</w:t>
      </w:r>
      <w:r>
        <w:rPr>
          <w:spacing w:val="-5"/>
          <w:sz w:val="18"/>
        </w:rPr>
        <w:t> </w:t>
      </w:r>
      <w:r>
        <w:rPr>
          <w:sz w:val="18"/>
        </w:rPr>
        <w:t>been</w:t>
      </w:r>
      <w:r>
        <w:rPr>
          <w:spacing w:val="-4"/>
          <w:sz w:val="18"/>
        </w:rPr>
        <w:t> </w:t>
      </w:r>
      <w:r>
        <w:rPr>
          <w:sz w:val="18"/>
        </w:rPr>
        <w:t>net</w:t>
      </w:r>
      <w:r>
        <w:rPr>
          <w:spacing w:val="-5"/>
          <w:sz w:val="18"/>
        </w:rPr>
        <w:t> </w:t>
      </w:r>
      <w:r>
        <w:rPr>
          <w:sz w:val="18"/>
        </w:rPr>
        <w:t>inflows</w:t>
      </w:r>
      <w:r>
        <w:rPr>
          <w:spacing w:val="-5"/>
          <w:sz w:val="18"/>
        </w:rPr>
        <w:t> </w:t>
      </w:r>
      <w:r>
        <w:rPr>
          <w:sz w:val="18"/>
        </w:rPr>
        <w:t>from overseas</w:t>
      </w:r>
      <w:r>
        <w:rPr>
          <w:spacing w:val="-2"/>
          <w:sz w:val="18"/>
        </w:rPr>
        <w:t> </w:t>
      </w:r>
      <w:r>
        <w:rPr>
          <w:sz w:val="18"/>
        </w:rPr>
        <w:t>residents.</w:t>
      </w:r>
    </w:p>
    <w:p>
      <w:pPr>
        <w:pStyle w:val="BodyText"/>
        <w:spacing w:before="1"/>
        <w:rPr>
          <w:sz w:val="17"/>
        </w:rPr>
      </w:pPr>
    </w:p>
    <w:p>
      <w:pPr>
        <w:pStyle w:val="ListParagraph"/>
        <w:numPr>
          <w:ilvl w:val="0"/>
          <w:numId w:val="50"/>
        </w:numPr>
        <w:tabs>
          <w:tab w:pos="654" w:val="left" w:leader="none"/>
          <w:tab w:pos="655" w:val="left" w:leader="none"/>
        </w:tabs>
        <w:spacing w:line="232" w:lineRule="auto" w:before="0" w:after="0"/>
        <w:ind w:left="174" w:right="188" w:firstLine="0"/>
        <w:jc w:val="left"/>
        <w:rPr>
          <w:sz w:val="18"/>
        </w:rPr>
      </w:pPr>
      <w:r>
        <w:rPr>
          <w:sz w:val="18"/>
        </w:rPr>
        <w:t>Household M4 lending (excluding the effects of securitisations)</w:t>
      </w:r>
      <w:r>
        <w:rPr>
          <w:spacing w:val="-7"/>
          <w:sz w:val="18"/>
        </w:rPr>
        <w:t> </w:t>
      </w:r>
      <w:r>
        <w:rPr>
          <w:sz w:val="18"/>
        </w:rPr>
        <w:t>increased</w:t>
      </w:r>
      <w:r>
        <w:rPr>
          <w:spacing w:val="-7"/>
          <w:sz w:val="18"/>
        </w:rPr>
        <w:t> </w:t>
      </w:r>
      <w:r>
        <w:rPr>
          <w:sz w:val="18"/>
        </w:rPr>
        <w:t>by</w:t>
      </w:r>
      <w:r>
        <w:rPr>
          <w:spacing w:val="-6"/>
          <w:sz w:val="18"/>
        </w:rPr>
        <w:t> </w:t>
      </w:r>
      <w:r>
        <w:rPr>
          <w:sz w:val="18"/>
        </w:rPr>
        <w:t>£4.2</w:t>
      </w:r>
      <w:r>
        <w:rPr>
          <w:spacing w:val="-6"/>
          <w:sz w:val="18"/>
        </w:rPr>
        <w:t> </w:t>
      </w:r>
      <w:r>
        <w:rPr>
          <w:sz w:val="18"/>
        </w:rPr>
        <w:t>billion</w:t>
      </w:r>
      <w:r>
        <w:rPr>
          <w:spacing w:val="-6"/>
          <w:sz w:val="18"/>
        </w:rPr>
        <w:t> </w:t>
      </w:r>
      <w:r>
        <w:rPr>
          <w:sz w:val="18"/>
        </w:rPr>
        <w:t>(0.7%)</w:t>
      </w:r>
      <w:r>
        <w:rPr>
          <w:spacing w:val="-7"/>
          <w:sz w:val="18"/>
        </w:rPr>
        <w:t> </w:t>
      </w:r>
      <w:r>
        <w:rPr>
          <w:sz w:val="18"/>
        </w:rPr>
        <w:t>in</w:t>
      </w:r>
      <w:r>
        <w:rPr>
          <w:spacing w:val="-6"/>
          <w:sz w:val="18"/>
        </w:rPr>
        <w:t> </w:t>
      </w:r>
      <w:r>
        <w:rPr>
          <w:sz w:val="18"/>
        </w:rPr>
        <w:t>April,</w:t>
      </w:r>
      <w:r>
        <w:rPr>
          <w:spacing w:val="-7"/>
          <w:sz w:val="18"/>
        </w:rPr>
        <w:t> </w:t>
      </w:r>
      <w:r>
        <w:rPr>
          <w:sz w:val="18"/>
        </w:rPr>
        <w:t>compared with an average monthly increase of £4.8 billion in 2000 Q1. Both loan approvals and net secured lending to individuals had declined markedly in</w:t>
      </w:r>
      <w:r>
        <w:rPr>
          <w:spacing w:val="-3"/>
          <w:sz w:val="18"/>
        </w:rPr>
        <w:t> </w:t>
      </w:r>
      <w:r>
        <w:rPr>
          <w:sz w:val="18"/>
        </w:rPr>
        <w:t>April.</w:t>
      </w:r>
    </w:p>
    <w:p>
      <w:pPr>
        <w:pStyle w:val="BodyText"/>
        <w:spacing w:before="1"/>
        <w:rPr>
          <w:sz w:val="17"/>
        </w:rPr>
      </w:pPr>
    </w:p>
    <w:p>
      <w:pPr>
        <w:pStyle w:val="ListParagraph"/>
        <w:numPr>
          <w:ilvl w:val="0"/>
          <w:numId w:val="50"/>
        </w:numPr>
        <w:tabs>
          <w:tab w:pos="654" w:val="left" w:leader="none"/>
          <w:tab w:pos="655" w:val="left" w:leader="none"/>
        </w:tabs>
        <w:spacing w:line="232" w:lineRule="auto" w:before="0" w:after="0"/>
        <w:ind w:left="174" w:right="152" w:firstLine="0"/>
        <w:jc w:val="left"/>
        <w:rPr>
          <w:sz w:val="18"/>
        </w:rPr>
      </w:pPr>
      <w:r>
        <w:rPr>
          <w:sz w:val="18"/>
        </w:rPr>
        <w:t>Provisional estimates by Bank staff had suggested that mortgage</w:t>
      </w:r>
      <w:r>
        <w:rPr>
          <w:spacing w:val="-5"/>
          <w:sz w:val="18"/>
        </w:rPr>
        <w:t> </w:t>
      </w:r>
      <w:r>
        <w:rPr>
          <w:sz w:val="18"/>
        </w:rPr>
        <w:t>equity</w:t>
      </w:r>
      <w:r>
        <w:rPr>
          <w:spacing w:val="-5"/>
          <w:sz w:val="18"/>
        </w:rPr>
        <w:t> </w:t>
      </w:r>
      <w:r>
        <w:rPr>
          <w:sz w:val="18"/>
        </w:rPr>
        <w:t>withdrawal</w:t>
      </w:r>
      <w:r>
        <w:rPr>
          <w:spacing w:val="-5"/>
          <w:sz w:val="18"/>
        </w:rPr>
        <w:t> </w:t>
      </w:r>
      <w:r>
        <w:rPr>
          <w:sz w:val="18"/>
        </w:rPr>
        <w:t>in</w:t>
      </w:r>
      <w:r>
        <w:rPr>
          <w:spacing w:val="-5"/>
          <w:sz w:val="18"/>
        </w:rPr>
        <w:t> </w:t>
      </w:r>
      <w:r>
        <w:rPr>
          <w:sz w:val="18"/>
        </w:rPr>
        <w:t>2000</w:t>
      </w:r>
      <w:r>
        <w:rPr>
          <w:spacing w:val="-5"/>
          <w:sz w:val="18"/>
        </w:rPr>
        <w:t> </w:t>
      </w:r>
      <w:r>
        <w:rPr>
          <w:sz w:val="18"/>
        </w:rPr>
        <w:t>Q1</w:t>
      </w:r>
      <w:r>
        <w:rPr>
          <w:spacing w:val="-5"/>
          <w:sz w:val="18"/>
        </w:rPr>
        <w:t> </w:t>
      </w:r>
      <w:r>
        <w:rPr>
          <w:sz w:val="18"/>
        </w:rPr>
        <w:t>was</w:t>
      </w:r>
      <w:r>
        <w:rPr>
          <w:spacing w:val="-5"/>
          <w:sz w:val="18"/>
        </w:rPr>
        <w:t> </w:t>
      </w:r>
      <w:r>
        <w:rPr>
          <w:sz w:val="18"/>
        </w:rPr>
        <w:t>down</w:t>
      </w:r>
      <w:r>
        <w:rPr>
          <w:spacing w:val="-5"/>
          <w:sz w:val="18"/>
        </w:rPr>
        <w:t> </w:t>
      </w:r>
      <w:r>
        <w:rPr>
          <w:sz w:val="18"/>
        </w:rPr>
        <w:t>slightly</w:t>
      </w:r>
      <w:r>
        <w:rPr>
          <w:spacing w:val="-5"/>
          <w:sz w:val="18"/>
        </w:rPr>
        <w:t> </w:t>
      </w:r>
      <w:r>
        <w:rPr>
          <w:sz w:val="18"/>
        </w:rPr>
        <w:t>from</w:t>
      </w:r>
      <w:r>
        <w:rPr>
          <w:spacing w:val="-5"/>
          <w:sz w:val="18"/>
        </w:rPr>
        <w:t> </w:t>
      </w:r>
      <w:r>
        <w:rPr>
          <w:sz w:val="18"/>
        </w:rPr>
        <w:t>the estimates for the previous few quarters. Total lending for consumption (mortgage equity withdrawal plus unsecured lending) was also estimated to have</w:t>
      </w:r>
      <w:r>
        <w:rPr>
          <w:spacing w:val="-7"/>
          <w:sz w:val="18"/>
        </w:rPr>
        <w:t> </w:t>
      </w:r>
      <w:r>
        <w:rPr>
          <w:sz w:val="18"/>
        </w:rPr>
        <w:t>fallen.</w:t>
      </w:r>
    </w:p>
    <w:p>
      <w:pPr>
        <w:pStyle w:val="BodyText"/>
        <w:rPr>
          <w:sz w:val="17"/>
        </w:rPr>
      </w:pPr>
    </w:p>
    <w:p>
      <w:pPr>
        <w:pStyle w:val="ListParagraph"/>
        <w:numPr>
          <w:ilvl w:val="0"/>
          <w:numId w:val="50"/>
        </w:numPr>
        <w:tabs>
          <w:tab w:pos="654" w:val="left" w:leader="none"/>
          <w:tab w:pos="655" w:val="left" w:leader="none"/>
        </w:tabs>
        <w:spacing w:line="232" w:lineRule="auto" w:before="0" w:after="0"/>
        <w:ind w:left="174" w:right="213" w:firstLine="0"/>
        <w:jc w:val="left"/>
        <w:rPr>
          <w:sz w:val="18"/>
        </w:rPr>
      </w:pPr>
      <w:r>
        <w:rPr>
          <w:sz w:val="18"/>
        </w:rPr>
        <w:t>Net new bank borrowing (bank borrowing minus bank deposits) by PNFCs (private non-financial corporations) had been negligible</w:t>
      </w:r>
      <w:r>
        <w:rPr>
          <w:spacing w:val="-6"/>
          <w:sz w:val="18"/>
        </w:rPr>
        <w:t> </w:t>
      </w:r>
      <w:r>
        <w:rPr>
          <w:sz w:val="18"/>
        </w:rPr>
        <w:t>in</w:t>
      </w:r>
      <w:r>
        <w:rPr>
          <w:spacing w:val="-6"/>
          <w:sz w:val="18"/>
        </w:rPr>
        <w:t> </w:t>
      </w:r>
      <w:r>
        <w:rPr>
          <w:sz w:val="18"/>
        </w:rPr>
        <w:t>April,</w:t>
      </w:r>
      <w:r>
        <w:rPr>
          <w:spacing w:val="-6"/>
          <w:sz w:val="18"/>
        </w:rPr>
        <w:t> </w:t>
      </w:r>
      <w:r>
        <w:rPr>
          <w:sz w:val="18"/>
        </w:rPr>
        <w:t>although</w:t>
      </w:r>
      <w:r>
        <w:rPr>
          <w:spacing w:val="-6"/>
          <w:sz w:val="18"/>
        </w:rPr>
        <w:t> </w:t>
      </w:r>
      <w:r>
        <w:rPr>
          <w:sz w:val="18"/>
        </w:rPr>
        <w:t>there</w:t>
      </w:r>
      <w:r>
        <w:rPr>
          <w:spacing w:val="-6"/>
          <w:sz w:val="18"/>
        </w:rPr>
        <w:t> </w:t>
      </w:r>
      <w:r>
        <w:rPr>
          <w:sz w:val="18"/>
        </w:rPr>
        <w:t>had</w:t>
      </w:r>
      <w:r>
        <w:rPr>
          <w:spacing w:val="-6"/>
          <w:sz w:val="18"/>
        </w:rPr>
        <w:t> </w:t>
      </w:r>
      <w:r>
        <w:rPr>
          <w:sz w:val="18"/>
        </w:rPr>
        <w:t>been</w:t>
      </w:r>
      <w:r>
        <w:rPr>
          <w:spacing w:val="-6"/>
          <w:sz w:val="18"/>
        </w:rPr>
        <w:t> </w:t>
      </w:r>
      <w:r>
        <w:rPr>
          <w:sz w:val="18"/>
        </w:rPr>
        <w:t>significant</w:t>
      </w:r>
      <w:r>
        <w:rPr>
          <w:spacing w:val="-6"/>
          <w:sz w:val="18"/>
        </w:rPr>
        <w:t> </w:t>
      </w:r>
      <w:r>
        <w:rPr>
          <w:sz w:val="18"/>
        </w:rPr>
        <w:t>increases</w:t>
      </w:r>
      <w:r>
        <w:rPr>
          <w:spacing w:val="-6"/>
          <w:sz w:val="18"/>
        </w:rPr>
        <w:t> </w:t>
      </w:r>
      <w:r>
        <w:rPr>
          <w:sz w:val="18"/>
        </w:rPr>
        <w:t>in both deposits and borrowing. A broader measure of PNFCs’ external borrowing (including capital issues and foreign currency borrowing) had increased further in April following the strong borrowing in 2000 Q1.</w:t>
      </w:r>
    </w:p>
    <w:p>
      <w:pPr>
        <w:pStyle w:val="BodyText"/>
        <w:spacing w:before="11"/>
        <w:rPr>
          <w:sz w:val="16"/>
        </w:rPr>
      </w:pPr>
    </w:p>
    <w:p>
      <w:pPr>
        <w:pStyle w:val="ListParagraph"/>
        <w:numPr>
          <w:ilvl w:val="0"/>
          <w:numId w:val="50"/>
        </w:numPr>
        <w:tabs>
          <w:tab w:pos="654" w:val="left" w:leader="none"/>
          <w:tab w:pos="655" w:val="left" w:leader="none"/>
        </w:tabs>
        <w:spacing w:line="232" w:lineRule="auto" w:before="0" w:after="0"/>
        <w:ind w:left="174" w:right="222" w:firstLine="0"/>
        <w:jc w:val="left"/>
        <w:rPr>
          <w:sz w:val="18"/>
        </w:rPr>
      </w:pPr>
      <w:r>
        <w:rPr>
          <w:sz w:val="18"/>
        </w:rPr>
        <w:t>Since the previous MPC meeting, short interest rate expectations, as measured by the two-week gilt repo curve, had fallen slightly at the very short end. Longer nominal interest rates had remained broadly unchanged. Corporate bond spreads had continued</w:t>
      </w:r>
      <w:r>
        <w:rPr>
          <w:spacing w:val="-5"/>
          <w:sz w:val="18"/>
        </w:rPr>
        <w:t> </w:t>
      </w:r>
      <w:r>
        <w:rPr>
          <w:sz w:val="18"/>
        </w:rPr>
        <w:t>to</w:t>
      </w:r>
      <w:r>
        <w:rPr>
          <w:spacing w:val="-5"/>
          <w:sz w:val="18"/>
        </w:rPr>
        <w:t> </w:t>
      </w:r>
      <w:r>
        <w:rPr>
          <w:sz w:val="18"/>
        </w:rPr>
        <w:t>widen</w:t>
      </w:r>
      <w:r>
        <w:rPr>
          <w:spacing w:val="-4"/>
          <w:sz w:val="18"/>
        </w:rPr>
        <w:t> </w:t>
      </w:r>
      <w:r>
        <w:rPr>
          <w:sz w:val="18"/>
        </w:rPr>
        <w:t>this</w:t>
      </w:r>
      <w:r>
        <w:rPr>
          <w:spacing w:val="-5"/>
          <w:sz w:val="18"/>
        </w:rPr>
        <w:t> </w:t>
      </w:r>
      <w:r>
        <w:rPr>
          <w:sz w:val="18"/>
        </w:rPr>
        <w:t>month,</w:t>
      </w:r>
      <w:r>
        <w:rPr>
          <w:spacing w:val="-5"/>
          <w:sz w:val="18"/>
        </w:rPr>
        <w:t> </w:t>
      </w:r>
      <w:r>
        <w:rPr>
          <w:sz w:val="18"/>
        </w:rPr>
        <w:t>with</w:t>
      </w:r>
      <w:r>
        <w:rPr>
          <w:spacing w:val="-4"/>
          <w:sz w:val="18"/>
        </w:rPr>
        <w:t> </w:t>
      </w:r>
      <w:r>
        <w:rPr>
          <w:sz w:val="18"/>
        </w:rPr>
        <w:t>corporate</w:t>
      </w:r>
      <w:r>
        <w:rPr>
          <w:spacing w:val="-5"/>
          <w:sz w:val="18"/>
        </w:rPr>
        <w:t> </w:t>
      </w:r>
      <w:r>
        <w:rPr>
          <w:sz w:val="18"/>
        </w:rPr>
        <w:t>bond</w:t>
      </w:r>
      <w:r>
        <w:rPr>
          <w:spacing w:val="-5"/>
          <w:sz w:val="18"/>
        </w:rPr>
        <w:t> </w:t>
      </w:r>
      <w:r>
        <w:rPr>
          <w:sz w:val="18"/>
        </w:rPr>
        <w:t>yields</w:t>
      </w:r>
      <w:r>
        <w:rPr>
          <w:spacing w:val="-4"/>
          <w:sz w:val="18"/>
        </w:rPr>
        <w:t> </w:t>
      </w:r>
      <w:r>
        <w:rPr>
          <w:sz w:val="18"/>
        </w:rPr>
        <w:t>up</w:t>
      </w:r>
      <w:r>
        <w:rPr>
          <w:spacing w:val="-5"/>
          <w:sz w:val="18"/>
        </w:rPr>
        <w:t> </w:t>
      </w:r>
      <w:r>
        <w:rPr>
          <w:sz w:val="18"/>
        </w:rPr>
        <w:t>at</w:t>
      </w:r>
      <w:r>
        <w:rPr>
          <w:spacing w:val="-5"/>
          <w:sz w:val="18"/>
        </w:rPr>
        <w:t> </w:t>
      </w:r>
      <w:r>
        <w:rPr>
          <w:sz w:val="18"/>
        </w:rPr>
        <w:t>all maturities.</w:t>
      </w:r>
    </w:p>
    <w:p>
      <w:pPr>
        <w:pStyle w:val="ListParagraph"/>
        <w:numPr>
          <w:ilvl w:val="0"/>
          <w:numId w:val="50"/>
        </w:numPr>
        <w:tabs>
          <w:tab w:pos="654" w:val="left" w:leader="none"/>
          <w:tab w:pos="655" w:val="left" w:leader="none"/>
        </w:tabs>
        <w:spacing w:line="232" w:lineRule="auto" w:before="175" w:after="0"/>
        <w:ind w:left="174" w:right="502" w:firstLine="0"/>
        <w:jc w:val="left"/>
        <w:rPr>
          <w:sz w:val="18"/>
        </w:rPr>
      </w:pPr>
      <w:r>
        <w:rPr>
          <w:sz w:val="18"/>
        </w:rPr>
        <w:t>There had been little change in short or medium-term inflation expectations. Fixed end-point surveys of expected inflation</w:t>
      </w:r>
      <w:r>
        <w:rPr>
          <w:spacing w:val="-7"/>
          <w:sz w:val="18"/>
        </w:rPr>
        <w:t> </w:t>
      </w:r>
      <w:r>
        <w:rPr>
          <w:sz w:val="18"/>
        </w:rPr>
        <w:t>for</w:t>
      </w:r>
      <w:r>
        <w:rPr>
          <w:spacing w:val="-6"/>
          <w:sz w:val="18"/>
        </w:rPr>
        <w:t> </w:t>
      </w:r>
      <w:r>
        <w:rPr>
          <w:sz w:val="18"/>
        </w:rPr>
        <w:t>2000–04</w:t>
      </w:r>
      <w:r>
        <w:rPr>
          <w:spacing w:val="-6"/>
          <w:sz w:val="18"/>
        </w:rPr>
        <w:t> </w:t>
      </w:r>
      <w:r>
        <w:rPr>
          <w:sz w:val="18"/>
        </w:rPr>
        <w:t>had</w:t>
      </w:r>
      <w:r>
        <w:rPr>
          <w:spacing w:val="-6"/>
          <w:sz w:val="18"/>
        </w:rPr>
        <w:t> </w:t>
      </w:r>
      <w:r>
        <w:rPr>
          <w:sz w:val="18"/>
        </w:rPr>
        <w:t>remained</w:t>
      </w:r>
      <w:r>
        <w:rPr>
          <w:spacing w:val="-6"/>
          <w:sz w:val="18"/>
        </w:rPr>
        <w:t> </w:t>
      </w:r>
      <w:r>
        <w:rPr>
          <w:sz w:val="18"/>
        </w:rPr>
        <w:t>slightly</w:t>
      </w:r>
      <w:r>
        <w:rPr>
          <w:spacing w:val="-6"/>
          <w:sz w:val="18"/>
        </w:rPr>
        <w:t> </w:t>
      </w:r>
      <w:r>
        <w:rPr>
          <w:sz w:val="18"/>
        </w:rPr>
        <w:t>below</w:t>
      </w:r>
      <w:r>
        <w:rPr>
          <w:spacing w:val="-6"/>
          <w:sz w:val="18"/>
        </w:rPr>
        <w:t> </w:t>
      </w:r>
      <w:r>
        <w:rPr>
          <w:sz w:val="18"/>
        </w:rPr>
        <w:t>the</w:t>
      </w:r>
      <w:r>
        <w:rPr>
          <w:spacing w:val="-6"/>
          <w:sz w:val="18"/>
        </w:rPr>
        <w:t> </w:t>
      </w:r>
      <w:r>
        <w:rPr>
          <w:sz w:val="18"/>
        </w:rPr>
        <w:t>inflation target.</w:t>
      </w:r>
    </w:p>
    <w:p>
      <w:pPr>
        <w:spacing w:after="0" w:line="232" w:lineRule="auto"/>
        <w:jc w:val="left"/>
        <w:rPr>
          <w:sz w:val="18"/>
        </w:rPr>
        <w:sectPr>
          <w:type w:val="continuous"/>
          <w:pgSz w:w="11900" w:h="16840"/>
          <w:pgMar w:top="1260" w:bottom="280" w:left="640" w:right="640"/>
          <w:cols w:num="2" w:equalWidth="0">
            <w:col w:w="5123" w:space="270"/>
            <w:col w:w="5227"/>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4"/>
        <w:rPr>
          <w:sz w:val="21"/>
        </w:rPr>
      </w:pPr>
    </w:p>
    <w:p>
      <w:pPr>
        <w:pStyle w:val="ListParagraph"/>
        <w:numPr>
          <w:ilvl w:val="0"/>
          <w:numId w:val="50"/>
        </w:numPr>
        <w:tabs>
          <w:tab w:pos="665" w:val="left" w:leader="none"/>
          <w:tab w:pos="666" w:val="left" w:leader="none"/>
        </w:tabs>
        <w:spacing w:line="232" w:lineRule="auto" w:before="1" w:after="0"/>
        <w:ind w:left="185" w:right="183" w:firstLine="0"/>
        <w:jc w:val="left"/>
        <w:rPr>
          <w:sz w:val="18"/>
        </w:rPr>
      </w:pPr>
      <w:r>
        <w:rPr>
          <w:sz w:val="18"/>
        </w:rPr>
        <w:t>The FTSE All-Share index had risen by 5.4% since the previous MPC meeting. The rise on the month had been mainly attributable to the non-cyclical services, resources and financials sectors. Despite declining significantly since the beginning of the year, the FTSE IT sectoral index had outperformed the All-Share over the previous twelve</w:t>
      </w:r>
      <w:r>
        <w:rPr>
          <w:spacing w:val="-6"/>
          <w:sz w:val="18"/>
        </w:rPr>
        <w:t> </w:t>
      </w:r>
      <w:r>
        <w:rPr>
          <w:sz w:val="18"/>
        </w:rPr>
        <w:t>months.</w:t>
      </w:r>
    </w:p>
    <w:p>
      <w:pPr>
        <w:pStyle w:val="BodyText"/>
        <w:spacing w:before="11"/>
        <w:rPr>
          <w:sz w:val="16"/>
        </w:rPr>
      </w:pPr>
    </w:p>
    <w:p>
      <w:pPr>
        <w:pStyle w:val="ListParagraph"/>
        <w:numPr>
          <w:ilvl w:val="0"/>
          <w:numId w:val="50"/>
        </w:numPr>
        <w:tabs>
          <w:tab w:pos="665" w:val="left" w:leader="none"/>
          <w:tab w:pos="666" w:val="left" w:leader="none"/>
        </w:tabs>
        <w:spacing w:line="232" w:lineRule="auto" w:before="0" w:after="0"/>
        <w:ind w:left="185" w:right="38" w:firstLine="0"/>
        <w:jc w:val="left"/>
        <w:rPr>
          <w:sz w:val="18"/>
        </w:rPr>
      </w:pPr>
      <w:r>
        <w:rPr>
          <w:sz w:val="18"/>
        </w:rPr>
        <w:t>Since the previous MPC meeting, sterling had depreciated by 9.3% against the euro and by 2.5% against the dollar. The sterling effective exchange rate index (ERI) had fallen by 7.7%. The recent declines in the sterling-euro and sterling-dollar exchange rates could not be accounted for by changes in interest rate differentials over the</w:t>
      </w:r>
      <w:r>
        <w:rPr>
          <w:spacing w:val="-3"/>
          <w:sz w:val="18"/>
        </w:rPr>
        <w:t> </w:t>
      </w:r>
      <w:r>
        <w:rPr>
          <w:sz w:val="18"/>
        </w:rPr>
        <w:t>month.</w:t>
      </w:r>
    </w:p>
    <w:p>
      <w:pPr>
        <w:pStyle w:val="BodyText"/>
        <w:spacing w:before="3"/>
        <w:rPr>
          <w:sz w:val="20"/>
        </w:rPr>
      </w:pPr>
    </w:p>
    <w:p>
      <w:pPr>
        <w:pStyle w:val="Heading4"/>
        <w:numPr>
          <w:ilvl w:val="0"/>
          <w:numId w:val="51"/>
        </w:numPr>
        <w:tabs>
          <w:tab w:pos="665" w:val="left" w:leader="none"/>
          <w:tab w:pos="666" w:val="left" w:leader="none"/>
        </w:tabs>
        <w:spacing w:line="240" w:lineRule="auto" w:before="0" w:after="0"/>
        <w:ind w:left="665" w:right="0" w:hanging="481"/>
        <w:jc w:val="left"/>
      </w:pPr>
      <w:r>
        <w:rPr>
          <w:color w:val="009391"/>
        </w:rPr>
        <w:t>Demand and</w:t>
      </w:r>
      <w:r>
        <w:rPr>
          <w:color w:val="009391"/>
          <w:spacing w:val="-3"/>
        </w:rPr>
        <w:t> </w:t>
      </w:r>
      <w:r>
        <w:rPr>
          <w:color w:val="009391"/>
        </w:rPr>
        <w:t>output</w:t>
      </w:r>
    </w:p>
    <w:p>
      <w:pPr>
        <w:pStyle w:val="ListParagraph"/>
        <w:numPr>
          <w:ilvl w:val="0"/>
          <w:numId w:val="50"/>
        </w:numPr>
        <w:tabs>
          <w:tab w:pos="665" w:val="left" w:leader="none"/>
          <w:tab w:pos="666" w:val="left" w:leader="none"/>
        </w:tabs>
        <w:spacing w:line="232" w:lineRule="auto" w:before="109" w:after="0"/>
        <w:ind w:left="185" w:right="57" w:firstLine="0"/>
        <w:jc w:val="left"/>
        <w:rPr>
          <w:sz w:val="18"/>
        </w:rPr>
      </w:pPr>
      <w:r>
        <w:rPr>
          <w:sz w:val="18"/>
        </w:rPr>
        <w:t>GDP growth in Q1 had been revised up to 0.5% (from 0.4%). The annual growth rate had risen to 3.1%, the fastest rate since 1997 Q4. Total industrial production had fallen by 0.8% in 2000 Q1, with manufacturing output down by 0.5%. Service sector output had risen by 0.8% and construction output by 0.5%. Agricultural output growth had fallen by</w:t>
      </w:r>
      <w:r>
        <w:rPr>
          <w:spacing w:val="-11"/>
          <w:sz w:val="18"/>
        </w:rPr>
        <w:t> </w:t>
      </w:r>
      <w:r>
        <w:rPr>
          <w:sz w:val="18"/>
        </w:rPr>
        <w:t>1.1%.</w:t>
      </w:r>
    </w:p>
    <w:p>
      <w:pPr>
        <w:pStyle w:val="BodyText"/>
        <w:rPr>
          <w:sz w:val="17"/>
        </w:rPr>
      </w:pPr>
    </w:p>
    <w:p>
      <w:pPr>
        <w:pStyle w:val="ListParagraph"/>
        <w:numPr>
          <w:ilvl w:val="0"/>
          <w:numId w:val="50"/>
        </w:numPr>
        <w:tabs>
          <w:tab w:pos="665" w:val="left" w:leader="none"/>
          <w:tab w:pos="666" w:val="left" w:leader="none"/>
        </w:tabs>
        <w:spacing w:line="232" w:lineRule="auto" w:before="0" w:after="0"/>
        <w:ind w:left="185" w:right="213" w:firstLine="0"/>
        <w:jc w:val="left"/>
        <w:rPr>
          <w:sz w:val="18"/>
        </w:rPr>
      </w:pPr>
      <w:r>
        <w:rPr>
          <w:sz w:val="18"/>
        </w:rPr>
        <w:t>The expenditure breakdown showed that domestic demand had risen by 0.4% in Q1. Final domestic demand had risen by 0.3%.</w:t>
      </w:r>
    </w:p>
    <w:p>
      <w:pPr>
        <w:pStyle w:val="BodyText"/>
        <w:spacing w:before="2"/>
        <w:rPr>
          <w:sz w:val="17"/>
        </w:rPr>
      </w:pPr>
    </w:p>
    <w:p>
      <w:pPr>
        <w:pStyle w:val="ListParagraph"/>
        <w:numPr>
          <w:ilvl w:val="0"/>
          <w:numId w:val="50"/>
        </w:numPr>
        <w:tabs>
          <w:tab w:pos="665" w:val="left" w:leader="none"/>
          <w:tab w:pos="666" w:val="left" w:leader="none"/>
        </w:tabs>
        <w:spacing w:line="232" w:lineRule="auto" w:before="0" w:after="0"/>
        <w:ind w:left="185" w:right="108" w:firstLine="0"/>
        <w:jc w:val="left"/>
        <w:rPr>
          <w:sz w:val="18"/>
        </w:rPr>
      </w:pPr>
      <w:r>
        <w:rPr>
          <w:sz w:val="18"/>
        </w:rPr>
        <w:t>There had been an unusually large discrepancy in Q1 between the growth of GDP as measured by expenditure compared with</w:t>
      </w:r>
      <w:r>
        <w:rPr>
          <w:spacing w:val="-6"/>
          <w:sz w:val="18"/>
        </w:rPr>
        <w:t> </w:t>
      </w:r>
      <w:r>
        <w:rPr>
          <w:sz w:val="18"/>
        </w:rPr>
        <w:t>the</w:t>
      </w:r>
      <w:r>
        <w:rPr>
          <w:spacing w:val="-5"/>
          <w:sz w:val="18"/>
        </w:rPr>
        <w:t> </w:t>
      </w:r>
      <w:r>
        <w:rPr>
          <w:sz w:val="18"/>
        </w:rPr>
        <w:t>average</w:t>
      </w:r>
      <w:r>
        <w:rPr>
          <w:spacing w:val="-5"/>
          <w:sz w:val="18"/>
        </w:rPr>
        <w:t> </w:t>
      </w:r>
      <w:r>
        <w:rPr>
          <w:sz w:val="18"/>
        </w:rPr>
        <w:t>measure,</w:t>
      </w:r>
      <w:r>
        <w:rPr>
          <w:spacing w:val="-5"/>
          <w:sz w:val="18"/>
        </w:rPr>
        <w:t> </w:t>
      </w:r>
      <w:r>
        <w:rPr>
          <w:sz w:val="18"/>
        </w:rPr>
        <w:t>with</w:t>
      </w:r>
      <w:r>
        <w:rPr>
          <w:spacing w:val="-5"/>
          <w:sz w:val="18"/>
        </w:rPr>
        <w:t> </w:t>
      </w:r>
      <w:r>
        <w:rPr>
          <w:sz w:val="18"/>
        </w:rPr>
        <w:t>the</w:t>
      </w:r>
      <w:r>
        <w:rPr>
          <w:spacing w:val="-6"/>
          <w:sz w:val="18"/>
        </w:rPr>
        <w:t> </w:t>
      </w:r>
      <w:r>
        <w:rPr>
          <w:sz w:val="18"/>
        </w:rPr>
        <w:t>expenditure</w:t>
      </w:r>
      <w:r>
        <w:rPr>
          <w:spacing w:val="-5"/>
          <w:sz w:val="18"/>
        </w:rPr>
        <w:t> </w:t>
      </w:r>
      <w:r>
        <w:rPr>
          <w:sz w:val="18"/>
        </w:rPr>
        <w:t>measure</w:t>
      </w:r>
      <w:r>
        <w:rPr>
          <w:spacing w:val="-5"/>
          <w:sz w:val="18"/>
        </w:rPr>
        <w:t> </w:t>
      </w:r>
      <w:r>
        <w:rPr>
          <w:sz w:val="18"/>
        </w:rPr>
        <w:t>stronger.</w:t>
      </w:r>
    </w:p>
    <w:p>
      <w:pPr>
        <w:pStyle w:val="BodyText"/>
        <w:spacing w:before="2"/>
        <w:rPr>
          <w:sz w:val="17"/>
        </w:rPr>
      </w:pPr>
    </w:p>
    <w:p>
      <w:pPr>
        <w:pStyle w:val="ListParagraph"/>
        <w:numPr>
          <w:ilvl w:val="0"/>
          <w:numId w:val="50"/>
        </w:numPr>
        <w:tabs>
          <w:tab w:pos="665" w:val="left" w:leader="none"/>
          <w:tab w:pos="666" w:val="left" w:leader="none"/>
        </w:tabs>
        <w:spacing w:line="232" w:lineRule="auto" w:before="1" w:after="0"/>
        <w:ind w:left="185" w:right="52" w:firstLine="0"/>
        <w:jc w:val="left"/>
        <w:rPr>
          <w:sz w:val="18"/>
        </w:rPr>
      </w:pPr>
      <w:r>
        <w:rPr>
          <w:sz w:val="18"/>
        </w:rPr>
        <w:t>Private consumption (including that of non-profit institutions serving households) had grown by 0.6% in Q1 and had increased by 3.2% in the year to 2000 Q1. Government consumption had fallen by 0.4% in Q1. Total investment (including acquisitions less disposals of valuables) had decreased by 0.1%. Business investment had increased by 1.9%. Within this, manufacturing investment had increased by 4.9% in Q1, while private service sector investment had risen by 2.7%. By implication the government and private sector dwellings components of investment had been weak. The gross operating surplus of corporations had decreased by</w:t>
      </w:r>
      <w:r>
        <w:rPr>
          <w:spacing w:val="-3"/>
          <w:sz w:val="18"/>
        </w:rPr>
        <w:t> </w:t>
      </w:r>
      <w:r>
        <w:rPr>
          <w:sz w:val="18"/>
        </w:rPr>
        <w:t>1.8%.</w:t>
      </w:r>
    </w:p>
    <w:p>
      <w:pPr>
        <w:pStyle w:val="BodyText"/>
        <w:spacing w:before="7"/>
        <w:rPr>
          <w:sz w:val="16"/>
        </w:rPr>
      </w:pPr>
    </w:p>
    <w:p>
      <w:pPr>
        <w:pStyle w:val="ListParagraph"/>
        <w:numPr>
          <w:ilvl w:val="0"/>
          <w:numId w:val="50"/>
        </w:numPr>
        <w:tabs>
          <w:tab w:pos="665" w:val="left" w:leader="none"/>
          <w:tab w:pos="666" w:val="left" w:leader="none"/>
        </w:tabs>
        <w:spacing w:line="232" w:lineRule="auto" w:before="0" w:after="0"/>
        <w:ind w:left="185" w:right="43" w:firstLine="0"/>
        <w:jc w:val="left"/>
        <w:rPr>
          <w:sz w:val="18"/>
        </w:rPr>
      </w:pPr>
      <w:r>
        <w:rPr>
          <w:sz w:val="18"/>
        </w:rPr>
        <w:t>Inventories had made a small positive contribution to GDP growth in 2000 Q1. Including the alignment adjustment, inventories had risen by £0.6 billion. Most sectors had experienced an increase in their inventories. The CBI Monthly Trends survey in May had reported that manufacturers still perceived their stocks to be more than adequate, though their balance was below</w:t>
      </w:r>
      <w:r>
        <w:rPr>
          <w:spacing w:val="-24"/>
          <w:sz w:val="18"/>
        </w:rPr>
        <w:t> </w:t>
      </w:r>
      <w:r>
        <w:rPr>
          <w:sz w:val="18"/>
        </w:rPr>
        <w:t>the</w:t>
      </w:r>
    </w:p>
    <w:p>
      <w:pPr>
        <w:pStyle w:val="BodyText"/>
        <w:spacing w:line="197" w:lineRule="exact"/>
        <w:ind w:left="185"/>
      </w:pPr>
      <w:r>
        <w:rPr/>
        <w:t>long-run average.</w:t>
      </w:r>
    </w:p>
    <w:p>
      <w:pPr>
        <w:pStyle w:val="BodyText"/>
        <w:spacing w:before="3"/>
        <w:rPr>
          <w:sz w:val="17"/>
        </w:rPr>
      </w:pPr>
    </w:p>
    <w:p>
      <w:pPr>
        <w:pStyle w:val="ListParagraph"/>
        <w:numPr>
          <w:ilvl w:val="0"/>
          <w:numId w:val="50"/>
        </w:numPr>
        <w:tabs>
          <w:tab w:pos="665" w:val="left" w:leader="none"/>
          <w:tab w:pos="666" w:val="left" w:leader="none"/>
        </w:tabs>
        <w:spacing w:line="232" w:lineRule="auto" w:before="0" w:after="0"/>
        <w:ind w:left="185" w:right="152" w:firstLine="0"/>
        <w:jc w:val="left"/>
        <w:rPr>
          <w:sz w:val="18"/>
        </w:rPr>
      </w:pPr>
      <w:r>
        <w:rPr>
          <w:sz w:val="18"/>
        </w:rPr>
        <w:t>Net trade had contributed 0.3% to GDP growth in 2000 Q1. Total exports of goods and services had increased by 3.2%, and imports had increased by 2.0% in Q1. Exports of goods had risen by 2.3% in March, and imports were also 2.3% higher. Goods exports to and imports from non-EU countries had both risen by around 3% in</w:t>
      </w:r>
      <w:r>
        <w:rPr>
          <w:spacing w:val="-4"/>
          <w:sz w:val="18"/>
        </w:rPr>
        <w:t> </w:t>
      </w:r>
      <w:r>
        <w:rPr>
          <w:sz w:val="18"/>
        </w:rPr>
        <w:t>April.</w:t>
      </w:r>
    </w:p>
    <w:p>
      <w:pPr>
        <w:pStyle w:val="BodyText"/>
        <w:spacing w:before="11"/>
        <w:rPr>
          <w:sz w:val="16"/>
        </w:rPr>
      </w:pPr>
    </w:p>
    <w:p>
      <w:pPr>
        <w:pStyle w:val="ListParagraph"/>
        <w:numPr>
          <w:ilvl w:val="0"/>
          <w:numId w:val="50"/>
        </w:numPr>
        <w:tabs>
          <w:tab w:pos="665" w:val="left" w:leader="none"/>
          <w:tab w:pos="666" w:val="left" w:leader="none"/>
        </w:tabs>
        <w:spacing w:line="232" w:lineRule="auto" w:before="0" w:after="0"/>
        <w:ind w:left="185" w:right="58" w:firstLine="0"/>
        <w:jc w:val="left"/>
        <w:rPr>
          <w:sz w:val="18"/>
        </w:rPr>
      </w:pPr>
      <w:r>
        <w:rPr>
          <w:sz w:val="18"/>
        </w:rPr>
        <w:t>Turning to indicators of Q2 activity, manufacturing output had fallen by 0.2% in April. But total industrial production had risen by 0.8%, reflecting a large rise in energy sector output. Retail sales volumes had fallen by 0.3% in April but had risen by 4.5% on a year earlier in the three months to April. The CBI Distributive Trades survey had shown a total balance of +45 retailing respondents reporting higher sales in April compared with a year ago and further growth was expected in May. The British Retail Consortium survey had reported an increase in May. The MORI measure of consumer confidence had risen to -11 in May while the GfK confidence index had increased to +2.7 from -3.8 in April. Private new car registrations in the three months to April had fallen by 3.5% on a year earlier, while total new registrations had increased by</w:t>
      </w:r>
      <w:r>
        <w:rPr>
          <w:spacing w:val="-3"/>
          <w:sz w:val="18"/>
        </w:rPr>
        <w:t> </w:t>
      </w:r>
      <w:r>
        <w:rPr>
          <w:sz w:val="18"/>
        </w:rPr>
        <w:t>1.1%.</w:t>
      </w:r>
    </w:p>
    <w:p>
      <w:pPr>
        <w:pStyle w:val="BodyText"/>
        <w:spacing w:before="4"/>
        <w:rPr>
          <w:sz w:val="21"/>
        </w:rPr>
      </w:pPr>
      <w:r>
        <w:rPr/>
        <w:br w:type="column"/>
      </w:r>
      <w:r>
        <w:rPr>
          <w:sz w:val="21"/>
        </w:rPr>
      </w:r>
    </w:p>
    <w:p>
      <w:pPr>
        <w:pStyle w:val="ListParagraph"/>
        <w:numPr>
          <w:ilvl w:val="0"/>
          <w:numId w:val="50"/>
        </w:numPr>
        <w:tabs>
          <w:tab w:pos="665" w:val="left" w:leader="none"/>
          <w:tab w:pos="666" w:val="left" w:leader="none"/>
        </w:tabs>
        <w:spacing w:line="232" w:lineRule="auto" w:before="0" w:after="0"/>
        <w:ind w:left="185" w:right="274" w:firstLine="0"/>
        <w:jc w:val="left"/>
        <w:rPr>
          <w:sz w:val="18"/>
        </w:rPr>
      </w:pPr>
      <w:r>
        <w:rPr>
          <w:sz w:val="18"/>
        </w:rPr>
        <w:t>The housing market indicators had shown signs of a slowdown. Both the Halifax and Nationwide Prices indices had fallen by 0.4% in May. Annual rates, though still high, had fallen, as had three-month rates. The Nationwide three-month rate had only</w:t>
      </w:r>
      <w:r>
        <w:rPr>
          <w:spacing w:val="-3"/>
          <w:sz w:val="18"/>
        </w:rPr>
        <w:t> </w:t>
      </w:r>
      <w:r>
        <w:rPr>
          <w:sz w:val="18"/>
        </w:rPr>
        <w:t>fallen</w:t>
      </w:r>
      <w:r>
        <w:rPr>
          <w:spacing w:val="-4"/>
          <w:sz w:val="18"/>
        </w:rPr>
        <w:t> </w:t>
      </w:r>
      <w:r>
        <w:rPr>
          <w:sz w:val="18"/>
        </w:rPr>
        <w:t>a</w:t>
      </w:r>
      <w:r>
        <w:rPr>
          <w:spacing w:val="-3"/>
          <w:sz w:val="18"/>
        </w:rPr>
        <w:t> </w:t>
      </w:r>
      <w:r>
        <w:rPr>
          <w:sz w:val="18"/>
        </w:rPr>
        <w:t>little</w:t>
      </w:r>
      <w:r>
        <w:rPr>
          <w:spacing w:val="-3"/>
          <w:sz w:val="18"/>
        </w:rPr>
        <w:t> </w:t>
      </w:r>
      <w:r>
        <w:rPr>
          <w:sz w:val="18"/>
        </w:rPr>
        <w:t>and</w:t>
      </w:r>
      <w:r>
        <w:rPr>
          <w:spacing w:val="-3"/>
          <w:sz w:val="18"/>
        </w:rPr>
        <w:t> </w:t>
      </w:r>
      <w:r>
        <w:rPr>
          <w:sz w:val="18"/>
        </w:rPr>
        <w:t>remained</w:t>
      </w:r>
      <w:r>
        <w:rPr>
          <w:spacing w:val="-3"/>
          <w:sz w:val="18"/>
        </w:rPr>
        <w:t> </w:t>
      </w:r>
      <w:r>
        <w:rPr>
          <w:sz w:val="18"/>
        </w:rPr>
        <w:t>high</w:t>
      </w:r>
      <w:r>
        <w:rPr>
          <w:spacing w:val="-3"/>
          <w:sz w:val="18"/>
        </w:rPr>
        <w:t> </w:t>
      </w:r>
      <w:r>
        <w:rPr>
          <w:sz w:val="18"/>
        </w:rPr>
        <w:t>at</w:t>
      </w:r>
      <w:r>
        <w:rPr>
          <w:spacing w:val="-3"/>
          <w:sz w:val="18"/>
        </w:rPr>
        <w:t> </w:t>
      </w:r>
      <w:r>
        <w:rPr>
          <w:sz w:val="18"/>
        </w:rPr>
        <w:t>5.0%,</w:t>
      </w:r>
      <w:r>
        <w:rPr>
          <w:spacing w:val="-3"/>
          <w:sz w:val="18"/>
        </w:rPr>
        <w:t> </w:t>
      </w:r>
      <w:r>
        <w:rPr>
          <w:sz w:val="18"/>
        </w:rPr>
        <w:t>but</w:t>
      </w:r>
      <w:r>
        <w:rPr>
          <w:spacing w:val="-3"/>
          <w:sz w:val="18"/>
        </w:rPr>
        <w:t> </w:t>
      </w:r>
      <w:r>
        <w:rPr>
          <w:sz w:val="18"/>
        </w:rPr>
        <w:t>the</w:t>
      </w:r>
      <w:r>
        <w:rPr>
          <w:spacing w:val="-3"/>
          <w:sz w:val="18"/>
        </w:rPr>
        <w:t> </w:t>
      </w:r>
      <w:r>
        <w:rPr>
          <w:sz w:val="18"/>
        </w:rPr>
        <w:t>Halifax</w:t>
      </w:r>
    </w:p>
    <w:p>
      <w:pPr>
        <w:pStyle w:val="BodyText"/>
        <w:spacing w:line="232" w:lineRule="auto"/>
        <w:ind w:left="185"/>
      </w:pPr>
      <w:r>
        <w:rPr/>
        <w:t>three-month rate had fallen sharply to zero. A preview of the Royal Institute of Chartered Surveyors (RICS) survey of estate agents for May had shown a fall in the balance reporting house price rises.</w:t>
      </w:r>
    </w:p>
    <w:p>
      <w:pPr>
        <w:pStyle w:val="BodyText"/>
        <w:spacing w:line="232" w:lineRule="auto"/>
        <w:ind w:left="185" w:right="186"/>
      </w:pPr>
      <w:r>
        <w:rPr/>
        <w:t>The balance in April had fallen to 37 from 60 in March. The House Builders’ Federation (HBF) survey balance for house price inflation had shown a fall to 33 in April from 52 in</w:t>
      </w:r>
      <w:r>
        <w:rPr>
          <w:spacing w:val="-27"/>
        </w:rPr>
        <w:t> </w:t>
      </w:r>
      <w:r>
        <w:rPr/>
        <w:t>March.</w:t>
      </w:r>
    </w:p>
    <w:p>
      <w:pPr>
        <w:pStyle w:val="BodyText"/>
        <w:spacing w:line="232" w:lineRule="auto"/>
        <w:ind w:left="185" w:right="196"/>
      </w:pPr>
      <w:r>
        <w:rPr/>
        <w:t>Particulars delivered had fallen by 8.7% in April and were 3.3% on a year earlier. HBF site visits and reservations had fallen in April. Private housing starts had risen by 5.3% in March, but completions had fallen by 1.4%.</w:t>
      </w:r>
    </w:p>
    <w:p>
      <w:pPr>
        <w:pStyle w:val="BodyText"/>
        <w:spacing w:before="8"/>
        <w:rPr>
          <w:sz w:val="17"/>
        </w:rPr>
      </w:pPr>
    </w:p>
    <w:p>
      <w:pPr>
        <w:pStyle w:val="ListParagraph"/>
        <w:numPr>
          <w:ilvl w:val="0"/>
          <w:numId w:val="50"/>
        </w:numPr>
        <w:tabs>
          <w:tab w:pos="665" w:val="left" w:leader="none"/>
          <w:tab w:pos="666" w:val="left" w:leader="none"/>
        </w:tabs>
        <w:spacing w:line="203" w:lineRule="exact" w:before="0" w:after="0"/>
        <w:ind w:left="665" w:right="0" w:hanging="481"/>
        <w:jc w:val="left"/>
        <w:rPr>
          <w:sz w:val="18"/>
        </w:rPr>
      </w:pPr>
      <w:r>
        <w:rPr>
          <w:sz w:val="18"/>
        </w:rPr>
        <w:t>The public sector net cash requirement had</w:t>
      </w:r>
      <w:r>
        <w:rPr>
          <w:spacing w:val="-15"/>
          <w:sz w:val="18"/>
        </w:rPr>
        <w:t> </w:t>
      </w:r>
      <w:r>
        <w:rPr>
          <w:sz w:val="18"/>
        </w:rPr>
        <w:t>been</w:t>
      </w:r>
    </w:p>
    <w:p>
      <w:pPr>
        <w:pStyle w:val="BodyText"/>
        <w:spacing w:line="232" w:lineRule="auto" w:before="2"/>
        <w:ind w:left="185" w:right="555"/>
      </w:pPr>
      <w:r>
        <w:rPr/>
        <w:t>-£6.7 billion in April (a surplus). Net investment and net borrowing had been revised down by £2.2 billion for 1999/00.</w:t>
      </w:r>
    </w:p>
    <w:p>
      <w:pPr>
        <w:pStyle w:val="BodyText"/>
        <w:rPr>
          <w:sz w:val="19"/>
        </w:rPr>
      </w:pPr>
    </w:p>
    <w:p>
      <w:pPr>
        <w:pStyle w:val="ListParagraph"/>
        <w:numPr>
          <w:ilvl w:val="0"/>
          <w:numId w:val="50"/>
        </w:numPr>
        <w:tabs>
          <w:tab w:pos="665" w:val="left" w:leader="none"/>
          <w:tab w:pos="666" w:val="left" w:leader="none"/>
        </w:tabs>
        <w:spacing w:line="232" w:lineRule="auto" w:before="0" w:after="0"/>
        <w:ind w:left="185" w:right="210" w:firstLine="0"/>
        <w:jc w:val="left"/>
        <w:rPr>
          <w:sz w:val="18"/>
        </w:rPr>
      </w:pPr>
      <w:r>
        <w:rPr>
          <w:sz w:val="18"/>
        </w:rPr>
        <w:t>The manufacturing output expectations balance in the CBI Monthly Trends survey had decreased to -6 in May from +1 in April. The total orders balance had increased to -10 in May but the export orders balance had decreased to</w:t>
      </w:r>
      <w:r>
        <w:rPr>
          <w:spacing w:val="-11"/>
          <w:sz w:val="18"/>
        </w:rPr>
        <w:t> </w:t>
      </w:r>
      <w:r>
        <w:rPr>
          <w:sz w:val="18"/>
        </w:rPr>
        <w:t>-35.</w:t>
      </w:r>
    </w:p>
    <w:p>
      <w:pPr>
        <w:pStyle w:val="BodyText"/>
        <w:spacing w:before="10"/>
      </w:pPr>
    </w:p>
    <w:p>
      <w:pPr>
        <w:pStyle w:val="ListParagraph"/>
        <w:numPr>
          <w:ilvl w:val="0"/>
          <w:numId w:val="50"/>
        </w:numPr>
        <w:tabs>
          <w:tab w:pos="665" w:val="left" w:leader="none"/>
          <w:tab w:pos="666" w:val="left" w:leader="none"/>
        </w:tabs>
        <w:spacing w:line="232" w:lineRule="auto" w:before="0" w:after="0"/>
        <w:ind w:left="185" w:right="224" w:firstLine="0"/>
        <w:jc w:val="left"/>
        <w:rPr>
          <w:sz w:val="18"/>
        </w:rPr>
      </w:pPr>
      <w:r>
        <w:rPr>
          <w:sz w:val="18"/>
        </w:rPr>
        <w:t>The headline index of Chartered Institute of Purchasing and Supply</w:t>
      </w:r>
      <w:r>
        <w:rPr>
          <w:spacing w:val="-6"/>
          <w:sz w:val="18"/>
        </w:rPr>
        <w:t> </w:t>
      </w:r>
      <w:r>
        <w:rPr>
          <w:sz w:val="18"/>
        </w:rPr>
        <w:t>(CIPS)</w:t>
      </w:r>
      <w:r>
        <w:rPr>
          <w:spacing w:val="-5"/>
          <w:sz w:val="18"/>
        </w:rPr>
        <w:t> </w:t>
      </w:r>
      <w:r>
        <w:rPr>
          <w:sz w:val="18"/>
        </w:rPr>
        <w:t>manufacturing</w:t>
      </w:r>
      <w:r>
        <w:rPr>
          <w:spacing w:val="-6"/>
          <w:sz w:val="18"/>
        </w:rPr>
        <w:t> </w:t>
      </w:r>
      <w:r>
        <w:rPr>
          <w:sz w:val="18"/>
        </w:rPr>
        <w:t>survey</w:t>
      </w:r>
      <w:r>
        <w:rPr>
          <w:spacing w:val="-5"/>
          <w:sz w:val="18"/>
        </w:rPr>
        <w:t> </w:t>
      </w:r>
      <w:r>
        <w:rPr>
          <w:sz w:val="18"/>
        </w:rPr>
        <w:t>output</w:t>
      </w:r>
      <w:r>
        <w:rPr>
          <w:spacing w:val="-5"/>
          <w:sz w:val="18"/>
        </w:rPr>
        <w:t> </w:t>
      </w:r>
      <w:r>
        <w:rPr>
          <w:sz w:val="18"/>
        </w:rPr>
        <w:t>had</w:t>
      </w:r>
      <w:r>
        <w:rPr>
          <w:spacing w:val="-6"/>
          <w:sz w:val="18"/>
        </w:rPr>
        <w:t> </w:t>
      </w:r>
      <w:r>
        <w:rPr>
          <w:sz w:val="18"/>
        </w:rPr>
        <w:t>been</w:t>
      </w:r>
      <w:r>
        <w:rPr>
          <w:spacing w:val="-5"/>
          <w:sz w:val="18"/>
        </w:rPr>
        <w:t> </w:t>
      </w:r>
      <w:r>
        <w:rPr>
          <w:sz w:val="18"/>
        </w:rPr>
        <w:t>50.9</w:t>
      </w:r>
      <w:r>
        <w:rPr>
          <w:spacing w:val="-6"/>
          <w:sz w:val="18"/>
        </w:rPr>
        <w:t> </w:t>
      </w:r>
      <w:r>
        <w:rPr>
          <w:sz w:val="18"/>
        </w:rPr>
        <w:t>in</w:t>
      </w:r>
      <w:r>
        <w:rPr>
          <w:spacing w:val="-5"/>
          <w:sz w:val="18"/>
        </w:rPr>
        <w:t> </w:t>
      </w:r>
      <w:r>
        <w:rPr>
          <w:sz w:val="18"/>
        </w:rPr>
        <w:t>May. The growth in new orders had slowed to 51. The DHL survey had eased to +34 in May from +38 in February. The headline CIPS services survey balance had been +59.2 in May. The CIPS construction index had risen to 62.2 in</w:t>
      </w:r>
      <w:r>
        <w:rPr>
          <w:spacing w:val="-12"/>
          <w:sz w:val="18"/>
        </w:rPr>
        <w:t> </w:t>
      </w:r>
      <w:r>
        <w:rPr>
          <w:sz w:val="18"/>
        </w:rPr>
        <w:t>May.</w:t>
      </w:r>
    </w:p>
    <w:p>
      <w:pPr>
        <w:pStyle w:val="BodyText"/>
        <w:spacing w:before="8"/>
        <w:rPr>
          <w:sz w:val="23"/>
        </w:rPr>
      </w:pPr>
    </w:p>
    <w:p>
      <w:pPr>
        <w:pStyle w:val="Heading4"/>
        <w:numPr>
          <w:ilvl w:val="0"/>
          <w:numId w:val="51"/>
        </w:numPr>
        <w:tabs>
          <w:tab w:pos="665" w:val="left" w:leader="none"/>
          <w:tab w:pos="666" w:val="left" w:leader="none"/>
        </w:tabs>
        <w:spacing w:line="240" w:lineRule="auto" w:before="0" w:after="0"/>
        <w:ind w:left="665" w:right="0" w:hanging="481"/>
        <w:jc w:val="left"/>
      </w:pPr>
      <w:r>
        <w:rPr>
          <w:color w:val="009391"/>
        </w:rPr>
        <w:t>Labour</w:t>
      </w:r>
      <w:r>
        <w:rPr>
          <w:color w:val="009391"/>
          <w:spacing w:val="-2"/>
        </w:rPr>
        <w:t> </w:t>
      </w:r>
      <w:r>
        <w:rPr>
          <w:color w:val="009391"/>
        </w:rPr>
        <w:t>market</w:t>
      </w:r>
    </w:p>
    <w:p>
      <w:pPr>
        <w:pStyle w:val="ListParagraph"/>
        <w:numPr>
          <w:ilvl w:val="0"/>
          <w:numId w:val="50"/>
        </w:numPr>
        <w:tabs>
          <w:tab w:pos="665" w:val="left" w:leader="none"/>
          <w:tab w:pos="666" w:val="left" w:leader="none"/>
        </w:tabs>
        <w:spacing w:line="232" w:lineRule="auto" w:before="150" w:after="0"/>
        <w:ind w:left="185" w:right="240" w:firstLine="0"/>
        <w:jc w:val="left"/>
        <w:rPr>
          <w:sz w:val="18"/>
        </w:rPr>
      </w:pPr>
      <w:r>
        <w:rPr>
          <w:sz w:val="18"/>
        </w:rPr>
        <w:t>Employment had continued to grow steadily. Labour Force Survey (LFS) employment had increased by 55,000 (0.2%) in 2000 Q1 compared with 1999 Q4. The increase had been accounted</w:t>
      </w:r>
      <w:r>
        <w:rPr>
          <w:spacing w:val="-6"/>
          <w:sz w:val="18"/>
        </w:rPr>
        <w:t> </w:t>
      </w:r>
      <w:r>
        <w:rPr>
          <w:sz w:val="18"/>
        </w:rPr>
        <w:t>for</w:t>
      </w:r>
      <w:r>
        <w:rPr>
          <w:spacing w:val="-5"/>
          <w:sz w:val="18"/>
        </w:rPr>
        <w:t> </w:t>
      </w:r>
      <w:r>
        <w:rPr>
          <w:sz w:val="18"/>
        </w:rPr>
        <w:t>by</w:t>
      </w:r>
      <w:r>
        <w:rPr>
          <w:spacing w:val="-6"/>
          <w:sz w:val="18"/>
        </w:rPr>
        <w:t> </w:t>
      </w:r>
      <w:r>
        <w:rPr>
          <w:sz w:val="18"/>
        </w:rPr>
        <w:t>higher</w:t>
      </w:r>
      <w:r>
        <w:rPr>
          <w:spacing w:val="-5"/>
          <w:sz w:val="18"/>
        </w:rPr>
        <w:t> </w:t>
      </w:r>
      <w:r>
        <w:rPr>
          <w:sz w:val="18"/>
        </w:rPr>
        <w:t>part-time</w:t>
      </w:r>
      <w:r>
        <w:rPr>
          <w:spacing w:val="-6"/>
          <w:sz w:val="18"/>
        </w:rPr>
        <w:t> </w:t>
      </w:r>
      <w:r>
        <w:rPr>
          <w:sz w:val="18"/>
        </w:rPr>
        <w:t>employment,</w:t>
      </w:r>
      <w:r>
        <w:rPr>
          <w:spacing w:val="-5"/>
          <w:sz w:val="18"/>
        </w:rPr>
        <w:t> </w:t>
      </w:r>
      <w:r>
        <w:rPr>
          <w:sz w:val="18"/>
        </w:rPr>
        <w:t>which</w:t>
      </w:r>
      <w:r>
        <w:rPr>
          <w:spacing w:val="-6"/>
          <w:sz w:val="18"/>
        </w:rPr>
        <w:t> </w:t>
      </w:r>
      <w:r>
        <w:rPr>
          <w:sz w:val="18"/>
        </w:rPr>
        <w:t>had</w:t>
      </w:r>
      <w:r>
        <w:rPr>
          <w:spacing w:val="-5"/>
          <w:sz w:val="18"/>
        </w:rPr>
        <w:t> </w:t>
      </w:r>
      <w:r>
        <w:rPr>
          <w:sz w:val="18"/>
        </w:rPr>
        <w:t>risen</w:t>
      </w:r>
      <w:r>
        <w:rPr>
          <w:spacing w:val="-6"/>
          <w:sz w:val="18"/>
        </w:rPr>
        <w:t> </w:t>
      </w:r>
      <w:r>
        <w:rPr>
          <w:sz w:val="18"/>
        </w:rPr>
        <w:t>by 54,000. So employment growth had been lower in full-time equivalent terms. The working-age employment rate had risen</w:t>
      </w:r>
      <w:r>
        <w:rPr>
          <w:spacing w:val="2"/>
          <w:sz w:val="18"/>
        </w:rPr>
        <w:t> </w:t>
      </w:r>
      <w:r>
        <w:rPr>
          <w:sz w:val="18"/>
        </w:rPr>
        <w:t>by</w:t>
      </w:r>
    </w:p>
    <w:p>
      <w:pPr>
        <w:pStyle w:val="ListParagraph"/>
        <w:numPr>
          <w:ilvl w:val="1"/>
          <w:numId w:val="52"/>
        </w:numPr>
        <w:tabs>
          <w:tab w:pos="456" w:val="left" w:leader="none"/>
        </w:tabs>
        <w:spacing w:line="197" w:lineRule="exact" w:before="0" w:after="0"/>
        <w:ind w:left="455" w:right="0" w:hanging="271"/>
        <w:jc w:val="left"/>
        <w:rPr>
          <w:sz w:val="18"/>
        </w:rPr>
      </w:pPr>
      <w:r>
        <w:rPr>
          <w:sz w:val="18"/>
        </w:rPr>
        <w:t>percentage points to</w:t>
      </w:r>
      <w:r>
        <w:rPr>
          <w:spacing w:val="-4"/>
          <w:sz w:val="18"/>
        </w:rPr>
        <w:t> </w:t>
      </w:r>
      <w:r>
        <w:rPr>
          <w:sz w:val="18"/>
        </w:rPr>
        <w:t>74.4%.</w:t>
      </w:r>
    </w:p>
    <w:p>
      <w:pPr>
        <w:pStyle w:val="BodyText"/>
        <w:spacing w:before="11"/>
      </w:pPr>
    </w:p>
    <w:p>
      <w:pPr>
        <w:pStyle w:val="ListParagraph"/>
        <w:numPr>
          <w:ilvl w:val="0"/>
          <w:numId w:val="50"/>
        </w:numPr>
        <w:tabs>
          <w:tab w:pos="665" w:val="left" w:leader="none"/>
          <w:tab w:pos="666" w:val="left" w:leader="none"/>
        </w:tabs>
        <w:spacing w:line="232" w:lineRule="auto" w:before="0" w:after="0"/>
        <w:ind w:left="185" w:right="165" w:firstLine="0"/>
        <w:jc w:val="left"/>
        <w:rPr>
          <w:sz w:val="18"/>
        </w:rPr>
      </w:pPr>
      <w:r>
        <w:rPr>
          <w:sz w:val="18"/>
        </w:rPr>
        <w:t>Hours worked by full-timers had fallen steeply in Q1 (by 1.1%), though those of part-time workers were broadly unchanged. Average hours worked had fallen by 1.0%. Total hours worked had fallen by 0.8%, despite the increase in the headcount, and were 0.3% lower than in the same period a year</w:t>
      </w:r>
      <w:r>
        <w:rPr>
          <w:spacing w:val="-17"/>
          <w:sz w:val="18"/>
        </w:rPr>
        <w:t> </w:t>
      </w:r>
      <w:r>
        <w:rPr>
          <w:sz w:val="18"/>
        </w:rPr>
        <w:t>earlier.</w:t>
      </w:r>
    </w:p>
    <w:p>
      <w:pPr>
        <w:pStyle w:val="BodyText"/>
        <w:spacing w:before="9"/>
      </w:pPr>
    </w:p>
    <w:p>
      <w:pPr>
        <w:pStyle w:val="ListParagraph"/>
        <w:numPr>
          <w:ilvl w:val="0"/>
          <w:numId w:val="50"/>
        </w:numPr>
        <w:tabs>
          <w:tab w:pos="665" w:val="left" w:leader="none"/>
          <w:tab w:pos="666" w:val="left" w:leader="none"/>
        </w:tabs>
        <w:spacing w:line="232" w:lineRule="auto" w:before="0" w:after="0"/>
        <w:ind w:left="185" w:right="189" w:firstLine="0"/>
        <w:jc w:val="left"/>
        <w:rPr>
          <w:sz w:val="18"/>
        </w:rPr>
      </w:pPr>
      <w:r>
        <w:rPr>
          <w:sz w:val="18"/>
        </w:rPr>
        <w:t>The CIPS surveys in May had indicated continued strong employment growth in both services and construction, and a slower decline in manufacturing employment. The Recruitment and Employment Confederation (REC) survey had indicated that shortages of both temporary and permanent agency staff had intensified in May. According to the Bank’s regional Agents skill shortages remained a concern, especially in the Greater London area.</w:t>
      </w:r>
    </w:p>
    <w:p>
      <w:pPr>
        <w:pStyle w:val="BodyText"/>
        <w:spacing w:before="7"/>
      </w:pPr>
    </w:p>
    <w:p>
      <w:pPr>
        <w:pStyle w:val="ListParagraph"/>
        <w:numPr>
          <w:ilvl w:val="0"/>
          <w:numId w:val="50"/>
        </w:numPr>
        <w:tabs>
          <w:tab w:pos="665" w:val="left" w:leader="none"/>
          <w:tab w:pos="666" w:val="left" w:leader="none"/>
        </w:tabs>
        <w:spacing w:line="232" w:lineRule="auto" w:before="0" w:after="0"/>
        <w:ind w:left="185" w:right="289" w:firstLine="0"/>
        <w:jc w:val="left"/>
        <w:rPr>
          <w:sz w:val="18"/>
        </w:rPr>
      </w:pPr>
      <w:r>
        <w:rPr>
          <w:sz w:val="18"/>
        </w:rPr>
        <w:t>Unemployment had fallen on both the ILO and claimant count measures. LFS unemployment had fallen by 20,000 in Q1, with the rate down 0.1 percentage points to 5.8%. Claimant count unemployment had fallen by 28,800 in April, lowering the rate to 3.9%. The fall in ILO unemployment had been more than accounted for by lower long-term unemployment: short-term unemployment had risen by</w:t>
      </w:r>
      <w:r>
        <w:rPr>
          <w:spacing w:val="-6"/>
          <w:sz w:val="18"/>
        </w:rPr>
        <w:t> </w:t>
      </w:r>
      <w:r>
        <w:rPr>
          <w:sz w:val="18"/>
        </w:rPr>
        <w:t>17,000.</w:t>
      </w:r>
    </w:p>
    <w:p>
      <w:pPr>
        <w:pStyle w:val="BodyText"/>
        <w:spacing w:before="10"/>
        <w:rPr>
          <w:sz w:val="16"/>
        </w:rPr>
      </w:pPr>
    </w:p>
    <w:p>
      <w:pPr>
        <w:pStyle w:val="ListParagraph"/>
        <w:numPr>
          <w:ilvl w:val="0"/>
          <w:numId w:val="50"/>
        </w:numPr>
        <w:tabs>
          <w:tab w:pos="665" w:val="left" w:leader="none"/>
          <w:tab w:pos="666" w:val="left" w:leader="none"/>
        </w:tabs>
        <w:spacing w:line="232" w:lineRule="auto" w:before="0" w:after="0"/>
        <w:ind w:left="185" w:right="290" w:firstLine="0"/>
        <w:jc w:val="left"/>
        <w:rPr>
          <w:sz w:val="18"/>
        </w:rPr>
      </w:pPr>
      <w:r>
        <w:rPr>
          <w:sz w:val="18"/>
        </w:rPr>
        <w:t>Inactivity had been broadly flat, rising by only 1,000 in Q1 compared with the previous three months. An increase of 24,000 in male inactivity had offset a fall of 23,000 in female inactivity. Female working-age inactivity had fallen steadily since 1995, while</w:t>
      </w:r>
      <w:r>
        <w:rPr>
          <w:spacing w:val="-6"/>
          <w:sz w:val="18"/>
        </w:rPr>
        <w:t> </w:t>
      </w:r>
      <w:r>
        <w:rPr>
          <w:sz w:val="18"/>
        </w:rPr>
        <w:t>male</w:t>
      </w:r>
      <w:r>
        <w:rPr>
          <w:spacing w:val="-5"/>
          <w:sz w:val="18"/>
        </w:rPr>
        <w:t> </w:t>
      </w:r>
      <w:r>
        <w:rPr>
          <w:sz w:val="18"/>
        </w:rPr>
        <w:t>inactivity</w:t>
      </w:r>
      <w:r>
        <w:rPr>
          <w:spacing w:val="-5"/>
          <w:sz w:val="18"/>
        </w:rPr>
        <w:t> </w:t>
      </w:r>
      <w:r>
        <w:rPr>
          <w:sz w:val="18"/>
        </w:rPr>
        <w:t>had</w:t>
      </w:r>
      <w:r>
        <w:rPr>
          <w:spacing w:val="-5"/>
          <w:sz w:val="18"/>
        </w:rPr>
        <w:t> </w:t>
      </w:r>
      <w:r>
        <w:rPr>
          <w:sz w:val="18"/>
        </w:rPr>
        <w:t>been</w:t>
      </w:r>
      <w:r>
        <w:rPr>
          <w:spacing w:val="-5"/>
          <w:sz w:val="18"/>
        </w:rPr>
        <w:t> </w:t>
      </w:r>
      <w:r>
        <w:rPr>
          <w:sz w:val="18"/>
        </w:rPr>
        <w:t>broadly</w:t>
      </w:r>
      <w:r>
        <w:rPr>
          <w:spacing w:val="-5"/>
          <w:sz w:val="18"/>
        </w:rPr>
        <w:t> </w:t>
      </w:r>
      <w:r>
        <w:rPr>
          <w:sz w:val="18"/>
        </w:rPr>
        <w:t>stable</w:t>
      </w:r>
      <w:r>
        <w:rPr>
          <w:spacing w:val="-5"/>
          <w:sz w:val="18"/>
        </w:rPr>
        <w:t> </w:t>
      </w:r>
      <w:r>
        <w:rPr>
          <w:sz w:val="18"/>
        </w:rPr>
        <w:t>for</w:t>
      </w:r>
      <w:r>
        <w:rPr>
          <w:spacing w:val="-5"/>
          <w:sz w:val="18"/>
        </w:rPr>
        <w:t> </w:t>
      </w:r>
      <w:r>
        <w:rPr>
          <w:sz w:val="18"/>
        </w:rPr>
        <w:t>the</w:t>
      </w:r>
      <w:r>
        <w:rPr>
          <w:spacing w:val="-5"/>
          <w:sz w:val="18"/>
        </w:rPr>
        <w:t> </w:t>
      </w:r>
      <w:r>
        <w:rPr>
          <w:sz w:val="18"/>
        </w:rPr>
        <w:t>previous</w:t>
      </w:r>
      <w:r>
        <w:rPr>
          <w:spacing w:val="-5"/>
          <w:sz w:val="18"/>
        </w:rPr>
        <w:t> </w:t>
      </w:r>
      <w:r>
        <w:rPr>
          <w:sz w:val="18"/>
        </w:rPr>
        <w:t>two years.</w:t>
      </w:r>
    </w:p>
    <w:p>
      <w:pPr>
        <w:spacing w:after="0" w:line="232" w:lineRule="auto"/>
        <w:jc w:val="left"/>
        <w:rPr>
          <w:sz w:val="18"/>
        </w:rPr>
        <w:sectPr>
          <w:type w:val="continuous"/>
          <w:pgSz w:w="11900" w:h="16840"/>
          <w:pgMar w:top="1260" w:bottom="280" w:left="640" w:right="640"/>
          <w:cols w:num="2" w:equalWidth="0">
            <w:col w:w="5119" w:space="256"/>
            <w:col w:w="5245"/>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7"/>
        <w:rPr>
          <w:sz w:val="19"/>
        </w:rPr>
      </w:pPr>
    </w:p>
    <w:p>
      <w:pPr>
        <w:pStyle w:val="ListParagraph"/>
        <w:numPr>
          <w:ilvl w:val="0"/>
          <w:numId w:val="50"/>
        </w:numPr>
        <w:tabs>
          <w:tab w:pos="639" w:val="left" w:leader="none"/>
          <w:tab w:pos="640" w:val="left" w:leader="none"/>
        </w:tabs>
        <w:spacing w:line="232" w:lineRule="auto" w:before="1" w:after="0"/>
        <w:ind w:left="160" w:right="83" w:firstLine="0"/>
        <w:jc w:val="left"/>
        <w:rPr>
          <w:sz w:val="18"/>
        </w:rPr>
      </w:pPr>
      <w:r>
        <w:rPr>
          <w:sz w:val="18"/>
        </w:rPr>
        <w:t>Annual manufacturing productivity growth had slowed to 3.8% in March. Unit wage costs in manufacturing had started to increase again. Annual growth in whole-economy productivity and unit wage costs in 2000 Q1 was estimated, using LFS data, to be 1.7% and 4.0%</w:t>
      </w:r>
      <w:r>
        <w:rPr>
          <w:spacing w:val="-4"/>
          <w:sz w:val="18"/>
        </w:rPr>
        <w:t> </w:t>
      </w:r>
      <w:r>
        <w:rPr>
          <w:sz w:val="18"/>
        </w:rPr>
        <w:t>respectively.</w:t>
      </w:r>
    </w:p>
    <w:p>
      <w:pPr>
        <w:pStyle w:val="BodyText"/>
        <w:rPr>
          <w:sz w:val="17"/>
        </w:rPr>
      </w:pPr>
    </w:p>
    <w:p>
      <w:pPr>
        <w:pStyle w:val="ListParagraph"/>
        <w:numPr>
          <w:ilvl w:val="0"/>
          <w:numId w:val="50"/>
        </w:numPr>
        <w:tabs>
          <w:tab w:pos="640" w:val="left" w:leader="none"/>
        </w:tabs>
        <w:spacing w:line="232" w:lineRule="auto" w:before="0" w:after="0"/>
        <w:ind w:left="160" w:right="143" w:firstLine="0"/>
        <w:jc w:val="both"/>
        <w:rPr>
          <w:sz w:val="18"/>
        </w:rPr>
      </w:pPr>
      <w:r>
        <w:rPr>
          <w:sz w:val="18"/>
        </w:rPr>
        <w:t>Earnings growth as measured by the average earnings index (AEI) had fallen back slightly. Whole-economy headline earnings growth</w:t>
      </w:r>
      <w:r>
        <w:rPr>
          <w:spacing w:val="-6"/>
          <w:sz w:val="18"/>
        </w:rPr>
        <w:t> </w:t>
      </w:r>
      <w:r>
        <w:rPr>
          <w:sz w:val="18"/>
        </w:rPr>
        <w:t>(three-month</w:t>
      </w:r>
      <w:r>
        <w:rPr>
          <w:spacing w:val="-6"/>
          <w:sz w:val="18"/>
        </w:rPr>
        <w:t> </w:t>
      </w:r>
      <w:r>
        <w:rPr>
          <w:sz w:val="18"/>
        </w:rPr>
        <w:t>average</w:t>
      </w:r>
      <w:r>
        <w:rPr>
          <w:spacing w:val="-5"/>
          <w:sz w:val="18"/>
        </w:rPr>
        <w:t> </w:t>
      </w:r>
      <w:r>
        <w:rPr>
          <w:sz w:val="18"/>
        </w:rPr>
        <w:t>of</w:t>
      </w:r>
      <w:r>
        <w:rPr>
          <w:spacing w:val="-6"/>
          <w:sz w:val="18"/>
        </w:rPr>
        <w:t> </w:t>
      </w:r>
      <w:r>
        <w:rPr>
          <w:sz w:val="18"/>
        </w:rPr>
        <w:t>annual</w:t>
      </w:r>
      <w:r>
        <w:rPr>
          <w:spacing w:val="-5"/>
          <w:sz w:val="18"/>
        </w:rPr>
        <w:t> </w:t>
      </w:r>
      <w:r>
        <w:rPr>
          <w:sz w:val="18"/>
        </w:rPr>
        <w:t>growth</w:t>
      </w:r>
      <w:r>
        <w:rPr>
          <w:spacing w:val="-6"/>
          <w:sz w:val="18"/>
        </w:rPr>
        <w:t> </w:t>
      </w:r>
      <w:r>
        <w:rPr>
          <w:sz w:val="18"/>
        </w:rPr>
        <w:t>rates)</w:t>
      </w:r>
      <w:r>
        <w:rPr>
          <w:spacing w:val="-5"/>
          <w:sz w:val="18"/>
        </w:rPr>
        <w:t> </w:t>
      </w:r>
      <w:r>
        <w:rPr>
          <w:sz w:val="18"/>
        </w:rPr>
        <w:t>had</w:t>
      </w:r>
      <w:r>
        <w:rPr>
          <w:spacing w:val="-6"/>
          <w:sz w:val="18"/>
        </w:rPr>
        <w:t> </w:t>
      </w:r>
      <w:r>
        <w:rPr>
          <w:sz w:val="18"/>
        </w:rPr>
        <w:t>fallen</w:t>
      </w:r>
      <w:r>
        <w:rPr>
          <w:spacing w:val="-5"/>
          <w:sz w:val="18"/>
        </w:rPr>
        <w:t> </w:t>
      </w:r>
      <w:r>
        <w:rPr>
          <w:sz w:val="18"/>
        </w:rPr>
        <w:t>by</w:t>
      </w:r>
    </w:p>
    <w:p>
      <w:pPr>
        <w:pStyle w:val="ListParagraph"/>
        <w:numPr>
          <w:ilvl w:val="1"/>
          <w:numId w:val="52"/>
        </w:numPr>
        <w:tabs>
          <w:tab w:pos="430" w:val="left" w:leader="none"/>
        </w:tabs>
        <w:spacing w:line="232" w:lineRule="auto" w:before="0" w:after="0"/>
        <w:ind w:left="160" w:right="38" w:firstLine="0"/>
        <w:jc w:val="left"/>
        <w:rPr>
          <w:sz w:val="18"/>
        </w:rPr>
      </w:pPr>
      <w:r>
        <w:rPr>
          <w:sz w:val="18"/>
        </w:rPr>
        <w:t>percentage points in March to 5.8%. The private sector accounted for all of this decrease (down 0.3 percentage points to 6.2%). Headline earnings growth had fallen in both private services and manufacturing, to 6.6% and 4.9% respectively.  Headline public sector earnings growth had been unchanged at</w:t>
      </w:r>
      <w:r>
        <w:rPr>
          <w:spacing w:val="-23"/>
          <w:sz w:val="18"/>
        </w:rPr>
        <w:t> </w:t>
      </w:r>
      <w:r>
        <w:rPr>
          <w:sz w:val="18"/>
        </w:rPr>
        <w:t>4.2%.</w:t>
      </w:r>
    </w:p>
    <w:p>
      <w:pPr>
        <w:pStyle w:val="BodyText"/>
        <w:spacing w:before="10"/>
        <w:rPr>
          <w:sz w:val="16"/>
        </w:rPr>
      </w:pPr>
    </w:p>
    <w:p>
      <w:pPr>
        <w:pStyle w:val="ListParagraph"/>
        <w:numPr>
          <w:ilvl w:val="0"/>
          <w:numId w:val="50"/>
        </w:numPr>
        <w:tabs>
          <w:tab w:pos="639" w:val="left" w:leader="none"/>
          <w:tab w:pos="640" w:val="left" w:leader="none"/>
        </w:tabs>
        <w:spacing w:line="232" w:lineRule="auto" w:before="0" w:after="0"/>
        <w:ind w:left="160" w:right="77" w:firstLine="0"/>
        <w:jc w:val="left"/>
        <w:rPr>
          <w:sz w:val="18"/>
        </w:rPr>
      </w:pPr>
      <w:r>
        <w:rPr>
          <w:sz w:val="18"/>
        </w:rPr>
        <w:t>Annual earnings growth had edged down by 0.1 percentage points to 5.4% in March. This was accounted for entirely by public sector earnings growth, which had returned to pre change in millennium rates. Growth excluding bonuses (not seasonally adjusted) was 4.7%, down from 5.1% in February, with a bonus contribution of 0.9 percentage points. The Bank’s estimate of annual growth in earnings per hour had continued to rise in Q1 and was now above 7%. The widening gap with the headline earnings growth figure was accounted for by the fall in average hours worked, which were 1.3% lower than the previous</w:t>
      </w:r>
      <w:r>
        <w:rPr>
          <w:spacing w:val="-19"/>
          <w:sz w:val="18"/>
        </w:rPr>
        <w:t> </w:t>
      </w:r>
      <w:r>
        <w:rPr>
          <w:sz w:val="18"/>
        </w:rPr>
        <w:t>year.</w:t>
      </w:r>
    </w:p>
    <w:p>
      <w:pPr>
        <w:pStyle w:val="BodyText"/>
        <w:spacing w:before="8"/>
        <w:rPr>
          <w:sz w:val="16"/>
        </w:rPr>
      </w:pPr>
    </w:p>
    <w:p>
      <w:pPr>
        <w:pStyle w:val="ListParagraph"/>
        <w:numPr>
          <w:ilvl w:val="0"/>
          <w:numId w:val="50"/>
        </w:numPr>
        <w:tabs>
          <w:tab w:pos="639" w:val="left" w:leader="none"/>
          <w:tab w:pos="640" w:val="left" w:leader="none"/>
        </w:tabs>
        <w:spacing w:line="232" w:lineRule="auto" w:before="0" w:after="0"/>
        <w:ind w:left="160" w:right="183" w:firstLine="0"/>
        <w:jc w:val="left"/>
        <w:rPr>
          <w:sz w:val="18"/>
        </w:rPr>
      </w:pPr>
      <w:r>
        <w:rPr>
          <w:sz w:val="18"/>
        </w:rPr>
        <w:t>The REC survey had pointed to a slowdown in the rate of growth of permanent placement salaries in May. Growth rates for temporary staff had picked up a</w:t>
      </w:r>
      <w:r>
        <w:rPr>
          <w:spacing w:val="-10"/>
          <w:sz w:val="18"/>
        </w:rPr>
        <w:t> </w:t>
      </w:r>
      <w:r>
        <w:rPr>
          <w:sz w:val="18"/>
        </w:rPr>
        <w:t>little.</w:t>
      </w:r>
    </w:p>
    <w:p>
      <w:pPr>
        <w:pStyle w:val="BodyText"/>
        <w:spacing w:before="2"/>
        <w:rPr>
          <w:sz w:val="17"/>
        </w:rPr>
      </w:pPr>
    </w:p>
    <w:p>
      <w:pPr>
        <w:pStyle w:val="ListParagraph"/>
        <w:numPr>
          <w:ilvl w:val="0"/>
          <w:numId w:val="50"/>
        </w:numPr>
        <w:tabs>
          <w:tab w:pos="639" w:val="left" w:leader="none"/>
          <w:tab w:pos="640" w:val="left" w:leader="none"/>
        </w:tabs>
        <w:spacing w:line="232" w:lineRule="auto" w:before="1" w:after="0"/>
        <w:ind w:left="160" w:right="63" w:firstLine="0"/>
        <w:jc w:val="left"/>
        <w:rPr>
          <w:sz w:val="18"/>
        </w:rPr>
      </w:pPr>
      <w:r>
        <w:rPr>
          <w:sz w:val="18"/>
        </w:rPr>
        <w:t>Settlements had picked up but remained lower than a year ago. The Bank’s three-month AEI-weighted whole-economy mean had</w:t>
      </w:r>
      <w:r>
        <w:rPr>
          <w:spacing w:val="-5"/>
          <w:sz w:val="18"/>
        </w:rPr>
        <w:t> </w:t>
      </w:r>
      <w:r>
        <w:rPr>
          <w:sz w:val="18"/>
        </w:rPr>
        <w:t>risen</w:t>
      </w:r>
      <w:r>
        <w:rPr>
          <w:spacing w:val="-4"/>
          <w:sz w:val="18"/>
        </w:rPr>
        <w:t> </w:t>
      </w:r>
      <w:r>
        <w:rPr>
          <w:sz w:val="18"/>
        </w:rPr>
        <w:t>by</w:t>
      </w:r>
      <w:r>
        <w:rPr>
          <w:spacing w:val="-5"/>
          <w:sz w:val="18"/>
        </w:rPr>
        <w:t> </w:t>
      </w:r>
      <w:r>
        <w:rPr>
          <w:sz w:val="18"/>
        </w:rPr>
        <w:t>0.2</w:t>
      </w:r>
      <w:r>
        <w:rPr>
          <w:spacing w:val="-4"/>
          <w:sz w:val="18"/>
        </w:rPr>
        <w:t> </w:t>
      </w:r>
      <w:r>
        <w:rPr>
          <w:sz w:val="18"/>
        </w:rPr>
        <w:t>percentage</w:t>
      </w:r>
      <w:r>
        <w:rPr>
          <w:spacing w:val="-5"/>
          <w:sz w:val="18"/>
        </w:rPr>
        <w:t> </w:t>
      </w:r>
      <w:r>
        <w:rPr>
          <w:sz w:val="18"/>
        </w:rPr>
        <w:t>points</w:t>
      </w:r>
      <w:r>
        <w:rPr>
          <w:spacing w:val="-4"/>
          <w:sz w:val="18"/>
        </w:rPr>
        <w:t> </w:t>
      </w:r>
      <w:r>
        <w:rPr>
          <w:sz w:val="18"/>
        </w:rPr>
        <w:t>to</w:t>
      </w:r>
      <w:r>
        <w:rPr>
          <w:spacing w:val="-5"/>
          <w:sz w:val="18"/>
        </w:rPr>
        <w:t> </w:t>
      </w:r>
      <w:r>
        <w:rPr>
          <w:sz w:val="18"/>
        </w:rPr>
        <w:t>3.0%</w:t>
      </w:r>
      <w:r>
        <w:rPr>
          <w:spacing w:val="-4"/>
          <w:sz w:val="18"/>
        </w:rPr>
        <w:t> </w:t>
      </w:r>
      <w:r>
        <w:rPr>
          <w:sz w:val="18"/>
        </w:rPr>
        <w:t>in</w:t>
      </w:r>
      <w:r>
        <w:rPr>
          <w:spacing w:val="-4"/>
          <w:sz w:val="18"/>
        </w:rPr>
        <w:t> </w:t>
      </w:r>
      <w:r>
        <w:rPr>
          <w:sz w:val="18"/>
        </w:rPr>
        <w:t>April,</w:t>
      </w:r>
      <w:r>
        <w:rPr>
          <w:spacing w:val="-5"/>
          <w:sz w:val="18"/>
        </w:rPr>
        <w:t> </w:t>
      </w:r>
      <w:r>
        <w:rPr>
          <w:sz w:val="18"/>
        </w:rPr>
        <w:t>reflecting</w:t>
      </w:r>
      <w:r>
        <w:rPr>
          <w:spacing w:val="-4"/>
          <w:sz w:val="18"/>
        </w:rPr>
        <w:t> </w:t>
      </w:r>
      <w:r>
        <w:rPr>
          <w:sz w:val="18"/>
        </w:rPr>
        <w:t>a</w:t>
      </w:r>
      <w:r>
        <w:rPr>
          <w:spacing w:val="-5"/>
          <w:sz w:val="18"/>
        </w:rPr>
        <w:t> </w:t>
      </w:r>
      <w:r>
        <w:rPr>
          <w:sz w:val="18"/>
        </w:rPr>
        <w:t>rise in private sector settlements. Settlements in Q1 had generally been lower than during the same period last year: of the 56 settlements that could be matched, 18 had been higher, 11 had been the same and 27 had been lower. The Bank’s twelve-month mean had fallen by 0.2 percentage points to 3.1%. Public and private sector means were also</w:t>
      </w:r>
      <w:r>
        <w:rPr>
          <w:spacing w:val="-3"/>
          <w:sz w:val="18"/>
        </w:rPr>
        <w:t> </w:t>
      </w:r>
      <w:r>
        <w:rPr>
          <w:sz w:val="18"/>
        </w:rPr>
        <w:t>3.1%.</w:t>
      </w:r>
    </w:p>
    <w:p>
      <w:pPr>
        <w:pStyle w:val="BodyText"/>
        <w:rPr>
          <w:sz w:val="20"/>
        </w:rPr>
      </w:pPr>
    </w:p>
    <w:p>
      <w:pPr>
        <w:pStyle w:val="Heading4"/>
        <w:numPr>
          <w:ilvl w:val="0"/>
          <w:numId w:val="51"/>
        </w:numPr>
        <w:tabs>
          <w:tab w:pos="639" w:val="left" w:leader="none"/>
          <w:tab w:pos="641" w:val="left" w:leader="none"/>
        </w:tabs>
        <w:spacing w:line="240" w:lineRule="auto" w:before="0" w:after="0"/>
        <w:ind w:left="640" w:right="0" w:hanging="481"/>
        <w:jc w:val="left"/>
      </w:pPr>
      <w:r>
        <w:rPr>
          <w:color w:val="009391"/>
        </w:rPr>
        <w:t>Prices</w:t>
      </w:r>
    </w:p>
    <w:p>
      <w:pPr>
        <w:pStyle w:val="ListParagraph"/>
        <w:numPr>
          <w:ilvl w:val="0"/>
          <w:numId w:val="50"/>
        </w:numPr>
        <w:tabs>
          <w:tab w:pos="639" w:val="left" w:leader="none"/>
          <w:tab w:pos="640" w:val="left" w:leader="none"/>
        </w:tabs>
        <w:spacing w:line="232" w:lineRule="auto" w:before="110" w:after="0"/>
        <w:ind w:left="160" w:right="38" w:firstLine="0"/>
        <w:jc w:val="left"/>
        <w:rPr>
          <w:sz w:val="18"/>
        </w:rPr>
      </w:pPr>
      <w:r>
        <w:rPr>
          <w:sz w:val="18"/>
        </w:rPr>
        <w:t>The Bank oil-inclusive commodity price index had fallen by 7.0% in April, the largest fall since the start of the series in 1990, taking the annual inflation rate from 20.5% down to 8.9%. The large monthly decrease had reflected large falls in the prices of fuels and metals. The fuels component of the index had fallen by 11.9% in April, largely accounted for by the fall of around 15% in the oil price in April. Non-oil commodity prices had fallen by 3.1% in April, and by 0.2% over the past</w:t>
      </w:r>
      <w:r>
        <w:rPr>
          <w:spacing w:val="-12"/>
          <w:sz w:val="18"/>
        </w:rPr>
        <w:t> </w:t>
      </w:r>
      <w:r>
        <w:rPr>
          <w:sz w:val="18"/>
        </w:rPr>
        <w:t>year.</w:t>
      </w:r>
    </w:p>
    <w:p>
      <w:pPr>
        <w:pStyle w:val="BodyText"/>
        <w:spacing w:before="9"/>
        <w:rPr>
          <w:sz w:val="16"/>
        </w:rPr>
      </w:pPr>
    </w:p>
    <w:p>
      <w:pPr>
        <w:pStyle w:val="ListParagraph"/>
        <w:numPr>
          <w:ilvl w:val="0"/>
          <w:numId w:val="50"/>
        </w:numPr>
        <w:tabs>
          <w:tab w:pos="639" w:val="left" w:leader="none"/>
          <w:tab w:pos="640" w:val="left" w:leader="none"/>
        </w:tabs>
        <w:spacing w:line="232" w:lineRule="auto" w:before="0" w:after="0"/>
        <w:ind w:left="160" w:right="218" w:firstLine="0"/>
        <w:jc w:val="left"/>
        <w:rPr>
          <w:sz w:val="18"/>
        </w:rPr>
      </w:pPr>
      <w:r>
        <w:rPr>
          <w:sz w:val="18"/>
        </w:rPr>
        <w:t>Seasonally adjusted manufacturing input prices had fallen by 3.2% in April, taking the annual inflation rate from 13.1% to 7.1%. The large monthly fall had mainly reflected the decline in the price of crude oil in April. There had also been falls in the prices of metals and of imported materials as a whole. The CIPS manufacturing</w:t>
      </w:r>
      <w:r>
        <w:rPr>
          <w:spacing w:val="-7"/>
          <w:sz w:val="18"/>
        </w:rPr>
        <w:t> </w:t>
      </w:r>
      <w:r>
        <w:rPr>
          <w:sz w:val="18"/>
        </w:rPr>
        <w:t>survey</w:t>
      </w:r>
      <w:r>
        <w:rPr>
          <w:spacing w:val="-6"/>
          <w:sz w:val="18"/>
        </w:rPr>
        <w:t> </w:t>
      </w:r>
      <w:r>
        <w:rPr>
          <w:sz w:val="18"/>
        </w:rPr>
        <w:t>input</w:t>
      </w:r>
      <w:r>
        <w:rPr>
          <w:spacing w:val="-7"/>
          <w:sz w:val="18"/>
        </w:rPr>
        <w:t> </w:t>
      </w:r>
      <w:r>
        <w:rPr>
          <w:sz w:val="18"/>
        </w:rPr>
        <w:t>price</w:t>
      </w:r>
      <w:r>
        <w:rPr>
          <w:spacing w:val="-6"/>
          <w:sz w:val="18"/>
        </w:rPr>
        <w:t> </w:t>
      </w:r>
      <w:r>
        <w:rPr>
          <w:sz w:val="18"/>
        </w:rPr>
        <w:t>index</w:t>
      </w:r>
      <w:r>
        <w:rPr>
          <w:spacing w:val="-6"/>
          <w:sz w:val="18"/>
        </w:rPr>
        <w:t> </w:t>
      </w:r>
      <w:r>
        <w:rPr>
          <w:sz w:val="18"/>
        </w:rPr>
        <w:t>had</w:t>
      </w:r>
      <w:r>
        <w:rPr>
          <w:spacing w:val="-7"/>
          <w:sz w:val="18"/>
        </w:rPr>
        <w:t> </w:t>
      </w:r>
      <w:r>
        <w:rPr>
          <w:sz w:val="18"/>
        </w:rPr>
        <w:t>fallen</w:t>
      </w:r>
      <w:r>
        <w:rPr>
          <w:spacing w:val="-6"/>
          <w:sz w:val="18"/>
        </w:rPr>
        <w:t> </w:t>
      </w:r>
      <w:r>
        <w:rPr>
          <w:sz w:val="18"/>
        </w:rPr>
        <w:t>significantly</w:t>
      </w:r>
      <w:r>
        <w:rPr>
          <w:spacing w:val="-6"/>
          <w:sz w:val="18"/>
        </w:rPr>
        <w:t> </w:t>
      </w:r>
      <w:r>
        <w:rPr>
          <w:sz w:val="18"/>
        </w:rPr>
        <w:t>in May. Seasonally adjusted total output prices excluding excise duties (PPIY) had fallen by 0.1% in April. The annual inflation rate had been 1.6%, slightly down from 1.8% in March. As in previous months, petroleum product prices had risen, but</w:t>
      </w:r>
      <w:r>
        <w:rPr>
          <w:spacing w:val="-30"/>
          <w:sz w:val="18"/>
        </w:rPr>
        <w:t> </w:t>
      </w:r>
      <w:r>
        <w:rPr>
          <w:sz w:val="18"/>
        </w:rPr>
        <w:t>this</w:t>
      </w:r>
    </w:p>
    <w:p>
      <w:pPr>
        <w:pStyle w:val="BodyText"/>
        <w:spacing w:line="232" w:lineRule="auto"/>
        <w:ind w:left="160" w:right="118"/>
      </w:pPr>
      <w:r>
        <w:rPr/>
        <w:t>had been more than offset by small falls in the prices of a large number of components. May’s CBI Industrial Trends Survey output price balance had fallen significantly from -13 to -21. The Corporate Services Price Index had risen by 0.7% in 2000 Q1 compared with a rise of 1.1% in 1999 Q4, taking the annual inflation rate to 3.6%, slightly down from 3.9% in the previous quarter.</w:t>
      </w:r>
    </w:p>
    <w:p>
      <w:pPr>
        <w:pStyle w:val="BodyText"/>
        <w:spacing w:before="3"/>
        <w:rPr>
          <w:sz w:val="16"/>
        </w:rPr>
      </w:pPr>
    </w:p>
    <w:p>
      <w:pPr>
        <w:pStyle w:val="ListParagraph"/>
        <w:numPr>
          <w:ilvl w:val="0"/>
          <w:numId w:val="50"/>
        </w:numPr>
        <w:tabs>
          <w:tab w:pos="639" w:val="left" w:leader="none"/>
          <w:tab w:pos="640" w:val="left" w:leader="none"/>
        </w:tabs>
        <w:spacing w:line="232" w:lineRule="auto" w:before="0" w:after="0"/>
        <w:ind w:left="160" w:right="48" w:firstLine="0"/>
        <w:jc w:val="left"/>
        <w:rPr>
          <w:sz w:val="18"/>
        </w:rPr>
      </w:pPr>
      <w:r>
        <w:rPr>
          <w:sz w:val="18"/>
        </w:rPr>
        <w:t>The prices of imported and exported goods had risen by 1.1%</w:t>
      </w:r>
      <w:r>
        <w:rPr>
          <w:spacing w:val="-5"/>
          <w:sz w:val="18"/>
        </w:rPr>
        <w:t> </w:t>
      </w:r>
      <w:r>
        <w:rPr>
          <w:sz w:val="18"/>
        </w:rPr>
        <w:t>and</w:t>
      </w:r>
      <w:r>
        <w:rPr>
          <w:spacing w:val="-5"/>
          <w:sz w:val="18"/>
        </w:rPr>
        <w:t> </w:t>
      </w:r>
      <w:r>
        <w:rPr>
          <w:sz w:val="18"/>
        </w:rPr>
        <w:t>0.3%</w:t>
      </w:r>
      <w:r>
        <w:rPr>
          <w:spacing w:val="-5"/>
          <w:sz w:val="18"/>
        </w:rPr>
        <w:t> </w:t>
      </w:r>
      <w:r>
        <w:rPr>
          <w:sz w:val="18"/>
        </w:rPr>
        <w:t>respectively</w:t>
      </w:r>
      <w:r>
        <w:rPr>
          <w:spacing w:val="-5"/>
          <w:sz w:val="18"/>
        </w:rPr>
        <w:t> </w:t>
      </w:r>
      <w:r>
        <w:rPr>
          <w:sz w:val="18"/>
        </w:rPr>
        <w:t>in</w:t>
      </w:r>
      <w:r>
        <w:rPr>
          <w:spacing w:val="-5"/>
          <w:sz w:val="18"/>
        </w:rPr>
        <w:t> </w:t>
      </w:r>
      <w:r>
        <w:rPr>
          <w:sz w:val="18"/>
        </w:rPr>
        <w:t>the</w:t>
      </w:r>
      <w:r>
        <w:rPr>
          <w:spacing w:val="-5"/>
          <w:sz w:val="18"/>
        </w:rPr>
        <w:t> </w:t>
      </w:r>
      <w:r>
        <w:rPr>
          <w:sz w:val="18"/>
        </w:rPr>
        <w:t>three</w:t>
      </w:r>
      <w:r>
        <w:rPr>
          <w:spacing w:val="-5"/>
          <w:sz w:val="18"/>
        </w:rPr>
        <w:t> </w:t>
      </w:r>
      <w:r>
        <w:rPr>
          <w:sz w:val="18"/>
        </w:rPr>
        <w:t>months</w:t>
      </w:r>
      <w:r>
        <w:rPr>
          <w:spacing w:val="-5"/>
          <w:sz w:val="18"/>
        </w:rPr>
        <w:t> </w:t>
      </w:r>
      <w:r>
        <w:rPr>
          <w:sz w:val="18"/>
        </w:rPr>
        <w:t>to</w:t>
      </w:r>
      <w:r>
        <w:rPr>
          <w:spacing w:val="-5"/>
          <w:sz w:val="18"/>
        </w:rPr>
        <w:t> </w:t>
      </w:r>
      <w:r>
        <w:rPr>
          <w:sz w:val="18"/>
        </w:rPr>
        <w:t>March</w:t>
      </w:r>
      <w:r>
        <w:rPr>
          <w:spacing w:val="-5"/>
          <w:sz w:val="18"/>
        </w:rPr>
        <w:t> </w:t>
      </w:r>
      <w:r>
        <w:rPr>
          <w:sz w:val="18"/>
        </w:rPr>
        <w:t>compared with the previous three months. Excluding oil, the price</w:t>
      </w:r>
      <w:r>
        <w:rPr>
          <w:spacing w:val="-25"/>
          <w:sz w:val="18"/>
        </w:rPr>
        <w:t> </w:t>
      </w:r>
      <w:r>
        <w:rPr>
          <w:sz w:val="18"/>
        </w:rPr>
        <w:t>of</w:t>
      </w:r>
    </w:p>
    <w:p>
      <w:pPr>
        <w:pStyle w:val="BodyText"/>
        <w:spacing w:before="7"/>
        <w:rPr>
          <w:sz w:val="19"/>
        </w:rPr>
      </w:pPr>
      <w:r>
        <w:rPr/>
        <w:br w:type="column"/>
      </w:r>
      <w:r>
        <w:rPr>
          <w:sz w:val="19"/>
        </w:rPr>
      </w:r>
    </w:p>
    <w:p>
      <w:pPr>
        <w:pStyle w:val="BodyText"/>
        <w:spacing w:line="232" w:lineRule="auto" w:before="1"/>
        <w:ind w:left="160" w:right="551"/>
      </w:pPr>
      <w:r>
        <w:rPr/>
        <w:t>imported goods had risen by 0.5%, while the price of exported goods had fallen by 0.9% over the same period.</w:t>
      </w:r>
    </w:p>
    <w:p>
      <w:pPr>
        <w:pStyle w:val="BodyText"/>
        <w:spacing w:before="2"/>
        <w:rPr>
          <w:sz w:val="17"/>
        </w:rPr>
      </w:pPr>
    </w:p>
    <w:p>
      <w:pPr>
        <w:pStyle w:val="ListParagraph"/>
        <w:numPr>
          <w:ilvl w:val="0"/>
          <w:numId w:val="50"/>
        </w:numPr>
        <w:tabs>
          <w:tab w:pos="639" w:val="left" w:leader="none"/>
          <w:tab w:pos="640" w:val="left" w:leader="none"/>
        </w:tabs>
        <w:spacing w:line="232" w:lineRule="auto" w:before="1" w:after="0"/>
        <w:ind w:left="160" w:right="190" w:firstLine="0"/>
        <w:jc w:val="left"/>
        <w:rPr>
          <w:sz w:val="18"/>
        </w:rPr>
      </w:pPr>
      <w:r>
        <w:rPr>
          <w:sz w:val="18"/>
        </w:rPr>
        <w:t>RPIX inflation had fallen to 1.9% in April, down from 2.0% in the previous month. This had largely reflected lower petrol price inflation and cuts in utilities prices. RPI inflation had risen from 2.6% to 3.0%, following the abolition of MIRAS in April. RPIY inflation had fallen to 1.6% in April, while HICP (harmonised index of consumer prices) inflation had fallen from 0.7% to 0.6%. The difference between RPIX and HICP inflation had remained constant at 1.3 percentage</w:t>
      </w:r>
      <w:r>
        <w:rPr>
          <w:spacing w:val="-6"/>
          <w:sz w:val="18"/>
        </w:rPr>
        <w:t> </w:t>
      </w:r>
      <w:r>
        <w:rPr>
          <w:sz w:val="18"/>
        </w:rPr>
        <w:t>points.</w:t>
      </w:r>
    </w:p>
    <w:p>
      <w:pPr>
        <w:pStyle w:val="BodyText"/>
        <w:spacing w:before="9"/>
        <w:rPr>
          <w:sz w:val="16"/>
        </w:rPr>
      </w:pPr>
    </w:p>
    <w:p>
      <w:pPr>
        <w:pStyle w:val="ListParagraph"/>
        <w:numPr>
          <w:ilvl w:val="0"/>
          <w:numId w:val="50"/>
        </w:numPr>
        <w:tabs>
          <w:tab w:pos="639" w:val="left" w:leader="none"/>
          <w:tab w:pos="640" w:val="left" w:leader="none"/>
        </w:tabs>
        <w:spacing w:line="232" w:lineRule="auto" w:before="0" w:after="0"/>
        <w:ind w:left="160" w:right="289" w:firstLine="0"/>
        <w:jc w:val="left"/>
        <w:rPr>
          <w:sz w:val="18"/>
        </w:rPr>
      </w:pPr>
      <w:r>
        <w:rPr>
          <w:sz w:val="18"/>
        </w:rPr>
        <w:t>The British Retail Consortium (BRC) Shop Price Index had fallen by 0.2% in May, taking the annual inflation rate to -1.2%, down from -0.7% in April. The CBI Distributive Trades retailers’ reported average selling price balance had fallen from -4 in February to -6 in May, its lowest on</w:t>
      </w:r>
      <w:r>
        <w:rPr>
          <w:spacing w:val="-13"/>
          <w:sz w:val="18"/>
        </w:rPr>
        <w:t> </w:t>
      </w:r>
      <w:r>
        <w:rPr>
          <w:sz w:val="18"/>
        </w:rPr>
        <w:t>record.</w:t>
      </w:r>
    </w:p>
    <w:p>
      <w:pPr>
        <w:pStyle w:val="BodyText"/>
        <w:spacing w:before="4"/>
        <w:rPr>
          <w:sz w:val="20"/>
        </w:rPr>
      </w:pPr>
    </w:p>
    <w:p>
      <w:pPr>
        <w:pStyle w:val="Heading4"/>
        <w:numPr>
          <w:ilvl w:val="0"/>
          <w:numId w:val="51"/>
        </w:numPr>
        <w:tabs>
          <w:tab w:pos="640" w:val="left" w:leader="none"/>
          <w:tab w:pos="641" w:val="left" w:leader="none"/>
        </w:tabs>
        <w:spacing w:line="240" w:lineRule="auto" w:before="0" w:after="0"/>
        <w:ind w:left="640" w:right="0" w:hanging="481"/>
        <w:jc w:val="left"/>
      </w:pPr>
      <w:r>
        <w:rPr>
          <w:color w:val="009391"/>
        </w:rPr>
        <w:t>Reports by the </w:t>
      </w:r>
      <w:r>
        <w:rPr>
          <w:color w:val="009391"/>
          <w:spacing w:val="-3"/>
        </w:rPr>
        <w:t>Bank’s</w:t>
      </w:r>
      <w:r>
        <w:rPr>
          <w:color w:val="009391"/>
          <w:spacing w:val="-6"/>
        </w:rPr>
        <w:t> </w:t>
      </w:r>
      <w:r>
        <w:rPr>
          <w:color w:val="009391"/>
        </w:rPr>
        <w:t>Agents</w:t>
      </w:r>
    </w:p>
    <w:p>
      <w:pPr>
        <w:pStyle w:val="ListParagraph"/>
        <w:numPr>
          <w:ilvl w:val="0"/>
          <w:numId w:val="50"/>
        </w:numPr>
        <w:tabs>
          <w:tab w:pos="639" w:val="left" w:leader="none"/>
          <w:tab w:pos="640" w:val="left" w:leader="none"/>
        </w:tabs>
        <w:spacing w:line="232" w:lineRule="auto" w:before="110" w:after="0"/>
        <w:ind w:left="160" w:right="225" w:firstLine="0"/>
        <w:jc w:val="left"/>
        <w:rPr>
          <w:sz w:val="18"/>
        </w:rPr>
      </w:pPr>
      <w:r>
        <w:rPr>
          <w:sz w:val="18"/>
        </w:rPr>
        <w:t>The Bank’s regional Agents had reported that growth in manufacturing output and orders, although still continuing, had slowed further. Service sector output growth had remained strong, particularly in professional services, IT and telecommunications. Moderate export growth was still being recorded. In contrast to recent official data, the Agents reported that import growth had continued to strengthen. Construction activity remained strong, although growth had eased slightly in recent months. Within the sector, demand for housing and industrial property was reported to have eased. Agents had reported early signs of an easing in annual retail</w:t>
      </w:r>
      <w:r>
        <w:rPr>
          <w:spacing w:val="-6"/>
          <w:sz w:val="18"/>
        </w:rPr>
        <w:t> </w:t>
      </w:r>
      <w:r>
        <w:rPr>
          <w:sz w:val="18"/>
        </w:rPr>
        <w:t>sales</w:t>
      </w:r>
      <w:r>
        <w:rPr>
          <w:spacing w:val="-5"/>
          <w:sz w:val="18"/>
        </w:rPr>
        <w:t> </w:t>
      </w:r>
      <w:r>
        <w:rPr>
          <w:sz w:val="18"/>
        </w:rPr>
        <w:t>growth,</w:t>
      </w:r>
      <w:r>
        <w:rPr>
          <w:spacing w:val="-6"/>
          <w:sz w:val="18"/>
        </w:rPr>
        <w:t> </w:t>
      </w:r>
      <w:r>
        <w:rPr>
          <w:sz w:val="18"/>
        </w:rPr>
        <w:t>although</w:t>
      </w:r>
      <w:r>
        <w:rPr>
          <w:spacing w:val="-5"/>
          <w:sz w:val="18"/>
        </w:rPr>
        <w:t> </w:t>
      </w:r>
      <w:r>
        <w:rPr>
          <w:sz w:val="18"/>
        </w:rPr>
        <w:t>the</w:t>
      </w:r>
      <w:r>
        <w:rPr>
          <w:spacing w:val="-5"/>
          <w:sz w:val="18"/>
        </w:rPr>
        <w:t> </w:t>
      </w:r>
      <w:r>
        <w:rPr>
          <w:sz w:val="18"/>
        </w:rPr>
        <w:t>sector</w:t>
      </w:r>
      <w:r>
        <w:rPr>
          <w:spacing w:val="-6"/>
          <w:sz w:val="18"/>
        </w:rPr>
        <w:t> </w:t>
      </w:r>
      <w:r>
        <w:rPr>
          <w:sz w:val="18"/>
        </w:rPr>
        <w:t>remained</w:t>
      </w:r>
      <w:r>
        <w:rPr>
          <w:spacing w:val="-5"/>
          <w:sz w:val="18"/>
        </w:rPr>
        <w:t> </w:t>
      </w:r>
      <w:r>
        <w:rPr>
          <w:sz w:val="18"/>
        </w:rPr>
        <w:t>difficult</w:t>
      </w:r>
      <w:r>
        <w:rPr>
          <w:spacing w:val="-6"/>
          <w:sz w:val="18"/>
        </w:rPr>
        <w:t> </w:t>
      </w:r>
      <w:r>
        <w:rPr>
          <w:sz w:val="18"/>
        </w:rPr>
        <w:t>to</w:t>
      </w:r>
      <w:r>
        <w:rPr>
          <w:spacing w:val="-5"/>
          <w:sz w:val="18"/>
        </w:rPr>
        <w:t> </w:t>
      </w:r>
      <w:r>
        <w:rPr>
          <w:sz w:val="18"/>
        </w:rPr>
        <w:t>read</w:t>
      </w:r>
      <w:r>
        <w:rPr>
          <w:spacing w:val="-5"/>
          <w:sz w:val="18"/>
        </w:rPr>
        <w:t> </w:t>
      </w:r>
      <w:r>
        <w:rPr>
          <w:sz w:val="18"/>
        </w:rPr>
        <w:t>in many regions. Manufacturing investment intentions had weakened further, but those in the services sector had remained</w:t>
      </w:r>
      <w:r>
        <w:rPr>
          <w:spacing w:val="-28"/>
          <w:sz w:val="18"/>
        </w:rPr>
        <w:t> </w:t>
      </w:r>
      <w:r>
        <w:rPr>
          <w:sz w:val="18"/>
        </w:rPr>
        <w:t>strong.</w:t>
      </w:r>
    </w:p>
    <w:p>
      <w:pPr>
        <w:pStyle w:val="BodyText"/>
        <w:spacing w:before="5"/>
        <w:rPr>
          <w:sz w:val="16"/>
        </w:rPr>
      </w:pPr>
    </w:p>
    <w:p>
      <w:pPr>
        <w:pStyle w:val="ListParagraph"/>
        <w:numPr>
          <w:ilvl w:val="0"/>
          <w:numId w:val="50"/>
        </w:numPr>
        <w:tabs>
          <w:tab w:pos="639" w:val="left" w:leader="none"/>
          <w:tab w:pos="640" w:val="left" w:leader="none"/>
        </w:tabs>
        <w:spacing w:line="232" w:lineRule="auto" w:before="1" w:after="0"/>
        <w:ind w:left="160" w:right="175" w:firstLine="0"/>
        <w:jc w:val="left"/>
        <w:rPr>
          <w:sz w:val="18"/>
        </w:rPr>
      </w:pPr>
      <w:r>
        <w:rPr>
          <w:sz w:val="18"/>
        </w:rPr>
        <w:t>Downward pressure on manufacturers’ output prices and margins had continued, particularly in export markets. But stronger pay pressures in some areas of the service sector had been passed through to prices. Retail goods prices were reported to have continued to fall slightly. The Agents suggested that house price growth in the southern regions of the United Kingdom had slowed markedly recently, although in other regions (where the pace of house price growth had been relatively slower), growth remained stable. Contacts remained concerned about skill shortages in the labour market, although the incidence of shortages had remained broadly unchanged in recent</w:t>
      </w:r>
      <w:r>
        <w:rPr>
          <w:spacing w:val="-6"/>
          <w:sz w:val="18"/>
        </w:rPr>
        <w:t> </w:t>
      </w:r>
      <w:r>
        <w:rPr>
          <w:sz w:val="18"/>
        </w:rPr>
        <w:t>months.</w:t>
      </w:r>
    </w:p>
    <w:p>
      <w:pPr>
        <w:pStyle w:val="BodyText"/>
        <w:spacing w:before="7"/>
        <w:rPr>
          <w:sz w:val="16"/>
        </w:rPr>
      </w:pPr>
    </w:p>
    <w:p>
      <w:pPr>
        <w:pStyle w:val="ListParagraph"/>
        <w:numPr>
          <w:ilvl w:val="0"/>
          <w:numId w:val="50"/>
        </w:numPr>
        <w:tabs>
          <w:tab w:pos="639" w:val="left" w:leader="none"/>
          <w:tab w:pos="640" w:val="left" w:leader="none"/>
        </w:tabs>
        <w:spacing w:line="232" w:lineRule="auto" w:before="0" w:after="0"/>
        <w:ind w:left="160" w:right="185" w:firstLine="0"/>
        <w:jc w:val="left"/>
        <w:rPr>
          <w:sz w:val="18"/>
        </w:rPr>
      </w:pPr>
      <w:r>
        <w:rPr>
          <w:sz w:val="18"/>
        </w:rPr>
        <w:t>The Bank’s regional Agents had conducted a survey of UK firms regarding e-commerce. More than 80% of firms reported that they</w:t>
      </w:r>
      <w:r>
        <w:rPr>
          <w:spacing w:val="-5"/>
          <w:sz w:val="18"/>
        </w:rPr>
        <w:t> </w:t>
      </w:r>
      <w:r>
        <w:rPr>
          <w:sz w:val="18"/>
        </w:rPr>
        <w:t>already</w:t>
      </w:r>
      <w:r>
        <w:rPr>
          <w:spacing w:val="-4"/>
          <w:sz w:val="18"/>
        </w:rPr>
        <w:t> </w:t>
      </w:r>
      <w:r>
        <w:rPr>
          <w:sz w:val="18"/>
        </w:rPr>
        <w:t>had</w:t>
      </w:r>
      <w:r>
        <w:rPr>
          <w:spacing w:val="-4"/>
          <w:sz w:val="18"/>
        </w:rPr>
        <w:t> </w:t>
      </w:r>
      <w:r>
        <w:rPr>
          <w:sz w:val="18"/>
        </w:rPr>
        <w:t>a</w:t>
      </w:r>
      <w:r>
        <w:rPr>
          <w:spacing w:val="-5"/>
          <w:sz w:val="18"/>
        </w:rPr>
        <w:t> </w:t>
      </w:r>
      <w:r>
        <w:rPr>
          <w:sz w:val="18"/>
        </w:rPr>
        <w:t>web</w:t>
      </w:r>
      <w:r>
        <w:rPr>
          <w:spacing w:val="-4"/>
          <w:sz w:val="18"/>
        </w:rPr>
        <w:t> </w:t>
      </w:r>
      <w:r>
        <w:rPr>
          <w:sz w:val="18"/>
        </w:rPr>
        <w:t>site,</w:t>
      </w:r>
      <w:r>
        <w:rPr>
          <w:spacing w:val="-4"/>
          <w:sz w:val="18"/>
        </w:rPr>
        <w:t> </w:t>
      </w:r>
      <w:r>
        <w:rPr>
          <w:sz w:val="18"/>
        </w:rPr>
        <w:t>and</w:t>
      </w:r>
      <w:r>
        <w:rPr>
          <w:spacing w:val="-5"/>
          <w:sz w:val="18"/>
        </w:rPr>
        <w:t> </w:t>
      </w:r>
      <w:r>
        <w:rPr>
          <w:sz w:val="18"/>
        </w:rPr>
        <w:t>all</w:t>
      </w:r>
      <w:r>
        <w:rPr>
          <w:spacing w:val="-4"/>
          <w:sz w:val="18"/>
        </w:rPr>
        <w:t> </w:t>
      </w:r>
      <w:r>
        <w:rPr>
          <w:sz w:val="18"/>
        </w:rPr>
        <w:t>others</w:t>
      </w:r>
      <w:r>
        <w:rPr>
          <w:spacing w:val="-4"/>
          <w:sz w:val="18"/>
        </w:rPr>
        <w:t> </w:t>
      </w:r>
      <w:r>
        <w:rPr>
          <w:sz w:val="18"/>
        </w:rPr>
        <w:t>were</w:t>
      </w:r>
      <w:r>
        <w:rPr>
          <w:spacing w:val="-5"/>
          <w:sz w:val="18"/>
        </w:rPr>
        <w:t> </w:t>
      </w:r>
      <w:r>
        <w:rPr>
          <w:sz w:val="18"/>
        </w:rPr>
        <w:t>planning</w:t>
      </w:r>
      <w:r>
        <w:rPr>
          <w:spacing w:val="-4"/>
          <w:sz w:val="18"/>
        </w:rPr>
        <w:t> </w:t>
      </w:r>
      <w:r>
        <w:rPr>
          <w:sz w:val="18"/>
        </w:rPr>
        <w:t>to</w:t>
      </w:r>
      <w:r>
        <w:rPr>
          <w:spacing w:val="-4"/>
          <w:sz w:val="18"/>
        </w:rPr>
        <w:t> </w:t>
      </w:r>
      <w:r>
        <w:rPr>
          <w:sz w:val="18"/>
        </w:rPr>
        <w:t>develop one within two years. Most companies commented that their site was used as a marketing tool and was not used to conduct sales. Only a small proportion of firms reported that any of their input purchases were conducted via the Internet at the moment, but many reported that they already used EDI (electronic data interchange) technology. Of existing Internet sales,</w:t>
      </w:r>
      <w:r>
        <w:rPr>
          <w:spacing w:val="-20"/>
          <w:sz w:val="18"/>
        </w:rPr>
        <w:t> </w:t>
      </w:r>
      <w:r>
        <w:rPr>
          <w:sz w:val="18"/>
        </w:rPr>
        <w:t>business-to-business</w:t>
      </w:r>
    </w:p>
    <w:p>
      <w:pPr>
        <w:pStyle w:val="BodyText"/>
        <w:spacing w:line="191" w:lineRule="exact"/>
        <w:ind w:left="160"/>
      </w:pPr>
      <w:r>
        <w:rPr/>
        <w:t>(B2B) volumes were reported to vastly outweigh those of</w:t>
      </w:r>
    </w:p>
    <w:p>
      <w:pPr>
        <w:pStyle w:val="BodyText"/>
        <w:spacing w:line="232" w:lineRule="auto" w:before="2"/>
        <w:ind w:left="160" w:right="216"/>
      </w:pPr>
      <w:r>
        <w:rPr/>
        <w:t>business-to-consumer (B2C). Purchases and sales over the Internet were expected to increase over the next two years, particularly in areas such as purchases of construction and manufacturing materials and business travel. However many firms stated that transactions would continue to take place in the conventional way.</w:t>
      </w:r>
    </w:p>
    <w:p>
      <w:pPr>
        <w:pStyle w:val="BodyText"/>
        <w:spacing w:before="3"/>
        <w:rPr>
          <w:sz w:val="20"/>
        </w:rPr>
      </w:pPr>
    </w:p>
    <w:p>
      <w:pPr>
        <w:pStyle w:val="Heading4"/>
        <w:numPr>
          <w:ilvl w:val="0"/>
          <w:numId w:val="51"/>
        </w:numPr>
        <w:tabs>
          <w:tab w:pos="641" w:val="left" w:leader="none"/>
        </w:tabs>
        <w:spacing w:line="240" w:lineRule="auto" w:before="0" w:after="0"/>
        <w:ind w:left="640" w:right="0" w:hanging="481"/>
        <w:jc w:val="left"/>
      </w:pPr>
      <w:r>
        <w:rPr>
          <w:color w:val="009391"/>
        </w:rPr>
        <w:t>Market</w:t>
      </w:r>
      <w:r>
        <w:rPr>
          <w:color w:val="009391"/>
          <w:spacing w:val="-2"/>
        </w:rPr>
        <w:t> </w:t>
      </w:r>
      <w:r>
        <w:rPr>
          <w:color w:val="009391"/>
        </w:rPr>
        <w:t>intelligence</w:t>
      </w:r>
    </w:p>
    <w:p>
      <w:pPr>
        <w:pStyle w:val="ListParagraph"/>
        <w:numPr>
          <w:ilvl w:val="0"/>
          <w:numId w:val="50"/>
        </w:numPr>
        <w:tabs>
          <w:tab w:pos="639" w:val="left" w:leader="none"/>
          <w:tab w:pos="640" w:val="left" w:leader="none"/>
        </w:tabs>
        <w:spacing w:line="232" w:lineRule="auto" w:before="110" w:after="0"/>
        <w:ind w:left="160" w:right="504" w:firstLine="0"/>
        <w:jc w:val="left"/>
        <w:rPr>
          <w:sz w:val="18"/>
        </w:rPr>
      </w:pPr>
      <w:r>
        <w:rPr>
          <w:sz w:val="18"/>
        </w:rPr>
        <w:t>Expectations of short-term UK interest rates in the rest of 2000 and for 2001, implied by short sterling futures, had fallen</w:t>
      </w:r>
      <w:r>
        <w:rPr>
          <w:spacing w:val="-5"/>
          <w:sz w:val="18"/>
        </w:rPr>
        <w:t> </w:t>
      </w:r>
      <w:r>
        <w:rPr>
          <w:sz w:val="18"/>
        </w:rPr>
        <w:t>by</w:t>
      </w:r>
      <w:r>
        <w:rPr>
          <w:spacing w:val="-4"/>
          <w:sz w:val="18"/>
        </w:rPr>
        <w:t> </w:t>
      </w:r>
      <w:r>
        <w:rPr>
          <w:sz w:val="18"/>
        </w:rPr>
        <w:t>5–13</w:t>
      </w:r>
      <w:r>
        <w:rPr>
          <w:spacing w:val="-4"/>
          <w:sz w:val="18"/>
        </w:rPr>
        <w:t> </w:t>
      </w:r>
      <w:r>
        <w:rPr>
          <w:sz w:val="18"/>
        </w:rPr>
        <w:t>basis</w:t>
      </w:r>
      <w:r>
        <w:rPr>
          <w:spacing w:val="-4"/>
          <w:sz w:val="18"/>
        </w:rPr>
        <w:t> </w:t>
      </w:r>
      <w:r>
        <w:rPr>
          <w:sz w:val="18"/>
        </w:rPr>
        <w:t>points</w:t>
      </w:r>
      <w:r>
        <w:rPr>
          <w:spacing w:val="-4"/>
          <w:sz w:val="18"/>
        </w:rPr>
        <w:t> </w:t>
      </w:r>
      <w:r>
        <w:rPr>
          <w:sz w:val="18"/>
        </w:rPr>
        <w:t>since</w:t>
      </w:r>
      <w:r>
        <w:rPr>
          <w:spacing w:val="-4"/>
          <w:sz w:val="18"/>
        </w:rPr>
        <w:t> </w:t>
      </w:r>
      <w:r>
        <w:rPr>
          <w:sz w:val="18"/>
        </w:rPr>
        <w:t>the</w:t>
      </w:r>
      <w:r>
        <w:rPr>
          <w:spacing w:val="-4"/>
          <w:sz w:val="18"/>
        </w:rPr>
        <w:t> </w:t>
      </w:r>
      <w:r>
        <w:rPr>
          <w:sz w:val="18"/>
        </w:rPr>
        <w:t>May</w:t>
      </w:r>
      <w:r>
        <w:rPr>
          <w:spacing w:val="-5"/>
          <w:sz w:val="18"/>
        </w:rPr>
        <w:t> </w:t>
      </w:r>
      <w:r>
        <w:rPr>
          <w:sz w:val="18"/>
        </w:rPr>
        <w:t>MPC</w:t>
      </w:r>
      <w:r>
        <w:rPr>
          <w:spacing w:val="-4"/>
          <w:sz w:val="18"/>
        </w:rPr>
        <w:t> </w:t>
      </w:r>
      <w:r>
        <w:rPr>
          <w:sz w:val="18"/>
        </w:rPr>
        <w:t>meeting</w:t>
      </w:r>
      <w:r>
        <w:rPr>
          <w:spacing w:val="-4"/>
          <w:sz w:val="18"/>
        </w:rPr>
        <w:t> </w:t>
      </w:r>
      <w:r>
        <w:rPr>
          <w:sz w:val="18"/>
        </w:rPr>
        <w:t>and</w:t>
      </w:r>
      <w:r>
        <w:rPr>
          <w:spacing w:val="-4"/>
          <w:sz w:val="18"/>
        </w:rPr>
        <w:t> </w:t>
      </w:r>
      <w:r>
        <w:rPr>
          <w:sz w:val="18"/>
        </w:rPr>
        <w:t>by 17–20</w:t>
      </w:r>
      <w:r>
        <w:rPr>
          <w:spacing w:val="-4"/>
          <w:sz w:val="18"/>
        </w:rPr>
        <w:t> </w:t>
      </w:r>
      <w:r>
        <w:rPr>
          <w:sz w:val="18"/>
        </w:rPr>
        <w:t>basis</w:t>
      </w:r>
      <w:r>
        <w:rPr>
          <w:spacing w:val="-4"/>
          <w:sz w:val="18"/>
        </w:rPr>
        <w:t> </w:t>
      </w:r>
      <w:r>
        <w:rPr>
          <w:sz w:val="18"/>
        </w:rPr>
        <w:t>points</w:t>
      </w:r>
      <w:r>
        <w:rPr>
          <w:spacing w:val="-3"/>
          <w:sz w:val="18"/>
        </w:rPr>
        <w:t> </w:t>
      </w:r>
      <w:r>
        <w:rPr>
          <w:sz w:val="18"/>
        </w:rPr>
        <w:t>for</w:t>
      </w:r>
      <w:r>
        <w:rPr>
          <w:spacing w:val="-4"/>
          <w:sz w:val="18"/>
        </w:rPr>
        <w:t> </w:t>
      </w:r>
      <w:r>
        <w:rPr>
          <w:sz w:val="18"/>
        </w:rPr>
        <w:t>contracts</w:t>
      </w:r>
      <w:r>
        <w:rPr>
          <w:spacing w:val="-4"/>
          <w:sz w:val="18"/>
        </w:rPr>
        <w:t> </w:t>
      </w:r>
      <w:r>
        <w:rPr>
          <w:sz w:val="18"/>
        </w:rPr>
        <w:t>maturing</w:t>
      </w:r>
      <w:r>
        <w:rPr>
          <w:spacing w:val="-3"/>
          <w:sz w:val="18"/>
        </w:rPr>
        <w:t> </w:t>
      </w:r>
      <w:r>
        <w:rPr>
          <w:sz w:val="18"/>
        </w:rPr>
        <w:t>in</w:t>
      </w:r>
      <w:r>
        <w:rPr>
          <w:spacing w:val="-4"/>
          <w:sz w:val="18"/>
        </w:rPr>
        <w:t> </w:t>
      </w:r>
      <w:r>
        <w:rPr>
          <w:sz w:val="18"/>
        </w:rPr>
        <w:t>2002</w:t>
      </w:r>
      <w:r>
        <w:rPr>
          <w:spacing w:val="-4"/>
          <w:sz w:val="18"/>
        </w:rPr>
        <w:t> </w:t>
      </w:r>
      <w:r>
        <w:rPr>
          <w:sz w:val="18"/>
        </w:rPr>
        <w:t>and</w:t>
      </w:r>
      <w:r>
        <w:rPr>
          <w:spacing w:val="-3"/>
          <w:sz w:val="18"/>
        </w:rPr>
        <w:t> </w:t>
      </w:r>
      <w:r>
        <w:rPr>
          <w:sz w:val="18"/>
        </w:rPr>
        <w:t>2003.</w:t>
      </w:r>
    </w:p>
    <w:p>
      <w:pPr>
        <w:pStyle w:val="BodyText"/>
        <w:spacing w:line="232" w:lineRule="auto"/>
        <w:ind w:left="160" w:right="185"/>
      </w:pPr>
      <w:r>
        <w:rPr/>
        <w:t>Weaker-than-expected domestic and international data had contributed to the fall. The market consensus was for UK official rates to be left unchanged in June. In reaching this view, most market participants had referred to the weaker-than-expected</w:t>
      </w:r>
    </w:p>
    <w:p>
      <w:pPr>
        <w:spacing w:after="0" w:line="232" w:lineRule="auto"/>
        <w:sectPr>
          <w:type w:val="continuous"/>
          <w:pgSz w:w="11900" w:h="16840"/>
          <w:pgMar w:top="1260" w:bottom="280" w:left="640" w:right="640"/>
          <w:cols w:num="2" w:equalWidth="0">
            <w:col w:w="5108" w:space="282"/>
            <w:col w:w="5230"/>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4"/>
        <w:rPr>
          <w:sz w:val="21"/>
        </w:rPr>
      </w:pPr>
    </w:p>
    <w:p>
      <w:pPr>
        <w:pStyle w:val="BodyText"/>
        <w:spacing w:line="232" w:lineRule="auto" w:before="1"/>
        <w:ind w:left="180" w:right="97"/>
      </w:pPr>
      <w:r>
        <w:rPr/>
        <w:t>average earnings and retail sales data for March and April respectively, as well as survey evidence suggesting a slowdown in house price inflation. But the market continued to expect at least one more 25 basis point rate rise, perhaps two, in 2000. The fall in sterling, higher oil and commodity prices and the continued high </w:t>
      </w:r>
      <w:r>
        <w:rPr>
          <w:i/>
        </w:rPr>
        <w:t>level </w:t>
      </w:r>
      <w:r>
        <w:rPr/>
        <w:t>of average earnings growth lay behind these expectations.</w:t>
      </w:r>
    </w:p>
    <w:p>
      <w:pPr>
        <w:pStyle w:val="BodyText"/>
        <w:spacing w:before="10"/>
        <w:rPr>
          <w:sz w:val="16"/>
        </w:rPr>
      </w:pPr>
    </w:p>
    <w:p>
      <w:pPr>
        <w:pStyle w:val="ListParagraph"/>
        <w:numPr>
          <w:ilvl w:val="0"/>
          <w:numId w:val="50"/>
        </w:numPr>
        <w:tabs>
          <w:tab w:pos="659" w:val="left" w:leader="none"/>
          <w:tab w:pos="660" w:val="left" w:leader="none"/>
        </w:tabs>
        <w:spacing w:line="232" w:lineRule="auto" w:before="0" w:after="0"/>
        <w:ind w:left="180" w:right="38" w:firstLine="0"/>
        <w:jc w:val="left"/>
        <w:rPr>
          <w:sz w:val="18"/>
        </w:rPr>
      </w:pPr>
      <w:r>
        <w:rPr>
          <w:sz w:val="18"/>
        </w:rPr>
        <w:t>Sterling’s effective exchange rate had fallen by 7.7% since the previous MPC meeting, to below its level at the start of the year. Sterling had depreciated against both the dollar and the euro. Changes</w:t>
      </w:r>
      <w:r>
        <w:rPr>
          <w:spacing w:val="-5"/>
          <w:sz w:val="18"/>
        </w:rPr>
        <w:t> </w:t>
      </w:r>
      <w:r>
        <w:rPr>
          <w:sz w:val="18"/>
        </w:rPr>
        <w:t>in</w:t>
      </w:r>
      <w:r>
        <w:rPr>
          <w:spacing w:val="-4"/>
          <w:sz w:val="18"/>
        </w:rPr>
        <w:t> </w:t>
      </w:r>
      <w:r>
        <w:rPr>
          <w:sz w:val="18"/>
        </w:rPr>
        <w:t>UK</w:t>
      </w:r>
      <w:r>
        <w:rPr>
          <w:spacing w:val="-4"/>
          <w:sz w:val="18"/>
        </w:rPr>
        <w:t> </w:t>
      </w:r>
      <w:r>
        <w:rPr>
          <w:sz w:val="18"/>
        </w:rPr>
        <w:t>interest</w:t>
      </w:r>
      <w:r>
        <w:rPr>
          <w:spacing w:val="-4"/>
          <w:sz w:val="18"/>
        </w:rPr>
        <w:t> </w:t>
      </w:r>
      <w:r>
        <w:rPr>
          <w:sz w:val="18"/>
        </w:rPr>
        <w:t>rate</w:t>
      </w:r>
      <w:r>
        <w:rPr>
          <w:spacing w:val="-5"/>
          <w:sz w:val="18"/>
        </w:rPr>
        <w:t> </w:t>
      </w:r>
      <w:r>
        <w:rPr>
          <w:sz w:val="18"/>
        </w:rPr>
        <w:t>expectations</w:t>
      </w:r>
      <w:r>
        <w:rPr>
          <w:spacing w:val="-4"/>
          <w:sz w:val="18"/>
        </w:rPr>
        <w:t> </w:t>
      </w:r>
      <w:r>
        <w:rPr>
          <w:sz w:val="18"/>
        </w:rPr>
        <w:t>this</w:t>
      </w:r>
      <w:r>
        <w:rPr>
          <w:spacing w:val="-4"/>
          <w:sz w:val="18"/>
        </w:rPr>
        <w:t> </w:t>
      </w:r>
      <w:r>
        <w:rPr>
          <w:sz w:val="18"/>
        </w:rPr>
        <w:t>month</w:t>
      </w:r>
      <w:r>
        <w:rPr>
          <w:spacing w:val="-4"/>
          <w:sz w:val="18"/>
        </w:rPr>
        <w:t> </w:t>
      </w:r>
      <w:r>
        <w:rPr>
          <w:sz w:val="18"/>
        </w:rPr>
        <w:t>had</w:t>
      </w:r>
      <w:r>
        <w:rPr>
          <w:spacing w:val="-5"/>
          <w:sz w:val="18"/>
        </w:rPr>
        <w:t> </w:t>
      </w:r>
      <w:r>
        <w:rPr>
          <w:sz w:val="18"/>
        </w:rPr>
        <w:t>not</w:t>
      </w:r>
      <w:r>
        <w:rPr>
          <w:spacing w:val="-4"/>
          <w:sz w:val="18"/>
        </w:rPr>
        <w:t> </w:t>
      </w:r>
      <w:r>
        <w:rPr>
          <w:sz w:val="18"/>
        </w:rPr>
        <w:t>been</w:t>
      </w:r>
    </w:p>
    <w:p>
      <w:pPr>
        <w:pStyle w:val="BodyText"/>
        <w:spacing w:before="4"/>
        <w:rPr>
          <w:sz w:val="21"/>
        </w:rPr>
      </w:pPr>
      <w:r>
        <w:rPr/>
        <w:br w:type="column"/>
      </w:r>
      <w:r>
        <w:rPr>
          <w:sz w:val="21"/>
        </w:rPr>
      </w:r>
    </w:p>
    <w:p>
      <w:pPr>
        <w:pStyle w:val="BodyText"/>
        <w:spacing w:line="232" w:lineRule="auto" w:before="1"/>
        <w:ind w:left="180" w:right="158"/>
      </w:pPr>
      <w:r>
        <w:rPr/>
        <w:t>significantly different from those in the euro area and the United States, indicating that other factors lay behind the sharp movement in sterling. Economic prospects in the United States and euro area had remained strong, and the market may have regarded the level of sterling reached in early May as an aberration. There were also shorter-term factors cited by market participants. First, merger and acquisition flows had, on balance, been negative for sterling this month. Second, it appeared that some overseas investors may have had overweight positions in sterling and reduced them slightly.</w:t>
      </w:r>
    </w:p>
    <w:p>
      <w:pPr>
        <w:pStyle w:val="BodyText"/>
        <w:spacing w:line="232" w:lineRule="auto"/>
        <w:ind w:left="180" w:right="334"/>
      </w:pPr>
      <w:r>
        <w:rPr/>
        <w:t>Third, technical and momentum traders may have accelerated the fall in sterling once the change in direction of the currency was clear, having previously accelerated the rise.</w:t>
      </w:r>
    </w:p>
    <w:p>
      <w:pPr>
        <w:spacing w:after="0" w:line="232" w:lineRule="auto"/>
        <w:sectPr>
          <w:type w:val="continuous"/>
          <w:pgSz w:w="11900" w:h="16840"/>
          <w:pgMar w:top="1260" w:bottom="280" w:left="640" w:right="640"/>
          <w:cols w:num="2" w:equalWidth="0">
            <w:col w:w="5043" w:space="340"/>
            <w:col w:w="5237"/>
          </w:cols>
        </w:sectPr>
      </w:pPr>
    </w:p>
    <w:p>
      <w:pPr>
        <w:pStyle w:val="BodyText"/>
        <w:rPr>
          <w:sz w:val="20"/>
        </w:rPr>
      </w:pPr>
    </w:p>
    <w:p>
      <w:pPr>
        <w:pStyle w:val="BodyText"/>
        <w:rPr>
          <w:sz w:val="20"/>
        </w:rPr>
      </w:pPr>
    </w:p>
    <w:p>
      <w:pPr>
        <w:pStyle w:val="BodyText"/>
        <w:rPr>
          <w:sz w:val="20"/>
        </w:rPr>
      </w:pPr>
    </w:p>
    <w:p>
      <w:pPr>
        <w:pStyle w:val="BodyText"/>
        <w:spacing w:before="4"/>
        <w:rPr>
          <w:sz w:val="23"/>
        </w:rPr>
      </w:pPr>
    </w:p>
    <w:p>
      <w:pPr>
        <w:pStyle w:val="BodyText"/>
        <w:spacing w:line="203" w:lineRule="exact" w:before="93"/>
        <w:ind w:left="1975" w:right="1956"/>
        <w:jc w:val="center"/>
      </w:pPr>
      <w:r>
        <w:rPr/>
        <w:t>Treasury Chambers, Parliament Street, London, SWIP 3AG</w:t>
      </w:r>
    </w:p>
    <w:p>
      <w:pPr>
        <w:spacing w:line="203" w:lineRule="exact" w:before="0"/>
        <w:ind w:left="1975" w:right="1955" w:firstLine="0"/>
        <w:jc w:val="center"/>
        <w:rPr>
          <w:i/>
          <w:sz w:val="18"/>
        </w:rPr>
      </w:pPr>
      <w:r>
        <w:rPr>
          <w:i/>
          <w:sz w:val="18"/>
        </w:rPr>
        <w:t>020-7270 5000</w:t>
      </w:r>
    </w:p>
    <w:p>
      <w:pPr>
        <w:pStyle w:val="BodyText"/>
        <w:rPr>
          <w:i/>
          <w:sz w:val="20"/>
        </w:rPr>
      </w:pPr>
    </w:p>
    <w:p>
      <w:pPr>
        <w:pStyle w:val="BodyText"/>
        <w:spacing w:before="6"/>
        <w:rPr>
          <w:i/>
          <w:sz w:val="23"/>
        </w:rPr>
      </w:pPr>
    </w:p>
    <w:p>
      <w:pPr>
        <w:pStyle w:val="BodyText"/>
        <w:spacing w:before="92"/>
        <w:ind w:right="157"/>
        <w:jc w:val="right"/>
      </w:pPr>
      <w:r>
        <w:rPr/>
        <w:t>25 May 2000</w:t>
      </w:r>
    </w:p>
    <w:p>
      <w:pPr>
        <w:pStyle w:val="BodyText"/>
        <w:spacing w:before="9"/>
        <w:rPr>
          <w:sz w:val="8"/>
        </w:rPr>
      </w:pPr>
    </w:p>
    <w:p>
      <w:pPr>
        <w:pStyle w:val="Heading9"/>
        <w:spacing w:line="232" w:lineRule="auto" w:before="97"/>
        <w:ind w:right="9029"/>
      </w:pPr>
      <w:r>
        <w:rPr/>
        <w:t>Eddie George Esq Governor</w:t>
      </w:r>
    </w:p>
    <w:p>
      <w:pPr>
        <w:pStyle w:val="Heading9"/>
        <w:spacing w:line="232" w:lineRule="auto"/>
        <w:ind w:right="8855"/>
      </w:pPr>
      <w:r>
        <w:rPr/>
        <w:t>Bank of England Threadneedle Street London</w:t>
      </w:r>
    </w:p>
    <w:p>
      <w:pPr>
        <w:pStyle w:val="Heading9"/>
        <w:spacing w:line="200" w:lineRule="exact"/>
      </w:pPr>
      <w:r>
        <w:rPr/>
        <w:t>EC2R 8AH</w:t>
      </w:r>
    </w:p>
    <w:p>
      <w:pPr>
        <w:pStyle w:val="BodyText"/>
        <w:rPr>
          <w:b/>
          <w:sz w:val="20"/>
        </w:rPr>
      </w:pPr>
    </w:p>
    <w:p>
      <w:pPr>
        <w:pStyle w:val="BodyText"/>
        <w:rPr>
          <w:b/>
          <w:sz w:val="20"/>
        </w:rPr>
      </w:pPr>
    </w:p>
    <w:p>
      <w:pPr>
        <w:pStyle w:val="BodyText"/>
        <w:spacing w:before="132"/>
        <w:ind w:left="180"/>
      </w:pPr>
      <w:r>
        <w:rPr/>
        <w:t>Dear Eddie</w:t>
      </w:r>
    </w:p>
    <w:p>
      <w:pPr>
        <w:pStyle w:val="BodyText"/>
        <w:spacing w:before="9"/>
        <w:rPr>
          <w:sz w:val="16"/>
        </w:rPr>
      </w:pPr>
    </w:p>
    <w:p>
      <w:pPr>
        <w:pStyle w:val="Heading9"/>
      </w:pPr>
      <w:r>
        <w:rPr>
          <w:color w:val="009391"/>
        </w:rPr>
        <w:t>REMIT FOR THE MONETARY POLICY COMMITTEE</w:t>
      </w:r>
    </w:p>
    <w:p>
      <w:pPr>
        <w:pStyle w:val="BodyText"/>
        <w:spacing w:before="2"/>
        <w:rPr>
          <w:b/>
          <w:sz w:val="17"/>
        </w:rPr>
      </w:pPr>
    </w:p>
    <w:p>
      <w:pPr>
        <w:pStyle w:val="BodyText"/>
        <w:spacing w:line="232" w:lineRule="auto"/>
        <w:ind w:left="180" w:right="177"/>
      </w:pPr>
      <w:r>
        <w:rPr/>
        <w:t>The Bank of England Act requires that I specify what price stability is taken to consist of and the Government’s economic policy objectives at least once in every period of 12 months beginning on the anniversary of the day the Act came into force. I last wrote to you on this matter on 18 May last year.</w:t>
      </w:r>
    </w:p>
    <w:p>
      <w:pPr>
        <w:pStyle w:val="BodyText"/>
        <w:spacing w:before="2"/>
        <w:rPr>
          <w:sz w:val="17"/>
        </w:rPr>
      </w:pPr>
    </w:p>
    <w:p>
      <w:pPr>
        <w:pStyle w:val="BodyText"/>
        <w:spacing w:line="232" w:lineRule="auto" w:before="1"/>
        <w:ind w:left="180"/>
      </w:pPr>
      <w:r>
        <w:rPr/>
        <w:t>As you know, I re-confirmed the target of 2.5 per cent for RPIX inflation in this year’s Budget. In accordance with the Act, I confirm that the MPC’s remit remains unchanged. I attach a copy of the remit, as first set out in 1998 (after the Act came into force), for ease of reference.</w:t>
      </w:r>
    </w:p>
    <w:p>
      <w:pPr>
        <w:pStyle w:val="BodyText"/>
        <w:spacing w:before="9"/>
        <w:rPr>
          <w:sz w:val="16"/>
        </w:rPr>
      </w:pPr>
    </w:p>
    <w:p>
      <w:pPr>
        <w:pStyle w:val="BodyText"/>
        <w:ind w:left="180"/>
      </w:pPr>
      <w:r>
        <w:rPr/>
        <w:t>Yours sincerely</w:t>
      </w:r>
    </w:p>
    <w:p>
      <w:pPr>
        <w:pStyle w:val="BodyText"/>
        <w:rPr>
          <w:sz w:val="20"/>
        </w:rPr>
      </w:pPr>
    </w:p>
    <w:p>
      <w:pPr>
        <w:pStyle w:val="BodyText"/>
        <w:rPr>
          <w:sz w:val="20"/>
        </w:rPr>
      </w:pPr>
    </w:p>
    <w:p>
      <w:pPr>
        <w:pStyle w:val="BodyText"/>
        <w:spacing w:before="11"/>
        <w:rPr>
          <w:sz w:val="28"/>
        </w:rPr>
      </w:pPr>
    </w:p>
    <w:p>
      <w:pPr>
        <w:pStyle w:val="Heading9"/>
        <w:ind w:left="1975" w:right="1955"/>
        <w:jc w:val="center"/>
      </w:pPr>
      <w:r>
        <w:rPr/>
        <w:t>GORDON BROWN</w:t>
      </w:r>
    </w:p>
    <w:p>
      <w:pPr>
        <w:spacing w:after="0"/>
        <w:jc w:val="center"/>
        <w:sectPr>
          <w:pgSz w:w="11900" w:h="16840"/>
          <w:pgMar w:header="566" w:footer="597" w:top="760" w:bottom="780" w:left="640" w:right="640"/>
        </w:sectPr>
      </w:pPr>
    </w:p>
    <w:p>
      <w:pPr>
        <w:pStyle w:val="BodyText"/>
        <w:rPr>
          <w:b/>
          <w:sz w:val="20"/>
        </w:rPr>
      </w:pPr>
    </w:p>
    <w:p>
      <w:pPr>
        <w:pStyle w:val="BodyText"/>
        <w:spacing w:before="2"/>
        <w:rPr>
          <w:b/>
          <w:sz w:val="19"/>
        </w:rPr>
      </w:pPr>
    </w:p>
    <w:p>
      <w:pPr>
        <w:pStyle w:val="Heading9"/>
        <w:spacing w:before="1"/>
        <w:ind w:left="160"/>
      </w:pPr>
      <w:r>
        <w:rPr>
          <w:color w:val="009391"/>
        </w:rPr>
        <w:t>REMIT FOR THE MONETARY POLICY COMMITTEE</w:t>
      </w:r>
    </w:p>
    <w:p>
      <w:pPr>
        <w:pStyle w:val="BodyText"/>
        <w:spacing w:before="2"/>
        <w:rPr>
          <w:b/>
          <w:sz w:val="17"/>
        </w:rPr>
      </w:pPr>
    </w:p>
    <w:p>
      <w:pPr>
        <w:pStyle w:val="BodyText"/>
        <w:spacing w:line="232" w:lineRule="auto"/>
        <w:ind w:left="160"/>
      </w:pPr>
      <w:r>
        <w:rPr/>
        <w:t>The Bank of England Act came into effect on 1 June 1998. The Act states that in relation to monetary policy, the objectives of the Bank of England shall be:</w:t>
      </w:r>
    </w:p>
    <w:p>
      <w:pPr>
        <w:pStyle w:val="BodyText"/>
        <w:spacing w:before="9"/>
        <w:rPr>
          <w:sz w:val="16"/>
        </w:rPr>
      </w:pPr>
    </w:p>
    <w:p>
      <w:pPr>
        <w:pStyle w:val="ListParagraph"/>
        <w:numPr>
          <w:ilvl w:val="1"/>
          <w:numId w:val="50"/>
        </w:numPr>
        <w:tabs>
          <w:tab w:pos="1201" w:val="left" w:leader="none"/>
        </w:tabs>
        <w:spacing w:line="203" w:lineRule="exact" w:before="1" w:after="0"/>
        <w:ind w:left="1200" w:right="0" w:hanging="321"/>
        <w:jc w:val="left"/>
        <w:rPr>
          <w:sz w:val="18"/>
        </w:rPr>
      </w:pPr>
      <w:r>
        <w:rPr>
          <w:sz w:val="18"/>
        </w:rPr>
        <w:t>to maintain price stability,</w:t>
      </w:r>
      <w:r>
        <w:rPr>
          <w:spacing w:val="-5"/>
          <w:sz w:val="18"/>
        </w:rPr>
        <w:t> </w:t>
      </w:r>
      <w:r>
        <w:rPr>
          <w:sz w:val="18"/>
        </w:rPr>
        <w:t>and</w:t>
      </w:r>
    </w:p>
    <w:p>
      <w:pPr>
        <w:pStyle w:val="ListParagraph"/>
        <w:numPr>
          <w:ilvl w:val="1"/>
          <w:numId w:val="50"/>
        </w:numPr>
        <w:tabs>
          <w:tab w:pos="1201" w:val="left" w:leader="none"/>
        </w:tabs>
        <w:spacing w:line="232" w:lineRule="auto" w:before="1" w:after="0"/>
        <w:ind w:left="1200" w:right="4655" w:hanging="320"/>
        <w:jc w:val="left"/>
        <w:rPr>
          <w:sz w:val="18"/>
        </w:rPr>
      </w:pPr>
      <w:r>
        <w:rPr>
          <w:sz w:val="18"/>
        </w:rPr>
        <w:t>subject to that, to support the economic policy of Her Majesty’s Government,</w:t>
      </w:r>
      <w:r>
        <w:rPr>
          <w:spacing w:val="-7"/>
          <w:sz w:val="18"/>
        </w:rPr>
        <w:t> </w:t>
      </w:r>
      <w:r>
        <w:rPr>
          <w:sz w:val="18"/>
        </w:rPr>
        <w:t>including</w:t>
      </w:r>
      <w:r>
        <w:rPr>
          <w:spacing w:val="-7"/>
          <w:sz w:val="18"/>
        </w:rPr>
        <w:t> </w:t>
      </w:r>
      <w:r>
        <w:rPr>
          <w:sz w:val="18"/>
        </w:rPr>
        <w:t>its</w:t>
      </w:r>
      <w:r>
        <w:rPr>
          <w:spacing w:val="-7"/>
          <w:sz w:val="18"/>
        </w:rPr>
        <w:t> </w:t>
      </w:r>
      <w:r>
        <w:rPr>
          <w:sz w:val="18"/>
        </w:rPr>
        <w:t>objectives</w:t>
      </w:r>
      <w:r>
        <w:rPr>
          <w:spacing w:val="-7"/>
          <w:sz w:val="18"/>
        </w:rPr>
        <w:t> </w:t>
      </w:r>
      <w:r>
        <w:rPr>
          <w:sz w:val="18"/>
        </w:rPr>
        <w:t>for</w:t>
      </w:r>
      <w:r>
        <w:rPr>
          <w:spacing w:val="-7"/>
          <w:sz w:val="18"/>
        </w:rPr>
        <w:t> </w:t>
      </w:r>
      <w:r>
        <w:rPr>
          <w:sz w:val="18"/>
        </w:rPr>
        <w:t>growth</w:t>
      </w:r>
      <w:r>
        <w:rPr>
          <w:spacing w:val="-7"/>
          <w:sz w:val="18"/>
        </w:rPr>
        <w:t> </w:t>
      </w:r>
      <w:r>
        <w:rPr>
          <w:sz w:val="18"/>
        </w:rPr>
        <w:t>and</w:t>
      </w:r>
      <w:r>
        <w:rPr>
          <w:spacing w:val="-7"/>
          <w:sz w:val="18"/>
        </w:rPr>
        <w:t> </w:t>
      </w:r>
      <w:r>
        <w:rPr>
          <w:sz w:val="18"/>
        </w:rPr>
        <w:t>employment.</w:t>
      </w:r>
    </w:p>
    <w:p>
      <w:pPr>
        <w:pStyle w:val="BodyText"/>
        <w:spacing w:before="3"/>
        <w:rPr>
          <w:sz w:val="17"/>
        </w:rPr>
      </w:pPr>
    </w:p>
    <w:p>
      <w:pPr>
        <w:pStyle w:val="BodyText"/>
        <w:spacing w:line="232" w:lineRule="auto"/>
        <w:ind w:left="160" w:right="607"/>
      </w:pPr>
      <w:r>
        <w:rPr/>
        <w:t>In order to comply with the Act, this remit sets out what price stability should be taken to consist of and what the economic policy of the Government should be taken to be.</w:t>
      </w:r>
    </w:p>
    <w:p>
      <w:pPr>
        <w:pStyle w:val="BodyText"/>
        <w:spacing w:before="9"/>
        <w:rPr>
          <w:sz w:val="16"/>
        </w:rPr>
      </w:pPr>
    </w:p>
    <w:p>
      <w:pPr>
        <w:pStyle w:val="Heading9"/>
        <w:ind w:left="160"/>
      </w:pPr>
      <w:r>
        <w:rPr>
          <w:color w:val="009391"/>
        </w:rPr>
        <w:t>Price stability</w:t>
      </w:r>
    </w:p>
    <w:p>
      <w:pPr>
        <w:pStyle w:val="BodyText"/>
        <w:spacing w:before="3"/>
        <w:rPr>
          <w:b/>
          <w:sz w:val="17"/>
        </w:rPr>
      </w:pPr>
    </w:p>
    <w:p>
      <w:pPr>
        <w:pStyle w:val="BodyText"/>
        <w:spacing w:line="232" w:lineRule="auto"/>
        <w:ind w:left="159" w:right="339"/>
      </w:pPr>
      <w:r>
        <w:rPr/>
        <w:t>I confirm that the operational target for monetary policy remains an underlying inflation rate (measured by the 12-month increase in the RPI excluding mortgage interest payments) of 2</w:t>
      </w:r>
      <w:r>
        <w:rPr>
          <w:position w:val="6"/>
          <w:sz w:val="9"/>
        </w:rPr>
        <w:t>1</w:t>
      </w:r>
      <w:r>
        <w:rPr/>
        <w:t>/</w:t>
      </w:r>
      <w:r>
        <w:rPr>
          <w:sz w:val="9"/>
        </w:rPr>
        <w:t>2 </w:t>
      </w:r>
      <w:r>
        <w:rPr/>
        <w:t>per cent. The inflation target is 2</w:t>
      </w:r>
      <w:r>
        <w:rPr>
          <w:position w:val="6"/>
          <w:sz w:val="9"/>
        </w:rPr>
        <w:t>1</w:t>
      </w:r>
      <w:r>
        <w:rPr/>
        <w:t>/</w:t>
      </w:r>
      <w:r>
        <w:rPr>
          <w:sz w:val="9"/>
        </w:rPr>
        <w:t>2 </w:t>
      </w:r>
      <w:r>
        <w:rPr/>
        <w:t>per cent at all times: that is the rate which the MPC is required to achieve and for which it is accountable.</w:t>
      </w:r>
    </w:p>
    <w:p>
      <w:pPr>
        <w:pStyle w:val="BodyText"/>
        <w:spacing w:before="2"/>
        <w:rPr>
          <w:sz w:val="17"/>
        </w:rPr>
      </w:pPr>
    </w:p>
    <w:p>
      <w:pPr>
        <w:pStyle w:val="BodyText"/>
        <w:spacing w:line="232" w:lineRule="auto"/>
        <w:ind w:left="159" w:right="291"/>
        <w:jc w:val="both"/>
      </w:pPr>
      <w:r>
        <w:rPr/>
        <w:t>My intention is to lock into our policy making system a commitment to consistently low inflation in the long term. The real stability that we need will be achieved not when we meet the inflation target one or two months in succession but when we can confidently expect inflation to remain low and stable for a long period of time.</w:t>
      </w:r>
    </w:p>
    <w:p>
      <w:pPr>
        <w:pStyle w:val="BodyText"/>
        <w:spacing w:before="2"/>
        <w:rPr>
          <w:sz w:val="17"/>
        </w:rPr>
      </w:pPr>
    </w:p>
    <w:p>
      <w:pPr>
        <w:pStyle w:val="BodyText"/>
        <w:spacing w:line="232" w:lineRule="auto"/>
        <w:ind w:left="159" w:right="322"/>
        <w:jc w:val="both"/>
      </w:pPr>
      <w:r>
        <w:rPr/>
        <w:t>The framework takes into account that any economy at some point can suffer from external events or temporary difficulties, often beyond its control. The framework is based on the recognition that the actual inflation rate will on occasions depart from its target as a result of shocks and disturbances. Attempts to keep inflation at the inflation target in these circumstances may cause undesirable volatility in output.</w:t>
      </w:r>
    </w:p>
    <w:p>
      <w:pPr>
        <w:pStyle w:val="BodyText"/>
        <w:spacing w:before="2"/>
        <w:rPr>
          <w:sz w:val="17"/>
        </w:rPr>
      </w:pPr>
    </w:p>
    <w:p>
      <w:pPr>
        <w:pStyle w:val="BodyText"/>
        <w:spacing w:line="232" w:lineRule="auto" w:before="1"/>
        <w:ind w:left="159" w:right="242"/>
        <w:jc w:val="both"/>
      </w:pPr>
      <w:r>
        <w:rPr/>
        <w:t>But if inflation moves away from the target by more than 1 percentage point in either direction I shall expect you to send an open letter to me, following the meeting of the Monetary Policy Committee and referring as necessary to the Bank’s Inflation Report</w:t>
      </w:r>
      <w:r>
        <w:rPr>
          <w:i/>
        </w:rPr>
        <w:t>, </w:t>
      </w:r>
      <w:r>
        <w:rPr/>
        <w:t>setting out:</w:t>
      </w:r>
    </w:p>
    <w:p>
      <w:pPr>
        <w:pStyle w:val="BodyText"/>
        <w:spacing w:before="9"/>
        <w:rPr>
          <w:sz w:val="16"/>
        </w:rPr>
      </w:pPr>
    </w:p>
    <w:p>
      <w:pPr>
        <w:pStyle w:val="ListParagraph"/>
        <w:numPr>
          <w:ilvl w:val="0"/>
          <w:numId w:val="53"/>
        </w:numPr>
        <w:tabs>
          <w:tab w:pos="639" w:val="left" w:leader="none"/>
          <w:tab w:pos="640" w:val="left" w:leader="none"/>
        </w:tabs>
        <w:spacing w:line="240" w:lineRule="auto" w:before="0" w:after="0"/>
        <w:ind w:left="640" w:right="0" w:hanging="481"/>
        <w:jc w:val="left"/>
        <w:rPr>
          <w:sz w:val="18"/>
        </w:rPr>
      </w:pPr>
      <w:r>
        <w:rPr>
          <w:sz w:val="18"/>
        </w:rPr>
        <w:t>the reasons why inflation has moved away from the target by more than 1 percentage</w:t>
      </w:r>
      <w:r>
        <w:rPr>
          <w:spacing w:val="-25"/>
          <w:sz w:val="18"/>
        </w:rPr>
        <w:t> </w:t>
      </w:r>
      <w:r>
        <w:rPr>
          <w:sz w:val="18"/>
        </w:rPr>
        <w:t>point;</w:t>
      </w:r>
    </w:p>
    <w:p>
      <w:pPr>
        <w:pStyle w:val="BodyText"/>
        <w:spacing w:before="9"/>
        <w:rPr>
          <w:sz w:val="16"/>
        </w:rPr>
      </w:pPr>
    </w:p>
    <w:p>
      <w:pPr>
        <w:pStyle w:val="ListParagraph"/>
        <w:numPr>
          <w:ilvl w:val="0"/>
          <w:numId w:val="53"/>
        </w:numPr>
        <w:tabs>
          <w:tab w:pos="639" w:val="left" w:leader="none"/>
          <w:tab w:pos="640" w:val="left" w:leader="none"/>
        </w:tabs>
        <w:spacing w:line="240" w:lineRule="auto" w:before="0" w:after="0"/>
        <w:ind w:left="640" w:right="0" w:hanging="481"/>
        <w:jc w:val="left"/>
        <w:rPr>
          <w:sz w:val="18"/>
        </w:rPr>
      </w:pPr>
      <w:r>
        <w:rPr>
          <w:sz w:val="18"/>
        </w:rPr>
        <w:t>the policy action which you are taking to deal with</w:t>
      </w:r>
      <w:r>
        <w:rPr>
          <w:spacing w:val="-13"/>
          <w:sz w:val="18"/>
        </w:rPr>
        <w:t> </w:t>
      </w:r>
      <w:r>
        <w:rPr>
          <w:sz w:val="18"/>
        </w:rPr>
        <w:t>it;</w:t>
      </w:r>
    </w:p>
    <w:p>
      <w:pPr>
        <w:pStyle w:val="BodyText"/>
        <w:spacing w:before="9"/>
        <w:rPr>
          <w:sz w:val="16"/>
        </w:rPr>
      </w:pPr>
    </w:p>
    <w:p>
      <w:pPr>
        <w:pStyle w:val="ListParagraph"/>
        <w:numPr>
          <w:ilvl w:val="0"/>
          <w:numId w:val="53"/>
        </w:numPr>
        <w:tabs>
          <w:tab w:pos="639" w:val="left" w:leader="none"/>
          <w:tab w:pos="640" w:val="left" w:leader="none"/>
        </w:tabs>
        <w:spacing w:line="240" w:lineRule="auto" w:before="0" w:after="0"/>
        <w:ind w:left="640" w:right="0" w:hanging="481"/>
        <w:jc w:val="left"/>
        <w:rPr>
          <w:sz w:val="18"/>
        </w:rPr>
      </w:pPr>
      <w:r>
        <w:rPr>
          <w:sz w:val="18"/>
        </w:rPr>
        <w:t>the period within which you expect inflation to return to the</w:t>
      </w:r>
      <w:r>
        <w:rPr>
          <w:spacing w:val="-15"/>
          <w:sz w:val="18"/>
        </w:rPr>
        <w:t> </w:t>
      </w:r>
      <w:r>
        <w:rPr>
          <w:sz w:val="18"/>
        </w:rPr>
        <w:t>target;</w:t>
      </w:r>
    </w:p>
    <w:p>
      <w:pPr>
        <w:pStyle w:val="BodyText"/>
        <w:spacing w:before="9"/>
        <w:rPr>
          <w:sz w:val="16"/>
        </w:rPr>
      </w:pPr>
    </w:p>
    <w:p>
      <w:pPr>
        <w:pStyle w:val="ListParagraph"/>
        <w:numPr>
          <w:ilvl w:val="0"/>
          <w:numId w:val="53"/>
        </w:numPr>
        <w:tabs>
          <w:tab w:pos="639" w:val="left" w:leader="none"/>
          <w:tab w:pos="640" w:val="left" w:leader="none"/>
        </w:tabs>
        <w:spacing w:line="240" w:lineRule="auto" w:before="0" w:after="0"/>
        <w:ind w:left="640" w:right="0" w:hanging="481"/>
        <w:jc w:val="left"/>
        <w:rPr>
          <w:sz w:val="18"/>
        </w:rPr>
      </w:pPr>
      <w:r>
        <w:rPr>
          <w:sz w:val="18"/>
        </w:rPr>
        <w:t>how</w:t>
      </w:r>
      <w:r>
        <w:rPr>
          <w:spacing w:val="-8"/>
          <w:sz w:val="18"/>
        </w:rPr>
        <w:t> </w:t>
      </w:r>
      <w:r>
        <w:rPr>
          <w:sz w:val="18"/>
        </w:rPr>
        <w:t>this</w:t>
      </w:r>
      <w:r>
        <w:rPr>
          <w:spacing w:val="-7"/>
          <w:sz w:val="18"/>
        </w:rPr>
        <w:t> </w:t>
      </w:r>
      <w:r>
        <w:rPr>
          <w:sz w:val="18"/>
        </w:rPr>
        <w:t>approach</w:t>
      </w:r>
      <w:r>
        <w:rPr>
          <w:spacing w:val="-8"/>
          <w:sz w:val="18"/>
        </w:rPr>
        <w:t> </w:t>
      </w:r>
      <w:r>
        <w:rPr>
          <w:sz w:val="18"/>
        </w:rPr>
        <w:t>meets</w:t>
      </w:r>
      <w:r>
        <w:rPr>
          <w:spacing w:val="-7"/>
          <w:sz w:val="18"/>
        </w:rPr>
        <w:t> </w:t>
      </w:r>
      <w:r>
        <w:rPr>
          <w:sz w:val="18"/>
        </w:rPr>
        <w:t>the</w:t>
      </w:r>
      <w:r>
        <w:rPr>
          <w:spacing w:val="-8"/>
          <w:sz w:val="18"/>
        </w:rPr>
        <w:t> </w:t>
      </w:r>
      <w:r>
        <w:rPr>
          <w:sz w:val="18"/>
        </w:rPr>
        <w:t>Government’s</w:t>
      </w:r>
      <w:r>
        <w:rPr>
          <w:spacing w:val="-7"/>
          <w:sz w:val="18"/>
        </w:rPr>
        <w:t> </w:t>
      </w:r>
      <w:r>
        <w:rPr>
          <w:sz w:val="18"/>
        </w:rPr>
        <w:t>monetary</w:t>
      </w:r>
      <w:r>
        <w:rPr>
          <w:spacing w:val="-8"/>
          <w:sz w:val="18"/>
        </w:rPr>
        <w:t> </w:t>
      </w:r>
      <w:r>
        <w:rPr>
          <w:sz w:val="18"/>
        </w:rPr>
        <w:t>policy</w:t>
      </w:r>
      <w:r>
        <w:rPr>
          <w:spacing w:val="-7"/>
          <w:sz w:val="18"/>
        </w:rPr>
        <w:t> </w:t>
      </w:r>
      <w:r>
        <w:rPr>
          <w:sz w:val="18"/>
        </w:rPr>
        <w:t>objectives.</w:t>
      </w:r>
    </w:p>
    <w:p>
      <w:pPr>
        <w:pStyle w:val="BodyText"/>
        <w:spacing w:before="3"/>
        <w:rPr>
          <w:sz w:val="17"/>
        </w:rPr>
      </w:pPr>
    </w:p>
    <w:p>
      <w:pPr>
        <w:pStyle w:val="BodyText"/>
        <w:spacing w:line="232" w:lineRule="auto"/>
        <w:ind w:left="159" w:right="177"/>
        <w:jc w:val="both"/>
      </w:pPr>
      <w:r>
        <w:rPr/>
        <w:t>You would send a further letter after three months if inflation remained more than 1 percentage point above or below the target. In responding to your letter, I shall, of course, have regard to the circumstances prevailing at the</w:t>
      </w:r>
      <w:r>
        <w:rPr>
          <w:spacing w:val="-24"/>
        </w:rPr>
        <w:t> </w:t>
      </w:r>
      <w:r>
        <w:rPr/>
        <w:t>time.</w:t>
      </w:r>
    </w:p>
    <w:p>
      <w:pPr>
        <w:pStyle w:val="BodyText"/>
        <w:spacing w:before="3"/>
        <w:rPr>
          <w:sz w:val="17"/>
        </w:rPr>
      </w:pPr>
    </w:p>
    <w:p>
      <w:pPr>
        <w:pStyle w:val="BodyText"/>
        <w:spacing w:line="232" w:lineRule="auto"/>
        <w:ind w:left="159" w:right="214"/>
      </w:pPr>
      <w:r>
        <w:rPr/>
        <w:t>The thresholds do not define a target range. Their function is to define the points at which I shall expect an explanatory letter from you because the actual inflation rate is appreciably away from its target.</w:t>
      </w:r>
    </w:p>
    <w:p>
      <w:pPr>
        <w:pStyle w:val="BodyText"/>
        <w:spacing w:before="9"/>
        <w:rPr>
          <w:sz w:val="16"/>
        </w:rPr>
      </w:pPr>
    </w:p>
    <w:p>
      <w:pPr>
        <w:pStyle w:val="Heading9"/>
        <w:ind w:left="159"/>
      </w:pPr>
      <w:r>
        <w:rPr>
          <w:color w:val="009391"/>
        </w:rPr>
        <w:t>Government’s economic policy objectives</w:t>
      </w:r>
    </w:p>
    <w:p>
      <w:pPr>
        <w:pStyle w:val="BodyText"/>
        <w:spacing w:before="3"/>
        <w:rPr>
          <w:b/>
          <w:sz w:val="17"/>
        </w:rPr>
      </w:pPr>
    </w:p>
    <w:p>
      <w:pPr>
        <w:pStyle w:val="BodyText"/>
        <w:spacing w:line="232" w:lineRule="auto"/>
        <w:ind w:left="159" w:right="172"/>
      </w:pPr>
      <w:r>
        <w:rPr/>
        <w:t>The Government’s central economic objective is to achieve high and stable levels of growth and employment. Price stability is a precondition for these high and stable levels of growth and employment, which in turn will help to create the conditions for price stability on a sustainable basis. In the recent past, instability has contributed to the UK’s poor growth performance, not least by holding back the long-term investment that is the foundation for a successful economy.</w:t>
      </w:r>
    </w:p>
    <w:p>
      <w:pPr>
        <w:pStyle w:val="BodyText"/>
        <w:spacing w:before="1"/>
        <w:rPr>
          <w:sz w:val="17"/>
        </w:rPr>
      </w:pPr>
    </w:p>
    <w:p>
      <w:pPr>
        <w:pStyle w:val="BodyText"/>
        <w:spacing w:line="232" w:lineRule="auto"/>
        <w:ind w:left="159" w:right="773"/>
      </w:pPr>
      <w:r>
        <w:rPr/>
        <w:t>The monetary policy objectives of the Bank of England are to maintain price stability and subject to that, to support the Government’s economic policy, including its objectives for growth and employment.</w:t>
      </w:r>
    </w:p>
    <w:p>
      <w:pPr>
        <w:pStyle w:val="BodyText"/>
        <w:rPr>
          <w:sz w:val="20"/>
        </w:rPr>
      </w:pPr>
    </w:p>
    <w:p>
      <w:pPr>
        <w:pStyle w:val="Heading9"/>
        <w:spacing w:before="164"/>
        <w:ind w:left="159"/>
      </w:pPr>
      <w:r>
        <w:rPr>
          <w:color w:val="009391"/>
        </w:rPr>
        <w:t>Accountability</w:t>
      </w:r>
    </w:p>
    <w:p>
      <w:pPr>
        <w:pStyle w:val="BodyText"/>
        <w:spacing w:before="2"/>
        <w:rPr>
          <w:b/>
          <w:sz w:val="17"/>
        </w:rPr>
      </w:pPr>
    </w:p>
    <w:p>
      <w:pPr>
        <w:pStyle w:val="BodyText"/>
        <w:spacing w:line="232" w:lineRule="auto"/>
        <w:ind w:left="159" w:right="403"/>
      </w:pPr>
      <w:r>
        <w:rPr/>
        <w:t>The Monetary Policy Committee is accountable to the Government for the remit set out in this letter. The Committee’s performance and procedures will be reviewed by the Court on an ongoing basis (with particular regard to ensuring the Bank is collecting proper regional and sectoral information). The Bank will be accountable to Parliament through regular reports and evidence given to the Treasury Select Committee. Finally, through the publication of the minutes of the Monetary Policy Committee meetings and the Inflation Report, the Bank will be accountable to the public at large.</w:t>
      </w:r>
    </w:p>
    <w:p>
      <w:pPr>
        <w:pStyle w:val="BodyText"/>
        <w:spacing w:before="7"/>
        <w:rPr>
          <w:sz w:val="16"/>
        </w:rPr>
      </w:pPr>
    </w:p>
    <w:p>
      <w:pPr>
        <w:pStyle w:val="Heading9"/>
        <w:ind w:left="159"/>
      </w:pPr>
      <w:r>
        <w:rPr>
          <w:color w:val="009391"/>
        </w:rPr>
        <w:t>Restatement of the Remit</w:t>
      </w:r>
    </w:p>
    <w:p>
      <w:pPr>
        <w:pStyle w:val="BodyText"/>
        <w:spacing w:before="3"/>
        <w:rPr>
          <w:b/>
          <w:sz w:val="17"/>
        </w:rPr>
      </w:pPr>
    </w:p>
    <w:p>
      <w:pPr>
        <w:pStyle w:val="BodyText"/>
        <w:spacing w:line="232" w:lineRule="auto"/>
        <w:ind w:left="159" w:right="214"/>
      </w:pPr>
      <w:r>
        <w:rPr/>
        <w:t>The inflation target will be confirmed in each Budget. There is a value in continuity and I will have proper regard to that. But I will also need to consider the case for a revised target at these times on its merits. Any changes to this remit will be set out in the Budget. The Budget will also contain a statement of the Government’s economic policy objectives.</w:t>
      </w:r>
    </w:p>
    <w:p>
      <w:pPr>
        <w:pStyle w:val="BodyText"/>
        <w:rPr>
          <w:sz w:val="20"/>
        </w:rPr>
      </w:pPr>
    </w:p>
    <w:p>
      <w:pPr>
        <w:pStyle w:val="BodyText"/>
        <w:spacing w:before="6"/>
        <w:rPr>
          <w:sz w:val="28"/>
        </w:rPr>
      </w:pPr>
    </w:p>
    <w:p>
      <w:pPr>
        <w:spacing w:before="0"/>
        <w:ind w:left="1975" w:right="1975" w:firstLine="0"/>
        <w:jc w:val="center"/>
        <w:rPr>
          <w:b/>
          <w:sz w:val="26"/>
        </w:rPr>
      </w:pPr>
      <w:r>
        <w:rPr>
          <w:b/>
          <w:sz w:val="26"/>
        </w:rPr>
        <w:t>GORDON BROWN</w:t>
      </w:r>
    </w:p>
    <w:p>
      <w:pPr>
        <w:spacing w:after="0"/>
        <w:jc w:val="center"/>
        <w:rPr>
          <w:sz w:val="26"/>
        </w:rPr>
        <w:sectPr>
          <w:pgSz w:w="11900" w:h="16840"/>
          <w:pgMar w:header="566" w:footer="597" w:top="760" w:bottom="780" w:left="640" w:right="640"/>
        </w:sectPr>
      </w:pPr>
    </w:p>
    <w:p>
      <w:pPr>
        <w:pStyle w:val="BodyText"/>
        <w:rPr>
          <w:b/>
          <w:sz w:val="20"/>
        </w:rPr>
      </w:pPr>
    </w:p>
    <w:p>
      <w:pPr>
        <w:spacing w:line="357" w:lineRule="auto" w:before="208"/>
        <w:ind w:left="170" w:right="3947" w:firstLine="0"/>
        <w:jc w:val="left"/>
        <w:rPr>
          <w:b/>
          <w:sz w:val="28"/>
        </w:rPr>
      </w:pPr>
      <w:bookmarkStart w:name="June Press notice" w:id="94"/>
      <w:bookmarkEnd w:id="94"/>
      <w:r>
        <w:rPr/>
      </w:r>
      <w:bookmarkStart w:name="_bookmark41" w:id="95"/>
      <w:bookmarkEnd w:id="95"/>
      <w:r>
        <w:rPr/>
      </w:r>
      <w:r>
        <w:rPr>
          <w:b/>
          <w:color w:val="009391"/>
          <w:sz w:val="28"/>
        </w:rPr>
        <w:t>Text of Bank of England press notice of 7 June 2000 Bank of England maintains interest rates at 6.0%</w:t>
      </w:r>
    </w:p>
    <w:p>
      <w:pPr>
        <w:pStyle w:val="BodyText"/>
        <w:spacing w:line="463" w:lineRule="auto" w:before="244"/>
        <w:ind w:left="174" w:right="2767"/>
      </w:pPr>
      <w:r>
        <w:rPr/>
        <w:t>The Bank of England’s Monetary Policy Committee today voted to maintain the Bank’s repo rate at 6.0%. The minutes of the meeting will be published at 9.30 am on Wednesday 21 June.</w:t>
      </w:r>
    </w:p>
    <w:p>
      <w:pPr>
        <w:spacing w:after="0" w:line="463" w:lineRule="auto"/>
        <w:sectPr>
          <w:pgSz w:w="11900" w:h="16840"/>
          <w:pgMar w:header="566" w:footer="597" w:top="760" w:bottom="780" w:left="640" w:right="640"/>
        </w:sectPr>
      </w:pPr>
    </w:p>
    <w:p>
      <w:pPr>
        <w:pStyle w:val="BodyText"/>
        <w:rPr>
          <w:sz w:val="20"/>
        </w:rPr>
      </w:pPr>
    </w:p>
    <w:p>
      <w:pPr>
        <w:pStyle w:val="BodyText"/>
        <w:rPr>
          <w:sz w:val="20"/>
        </w:rPr>
      </w:pPr>
    </w:p>
    <w:p>
      <w:pPr>
        <w:pStyle w:val="BodyText"/>
        <w:spacing w:before="7"/>
        <w:rPr>
          <w:sz w:val="20"/>
        </w:rPr>
      </w:pPr>
    </w:p>
    <w:p>
      <w:pPr>
        <w:spacing w:before="86"/>
        <w:ind w:left="170" w:right="0" w:firstLine="0"/>
        <w:jc w:val="left"/>
        <w:rPr>
          <w:b/>
          <w:sz w:val="32"/>
        </w:rPr>
      </w:pPr>
      <w:bookmarkStart w:name="July minutes" w:id="96"/>
      <w:bookmarkEnd w:id="96"/>
      <w:r>
        <w:rPr/>
      </w:r>
      <w:bookmarkStart w:name="_bookmark42" w:id="97"/>
      <w:bookmarkEnd w:id="97"/>
      <w:r>
        <w:rPr/>
      </w:r>
      <w:r>
        <w:rPr>
          <w:b/>
          <w:color w:val="009391"/>
          <w:sz w:val="32"/>
        </w:rPr>
        <w:t>Minutes of the Monetary Policy Committee meeting on 5–6 July 2000</w:t>
      </w:r>
    </w:p>
    <w:p>
      <w:pPr>
        <w:pStyle w:val="BodyText"/>
        <w:spacing w:before="5"/>
        <w:rPr>
          <w:b/>
          <w:sz w:val="28"/>
        </w:rPr>
      </w:pPr>
    </w:p>
    <w:p>
      <w:pPr>
        <w:spacing w:after="0"/>
        <w:rPr>
          <w:sz w:val="28"/>
        </w:rPr>
        <w:sectPr>
          <w:pgSz w:w="11900" w:h="16840"/>
          <w:pgMar w:header="566" w:footer="597" w:top="760" w:bottom="780" w:left="640" w:right="640"/>
        </w:sectPr>
      </w:pPr>
    </w:p>
    <w:p>
      <w:pPr>
        <w:pStyle w:val="ListParagraph"/>
        <w:numPr>
          <w:ilvl w:val="0"/>
          <w:numId w:val="54"/>
        </w:numPr>
        <w:tabs>
          <w:tab w:pos="645" w:val="left" w:leader="none"/>
          <w:tab w:pos="646" w:val="left" w:leader="none"/>
        </w:tabs>
        <w:spacing w:line="232" w:lineRule="auto" w:before="98" w:after="0"/>
        <w:ind w:left="165" w:right="89" w:firstLine="0"/>
        <w:jc w:val="left"/>
        <w:rPr>
          <w:sz w:val="18"/>
        </w:rPr>
      </w:pPr>
      <w:r>
        <w:rPr>
          <w:sz w:val="18"/>
        </w:rPr>
        <w:t>Before turning to its immediate policy decision, the Committee discussed demand and output; the labour market; monetary and financial conditions; the world economy; prices and costs; and any tactical considerations relevant to its</w:t>
      </w:r>
      <w:r>
        <w:rPr>
          <w:spacing w:val="-30"/>
          <w:sz w:val="18"/>
        </w:rPr>
        <w:t> </w:t>
      </w:r>
      <w:r>
        <w:rPr>
          <w:sz w:val="18"/>
        </w:rPr>
        <w:t>decision.</w:t>
      </w:r>
    </w:p>
    <w:p>
      <w:pPr>
        <w:pStyle w:val="BodyText"/>
        <w:spacing w:before="5"/>
        <w:rPr>
          <w:sz w:val="20"/>
        </w:rPr>
      </w:pPr>
    </w:p>
    <w:p>
      <w:pPr>
        <w:pStyle w:val="Heading4"/>
        <w:ind w:left="165"/>
      </w:pPr>
      <w:r>
        <w:rPr>
          <w:color w:val="009391"/>
        </w:rPr>
        <w:t>Demand and output</w:t>
      </w:r>
    </w:p>
    <w:p>
      <w:pPr>
        <w:pStyle w:val="ListParagraph"/>
        <w:numPr>
          <w:ilvl w:val="0"/>
          <w:numId w:val="54"/>
        </w:numPr>
        <w:tabs>
          <w:tab w:pos="645" w:val="left" w:leader="none"/>
          <w:tab w:pos="646" w:val="left" w:leader="none"/>
        </w:tabs>
        <w:spacing w:line="232" w:lineRule="auto" w:before="89" w:after="0"/>
        <w:ind w:left="165" w:right="168" w:firstLine="0"/>
        <w:jc w:val="left"/>
        <w:rPr>
          <w:sz w:val="18"/>
        </w:rPr>
      </w:pPr>
      <w:r>
        <w:rPr>
          <w:sz w:val="18"/>
        </w:rPr>
        <w:t>In the latest National Accounts, the level of real GDP at market prices had been revised up by 0.6% in 2000 Q1, with the GDP deflator lowered by almost as much. The revisions principally reflected higher figures for household consumption, following the Annual Retailing Inquiry. Most of the changes had been to growth in 1998; indeed real GDP in 1998 Q4 was now 0.8% higher than earlier estimated. The recent revisions showed quarterly growth peaking in 1999 Q3. The slowdown since then had</w:t>
      </w:r>
      <w:r>
        <w:rPr>
          <w:spacing w:val="-5"/>
          <w:sz w:val="18"/>
        </w:rPr>
        <w:t> </w:t>
      </w:r>
      <w:r>
        <w:rPr>
          <w:sz w:val="18"/>
        </w:rPr>
        <w:t>been</w:t>
      </w:r>
      <w:r>
        <w:rPr>
          <w:spacing w:val="-5"/>
          <w:sz w:val="18"/>
        </w:rPr>
        <w:t> </w:t>
      </w:r>
      <w:r>
        <w:rPr>
          <w:sz w:val="18"/>
        </w:rPr>
        <w:t>marginally</w:t>
      </w:r>
      <w:r>
        <w:rPr>
          <w:spacing w:val="-4"/>
          <w:sz w:val="18"/>
        </w:rPr>
        <w:t> </w:t>
      </w:r>
      <w:r>
        <w:rPr>
          <w:sz w:val="18"/>
        </w:rPr>
        <w:t>more</w:t>
      </w:r>
      <w:r>
        <w:rPr>
          <w:spacing w:val="-5"/>
          <w:sz w:val="18"/>
        </w:rPr>
        <w:t> </w:t>
      </w:r>
      <w:r>
        <w:rPr>
          <w:sz w:val="18"/>
        </w:rPr>
        <w:t>rapid</w:t>
      </w:r>
      <w:r>
        <w:rPr>
          <w:spacing w:val="-4"/>
          <w:sz w:val="18"/>
        </w:rPr>
        <w:t> </w:t>
      </w:r>
      <w:r>
        <w:rPr>
          <w:sz w:val="18"/>
        </w:rPr>
        <w:t>than</w:t>
      </w:r>
      <w:r>
        <w:rPr>
          <w:spacing w:val="-5"/>
          <w:sz w:val="18"/>
        </w:rPr>
        <w:t> </w:t>
      </w:r>
      <w:r>
        <w:rPr>
          <w:sz w:val="18"/>
        </w:rPr>
        <w:t>on</w:t>
      </w:r>
      <w:r>
        <w:rPr>
          <w:spacing w:val="-5"/>
          <w:sz w:val="18"/>
        </w:rPr>
        <w:t> </w:t>
      </w:r>
      <w:r>
        <w:rPr>
          <w:sz w:val="18"/>
        </w:rPr>
        <w:t>the</w:t>
      </w:r>
      <w:r>
        <w:rPr>
          <w:spacing w:val="-4"/>
          <w:sz w:val="18"/>
        </w:rPr>
        <w:t> </w:t>
      </w:r>
      <w:r>
        <w:rPr>
          <w:sz w:val="18"/>
        </w:rPr>
        <w:t>earlier</w:t>
      </w:r>
      <w:r>
        <w:rPr>
          <w:spacing w:val="-5"/>
          <w:sz w:val="18"/>
        </w:rPr>
        <w:t> </w:t>
      </w:r>
      <w:r>
        <w:rPr>
          <w:sz w:val="18"/>
        </w:rPr>
        <w:t>data,</w:t>
      </w:r>
      <w:r>
        <w:rPr>
          <w:spacing w:val="-4"/>
          <w:sz w:val="18"/>
        </w:rPr>
        <w:t> </w:t>
      </w:r>
      <w:r>
        <w:rPr>
          <w:sz w:val="18"/>
        </w:rPr>
        <w:t>but</w:t>
      </w:r>
      <w:r>
        <w:rPr>
          <w:spacing w:val="-5"/>
          <w:sz w:val="18"/>
        </w:rPr>
        <w:t> </w:t>
      </w:r>
      <w:r>
        <w:rPr>
          <w:sz w:val="18"/>
        </w:rPr>
        <w:t>might not continue in</w:t>
      </w:r>
      <w:r>
        <w:rPr>
          <w:spacing w:val="-4"/>
          <w:sz w:val="18"/>
        </w:rPr>
        <w:t> </w:t>
      </w:r>
      <w:r>
        <w:rPr>
          <w:sz w:val="18"/>
        </w:rPr>
        <w:t>Q2.</w:t>
      </w:r>
    </w:p>
    <w:p>
      <w:pPr>
        <w:pStyle w:val="ListParagraph"/>
        <w:numPr>
          <w:ilvl w:val="0"/>
          <w:numId w:val="54"/>
        </w:numPr>
        <w:tabs>
          <w:tab w:pos="645" w:val="left" w:leader="none"/>
          <w:tab w:pos="646" w:val="left" w:leader="none"/>
        </w:tabs>
        <w:spacing w:line="232" w:lineRule="auto" w:before="172" w:after="0"/>
        <w:ind w:left="165" w:right="38" w:firstLine="0"/>
        <w:jc w:val="left"/>
        <w:rPr>
          <w:sz w:val="18"/>
        </w:rPr>
      </w:pPr>
      <w:r>
        <w:rPr>
          <w:sz w:val="18"/>
        </w:rPr>
        <w:t>Upwards revisions to the level of GDP might imply greater pressure on capacity in the economy. However, since most of the changes dated back to 1998, and in the absence of other indications of such pressure, it was also possible that the economy’s capacity for non-inflationary growth was higher than previously believed, or that the short-run trade-off between output and inflation was more favourable than indicated by previous data. In practice it was difficult to distinguish between these hypotheses. In accounting terms,</w:t>
      </w:r>
      <w:r>
        <w:rPr>
          <w:spacing w:val="-6"/>
          <w:sz w:val="18"/>
        </w:rPr>
        <w:t> </w:t>
      </w:r>
      <w:r>
        <w:rPr>
          <w:sz w:val="18"/>
        </w:rPr>
        <w:t>measured</w:t>
      </w:r>
      <w:r>
        <w:rPr>
          <w:spacing w:val="-6"/>
          <w:sz w:val="18"/>
        </w:rPr>
        <w:t> </w:t>
      </w:r>
      <w:r>
        <w:rPr>
          <w:sz w:val="18"/>
        </w:rPr>
        <w:t>productivity</w:t>
      </w:r>
      <w:r>
        <w:rPr>
          <w:spacing w:val="-6"/>
          <w:sz w:val="18"/>
        </w:rPr>
        <w:t> </w:t>
      </w:r>
      <w:r>
        <w:rPr>
          <w:sz w:val="18"/>
        </w:rPr>
        <w:t>had</w:t>
      </w:r>
      <w:r>
        <w:rPr>
          <w:spacing w:val="-5"/>
          <w:sz w:val="18"/>
        </w:rPr>
        <w:t> </w:t>
      </w:r>
      <w:r>
        <w:rPr>
          <w:sz w:val="18"/>
        </w:rPr>
        <w:t>improved</w:t>
      </w:r>
      <w:r>
        <w:rPr>
          <w:spacing w:val="-6"/>
          <w:sz w:val="18"/>
        </w:rPr>
        <w:t> </w:t>
      </w:r>
      <w:r>
        <w:rPr>
          <w:sz w:val="18"/>
        </w:rPr>
        <w:t>in</w:t>
      </w:r>
      <w:r>
        <w:rPr>
          <w:spacing w:val="-6"/>
          <w:sz w:val="18"/>
        </w:rPr>
        <w:t> </w:t>
      </w:r>
      <w:r>
        <w:rPr>
          <w:sz w:val="18"/>
        </w:rPr>
        <w:t>line</w:t>
      </w:r>
      <w:r>
        <w:rPr>
          <w:spacing w:val="-6"/>
          <w:sz w:val="18"/>
        </w:rPr>
        <w:t> </w:t>
      </w:r>
      <w:r>
        <w:rPr>
          <w:sz w:val="18"/>
        </w:rPr>
        <w:t>with</w:t>
      </w:r>
      <w:r>
        <w:rPr>
          <w:spacing w:val="-5"/>
          <w:sz w:val="18"/>
        </w:rPr>
        <w:t> </w:t>
      </w:r>
      <w:r>
        <w:rPr>
          <w:sz w:val="18"/>
        </w:rPr>
        <w:t>the</w:t>
      </w:r>
      <w:r>
        <w:rPr>
          <w:spacing w:val="-6"/>
          <w:sz w:val="18"/>
        </w:rPr>
        <w:t> </w:t>
      </w:r>
      <w:r>
        <w:rPr>
          <w:sz w:val="18"/>
        </w:rPr>
        <w:t>increase in estimated output, with the rather puzzling slowdown a couple of years ago now less apparent. Whether this suggested any improvement in trend productivity growth which could be extrapolated into the future was</w:t>
      </w:r>
      <w:r>
        <w:rPr>
          <w:spacing w:val="-8"/>
          <w:sz w:val="18"/>
        </w:rPr>
        <w:t> </w:t>
      </w:r>
      <w:r>
        <w:rPr>
          <w:sz w:val="18"/>
        </w:rPr>
        <w:t>unclear.</w:t>
      </w:r>
    </w:p>
    <w:p>
      <w:pPr>
        <w:pStyle w:val="ListParagraph"/>
        <w:numPr>
          <w:ilvl w:val="0"/>
          <w:numId w:val="54"/>
        </w:numPr>
        <w:tabs>
          <w:tab w:pos="645" w:val="left" w:leader="none"/>
          <w:tab w:pos="646" w:val="left" w:leader="none"/>
        </w:tabs>
        <w:spacing w:line="232" w:lineRule="auto" w:before="170" w:after="0"/>
        <w:ind w:left="165" w:right="67" w:firstLine="0"/>
        <w:jc w:val="left"/>
        <w:rPr>
          <w:sz w:val="18"/>
        </w:rPr>
      </w:pPr>
      <w:r>
        <w:rPr>
          <w:sz w:val="18"/>
        </w:rPr>
        <w:t>Estimates for GDP growth in 2000 Q1 were unchanged, at 0.5% on the quarter, with final domestic demand now thought to have grown by only 0.1%, or by 2.8% on a year earlier, compared with 4.6% in the year to 1999 Q4. Quarterly growth in household consumption was still put at 0.6% in Q1, having been revised up in the previous quarter from 1.1% to 1.5%. The household saving ratio, at 3.8% in Q1, was now at its lowest level since 1988 Q3. Investment had been revised down sharply, to show a fall of more than 1% in Q1. The latest figures for net trade continued to suggest a positive contribution to growth in Q1, despite the strength of the exchange rate, while government consumption was now estimated to have fallen by</w:t>
      </w:r>
      <w:r>
        <w:rPr>
          <w:spacing w:val="-5"/>
          <w:sz w:val="18"/>
        </w:rPr>
        <w:t> </w:t>
      </w:r>
      <w:r>
        <w:rPr>
          <w:sz w:val="18"/>
        </w:rPr>
        <w:t>0.6%.</w:t>
      </w:r>
    </w:p>
    <w:p>
      <w:pPr>
        <w:pStyle w:val="ListParagraph"/>
        <w:numPr>
          <w:ilvl w:val="0"/>
          <w:numId w:val="54"/>
        </w:numPr>
        <w:tabs>
          <w:tab w:pos="645" w:val="left" w:leader="none"/>
          <w:tab w:pos="646" w:val="left" w:leader="none"/>
        </w:tabs>
        <w:spacing w:line="232" w:lineRule="auto" w:before="171" w:after="0"/>
        <w:ind w:left="165" w:right="62" w:firstLine="0"/>
        <w:jc w:val="left"/>
        <w:rPr>
          <w:sz w:val="18"/>
        </w:rPr>
      </w:pPr>
      <w:r>
        <w:rPr>
          <w:sz w:val="18"/>
        </w:rPr>
        <w:t>The fallback in investment was puzzling, although investment was an inherently volatile series, representing as it did the rate of change in the capital stock. Government and business investment had both fallen in Q1, in particular in transport equipment, although manufacturing investment had risen somewhat for the second quarter in succession after a long period of decline. It was possible that the path of business investment in recent quarters had been influenced by a clustering of projects ahead of the new millennium. On the one hand, the share of investment in GDP had been abnormally high and might revert to more normal levels, especially given the continuing squeeze on margins and low profitability in some sectors. On the other hand, it was noted that the high share of investment might persist if, for example, the relative price of some capital goods—for instance information technology—continued to</w:t>
      </w:r>
      <w:r>
        <w:rPr>
          <w:spacing w:val="-3"/>
          <w:sz w:val="18"/>
        </w:rPr>
        <w:t> </w:t>
      </w:r>
      <w:r>
        <w:rPr>
          <w:sz w:val="18"/>
        </w:rPr>
        <w:t>fall.</w:t>
      </w:r>
    </w:p>
    <w:p>
      <w:pPr>
        <w:pStyle w:val="ListParagraph"/>
        <w:numPr>
          <w:ilvl w:val="0"/>
          <w:numId w:val="54"/>
        </w:numPr>
        <w:tabs>
          <w:tab w:pos="645" w:val="left" w:leader="none"/>
          <w:tab w:pos="646" w:val="left" w:leader="none"/>
        </w:tabs>
        <w:spacing w:line="232" w:lineRule="auto" w:before="168" w:after="0"/>
        <w:ind w:left="165" w:right="427" w:firstLine="0"/>
        <w:jc w:val="left"/>
        <w:rPr>
          <w:sz w:val="18"/>
        </w:rPr>
      </w:pPr>
      <w:r>
        <w:rPr>
          <w:sz w:val="18"/>
        </w:rPr>
        <w:t>Stockbuilding had been rather faster than expected in 2000</w:t>
      </w:r>
      <w:r>
        <w:rPr>
          <w:spacing w:val="-5"/>
          <w:sz w:val="18"/>
        </w:rPr>
        <w:t> </w:t>
      </w:r>
      <w:r>
        <w:rPr>
          <w:sz w:val="18"/>
        </w:rPr>
        <w:t>Q1,</w:t>
      </w:r>
      <w:r>
        <w:rPr>
          <w:spacing w:val="-5"/>
          <w:sz w:val="18"/>
        </w:rPr>
        <w:t> </w:t>
      </w:r>
      <w:r>
        <w:rPr>
          <w:sz w:val="18"/>
        </w:rPr>
        <w:t>but</w:t>
      </w:r>
      <w:r>
        <w:rPr>
          <w:spacing w:val="-5"/>
          <w:sz w:val="18"/>
        </w:rPr>
        <w:t> </w:t>
      </w:r>
      <w:r>
        <w:rPr>
          <w:sz w:val="18"/>
        </w:rPr>
        <w:t>the</w:t>
      </w:r>
      <w:r>
        <w:rPr>
          <w:spacing w:val="-5"/>
          <w:sz w:val="18"/>
        </w:rPr>
        <w:t> </w:t>
      </w:r>
      <w:r>
        <w:rPr>
          <w:sz w:val="18"/>
        </w:rPr>
        <w:t>National</w:t>
      </w:r>
      <w:r>
        <w:rPr>
          <w:spacing w:val="-6"/>
          <w:sz w:val="18"/>
        </w:rPr>
        <w:t> </w:t>
      </w:r>
      <w:r>
        <w:rPr>
          <w:sz w:val="18"/>
        </w:rPr>
        <w:t>Accounts</w:t>
      </w:r>
      <w:r>
        <w:rPr>
          <w:spacing w:val="-5"/>
          <w:sz w:val="18"/>
        </w:rPr>
        <w:t> </w:t>
      </w:r>
      <w:r>
        <w:rPr>
          <w:sz w:val="18"/>
        </w:rPr>
        <w:t>estimates</w:t>
      </w:r>
      <w:r>
        <w:rPr>
          <w:spacing w:val="-5"/>
          <w:sz w:val="18"/>
        </w:rPr>
        <w:t> </w:t>
      </w:r>
      <w:r>
        <w:rPr>
          <w:sz w:val="18"/>
        </w:rPr>
        <w:t>suggested</w:t>
      </w:r>
      <w:r>
        <w:rPr>
          <w:spacing w:val="-5"/>
          <w:sz w:val="18"/>
        </w:rPr>
        <w:t> </w:t>
      </w:r>
      <w:r>
        <w:rPr>
          <w:sz w:val="18"/>
        </w:rPr>
        <w:t>it</w:t>
      </w:r>
      <w:r>
        <w:rPr>
          <w:spacing w:val="-5"/>
          <w:sz w:val="18"/>
        </w:rPr>
        <w:t> </w:t>
      </w:r>
      <w:r>
        <w:rPr>
          <w:sz w:val="18"/>
        </w:rPr>
        <w:t>had</w:t>
      </w:r>
    </w:p>
    <w:p>
      <w:pPr>
        <w:pStyle w:val="BodyText"/>
        <w:spacing w:line="232" w:lineRule="auto"/>
        <w:ind w:left="165"/>
      </w:pPr>
      <w:r>
        <w:rPr/>
        <w:t>fallen in manufacturing, in contrast to the results of a survey by the Bank’s regional Agents. The picture was therefore confused, but in any case stockbuilding was a volatile series which was particularly prone to revision. In Q1 it also included a large (and negative)</w:t>
      </w:r>
    </w:p>
    <w:p>
      <w:pPr>
        <w:pStyle w:val="BodyText"/>
        <w:spacing w:line="232" w:lineRule="auto" w:before="98"/>
        <w:ind w:left="165" w:right="550"/>
      </w:pPr>
      <w:r>
        <w:rPr/>
        <w:br w:type="column"/>
      </w:r>
      <w:r>
        <w:rPr/>
        <w:t>alignment adjustment, and it would be unwise to put too much weight on the data yet.</w:t>
      </w:r>
    </w:p>
    <w:p>
      <w:pPr>
        <w:pStyle w:val="ListParagraph"/>
        <w:numPr>
          <w:ilvl w:val="0"/>
          <w:numId w:val="54"/>
        </w:numPr>
        <w:tabs>
          <w:tab w:pos="645" w:val="left" w:leader="none"/>
          <w:tab w:pos="646" w:val="left" w:leader="none"/>
        </w:tabs>
        <w:spacing w:line="232" w:lineRule="auto" w:before="179" w:after="0"/>
        <w:ind w:left="165" w:right="225" w:firstLine="0"/>
        <w:jc w:val="left"/>
        <w:rPr>
          <w:sz w:val="18"/>
        </w:rPr>
      </w:pPr>
      <w:r>
        <w:rPr>
          <w:sz w:val="18"/>
        </w:rPr>
        <w:t>The net trade picture remained puzzling, although export volume growth appeared to reflect the strength of demand in overseas markets. On the basis of data currently available, however,</w:t>
      </w:r>
      <w:r>
        <w:rPr>
          <w:spacing w:val="-6"/>
          <w:sz w:val="18"/>
        </w:rPr>
        <w:t> </w:t>
      </w:r>
      <w:r>
        <w:rPr>
          <w:sz w:val="18"/>
        </w:rPr>
        <w:t>net</w:t>
      </w:r>
      <w:r>
        <w:rPr>
          <w:spacing w:val="-6"/>
          <w:sz w:val="18"/>
        </w:rPr>
        <w:t> </w:t>
      </w:r>
      <w:r>
        <w:rPr>
          <w:sz w:val="18"/>
        </w:rPr>
        <w:t>trade</w:t>
      </w:r>
      <w:r>
        <w:rPr>
          <w:spacing w:val="-5"/>
          <w:sz w:val="18"/>
        </w:rPr>
        <w:t> </w:t>
      </w:r>
      <w:r>
        <w:rPr>
          <w:sz w:val="18"/>
        </w:rPr>
        <w:t>seemed</w:t>
      </w:r>
      <w:r>
        <w:rPr>
          <w:spacing w:val="-6"/>
          <w:sz w:val="18"/>
        </w:rPr>
        <w:t> </w:t>
      </w:r>
      <w:r>
        <w:rPr>
          <w:sz w:val="18"/>
        </w:rPr>
        <w:t>unlikely</w:t>
      </w:r>
      <w:r>
        <w:rPr>
          <w:spacing w:val="-6"/>
          <w:sz w:val="18"/>
        </w:rPr>
        <w:t> </w:t>
      </w:r>
      <w:r>
        <w:rPr>
          <w:sz w:val="18"/>
        </w:rPr>
        <w:t>to</w:t>
      </w:r>
      <w:r>
        <w:rPr>
          <w:spacing w:val="-5"/>
          <w:sz w:val="18"/>
        </w:rPr>
        <w:t> </w:t>
      </w:r>
      <w:r>
        <w:rPr>
          <w:sz w:val="18"/>
        </w:rPr>
        <w:t>make</w:t>
      </w:r>
      <w:r>
        <w:rPr>
          <w:spacing w:val="-6"/>
          <w:sz w:val="18"/>
        </w:rPr>
        <w:t> </w:t>
      </w:r>
      <w:r>
        <w:rPr>
          <w:sz w:val="18"/>
        </w:rPr>
        <w:t>a</w:t>
      </w:r>
      <w:r>
        <w:rPr>
          <w:spacing w:val="-6"/>
          <w:sz w:val="18"/>
        </w:rPr>
        <w:t> </w:t>
      </w:r>
      <w:r>
        <w:rPr>
          <w:sz w:val="18"/>
        </w:rPr>
        <w:t>positive</w:t>
      </w:r>
      <w:r>
        <w:rPr>
          <w:spacing w:val="-5"/>
          <w:sz w:val="18"/>
        </w:rPr>
        <w:t> </w:t>
      </w:r>
      <w:r>
        <w:rPr>
          <w:sz w:val="18"/>
        </w:rPr>
        <w:t>contribution to GDP growth in 2000</w:t>
      </w:r>
      <w:r>
        <w:rPr>
          <w:spacing w:val="-6"/>
          <w:sz w:val="18"/>
        </w:rPr>
        <w:t> </w:t>
      </w:r>
      <w:r>
        <w:rPr>
          <w:sz w:val="18"/>
        </w:rPr>
        <w:t>Q2.</w:t>
      </w:r>
    </w:p>
    <w:p>
      <w:pPr>
        <w:pStyle w:val="ListParagraph"/>
        <w:numPr>
          <w:ilvl w:val="0"/>
          <w:numId w:val="54"/>
        </w:numPr>
        <w:tabs>
          <w:tab w:pos="645" w:val="left" w:leader="none"/>
          <w:tab w:pos="646" w:val="left" w:leader="none"/>
        </w:tabs>
        <w:spacing w:line="232" w:lineRule="auto" w:before="176" w:after="0"/>
        <w:ind w:left="165" w:right="324" w:firstLine="0"/>
        <w:jc w:val="left"/>
        <w:rPr>
          <w:sz w:val="18"/>
        </w:rPr>
      </w:pPr>
      <w:r>
        <w:rPr>
          <w:sz w:val="18"/>
        </w:rPr>
        <w:t>Preliminary indicators for final domestic demand in Q2 suggested rather moderate growth, if not as low as in the previous quarter. Retail sales volumes in May had risen by less than expected and were now 3</w:t>
      </w:r>
      <w:r>
        <w:rPr>
          <w:position w:val="6"/>
          <w:sz w:val="9"/>
        </w:rPr>
        <w:t>1</w:t>
      </w:r>
      <w:r>
        <w:rPr>
          <w:sz w:val="18"/>
        </w:rPr>
        <w:t>/</w:t>
      </w:r>
      <w:r>
        <w:rPr>
          <w:sz w:val="9"/>
        </w:rPr>
        <w:t>2</w:t>
      </w:r>
      <w:r>
        <w:rPr>
          <w:sz w:val="18"/>
        </w:rPr>
        <w:t>% up on a year earlier, compared with 6.3% in January, when the pattern of spending might have been distorted by millennium-related effects. The CBI Distributive Trades Survey showed the balance on retail sales volumes falling from +45 in May to +15 in June, which was below its long-run average for the first time since October 1999. Consumer confidence, as measured by the GfK survey, had also fallen back, although this might well reflect seasonal</w:t>
      </w:r>
      <w:r>
        <w:rPr>
          <w:spacing w:val="-13"/>
          <w:sz w:val="18"/>
        </w:rPr>
        <w:t> </w:t>
      </w:r>
      <w:r>
        <w:rPr>
          <w:sz w:val="18"/>
        </w:rPr>
        <w:t>factors.</w:t>
      </w:r>
    </w:p>
    <w:p>
      <w:pPr>
        <w:pStyle w:val="ListParagraph"/>
        <w:numPr>
          <w:ilvl w:val="0"/>
          <w:numId w:val="54"/>
        </w:numPr>
        <w:tabs>
          <w:tab w:pos="645" w:val="left" w:leader="none"/>
          <w:tab w:pos="646" w:val="left" w:leader="none"/>
        </w:tabs>
        <w:spacing w:line="232" w:lineRule="auto" w:before="171" w:after="0"/>
        <w:ind w:left="165" w:right="319" w:firstLine="0"/>
        <w:jc w:val="left"/>
        <w:rPr>
          <w:sz w:val="18"/>
        </w:rPr>
      </w:pPr>
      <w:r>
        <w:rPr>
          <w:sz w:val="18"/>
        </w:rPr>
        <w:t>Recent movement in asset prices might also lead to some moderation in consumption growth. In particular, most indices of house prices had decelerated by more than had been expected, with</w:t>
      </w:r>
      <w:r>
        <w:rPr>
          <w:spacing w:val="-4"/>
          <w:sz w:val="18"/>
        </w:rPr>
        <w:t> </w:t>
      </w:r>
      <w:r>
        <w:rPr>
          <w:sz w:val="18"/>
        </w:rPr>
        <w:t>little</w:t>
      </w:r>
      <w:r>
        <w:rPr>
          <w:spacing w:val="-3"/>
          <w:sz w:val="18"/>
        </w:rPr>
        <w:t> </w:t>
      </w:r>
      <w:r>
        <w:rPr>
          <w:sz w:val="18"/>
        </w:rPr>
        <w:t>if</w:t>
      </w:r>
      <w:r>
        <w:rPr>
          <w:spacing w:val="-3"/>
          <w:sz w:val="18"/>
        </w:rPr>
        <w:t> </w:t>
      </w:r>
      <w:r>
        <w:rPr>
          <w:sz w:val="18"/>
        </w:rPr>
        <w:t>any</w:t>
      </w:r>
      <w:r>
        <w:rPr>
          <w:spacing w:val="-3"/>
          <w:sz w:val="18"/>
        </w:rPr>
        <w:t> </w:t>
      </w:r>
      <w:r>
        <w:rPr>
          <w:sz w:val="18"/>
        </w:rPr>
        <w:t>increase</w:t>
      </w:r>
      <w:r>
        <w:rPr>
          <w:spacing w:val="-3"/>
          <w:sz w:val="18"/>
        </w:rPr>
        <w:t> </w:t>
      </w:r>
      <w:r>
        <w:rPr>
          <w:sz w:val="18"/>
        </w:rPr>
        <w:t>in</w:t>
      </w:r>
      <w:r>
        <w:rPr>
          <w:spacing w:val="-4"/>
          <w:sz w:val="18"/>
        </w:rPr>
        <w:t> </w:t>
      </w:r>
      <w:r>
        <w:rPr>
          <w:sz w:val="18"/>
        </w:rPr>
        <w:t>prices</w:t>
      </w:r>
      <w:r>
        <w:rPr>
          <w:spacing w:val="-3"/>
          <w:sz w:val="18"/>
        </w:rPr>
        <w:t> </w:t>
      </w:r>
      <w:r>
        <w:rPr>
          <w:sz w:val="18"/>
        </w:rPr>
        <w:t>reported</w:t>
      </w:r>
      <w:r>
        <w:rPr>
          <w:spacing w:val="-3"/>
          <w:sz w:val="18"/>
        </w:rPr>
        <w:t> </w:t>
      </w:r>
      <w:r>
        <w:rPr>
          <w:sz w:val="18"/>
        </w:rPr>
        <w:t>in</w:t>
      </w:r>
      <w:r>
        <w:rPr>
          <w:spacing w:val="-3"/>
          <w:sz w:val="18"/>
        </w:rPr>
        <w:t> </w:t>
      </w:r>
      <w:r>
        <w:rPr>
          <w:sz w:val="18"/>
        </w:rPr>
        <w:t>the</w:t>
      </w:r>
      <w:r>
        <w:rPr>
          <w:spacing w:val="-3"/>
          <w:sz w:val="18"/>
        </w:rPr>
        <w:t> </w:t>
      </w:r>
      <w:r>
        <w:rPr>
          <w:sz w:val="18"/>
        </w:rPr>
        <w:t>most</w:t>
      </w:r>
      <w:r>
        <w:rPr>
          <w:spacing w:val="-4"/>
          <w:sz w:val="18"/>
        </w:rPr>
        <w:t> </w:t>
      </w:r>
      <w:r>
        <w:rPr>
          <w:sz w:val="18"/>
        </w:rPr>
        <w:t>recent</w:t>
      </w:r>
    </w:p>
    <w:p>
      <w:pPr>
        <w:pStyle w:val="BodyText"/>
        <w:spacing w:line="232" w:lineRule="auto"/>
        <w:ind w:left="165" w:right="189"/>
      </w:pPr>
      <w:r>
        <w:rPr/>
        <w:t>months. The preliminary survey balance for house prices produced by the Royal Institute of Chartered Surveyors (RICS) had fallen, on the basis of a 90% sample, from +26 in May to single figures in June, having been at +61 as recently as March. There were some signs that housing activity might be slowing, with the House Builders’ Federation reporting that net reservations and site visits had fallen in May, in the latter case to the lowest level since August</w:t>
      </w:r>
      <w:r>
        <w:rPr>
          <w:spacing w:val="-1"/>
        </w:rPr>
        <w:t> </w:t>
      </w:r>
      <w:r>
        <w:rPr/>
        <w:t>1995.</w:t>
      </w:r>
    </w:p>
    <w:p>
      <w:pPr>
        <w:pStyle w:val="ListParagraph"/>
        <w:numPr>
          <w:ilvl w:val="0"/>
          <w:numId w:val="54"/>
        </w:numPr>
        <w:tabs>
          <w:tab w:pos="645" w:val="left" w:leader="none"/>
          <w:tab w:pos="646" w:val="left" w:leader="none"/>
        </w:tabs>
        <w:spacing w:line="232" w:lineRule="auto" w:before="171" w:after="0"/>
        <w:ind w:left="165" w:right="169" w:firstLine="0"/>
        <w:jc w:val="left"/>
        <w:rPr>
          <w:sz w:val="18"/>
        </w:rPr>
      </w:pPr>
      <w:r>
        <w:rPr>
          <w:sz w:val="18"/>
        </w:rPr>
        <w:t>Survey data for manufacturing output suggested a further slowing in growth. The Chartered Institute of Purchasing and Supply (CIPS) survey had fallen to just above the ‘no change’ 50 level, and the output expectations balance was slightly lower in the June CBI survey. The Engineering Employers’ Federation had reported</w:t>
      </w:r>
      <w:r>
        <w:rPr>
          <w:spacing w:val="-5"/>
          <w:sz w:val="18"/>
        </w:rPr>
        <w:t> </w:t>
      </w:r>
      <w:r>
        <w:rPr>
          <w:sz w:val="18"/>
        </w:rPr>
        <w:t>a</w:t>
      </w:r>
      <w:r>
        <w:rPr>
          <w:spacing w:val="-4"/>
          <w:sz w:val="18"/>
        </w:rPr>
        <w:t> </w:t>
      </w:r>
      <w:r>
        <w:rPr>
          <w:sz w:val="18"/>
        </w:rPr>
        <w:t>sharp</w:t>
      </w:r>
      <w:r>
        <w:rPr>
          <w:spacing w:val="-5"/>
          <w:sz w:val="18"/>
        </w:rPr>
        <w:t> </w:t>
      </w:r>
      <w:r>
        <w:rPr>
          <w:sz w:val="18"/>
        </w:rPr>
        <w:t>fall</w:t>
      </w:r>
      <w:r>
        <w:rPr>
          <w:spacing w:val="-4"/>
          <w:sz w:val="18"/>
        </w:rPr>
        <w:t> </w:t>
      </w:r>
      <w:r>
        <w:rPr>
          <w:sz w:val="18"/>
        </w:rPr>
        <w:t>in</w:t>
      </w:r>
      <w:r>
        <w:rPr>
          <w:spacing w:val="-5"/>
          <w:sz w:val="18"/>
        </w:rPr>
        <w:t> </w:t>
      </w:r>
      <w:r>
        <w:rPr>
          <w:sz w:val="18"/>
        </w:rPr>
        <w:t>its</w:t>
      </w:r>
      <w:r>
        <w:rPr>
          <w:spacing w:val="-4"/>
          <w:sz w:val="18"/>
        </w:rPr>
        <w:t> </w:t>
      </w:r>
      <w:r>
        <w:rPr>
          <w:sz w:val="18"/>
        </w:rPr>
        <w:t>output</w:t>
      </w:r>
      <w:r>
        <w:rPr>
          <w:spacing w:val="-5"/>
          <w:sz w:val="18"/>
        </w:rPr>
        <w:t> </w:t>
      </w:r>
      <w:r>
        <w:rPr>
          <w:sz w:val="18"/>
        </w:rPr>
        <w:t>survey,</w:t>
      </w:r>
      <w:r>
        <w:rPr>
          <w:spacing w:val="-4"/>
          <w:sz w:val="18"/>
        </w:rPr>
        <w:t> </w:t>
      </w:r>
      <w:r>
        <w:rPr>
          <w:sz w:val="18"/>
        </w:rPr>
        <w:t>with</w:t>
      </w:r>
      <w:r>
        <w:rPr>
          <w:spacing w:val="-4"/>
          <w:sz w:val="18"/>
        </w:rPr>
        <w:t> </w:t>
      </w:r>
      <w:r>
        <w:rPr>
          <w:sz w:val="18"/>
        </w:rPr>
        <w:t>signs</w:t>
      </w:r>
      <w:r>
        <w:rPr>
          <w:spacing w:val="-5"/>
          <w:sz w:val="18"/>
        </w:rPr>
        <w:t> </w:t>
      </w:r>
      <w:r>
        <w:rPr>
          <w:sz w:val="18"/>
        </w:rPr>
        <w:t>that</w:t>
      </w:r>
      <w:r>
        <w:rPr>
          <w:spacing w:val="-4"/>
          <w:sz w:val="18"/>
        </w:rPr>
        <w:t> </w:t>
      </w:r>
      <w:r>
        <w:rPr>
          <w:sz w:val="18"/>
        </w:rPr>
        <w:t>growth</w:t>
      </w:r>
      <w:r>
        <w:rPr>
          <w:spacing w:val="-5"/>
          <w:sz w:val="18"/>
        </w:rPr>
        <w:t> </w:t>
      </w:r>
      <w:r>
        <w:rPr>
          <w:sz w:val="18"/>
        </w:rPr>
        <w:t>was slowing in parts of the ‘new’ economy. Nevertheless, manufacturing and industrial production data from the Office for National Statistics had been stronger than expected in May, with manufacturing output up 0.4% on the month, and with energy output falling less than expected after April’s strong rise. Both series were around 2% higher than a year earlier, despite sterling’s strength over that</w:t>
      </w:r>
      <w:r>
        <w:rPr>
          <w:spacing w:val="-4"/>
          <w:sz w:val="18"/>
        </w:rPr>
        <w:t> </w:t>
      </w:r>
      <w:r>
        <w:rPr>
          <w:sz w:val="18"/>
        </w:rPr>
        <w:t>period.</w:t>
      </w:r>
    </w:p>
    <w:p>
      <w:pPr>
        <w:pStyle w:val="BodyText"/>
        <w:spacing w:before="6"/>
        <w:rPr>
          <w:sz w:val="16"/>
        </w:rPr>
      </w:pPr>
    </w:p>
    <w:p>
      <w:pPr>
        <w:pStyle w:val="ListParagraph"/>
        <w:numPr>
          <w:ilvl w:val="0"/>
          <w:numId w:val="54"/>
        </w:numPr>
        <w:tabs>
          <w:tab w:pos="645" w:val="left" w:leader="none"/>
          <w:tab w:pos="646" w:val="left" w:leader="none"/>
        </w:tabs>
        <w:spacing w:line="232" w:lineRule="auto" w:before="0" w:after="0"/>
        <w:ind w:left="165" w:right="180" w:firstLine="0"/>
        <w:jc w:val="left"/>
        <w:rPr>
          <w:sz w:val="18"/>
        </w:rPr>
      </w:pPr>
      <w:r>
        <w:rPr>
          <w:sz w:val="18"/>
        </w:rPr>
        <w:t>There were some signs that growth might be moderating elsewhere in the economy, with the business activity index in the CIPS services survey having fallen, as had the CIPS new orders index for construction, although both remained well above the 50 level. The CBI/PriceWaterhouseCoopers measure of optimism in financial services was down sharply, from +36 in March to -6 in June. There were also reports from the Bank’s regional Agents of a slowdown in business travel and road haulage, although financial services, IT and telecommunications remained</w:t>
      </w:r>
      <w:r>
        <w:rPr>
          <w:spacing w:val="-13"/>
          <w:sz w:val="18"/>
        </w:rPr>
        <w:t> </w:t>
      </w:r>
      <w:r>
        <w:rPr>
          <w:sz w:val="18"/>
        </w:rPr>
        <w:t>robust.</w:t>
      </w:r>
    </w:p>
    <w:p>
      <w:pPr>
        <w:pStyle w:val="BodyText"/>
        <w:spacing w:before="9"/>
        <w:rPr>
          <w:sz w:val="16"/>
        </w:rPr>
      </w:pPr>
    </w:p>
    <w:p>
      <w:pPr>
        <w:pStyle w:val="ListParagraph"/>
        <w:numPr>
          <w:ilvl w:val="0"/>
          <w:numId w:val="54"/>
        </w:numPr>
        <w:tabs>
          <w:tab w:pos="645" w:val="left" w:leader="none"/>
          <w:tab w:pos="646" w:val="left" w:leader="none"/>
        </w:tabs>
        <w:spacing w:line="232" w:lineRule="auto" w:before="0" w:after="0"/>
        <w:ind w:left="165" w:right="184" w:firstLine="0"/>
        <w:jc w:val="left"/>
        <w:rPr>
          <w:sz w:val="18"/>
        </w:rPr>
      </w:pPr>
      <w:r>
        <w:rPr>
          <w:sz w:val="18"/>
        </w:rPr>
        <w:t>Public spending seemed likely to support growth over the medium term. The Treasury representative said that the government’s three-year spending review would be concluded later in July, and the Committee would be briefed in detail on its contents ahead of its August meeting. At this point it was clear that current spending would grow within the 2</w:t>
      </w:r>
      <w:r>
        <w:rPr>
          <w:position w:val="6"/>
          <w:sz w:val="9"/>
        </w:rPr>
        <w:t>1</w:t>
      </w:r>
      <w:r>
        <w:rPr>
          <w:sz w:val="18"/>
        </w:rPr>
        <w:t>/</w:t>
      </w:r>
      <w:r>
        <w:rPr>
          <w:sz w:val="9"/>
        </w:rPr>
        <w:t>2</w:t>
      </w:r>
      <w:r>
        <w:rPr>
          <w:sz w:val="18"/>
        </w:rPr>
        <w:t>% envelope, and capital spending would rise to 1.8% of GDP as announced in the Budget. There would be a switch away from Annually Managed Expenditure (reflecting lower unemployment and debt</w:t>
      </w:r>
      <w:r>
        <w:rPr>
          <w:spacing w:val="-24"/>
          <w:sz w:val="18"/>
        </w:rPr>
        <w:t> </w:t>
      </w:r>
      <w:r>
        <w:rPr>
          <w:sz w:val="18"/>
        </w:rPr>
        <w:t>interest</w:t>
      </w:r>
    </w:p>
    <w:p>
      <w:pPr>
        <w:spacing w:after="0" w:line="232" w:lineRule="auto"/>
        <w:jc w:val="left"/>
        <w:rPr>
          <w:sz w:val="18"/>
        </w:rPr>
        <w:sectPr>
          <w:type w:val="continuous"/>
          <w:pgSz w:w="11900" w:h="16840"/>
          <w:pgMar w:top="1260" w:bottom="280" w:left="640" w:right="640"/>
          <w:cols w:num="2" w:equalWidth="0">
            <w:col w:w="5113" w:space="277"/>
            <w:col w:w="5230"/>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7"/>
        <w:rPr>
          <w:sz w:val="19"/>
        </w:rPr>
      </w:pPr>
    </w:p>
    <w:p>
      <w:pPr>
        <w:pStyle w:val="BodyText"/>
        <w:spacing w:line="232" w:lineRule="auto" w:before="1"/>
        <w:ind w:left="174" w:right="45"/>
      </w:pPr>
      <w:r>
        <w:rPr/>
        <w:t>payments, as a result of lower market interest rates and the decision to use the mobile phone spectrum auction proceeds to reduce debt) and towards spending subject to Departmental Expenditure Limits. It was unclear how quickly, and to what extent, departmental underspends from earlier years would be reversed, which would slightly change the path of total spending within the Budget envelope.</w:t>
      </w:r>
    </w:p>
    <w:p>
      <w:pPr>
        <w:pStyle w:val="ListParagraph"/>
        <w:numPr>
          <w:ilvl w:val="0"/>
          <w:numId w:val="54"/>
        </w:numPr>
        <w:tabs>
          <w:tab w:pos="654" w:val="left" w:leader="none"/>
          <w:tab w:pos="655" w:val="left" w:leader="none"/>
        </w:tabs>
        <w:spacing w:line="232" w:lineRule="auto" w:before="174" w:after="0"/>
        <w:ind w:left="174" w:right="38" w:firstLine="0"/>
        <w:jc w:val="left"/>
        <w:rPr>
          <w:sz w:val="18"/>
        </w:rPr>
      </w:pPr>
      <w:r>
        <w:rPr>
          <w:sz w:val="18"/>
        </w:rPr>
        <w:t>The Committee agreed that some slowing in domestic demand growth had been required; earlier rates had been unsustainable, especially since net trade could not continue to act as a drag on GDP growth for the indefinite future. Prospects for external demand now seemed rather stronger than they had at the time of the May </w:t>
      </w:r>
      <w:r>
        <w:rPr>
          <w:i/>
          <w:sz w:val="18"/>
        </w:rPr>
        <w:t>Inflation Report</w:t>
      </w:r>
      <w:r>
        <w:rPr>
          <w:sz w:val="18"/>
        </w:rPr>
        <w:t>, following the fall in sterling, and so the question was whether domestic demand growth would fall back faster than had been assumed in the </w:t>
      </w:r>
      <w:r>
        <w:rPr>
          <w:i/>
          <w:sz w:val="18"/>
        </w:rPr>
        <w:t>Report</w:t>
      </w:r>
      <w:r>
        <w:rPr>
          <w:sz w:val="18"/>
        </w:rPr>
        <w:t>. To date, the evidence of a slowdown in the underlying growth of consumption appeared more compelling than for investment, where the Q1 data might have been</w:t>
      </w:r>
      <w:r>
        <w:rPr>
          <w:spacing w:val="-4"/>
          <w:sz w:val="18"/>
        </w:rPr>
        <w:t> </w:t>
      </w:r>
      <w:r>
        <w:rPr>
          <w:sz w:val="18"/>
        </w:rPr>
        <w:t>erratic.</w:t>
      </w:r>
    </w:p>
    <w:p>
      <w:pPr>
        <w:pStyle w:val="BodyText"/>
        <w:spacing w:before="2"/>
      </w:pPr>
    </w:p>
    <w:p>
      <w:pPr>
        <w:pStyle w:val="Heading4"/>
      </w:pPr>
      <w:r>
        <w:rPr>
          <w:color w:val="009391"/>
        </w:rPr>
        <w:t>The labour market</w:t>
      </w:r>
    </w:p>
    <w:p>
      <w:pPr>
        <w:pStyle w:val="ListParagraph"/>
        <w:numPr>
          <w:ilvl w:val="0"/>
          <w:numId w:val="54"/>
        </w:numPr>
        <w:tabs>
          <w:tab w:pos="654" w:val="left" w:leader="none"/>
          <w:tab w:pos="655" w:val="left" w:leader="none"/>
        </w:tabs>
        <w:spacing w:line="232" w:lineRule="auto" w:before="70" w:after="0"/>
        <w:ind w:left="174" w:right="143" w:firstLine="0"/>
        <w:jc w:val="left"/>
        <w:rPr>
          <w:sz w:val="18"/>
        </w:rPr>
      </w:pPr>
      <w:r>
        <w:rPr>
          <w:sz w:val="18"/>
        </w:rPr>
        <w:t>The Committee discussed the recent surprisingly benign labour market data. According to the Labour Force Survey (LFS), employment had increased by around 110,000 in the three months to April compared with the previous three months (although the increase was less in full-time equivalent terms, at around 60,000). Over the same period, LFS unemployment had fallen</w:t>
      </w:r>
      <w:r>
        <w:rPr>
          <w:spacing w:val="-20"/>
          <w:sz w:val="18"/>
        </w:rPr>
        <w:t> </w:t>
      </w:r>
      <w:r>
        <w:rPr>
          <w:sz w:val="18"/>
        </w:rPr>
        <w:t>by</w:t>
      </w:r>
    </w:p>
    <w:p>
      <w:pPr>
        <w:pStyle w:val="BodyText"/>
        <w:spacing w:line="232" w:lineRule="auto"/>
        <w:ind w:left="174" w:right="73"/>
      </w:pPr>
      <w:r>
        <w:rPr/>
        <w:t>0.2 percentage points to 5.7%; the claimant count measure was also lower. But despite this evidence of an apparently tightening labour market, the Average Earnings Index (AEI) showed earnings growth falling sharply, from 5.7% to 5.1% on the three-month ‘headline’ basis, and from 5.2% in the year to March to 4.4% in the year to</w:t>
      </w:r>
      <w:r>
        <w:rPr>
          <w:spacing w:val="-3"/>
        </w:rPr>
        <w:t> </w:t>
      </w:r>
      <w:r>
        <w:rPr/>
        <w:t>April.</w:t>
      </w:r>
    </w:p>
    <w:p>
      <w:pPr>
        <w:pStyle w:val="ListParagraph"/>
        <w:numPr>
          <w:ilvl w:val="0"/>
          <w:numId w:val="54"/>
        </w:numPr>
        <w:tabs>
          <w:tab w:pos="654" w:val="left" w:leader="none"/>
          <w:tab w:pos="655" w:val="left" w:leader="none"/>
        </w:tabs>
        <w:spacing w:line="232" w:lineRule="auto" w:before="170" w:after="0"/>
        <w:ind w:left="174" w:right="48" w:firstLine="0"/>
        <w:jc w:val="left"/>
        <w:rPr>
          <w:sz w:val="18"/>
        </w:rPr>
      </w:pPr>
      <w:r>
        <w:rPr>
          <w:sz w:val="18"/>
        </w:rPr>
        <w:t>Much of the rise in employment was reflected in a reduction in the numbers of the long-term unemployed and a decline in the inactivity rate. Since 1995 short-term unemployment rates had fallen from around 5% to 4%, while long-run unemployment had declined from nearly 4% to around 1</w:t>
      </w:r>
      <w:r>
        <w:rPr>
          <w:position w:val="6"/>
          <w:sz w:val="9"/>
        </w:rPr>
        <w:t>1</w:t>
      </w:r>
      <w:r>
        <w:rPr>
          <w:sz w:val="18"/>
        </w:rPr>
        <w:t>/</w:t>
      </w:r>
      <w:r>
        <w:rPr>
          <w:sz w:val="9"/>
        </w:rPr>
        <w:t>2</w:t>
      </w:r>
      <w:r>
        <w:rPr>
          <w:sz w:val="18"/>
        </w:rPr>
        <w:t>%. This might suggest that the various labour market reforms over this period had increased the supply of those available for work, allowing rather faster employment growth for any given rate of wage inflation. If this pool of labour should become depleted, however, and the short-run unemployment rate dropped steeply, there might be increased pressure on earnings growth. More generally, although changes in employment tended to lag changes in output, the present strength of employment did not suggest that employers expected a sharp slowdown in the</w:t>
      </w:r>
      <w:r>
        <w:rPr>
          <w:spacing w:val="-4"/>
          <w:sz w:val="18"/>
        </w:rPr>
        <w:t> </w:t>
      </w:r>
      <w:r>
        <w:rPr>
          <w:sz w:val="18"/>
        </w:rPr>
        <w:t>economy.</w:t>
      </w:r>
    </w:p>
    <w:p>
      <w:pPr>
        <w:pStyle w:val="ListParagraph"/>
        <w:numPr>
          <w:ilvl w:val="0"/>
          <w:numId w:val="54"/>
        </w:numPr>
        <w:tabs>
          <w:tab w:pos="654" w:val="left" w:leader="none"/>
          <w:tab w:pos="655" w:val="left" w:leader="none"/>
        </w:tabs>
        <w:spacing w:line="232" w:lineRule="auto" w:before="170" w:after="0"/>
        <w:ind w:left="174" w:right="38" w:firstLine="0"/>
        <w:jc w:val="left"/>
        <w:rPr>
          <w:sz w:val="18"/>
        </w:rPr>
      </w:pPr>
      <w:r>
        <w:rPr>
          <w:sz w:val="18"/>
        </w:rPr>
        <w:t>Not all of the quantity indicators for the labour market pointed in the same direction. The Workforce Jobs measure of employment had fallen in Q1, but this was a more volatile series, and was based on a single day’s sample. Total hours worked had risen in April, but over the past two years average hours worked had fallen by around 2% for those in full-time employment, pushing</w:t>
      </w:r>
      <w:r>
        <w:rPr>
          <w:spacing w:val="-5"/>
          <w:sz w:val="18"/>
        </w:rPr>
        <w:t> </w:t>
      </w:r>
      <w:r>
        <w:rPr>
          <w:sz w:val="18"/>
        </w:rPr>
        <w:t>up</w:t>
      </w:r>
      <w:r>
        <w:rPr>
          <w:spacing w:val="-5"/>
          <w:sz w:val="18"/>
        </w:rPr>
        <w:t> </w:t>
      </w:r>
      <w:r>
        <w:rPr>
          <w:sz w:val="18"/>
        </w:rPr>
        <w:t>estimates</w:t>
      </w:r>
      <w:r>
        <w:rPr>
          <w:spacing w:val="-4"/>
          <w:sz w:val="18"/>
        </w:rPr>
        <w:t> </w:t>
      </w:r>
      <w:r>
        <w:rPr>
          <w:sz w:val="18"/>
        </w:rPr>
        <w:t>of</w:t>
      </w:r>
      <w:r>
        <w:rPr>
          <w:spacing w:val="-5"/>
          <w:sz w:val="18"/>
        </w:rPr>
        <w:t> </w:t>
      </w:r>
      <w:r>
        <w:rPr>
          <w:sz w:val="18"/>
        </w:rPr>
        <w:t>the</w:t>
      </w:r>
      <w:r>
        <w:rPr>
          <w:spacing w:val="-5"/>
          <w:sz w:val="18"/>
        </w:rPr>
        <w:t> </w:t>
      </w:r>
      <w:r>
        <w:rPr>
          <w:sz w:val="18"/>
        </w:rPr>
        <w:t>growth</w:t>
      </w:r>
      <w:r>
        <w:rPr>
          <w:spacing w:val="-4"/>
          <w:sz w:val="18"/>
        </w:rPr>
        <w:t> </w:t>
      </w:r>
      <w:r>
        <w:rPr>
          <w:sz w:val="18"/>
        </w:rPr>
        <w:t>in</w:t>
      </w:r>
      <w:r>
        <w:rPr>
          <w:spacing w:val="-5"/>
          <w:sz w:val="18"/>
        </w:rPr>
        <w:t> </w:t>
      </w:r>
      <w:r>
        <w:rPr>
          <w:sz w:val="18"/>
        </w:rPr>
        <w:t>productivity</w:t>
      </w:r>
      <w:r>
        <w:rPr>
          <w:spacing w:val="-5"/>
          <w:sz w:val="18"/>
        </w:rPr>
        <w:t> </w:t>
      </w:r>
      <w:r>
        <w:rPr>
          <w:sz w:val="18"/>
        </w:rPr>
        <w:t>and</w:t>
      </w:r>
      <w:r>
        <w:rPr>
          <w:spacing w:val="-4"/>
          <w:sz w:val="18"/>
        </w:rPr>
        <w:t> </w:t>
      </w:r>
      <w:r>
        <w:rPr>
          <w:sz w:val="18"/>
        </w:rPr>
        <w:t>pay</w:t>
      </w:r>
      <w:r>
        <w:rPr>
          <w:spacing w:val="-5"/>
          <w:sz w:val="18"/>
        </w:rPr>
        <w:t> </w:t>
      </w:r>
      <w:r>
        <w:rPr>
          <w:sz w:val="18"/>
        </w:rPr>
        <w:t>per</w:t>
      </w:r>
      <w:r>
        <w:rPr>
          <w:spacing w:val="-5"/>
          <w:sz w:val="18"/>
        </w:rPr>
        <w:t> </w:t>
      </w:r>
      <w:r>
        <w:rPr>
          <w:sz w:val="18"/>
        </w:rPr>
        <w:t>hour relative to the ‘per head’</w:t>
      </w:r>
      <w:r>
        <w:rPr>
          <w:spacing w:val="-7"/>
          <w:sz w:val="18"/>
        </w:rPr>
        <w:t> </w:t>
      </w:r>
      <w:r>
        <w:rPr>
          <w:sz w:val="18"/>
        </w:rPr>
        <w:t>measures.</w:t>
      </w:r>
    </w:p>
    <w:p>
      <w:pPr>
        <w:pStyle w:val="ListParagraph"/>
        <w:numPr>
          <w:ilvl w:val="0"/>
          <w:numId w:val="54"/>
        </w:numPr>
        <w:tabs>
          <w:tab w:pos="654" w:val="left" w:leader="none"/>
          <w:tab w:pos="655" w:val="left" w:leader="none"/>
        </w:tabs>
        <w:spacing w:line="232" w:lineRule="auto" w:before="173" w:after="0"/>
        <w:ind w:left="174" w:right="193" w:firstLine="0"/>
        <w:jc w:val="left"/>
        <w:rPr>
          <w:sz w:val="18"/>
        </w:rPr>
      </w:pPr>
      <w:r>
        <w:rPr>
          <w:sz w:val="18"/>
        </w:rPr>
        <w:t>The Bank’s regional Agents reported little change in skill shortages over the past month, although these remained a concern to many employers. The Recruitment and Employment Confederation suggested that these shortages had intensified in June, but the NatWest SBRT quarterly Small Business Survey indicated an easing over the past two quarters, albeit from rather high levels, and other surveys suggested a largely unchanged picture.</w:t>
      </w:r>
    </w:p>
    <w:p>
      <w:pPr>
        <w:pStyle w:val="ListParagraph"/>
        <w:numPr>
          <w:ilvl w:val="0"/>
          <w:numId w:val="54"/>
        </w:numPr>
        <w:tabs>
          <w:tab w:pos="654" w:val="left" w:leader="none"/>
          <w:tab w:pos="655" w:val="left" w:leader="none"/>
        </w:tabs>
        <w:spacing w:line="232" w:lineRule="auto" w:before="174" w:after="0"/>
        <w:ind w:left="174" w:right="123" w:firstLine="0"/>
        <w:jc w:val="left"/>
        <w:rPr>
          <w:sz w:val="18"/>
        </w:rPr>
      </w:pPr>
      <w:r>
        <w:rPr>
          <w:sz w:val="18"/>
        </w:rPr>
        <w:t>The AEI data showed an unexpectedly sharp slowing in earnings growth in April. In part this was due to bonus payments, which had reduced earnings by 0.2 percentage points in the year to April, but growth in regular pay had also slowed, from 5.1% in the year to February to 4.4% in April. The most recent data</w:t>
      </w:r>
      <w:r>
        <w:rPr>
          <w:spacing w:val="-33"/>
          <w:sz w:val="18"/>
        </w:rPr>
        <w:t> </w:t>
      </w:r>
      <w:r>
        <w:rPr>
          <w:sz w:val="18"/>
        </w:rPr>
        <w:t>were</w:t>
      </w:r>
    </w:p>
    <w:p>
      <w:pPr>
        <w:pStyle w:val="BodyText"/>
        <w:spacing w:before="7"/>
        <w:rPr>
          <w:sz w:val="19"/>
        </w:rPr>
      </w:pPr>
      <w:r>
        <w:rPr/>
        <w:br w:type="column"/>
      </w:r>
      <w:r>
        <w:rPr>
          <w:sz w:val="19"/>
        </w:rPr>
      </w:r>
    </w:p>
    <w:p>
      <w:pPr>
        <w:pStyle w:val="BodyText"/>
        <w:spacing w:line="232" w:lineRule="auto" w:before="1"/>
        <w:ind w:left="174" w:right="180"/>
      </w:pPr>
      <w:r>
        <w:rPr/>
        <w:t>consistent with the view that the pick-up in earnings around the end of the year might have been even more influenced by bonuses and millennium-related payments than had been thought at the time.</w:t>
      </w:r>
    </w:p>
    <w:p>
      <w:pPr>
        <w:pStyle w:val="BodyText"/>
        <w:spacing w:line="232" w:lineRule="auto"/>
        <w:ind w:left="174" w:right="222"/>
      </w:pPr>
      <w:r>
        <w:rPr/>
        <w:t>The Committee had noted at its previous meetings that the rise in earnings around the year-end might well reflect temporary factors, and therefore needed to be treated with caution; so too did the latest figures. While there seemed to be some news in the recent data, which were lower than assumed in the May </w:t>
      </w:r>
      <w:r>
        <w:rPr>
          <w:i/>
        </w:rPr>
        <w:t>Inflation Report </w:t>
      </w:r>
      <w:r>
        <w:rPr/>
        <w:t>for 2000 Q1, and in all likelihood for Q2, the </w:t>
      </w:r>
      <w:r>
        <w:rPr>
          <w:i/>
        </w:rPr>
        <w:t>Report </w:t>
      </w:r>
      <w:r>
        <w:rPr/>
        <w:t>had assumed that earnings growth would fall back quickly and have little impact on inflation two years out. Looking back over the past two years, there now appeared to have been two peaks in earnings growth which had since been reversed, giving a rather flatter picture for underlying earnings growth than the steady increase seen from 1995 to 1998.</w:t>
      </w:r>
    </w:p>
    <w:p>
      <w:pPr>
        <w:pStyle w:val="ListParagraph"/>
        <w:numPr>
          <w:ilvl w:val="0"/>
          <w:numId w:val="54"/>
        </w:numPr>
        <w:tabs>
          <w:tab w:pos="654" w:val="left" w:leader="none"/>
          <w:tab w:pos="655" w:val="left" w:leader="none"/>
        </w:tabs>
        <w:spacing w:line="232" w:lineRule="auto" w:before="168" w:after="0"/>
        <w:ind w:left="174" w:right="355" w:firstLine="0"/>
        <w:jc w:val="left"/>
        <w:rPr>
          <w:sz w:val="18"/>
        </w:rPr>
      </w:pPr>
      <w:r>
        <w:rPr>
          <w:sz w:val="18"/>
        </w:rPr>
        <w:t>As usual, there were relatively few new pay settlements in May. There continued to be reports that the pay round this year might be more difficult with RPIX and, more particularly, RPI increasing more rapidly than last year, and the labour market remaining tight. But as yet there was little evidence of this in the twelve-month numbers, although on a three-month basis settlements were no longer below</w:t>
      </w:r>
      <w:r>
        <w:rPr>
          <w:spacing w:val="-8"/>
          <w:sz w:val="18"/>
        </w:rPr>
        <w:t> </w:t>
      </w:r>
      <w:r>
        <w:rPr>
          <w:sz w:val="18"/>
        </w:rPr>
        <w:t>3%.</w:t>
      </w:r>
    </w:p>
    <w:p>
      <w:pPr>
        <w:pStyle w:val="ListParagraph"/>
        <w:numPr>
          <w:ilvl w:val="0"/>
          <w:numId w:val="54"/>
        </w:numPr>
        <w:tabs>
          <w:tab w:pos="654" w:val="left" w:leader="none"/>
          <w:tab w:pos="655" w:val="left" w:leader="none"/>
        </w:tabs>
        <w:spacing w:line="232" w:lineRule="auto" w:before="174" w:after="0"/>
        <w:ind w:left="174" w:right="160" w:firstLine="0"/>
        <w:jc w:val="left"/>
        <w:rPr>
          <w:sz w:val="18"/>
        </w:rPr>
      </w:pPr>
      <w:r>
        <w:rPr>
          <w:sz w:val="18"/>
        </w:rPr>
        <w:t>Productivity growth per head based on the Workforce Jobs numbers</w:t>
      </w:r>
      <w:r>
        <w:rPr>
          <w:spacing w:val="-5"/>
          <w:sz w:val="18"/>
        </w:rPr>
        <w:t> </w:t>
      </w:r>
      <w:r>
        <w:rPr>
          <w:sz w:val="18"/>
        </w:rPr>
        <w:t>was</w:t>
      </w:r>
      <w:r>
        <w:rPr>
          <w:spacing w:val="-5"/>
          <w:sz w:val="18"/>
        </w:rPr>
        <w:t> </w:t>
      </w:r>
      <w:r>
        <w:rPr>
          <w:sz w:val="18"/>
        </w:rPr>
        <w:t>now</w:t>
      </w:r>
      <w:r>
        <w:rPr>
          <w:spacing w:val="-5"/>
          <w:sz w:val="18"/>
        </w:rPr>
        <w:t> </w:t>
      </w:r>
      <w:r>
        <w:rPr>
          <w:sz w:val="18"/>
        </w:rPr>
        <w:t>somewhat</w:t>
      </w:r>
      <w:r>
        <w:rPr>
          <w:spacing w:val="-5"/>
          <w:sz w:val="18"/>
        </w:rPr>
        <w:t> </w:t>
      </w:r>
      <w:r>
        <w:rPr>
          <w:sz w:val="18"/>
        </w:rPr>
        <w:t>above</w:t>
      </w:r>
      <w:r>
        <w:rPr>
          <w:spacing w:val="-5"/>
          <w:sz w:val="18"/>
        </w:rPr>
        <w:t> </w:t>
      </w:r>
      <w:r>
        <w:rPr>
          <w:sz w:val="18"/>
        </w:rPr>
        <w:t>its</w:t>
      </w:r>
      <w:r>
        <w:rPr>
          <w:spacing w:val="-5"/>
          <w:sz w:val="18"/>
        </w:rPr>
        <w:t> </w:t>
      </w:r>
      <w:r>
        <w:rPr>
          <w:sz w:val="18"/>
        </w:rPr>
        <w:t>previous</w:t>
      </w:r>
      <w:r>
        <w:rPr>
          <w:spacing w:val="-5"/>
          <w:sz w:val="18"/>
        </w:rPr>
        <w:t> </w:t>
      </w:r>
      <w:r>
        <w:rPr>
          <w:sz w:val="18"/>
        </w:rPr>
        <w:t>trend,</w:t>
      </w:r>
      <w:r>
        <w:rPr>
          <w:spacing w:val="-5"/>
          <w:sz w:val="18"/>
        </w:rPr>
        <w:t> </w:t>
      </w:r>
      <w:r>
        <w:rPr>
          <w:sz w:val="18"/>
        </w:rPr>
        <w:t>at</w:t>
      </w:r>
      <w:r>
        <w:rPr>
          <w:spacing w:val="-5"/>
          <w:sz w:val="18"/>
        </w:rPr>
        <w:t> </w:t>
      </w:r>
      <w:r>
        <w:rPr>
          <w:sz w:val="18"/>
        </w:rPr>
        <w:t>2.2%,</w:t>
      </w:r>
      <w:r>
        <w:rPr>
          <w:spacing w:val="-5"/>
          <w:sz w:val="18"/>
        </w:rPr>
        <w:t> </w:t>
      </w:r>
      <w:r>
        <w:rPr>
          <w:sz w:val="18"/>
        </w:rPr>
        <w:t>with unit labour costs growing at just below 3%. But using LFS employment figures, growth in productivity per head was lower, at 1.7%. The share of labour in national income had continued to rise, although this seemed to be flattening off a little and had not yet reached its early 1990s</w:t>
      </w:r>
      <w:r>
        <w:rPr>
          <w:spacing w:val="-6"/>
          <w:sz w:val="18"/>
        </w:rPr>
        <w:t> </w:t>
      </w:r>
      <w:r>
        <w:rPr>
          <w:sz w:val="18"/>
        </w:rPr>
        <w:t>peak.</w:t>
      </w:r>
    </w:p>
    <w:p>
      <w:pPr>
        <w:pStyle w:val="BodyText"/>
        <w:spacing w:before="6"/>
      </w:pPr>
    </w:p>
    <w:p>
      <w:pPr>
        <w:pStyle w:val="Heading4"/>
      </w:pPr>
      <w:r>
        <w:rPr>
          <w:color w:val="009391"/>
        </w:rPr>
        <w:t>Monetary and financial conditions</w:t>
      </w:r>
    </w:p>
    <w:p>
      <w:pPr>
        <w:pStyle w:val="ListParagraph"/>
        <w:numPr>
          <w:ilvl w:val="0"/>
          <w:numId w:val="54"/>
        </w:numPr>
        <w:tabs>
          <w:tab w:pos="654" w:val="left" w:leader="none"/>
          <w:tab w:pos="655" w:val="left" w:leader="none"/>
        </w:tabs>
        <w:spacing w:line="232" w:lineRule="auto" w:before="69" w:after="0"/>
        <w:ind w:left="174" w:right="241" w:firstLine="0"/>
        <w:jc w:val="left"/>
        <w:rPr>
          <w:sz w:val="18"/>
        </w:rPr>
      </w:pPr>
      <w:r>
        <w:rPr>
          <w:sz w:val="18"/>
        </w:rPr>
        <w:t>Notes and coin had grown by 7</w:t>
      </w:r>
      <w:r>
        <w:rPr>
          <w:position w:val="6"/>
          <w:sz w:val="9"/>
        </w:rPr>
        <w:t>1</w:t>
      </w:r>
      <w:r>
        <w:rPr>
          <w:sz w:val="18"/>
        </w:rPr>
        <w:t>/</w:t>
      </w:r>
      <w:r>
        <w:rPr>
          <w:sz w:val="9"/>
        </w:rPr>
        <w:t>2</w:t>
      </w:r>
      <w:r>
        <w:rPr>
          <w:sz w:val="18"/>
        </w:rPr>
        <w:t>% in the year to June, with growth</w:t>
      </w:r>
      <w:r>
        <w:rPr>
          <w:spacing w:val="-6"/>
          <w:sz w:val="18"/>
        </w:rPr>
        <w:t> </w:t>
      </w:r>
      <w:r>
        <w:rPr>
          <w:sz w:val="18"/>
        </w:rPr>
        <w:t>now</w:t>
      </w:r>
      <w:r>
        <w:rPr>
          <w:spacing w:val="-5"/>
          <w:sz w:val="18"/>
        </w:rPr>
        <w:t> </w:t>
      </w:r>
      <w:r>
        <w:rPr>
          <w:sz w:val="18"/>
        </w:rPr>
        <w:t>clearly</w:t>
      </w:r>
      <w:r>
        <w:rPr>
          <w:spacing w:val="-5"/>
          <w:sz w:val="18"/>
        </w:rPr>
        <w:t> </w:t>
      </w:r>
      <w:r>
        <w:rPr>
          <w:sz w:val="18"/>
        </w:rPr>
        <w:t>below</w:t>
      </w:r>
      <w:r>
        <w:rPr>
          <w:spacing w:val="-6"/>
          <w:sz w:val="18"/>
        </w:rPr>
        <w:t> </w:t>
      </w:r>
      <w:r>
        <w:rPr>
          <w:sz w:val="18"/>
        </w:rPr>
        <w:t>the</w:t>
      </w:r>
      <w:r>
        <w:rPr>
          <w:spacing w:val="-5"/>
          <w:sz w:val="18"/>
        </w:rPr>
        <w:t> </w:t>
      </w:r>
      <w:r>
        <w:rPr>
          <w:sz w:val="18"/>
        </w:rPr>
        <w:t>underlying</w:t>
      </w:r>
      <w:r>
        <w:rPr>
          <w:spacing w:val="-5"/>
          <w:sz w:val="18"/>
        </w:rPr>
        <w:t> </w:t>
      </w:r>
      <w:r>
        <w:rPr>
          <w:sz w:val="18"/>
        </w:rPr>
        <w:t>8%–9%</w:t>
      </w:r>
      <w:r>
        <w:rPr>
          <w:spacing w:val="-6"/>
          <w:sz w:val="18"/>
        </w:rPr>
        <w:t> </w:t>
      </w:r>
      <w:r>
        <w:rPr>
          <w:sz w:val="18"/>
        </w:rPr>
        <w:t>range</w:t>
      </w:r>
      <w:r>
        <w:rPr>
          <w:spacing w:val="-5"/>
          <w:sz w:val="18"/>
        </w:rPr>
        <w:t> </w:t>
      </w:r>
      <w:r>
        <w:rPr>
          <w:sz w:val="18"/>
        </w:rPr>
        <w:t>seen</w:t>
      </w:r>
      <w:r>
        <w:rPr>
          <w:spacing w:val="-5"/>
          <w:sz w:val="18"/>
        </w:rPr>
        <w:t> </w:t>
      </w:r>
      <w:r>
        <w:rPr>
          <w:sz w:val="18"/>
        </w:rPr>
        <w:t>since November 1999. The three-month annualised rate was a little lower, at just below 7%. Such a slowdown in narrow money growth could be consistent with a moderation in nominal retail sales</w:t>
      </w:r>
      <w:r>
        <w:rPr>
          <w:spacing w:val="-2"/>
          <w:sz w:val="18"/>
        </w:rPr>
        <w:t> </w:t>
      </w:r>
      <w:r>
        <w:rPr>
          <w:sz w:val="18"/>
        </w:rPr>
        <w:t>growth.</w:t>
      </w:r>
    </w:p>
    <w:p>
      <w:pPr>
        <w:pStyle w:val="ListParagraph"/>
        <w:numPr>
          <w:ilvl w:val="0"/>
          <w:numId w:val="54"/>
        </w:numPr>
        <w:tabs>
          <w:tab w:pos="654" w:val="left" w:leader="none"/>
          <w:tab w:pos="655" w:val="left" w:leader="none"/>
        </w:tabs>
        <w:spacing w:line="232" w:lineRule="auto" w:before="176" w:after="0"/>
        <w:ind w:left="174" w:right="550" w:firstLine="0"/>
        <w:jc w:val="left"/>
        <w:rPr>
          <w:sz w:val="18"/>
        </w:rPr>
      </w:pPr>
      <w:r>
        <w:rPr>
          <w:sz w:val="18"/>
        </w:rPr>
        <w:t>A rather different picture emerged from the figures for M4 lending. While household M4 had been weak in May, M4 lending to households had continued to grow by around 10% on a year earlier. Growth in both secured and</w:t>
      </w:r>
      <w:r>
        <w:rPr>
          <w:spacing w:val="-27"/>
          <w:sz w:val="18"/>
        </w:rPr>
        <w:t> </w:t>
      </w:r>
      <w:r>
        <w:rPr>
          <w:sz w:val="18"/>
        </w:rPr>
        <w:t>unsecured</w:t>
      </w:r>
    </w:p>
    <w:p>
      <w:pPr>
        <w:pStyle w:val="BodyText"/>
        <w:spacing w:line="232" w:lineRule="auto"/>
        <w:ind w:left="174" w:right="341"/>
      </w:pPr>
      <w:r>
        <w:rPr/>
        <w:t>borrowing</w:t>
      </w:r>
      <w:r>
        <w:rPr>
          <w:spacing w:val="-6"/>
        </w:rPr>
        <w:t> </w:t>
      </w:r>
      <w:r>
        <w:rPr/>
        <w:t>had</w:t>
      </w:r>
      <w:r>
        <w:rPr>
          <w:spacing w:val="-6"/>
        </w:rPr>
        <w:t> </w:t>
      </w:r>
      <w:r>
        <w:rPr/>
        <w:t>increased,</w:t>
      </w:r>
      <w:r>
        <w:rPr>
          <w:spacing w:val="-6"/>
        </w:rPr>
        <w:t> </w:t>
      </w:r>
      <w:r>
        <w:rPr/>
        <w:t>with</w:t>
      </w:r>
      <w:r>
        <w:rPr>
          <w:spacing w:val="-6"/>
        </w:rPr>
        <w:t> </w:t>
      </w:r>
      <w:r>
        <w:rPr/>
        <w:t>the</w:t>
      </w:r>
      <w:r>
        <w:rPr>
          <w:spacing w:val="-6"/>
        </w:rPr>
        <w:t> </w:t>
      </w:r>
      <w:r>
        <w:rPr/>
        <w:t>number</w:t>
      </w:r>
      <w:r>
        <w:rPr>
          <w:spacing w:val="-6"/>
        </w:rPr>
        <w:t> </w:t>
      </w:r>
      <w:r>
        <w:rPr/>
        <w:t>of</w:t>
      </w:r>
      <w:r>
        <w:rPr>
          <w:spacing w:val="-6"/>
        </w:rPr>
        <w:t> </w:t>
      </w:r>
      <w:r>
        <w:rPr/>
        <w:t>mortgage</w:t>
      </w:r>
      <w:r>
        <w:rPr>
          <w:spacing w:val="-6"/>
        </w:rPr>
        <w:t> </w:t>
      </w:r>
      <w:r>
        <w:rPr/>
        <w:t>approvals also higher over the month.  As a result of the new set of National Accounts, estimates of mortgage equity withdrawal had been revised up to £2.3 billion in Q1, but total lending for consumption, which included unsecured lending as well as mortgage equity withdrawal, had nevertheless slowed since the second half of</w:t>
      </w:r>
      <w:r>
        <w:rPr>
          <w:spacing w:val="-4"/>
        </w:rPr>
        <w:t> </w:t>
      </w:r>
      <w:r>
        <w:rPr/>
        <w:t>1999.</w:t>
      </w:r>
    </w:p>
    <w:p>
      <w:pPr>
        <w:pStyle w:val="ListParagraph"/>
        <w:numPr>
          <w:ilvl w:val="0"/>
          <w:numId w:val="54"/>
        </w:numPr>
        <w:tabs>
          <w:tab w:pos="654" w:val="left" w:leader="none"/>
          <w:tab w:pos="655" w:val="left" w:leader="none"/>
        </w:tabs>
        <w:spacing w:line="232" w:lineRule="auto" w:before="171" w:after="0"/>
        <w:ind w:left="174" w:right="156" w:firstLine="0"/>
        <w:jc w:val="left"/>
        <w:rPr>
          <w:sz w:val="18"/>
        </w:rPr>
      </w:pPr>
      <w:r>
        <w:rPr>
          <w:sz w:val="18"/>
        </w:rPr>
        <w:t>Although</w:t>
      </w:r>
      <w:r>
        <w:rPr>
          <w:spacing w:val="-6"/>
          <w:sz w:val="18"/>
        </w:rPr>
        <w:t> </w:t>
      </w:r>
      <w:r>
        <w:rPr>
          <w:sz w:val="18"/>
        </w:rPr>
        <w:t>there</w:t>
      </w:r>
      <w:r>
        <w:rPr>
          <w:spacing w:val="-6"/>
          <w:sz w:val="18"/>
        </w:rPr>
        <w:t> </w:t>
      </w:r>
      <w:r>
        <w:rPr>
          <w:sz w:val="18"/>
        </w:rPr>
        <w:t>had</w:t>
      </w:r>
      <w:r>
        <w:rPr>
          <w:spacing w:val="-6"/>
          <w:sz w:val="18"/>
        </w:rPr>
        <w:t> </w:t>
      </w:r>
      <w:r>
        <w:rPr>
          <w:sz w:val="18"/>
        </w:rPr>
        <w:t>been</w:t>
      </w:r>
      <w:r>
        <w:rPr>
          <w:spacing w:val="-6"/>
          <w:sz w:val="18"/>
        </w:rPr>
        <w:t> </w:t>
      </w:r>
      <w:r>
        <w:rPr>
          <w:sz w:val="18"/>
        </w:rPr>
        <w:t>no</w:t>
      </w:r>
      <w:r>
        <w:rPr>
          <w:spacing w:val="-5"/>
          <w:sz w:val="18"/>
        </w:rPr>
        <w:t> </w:t>
      </w:r>
      <w:r>
        <w:rPr>
          <w:sz w:val="18"/>
        </w:rPr>
        <w:t>further</w:t>
      </w:r>
      <w:r>
        <w:rPr>
          <w:spacing w:val="-6"/>
          <w:sz w:val="18"/>
        </w:rPr>
        <w:t> </w:t>
      </w:r>
      <w:r>
        <w:rPr>
          <w:sz w:val="18"/>
        </w:rPr>
        <w:t>acceleration</w:t>
      </w:r>
      <w:r>
        <w:rPr>
          <w:spacing w:val="-6"/>
          <w:sz w:val="18"/>
        </w:rPr>
        <w:t> </w:t>
      </w:r>
      <w:r>
        <w:rPr>
          <w:sz w:val="18"/>
        </w:rPr>
        <w:t>in</w:t>
      </w:r>
      <w:r>
        <w:rPr>
          <w:spacing w:val="-6"/>
          <w:sz w:val="18"/>
        </w:rPr>
        <w:t> </w:t>
      </w:r>
      <w:r>
        <w:rPr>
          <w:sz w:val="18"/>
        </w:rPr>
        <w:t>household borrowing over the past few months, its continuing strength raised doubts about the extent of the slowdown in consumption. The financial balance for households was now in deficit, and at its lowest levels since the late 1980s;  gearing measures were, however, rather low, with income gearing reflecting relatively low interest rates and capital gearing the sharp increase in wealth in recent years. While household borrowing might increase if the economy slowed suddenly, this would usually be in response to higher unemployment; ‘distress borrowing’ of this type did not seem to be significant at present. It was possible that some borrowing might have been on the basis of expected increases in wealth, either in equities or (more especially) housing, which might not now materialise; surveys on house prices and housing market activity increasingly suggested that the peak in growth had now passed.</w:t>
      </w:r>
    </w:p>
    <w:p>
      <w:pPr>
        <w:pStyle w:val="ListParagraph"/>
        <w:numPr>
          <w:ilvl w:val="0"/>
          <w:numId w:val="54"/>
        </w:numPr>
        <w:tabs>
          <w:tab w:pos="654" w:val="left" w:leader="none"/>
          <w:tab w:pos="655" w:val="left" w:leader="none"/>
        </w:tabs>
        <w:spacing w:line="232" w:lineRule="auto" w:before="168" w:after="0"/>
        <w:ind w:left="174" w:right="355" w:firstLine="0"/>
        <w:jc w:val="left"/>
        <w:rPr>
          <w:sz w:val="18"/>
        </w:rPr>
      </w:pPr>
      <w:r>
        <w:rPr>
          <w:sz w:val="18"/>
        </w:rPr>
        <w:t>The Committee noted that since February, when it had last raised the repo rate, fixed-rate yields had fallen by</w:t>
      </w:r>
      <w:r>
        <w:rPr>
          <w:spacing w:val="-26"/>
          <w:sz w:val="18"/>
        </w:rPr>
        <w:t> </w:t>
      </w:r>
      <w:r>
        <w:rPr>
          <w:sz w:val="18"/>
        </w:rPr>
        <w:t>around</w:t>
      </w:r>
    </w:p>
    <w:p>
      <w:pPr>
        <w:pStyle w:val="BodyText"/>
        <w:spacing w:line="200" w:lineRule="exact"/>
        <w:ind w:left="174"/>
      </w:pPr>
      <w:r>
        <w:rPr/>
        <w:t>50 basis points at five years, although longer yields, particularly on</w:t>
      </w:r>
    </w:p>
    <w:p>
      <w:pPr>
        <w:spacing w:after="0" w:line="200" w:lineRule="exact"/>
        <w:sectPr>
          <w:type w:val="continuous"/>
          <w:pgSz w:w="11900" w:h="16840"/>
          <w:pgMar w:top="1260" w:bottom="280" w:left="640" w:right="640"/>
          <w:cols w:num="2" w:equalWidth="0">
            <w:col w:w="5108" w:space="282"/>
            <w:col w:w="5230"/>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7"/>
        <w:rPr>
          <w:sz w:val="19"/>
        </w:rPr>
      </w:pPr>
    </w:p>
    <w:p>
      <w:pPr>
        <w:pStyle w:val="BodyText"/>
        <w:spacing w:line="232" w:lineRule="auto" w:before="1"/>
        <w:ind w:left="185" w:right="95"/>
      </w:pPr>
      <w:r>
        <w:rPr/>
        <w:t>corporate paper, had moved by less. Similarly, while the repo rate had increased by 100 basis points since last August, rates on retail borrowing and deposits had typically risen much less. For mortgages, however, the standard variable rate had risen by almost as much as the repo rate.</w:t>
      </w:r>
    </w:p>
    <w:p>
      <w:pPr>
        <w:pStyle w:val="ListParagraph"/>
        <w:numPr>
          <w:ilvl w:val="0"/>
          <w:numId w:val="55"/>
        </w:numPr>
        <w:tabs>
          <w:tab w:pos="665" w:val="left" w:leader="none"/>
          <w:tab w:pos="666" w:val="left" w:leader="none"/>
        </w:tabs>
        <w:spacing w:line="232" w:lineRule="auto" w:before="176" w:after="0"/>
        <w:ind w:left="185" w:right="38" w:firstLine="0"/>
        <w:jc w:val="left"/>
        <w:rPr>
          <w:sz w:val="18"/>
        </w:rPr>
      </w:pPr>
      <w:r>
        <w:rPr>
          <w:sz w:val="18"/>
        </w:rPr>
        <w:t>M4 lending to the private non-financial sector had also picked up in May, although much of this was to finance mobile phone spectrum auction payments. Some members noted that part of the borrowing might reflect pressures within the corporate sector, with evidence of greater dispersion than usual in company profitability and capital gearing, as set out in the June issue of the Bank’s </w:t>
      </w:r>
      <w:r>
        <w:rPr>
          <w:i/>
          <w:sz w:val="18"/>
        </w:rPr>
        <w:t>Financial Stability Review</w:t>
      </w:r>
      <w:r>
        <w:rPr>
          <w:sz w:val="18"/>
        </w:rPr>
        <w:t>. The numbers needed to be looked at carefully; for instance where intangible assets were important, capital gearing measured on a market-value basis might be very different from that on a replacement-cost measure. To the extent that the differences in profitability reflected greater competition, and resources from less successful companies were absorbed by those which were more successful, the macroeconomic effects over the medium term should not be damaging.  But over the shorter term there was a risk of greater fragility than was apparent from data for the corporate sector as a whole. While there was little sign yet of widespread corporate distress, the combination of heavy borrowing with low investment in the aggregate figures remained a</w:t>
      </w:r>
      <w:r>
        <w:rPr>
          <w:spacing w:val="-3"/>
          <w:sz w:val="18"/>
        </w:rPr>
        <w:t> </w:t>
      </w:r>
      <w:r>
        <w:rPr>
          <w:sz w:val="18"/>
        </w:rPr>
        <w:t>puzzle.</w:t>
      </w:r>
    </w:p>
    <w:p>
      <w:pPr>
        <w:pStyle w:val="BodyText"/>
        <w:spacing w:before="1"/>
        <w:rPr>
          <w:sz w:val="16"/>
        </w:rPr>
      </w:pPr>
    </w:p>
    <w:p>
      <w:pPr>
        <w:pStyle w:val="ListParagraph"/>
        <w:numPr>
          <w:ilvl w:val="0"/>
          <w:numId w:val="55"/>
        </w:numPr>
        <w:tabs>
          <w:tab w:pos="665" w:val="left" w:leader="none"/>
          <w:tab w:pos="666" w:val="left" w:leader="none"/>
        </w:tabs>
        <w:spacing w:line="232" w:lineRule="auto" w:before="0" w:after="0"/>
        <w:ind w:left="185" w:right="53" w:firstLine="0"/>
        <w:jc w:val="left"/>
        <w:rPr>
          <w:sz w:val="18"/>
        </w:rPr>
      </w:pPr>
      <w:r>
        <w:rPr>
          <w:sz w:val="18"/>
        </w:rPr>
        <w:t>Sterling’s exchange rate index had moved very little over the past month after its sharp fall in May, which had taken it back to its levels of early November 1999. Sterling remained relatively strong against the euro, but by recent standards was rather weak against the dollar. The exchange rate index—at around 105—was now close to its average over the past three years, but remained well above the levels of</w:t>
      </w:r>
      <w:r>
        <w:rPr>
          <w:spacing w:val="-6"/>
          <w:sz w:val="18"/>
        </w:rPr>
        <w:t> </w:t>
      </w:r>
      <w:r>
        <w:rPr>
          <w:sz w:val="18"/>
        </w:rPr>
        <w:t>1993–96.</w:t>
      </w:r>
    </w:p>
    <w:p>
      <w:pPr>
        <w:pStyle w:val="BodyText"/>
        <w:spacing w:before="10"/>
        <w:rPr>
          <w:sz w:val="16"/>
        </w:rPr>
      </w:pPr>
    </w:p>
    <w:p>
      <w:pPr>
        <w:pStyle w:val="ListParagraph"/>
        <w:numPr>
          <w:ilvl w:val="0"/>
          <w:numId w:val="55"/>
        </w:numPr>
        <w:tabs>
          <w:tab w:pos="665" w:val="left" w:leader="none"/>
          <w:tab w:pos="666" w:val="left" w:leader="none"/>
        </w:tabs>
        <w:spacing w:line="232" w:lineRule="auto" w:before="1" w:after="0"/>
        <w:ind w:left="185" w:right="68" w:firstLine="0"/>
        <w:jc w:val="left"/>
        <w:rPr>
          <w:sz w:val="18"/>
        </w:rPr>
      </w:pPr>
      <w:r>
        <w:rPr>
          <w:sz w:val="18"/>
        </w:rPr>
        <w:t>Implied interest rates from forward curves suggested that the market expected higher official rates in the euro area,</w:t>
      </w:r>
      <w:r>
        <w:rPr>
          <w:spacing w:val="-23"/>
          <w:sz w:val="18"/>
        </w:rPr>
        <w:t> </w:t>
      </w:r>
      <w:r>
        <w:rPr>
          <w:sz w:val="18"/>
        </w:rPr>
        <w:t>the</w:t>
      </w:r>
    </w:p>
    <w:p>
      <w:pPr>
        <w:pStyle w:val="BodyText"/>
        <w:spacing w:line="232" w:lineRule="auto"/>
        <w:ind w:left="185" w:right="38"/>
      </w:pPr>
      <w:r>
        <w:rPr/>
        <w:t>United States and Japan later in 2000. Official rates were now lower in the United Kingdom than the United States; this had not been the case for any length of time since 1984.  If rate expectations overseas changed </w:t>
      </w:r>
      <w:r>
        <w:rPr>
          <w:i/>
        </w:rPr>
        <w:t>vis-à-vis </w:t>
      </w:r>
      <w:r>
        <w:rPr/>
        <w:t>the United Kingdom, this might lead to further movements in sterling. It was also possible that a sharp move in the euro against the dollar would itself influence sterling’s exchange rate index, with the size of the effect depending on how far sterling followed the dollar as opposed to the euro, and on the relative weightings of the dollar and the euro in the index.</w:t>
      </w:r>
    </w:p>
    <w:p>
      <w:pPr>
        <w:pStyle w:val="BodyText"/>
        <w:spacing w:before="6"/>
        <w:rPr>
          <w:sz w:val="16"/>
        </w:rPr>
      </w:pPr>
    </w:p>
    <w:p>
      <w:pPr>
        <w:pStyle w:val="ListParagraph"/>
        <w:numPr>
          <w:ilvl w:val="0"/>
          <w:numId w:val="55"/>
        </w:numPr>
        <w:tabs>
          <w:tab w:pos="665" w:val="left" w:leader="none"/>
          <w:tab w:pos="666" w:val="left" w:leader="none"/>
        </w:tabs>
        <w:spacing w:line="232" w:lineRule="auto" w:before="0" w:after="0"/>
        <w:ind w:left="185" w:right="38" w:firstLine="0"/>
        <w:jc w:val="left"/>
        <w:rPr>
          <w:sz w:val="18"/>
        </w:rPr>
      </w:pPr>
      <w:r>
        <w:rPr>
          <w:sz w:val="18"/>
        </w:rPr>
        <w:t>The Committee noted that sterling’s exchange rate index was based on trade in manufactures, and that the euro had a weight in it four times that of the dollar. To some, this seemed somewhat overstated. Much of UK trade which was not invoiced in sterling was invoiced in dollars, and this might have some effect on import prices, if only in the short term. Earlier work by Bank staff had suggested that altering the weights to take account, for instance, of trade in services did not make a great difference to the index. The Committee agreed to look at these calculations again in the coming months.</w:t>
      </w:r>
    </w:p>
    <w:p>
      <w:pPr>
        <w:pStyle w:val="BodyText"/>
        <w:spacing w:before="8"/>
        <w:rPr>
          <w:sz w:val="16"/>
        </w:rPr>
      </w:pPr>
    </w:p>
    <w:p>
      <w:pPr>
        <w:pStyle w:val="ListParagraph"/>
        <w:numPr>
          <w:ilvl w:val="0"/>
          <w:numId w:val="55"/>
        </w:numPr>
        <w:tabs>
          <w:tab w:pos="665" w:val="left" w:leader="none"/>
          <w:tab w:pos="666" w:val="left" w:leader="none"/>
        </w:tabs>
        <w:spacing w:line="232" w:lineRule="auto" w:before="1" w:after="0"/>
        <w:ind w:left="185" w:right="78" w:firstLine="0"/>
        <w:jc w:val="left"/>
        <w:rPr>
          <w:sz w:val="18"/>
        </w:rPr>
      </w:pPr>
      <w:r>
        <w:rPr>
          <w:sz w:val="18"/>
        </w:rPr>
        <w:t>The impact of the lower exchange rate on RPIX depended in part on how much of the earlier appreciation had fed through into import and retail prices, and on how far this differed from the assumptions made in the May </w:t>
      </w:r>
      <w:r>
        <w:rPr>
          <w:i/>
          <w:sz w:val="18"/>
        </w:rPr>
        <w:t>Inflation Report</w:t>
      </w:r>
      <w:r>
        <w:rPr>
          <w:sz w:val="18"/>
        </w:rPr>
        <w:t>. To the extent that the market had correctly anticipated that the earlier rise in the exchange rate would be reversed rapidly, the feedthrough into prices might be less than otherwise. That said, non-oil commodity prices had risen sharply in sterling terms in</w:t>
      </w:r>
      <w:r>
        <w:rPr>
          <w:spacing w:val="-15"/>
          <w:sz w:val="18"/>
        </w:rPr>
        <w:t> </w:t>
      </w:r>
      <w:r>
        <w:rPr>
          <w:sz w:val="18"/>
        </w:rPr>
        <w:t>May.</w:t>
      </w:r>
    </w:p>
    <w:p>
      <w:pPr>
        <w:pStyle w:val="BodyText"/>
        <w:spacing w:before="1"/>
        <w:rPr>
          <w:sz w:val="20"/>
        </w:rPr>
      </w:pPr>
    </w:p>
    <w:p>
      <w:pPr>
        <w:pStyle w:val="Heading4"/>
        <w:ind w:left="185"/>
      </w:pPr>
      <w:r>
        <w:rPr>
          <w:color w:val="009391"/>
        </w:rPr>
        <w:t>The international environment</w:t>
      </w:r>
    </w:p>
    <w:p>
      <w:pPr>
        <w:pStyle w:val="ListParagraph"/>
        <w:numPr>
          <w:ilvl w:val="0"/>
          <w:numId w:val="55"/>
        </w:numPr>
        <w:tabs>
          <w:tab w:pos="665" w:val="left" w:leader="none"/>
          <w:tab w:pos="666" w:val="left" w:leader="none"/>
        </w:tabs>
        <w:spacing w:line="232" w:lineRule="auto" w:before="130" w:after="0"/>
        <w:ind w:left="185" w:right="92" w:firstLine="0"/>
        <w:jc w:val="left"/>
        <w:rPr>
          <w:sz w:val="18"/>
        </w:rPr>
      </w:pPr>
      <w:r>
        <w:rPr>
          <w:sz w:val="18"/>
        </w:rPr>
        <w:t>There was some evidence that the US economy was beginning</w:t>
      </w:r>
      <w:r>
        <w:rPr>
          <w:spacing w:val="-5"/>
          <w:sz w:val="18"/>
        </w:rPr>
        <w:t> </w:t>
      </w:r>
      <w:r>
        <w:rPr>
          <w:sz w:val="18"/>
        </w:rPr>
        <w:t>to</w:t>
      </w:r>
      <w:r>
        <w:rPr>
          <w:spacing w:val="-5"/>
          <w:sz w:val="18"/>
        </w:rPr>
        <w:t> </w:t>
      </w:r>
      <w:r>
        <w:rPr>
          <w:sz w:val="18"/>
        </w:rPr>
        <w:t>slow,</w:t>
      </w:r>
      <w:r>
        <w:rPr>
          <w:spacing w:val="-5"/>
          <w:sz w:val="18"/>
        </w:rPr>
        <w:t> </w:t>
      </w:r>
      <w:r>
        <w:rPr>
          <w:sz w:val="18"/>
        </w:rPr>
        <w:t>on</w:t>
      </w:r>
      <w:r>
        <w:rPr>
          <w:spacing w:val="-5"/>
          <w:sz w:val="18"/>
        </w:rPr>
        <w:t> </w:t>
      </w:r>
      <w:r>
        <w:rPr>
          <w:sz w:val="18"/>
        </w:rPr>
        <w:t>the</w:t>
      </w:r>
      <w:r>
        <w:rPr>
          <w:spacing w:val="-4"/>
          <w:sz w:val="18"/>
        </w:rPr>
        <w:t> </w:t>
      </w:r>
      <w:r>
        <w:rPr>
          <w:sz w:val="18"/>
        </w:rPr>
        <w:t>basis</w:t>
      </w:r>
      <w:r>
        <w:rPr>
          <w:spacing w:val="-5"/>
          <w:sz w:val="18"/>
        </w:rPr>
        <w:t> </w:t>
      </w:r>
      <w:r>
        <w:rPr>
          <w:sz w:val="18"/>
        </w:rPr>
        <w:t>of</w:t>
      </w:r>
      <w:r>
        <w:rPr>
          <w:spacing w:val="-5"/>
          <w:sz w:val="18"/>
        </w:rPr>
        <w:t> </w:t>
      </w:r>
      <w:r>
        <w:rPr>
          <w:sz w:val="18"/>
        </w:rPr>
        <w:t>the</w:t>
      </w:r>
      <w:r>
        <w:rPr>
          <w:spacing w:val="-5"/>
          <w:sz w:val="18"/>
        </w:rPr>
        <w:t> </w:t>
      </w:r>
      <w:r>
        <w:rPr>
          <w:sz w:val="18"/>
        </w:rPr>
        <w:t>non-farm</w:t>
      </w:r>
      <w:r>
        <w:rPr>
          <w:spacing w:val="-5"/>
          <w:sz w:val="18"/>
        </w:rPr>
        <w:t> </w:t>
      </w:r>
      <w:r>
        <w:rPr>
          <w:sz w:val="18"/>
        </w:rPr>
        <w:t>payrolls</w:t>
      </w:r>
      <w:r>
        <w:rPr>
          <w:spacing w:val="-4"/>
          <w:sz w:val="18"/>
        </w:rPr>
        <w:t> </w:t>
      </w:r>
      <w:r>
        <w:rPr>
          <w:sz w:val="18"/>
        </w:rPr>
        <w:t>data,</w:t>
      </w:r>
      <w:r>
        <w:rPr>
          <w:spacing w:val="-5"/>
          <w:sz w:val="18"/>
        </w:rPr>
        <w:t> </w:t>
      </w:r>
      <w:r>
        <w:rPr>
          <w:sz w:val="18"/>
        </w:rPr>
        <w:t>retail</w:t>
      </w:r>
    </w:p>
    <w:p>
      <w:pPr>
        <w:pStyle w:val="BodyText"/>
        <w:spacing w:before="7"/>
        <w:rPr>
          <w:sz w:val="19"/>
        </w:rPr>
      </w:pPr>
      <w:r>
        <w:rPr/>
        <w:br w:type="column"/>
      </w:r>
      <w:r>
        <w:rPr>
          <w:sz w:val="19"/>
        </w:rPr>
      </w:r>
    </w:p>
    <w:p>
      <w:pPr>
        <w:pStyle w:val="BodyText"/>
        <w:spacing w:line="232" w:lineRule="auto" w:before="1"/>
        <w:ind w:left="185" w:right="128"/>
      </w:pPr>
      <w:r>
        <w:rPr/>
        <w:t>sales and industrial confidence, as measured by the National Association of Purchasing Managers. Such a slowdown had long been expected, but growth in the United States seemed likely to remain relatively robust by historical standards, with core CPI inflation so far remaining subdued. The recovery in the euro area also appeared to be on track, with private sector forecasters now expecting growth of around 3</w:t>
      </w:r>
      <w:r>
        <w:rPr>
          <w:position w:val="6"/>
          <w:sz w:val="9"/>
        </w:rPr>
        <w:t>1</w:t>
      </w:r>
      <w:r>
        <w:rPr/>
        <w:t>/</w:t>
      </w:r>
      <w:r>
        <w:rPr>
          <w:sz w:val="9"/>
        </w:rPr>
        <w:t>4</w:t>
      </w:r>
      <w:r>
        <w:rPr/>
        <w:t>% this year, with the harmonised index of consumer prices rising by close to 2%.</w:t>
      </w:r>
    </w:p>
    <w:p>
      <w:pPr>
        <w:pStyle w:val="BodyText"/>
        <w:spacing w:before="3"/>
        <w:rPr>
          <w:sz w:val="20"/>
        </w:rPr>
      </w:pPr>
    </w:p>
    <w:p>
      <w:pPr>
        <w:pStyle w:val="ListParagraph"/>
        <w:numPr>
          <w:ilvl w:val="0"/>
          <w:numId w:val="55"/>
        </w:numPr>
        <w:tabs>
          <w:tab w:pos="665" w:val="left" w:leader="none"/>
          <w:tab w:pos="666" w:val="left" w:leader="none"/>
        </w:tabs>
        <w:spacing w:line="232" w:lineRule="auto" w:before="0" w:after="0"/>
        <w:ind w:left="185" w:right="198" w:firstLine="0"/>
        <w:jc w:val="left"/>
        <w:rPr>
          <w:sz w:val="18"/>
        </w:rPr>
      </w:pPr>
      <w:r>
        <w:rPr>
          <w:sz w:val="18"/>
        </w:rPr>
        <w:t>In Japan the Tankan survey had been, if anything, a little stronger</w:t>
      </w:r>
      <w:r>
        <w:rPr>
          <w:spacing w:val="-6"/>
          <w:sz w:val="18"/>
        </w:rPr>
        <w:t> </w:t>
      </w:r>
      <w:r>
        <w:rPr>
          <w:sz w:val="18"/>
        </w:rPr>
        <w:t>than</w:t>
      </w:r>
      <w:r>
        <w:rPr>
          <w:spacing w:val="-6"/>
          <w:sz w:val="18"/>
        </w:rPr>
        <w:t> </w:t>
      </w:r>
      <w:r>
        <w:rPr>
          <w:sz w:val="18"/>
        </w:rPr>
        <w:t>expected,</w:t>
      </w:r>
      <w:r>
        <w:rPr>
          <w:spacing w:val="-5"/>
          <w:sz w:val="18"/>
        </w:rPr>
        <w:t> </w:t>
      </w:r>
      <w:r>
        <w:rPr>
          <w:sz w:val="18"/>
        </w:rPr>
        <w:t>with</w:t>
      </w:r>
      <w:r>
        <w:rPr>
          <w:spacing w:val="-6"/>
          <w:sz w:val="18"/>
        </w:rPr>
        <w:t> </w:t>
      </w:r>
      <w:r>
        <w:rPr>
          <w:sz w:val="18"/>
        </w:rPr>
        <w:t>much</w:t>
      </w:r>
      <w:r>
        <w:rPr>
          <w:spacing w:val="-5"/>
          <w:sz w:val="18"/>
        </w:rPr>
        <w:t> </w:t>
      </w:r>
      <w:r>
        <w:rPr>
          <w:sz w:val="18"/>
        </w:rPr>
        <w:t>speculation</w:t>
      </w:r>
      <w:r>
        <w:rPr>
          <w:spacing w:val="-6"/>
          <w:sz w:val="18"/>
        </w:rPr>
        <w:t> </w:t>
      </w:r>
      <w:r>
        <w:rPr>
          <w:sz w:val="18"/>
        </w:rPr>
        <w:t>about</w:t>
      </w:r>
      <w:r>
        <w:rPr>
          <w:spacing w:val="-5"/>
          <w:sz w:val="18"/>
        </w:rPr>
        <w:t> </w:t>
      </w:r>
      <w:r>
        <w:rPr>
          <w:sz w:val="18"/>
        </w:rPr>
        <w:t>when</w:t>
      </w:r>
      <w:r>
        <w:rPr>
          <w:spacing w:val="-6"/>
          <w:sz w:val="18"/>
        </w:rPr>
        <w:t> </w:t>
      </w:r>
      <w:r>
        <w:rPr>
          <w:sz w:val="18"/>
        </w:rPr>
        <w:t>the</w:t>
      </w:r>
      <w:r>
        <w:rPr>
          <w:spacing w:val="-6"/>
          <w:sz w:val="18"/>
        </w:rPr>
        <w:t> </w:t>
      </w:r>
      <w:r>
        <w:rPr>
          <w:sz w:val="18"/>
        </w:rPr>
        <w:t>zero interest rate policy might end. While a change in monetary policy, in Japan as elsewhere, inevitably brought with it the risks that markets would extrapolate any move unduly and hence react in an exaggerated fashion, the move when it came was unlikely to be a surprise. In any case, the direct effects on the United Kingdom would probably not be large, and would depend on the reaction of the yen to any change in interest</w:t>
      </w:r>
      <w:r>
        <w:rPr>
          <w:spacing w:val="-11"/>
          <w:sz w:val="18"/>
        </w:rPr>
        <w:t> </w:t>
      </w:r>
      <w:r>
        <w:rPr>
          <w:sz w:val="18"/>
        </w:rPr>
        <w:t>rates.</w:t>
      </w:r>
    </w:p>
    <w:p>
      <w:pPr>
        <w:pStyle w:val="BodyText"/>
        <w:spacing w:before="3"/>
        <w:rPr>
          <w:sz w:val="20"/>
        </w:rPr>
      </w:pPr>
    </w:p>
    <w:p>
      <w:pPr>
        <w:pStyle w:val="ListParagraph"/>
        <w:numPr>
          <w:ilvl w:val="0"/>
          <w:numId w:val="55"/>
        </w:numPr>
        <w:tabs>
          <w:tab w:pos="665" w:val="left" w:leader="none"/>
          <w:tab w:pos="666" w:val="left" w:leader="none"/>
        </w:tabs>
        <w:spacing w:line="232" w:lineRule="auto" w:before="0" w:after="0"/>
        <w:ind w:left="185" w:right="147" w:firstLine="0"/>
        <w:jc w:val="left"/>
        <w:rPr>
          <w:sz w:val="18"/>
        </w:rPr>
      </w:pPr>
      <w:r>
        <w:rPr>
          <w:sz w:val="18"/>
        </w:rPr>
        <w:t>Among</w:t>
      </w:r>
      <w:r>
        <w:rPr>
          <w:spacing w:val="-6"/>
          <w:sz w:val="18"/>
        </w:rPr>
        <w:t> </w:t>
      </w:r>
      <w:r>
        <w:rPr>
          <w:sz w:val="18"/>
        </w:rPr>
        <w:t>the</w:t>
      </w:r>
      <w:r>
        <w:rPr>
          <w:spacing w:val="-5"/>
          <w:sz w:val="18"/>
        </w:rPr>
        <w:t> </w:t>
      </w:r>
      <w:r>
        <w:rPr>
          <w:sz w:val="18"/>
        </w:rPr>
        <w:t>emerging</w:t>
      </w:r>
      <w:r>
        <w:rPr>
          <w:spacing w:val="-6"/>
          <w:sz w:val="18"/>
        </w:rPr>
        <w:t> </w:t>
      </w:r>
      <w:r>
        <w:rPr>
          <w:sz w:val="18"/>
        </w:rPr>
        <w:t>market</w:t>
      </w:r>
      <w:r>
        <w:rPr>
          <w:spacing w:val="-5"/>
          <w:sz w:val="18"/>
        </w:rPr>
        <w:t> </w:t>
      </w:r>
      <w:r>
        <w:rPr>
          <w:sz w:val="18"/>
        </w:rPr>
        <w:t>economies</w:t>
      </w:r>
      <w:r>
        <w:rPr>
          <w:spacing w:val="-6"/>
          <w:sz w:val="18"/>
        </w:rPr>
        <w:t> </w:t>
      </w:r>
      <w:r>
        <w:rPr>
          <w:sz w:val="18"/>
        </w:rPr>
        <w:t>there</w:t>
      </w:r>
      <w:r>
        <w:rPr>
          <w:spacing w:val="-5"/>
          <w:sz w:val="18"/>
        </w:rPr>
        <w:t> </w:t>
      </w:r>
      <w:r>
        <w:rPr>
          <w:sz w:val="18"/>
        </w:rPr>
        <w:t>were</w:t>
      </w:r>
      <w:r>
        <w:rPr>
          <w:spacing w:val="-6"/>
          <w:sz w:val="18"/>
        </w:rPr>
        <w:t> </w:t>
      </w:r>
      <w:r>
        <w:rPr>
          <w:sz w:val="18"/>
        </w:rPr>
        <w:t>signs</w:t>
      </w:r>
      <w:r>
        <w:rPr>
          <w:spacing w:val="-5"/>
          <w:sz w:val="18"/>
        </w:rPr>
        <w:t> </w:t>
      </w:r>
      <w:r>
        <w:rPr>
          <w:sz w:val="18"/>
        </w:rPr>
        <w:t>that growth in industrial production had peaked, after a rapid recovery in several of these countries, but the level of output remained well above that of a year</w:t>
      </w:r>
      <w:r>
        <w:rPr>
          <w:spacing w:val="-7"/>
          <w:sz w:val="18"/>
        </w:rPr>
        <w:t> </w:t>
      </w:r>
      <w:r>
        <w:rPr>
          <w:sz w:val="18"/>
        </w:rPr>
        <w:t>earlier.</w:t>
      </w:r>
    </w:p>
    <w:p>
      <w:pPr>
        <w:pStyle w:val="BodyText"/>
        <w:spacing w:before="10"/>
        <w:rPr>
          <w:sz w:val="23"/>
        </w:rPr>
      </w:pPr>
    </w:p>
    <w:p>
      <w:pPr>
        <w:pStyle w:val="Heading4"/>
        <w:spacing w:before="1"/>
        <w:ind w:left="185"/>
      </w:pPr>
      <w:r>
        <w:rPr>
          <w:color w:val="009391"/>
        </w:rPr>
        <w:t>Prices and costs</w:t>
      </w:r>
    </w:p>
    <w:p>
      <w:pPr>
        <w:pStyle w:val="ListParagraph"/>
        <w:numPr>
          <w:ilvl w:val="0"/>
          <w:numId w:val="55"/>
        </w:numPr>
        <w:tabs>
          <w:tab w:pos="665" w:val="left" w:leader="none"/>
          <w:tab w:pos="666" w:val="left" w:leader="none"/>
        </w:tabs>
        <w:spacing w:line="232" w:lineRule="auto" w:before="109" w:after="0"/>
        <w:ind w:left="185" w:right="342" w:firstLine="0"/>
        <w:jc w:val="left"/>
        <w:rPr>
          <w:sz w:val="18"/>
        </w:rPr>
      </w:pPr>
      <w:r>
        <w:rPr>
          <w:sz w:val="18"/>
        </w:rPr>
        <w:t>The oil price had stayed higher for longer than assumed in the May </w:t>
      </w:r>
      <w:r>
        <w:rPr>
          <w:i/>
          <w:sz w:val="18"/>
        </w:rPr>
        <w:t>Inflation Report</w:t>
      </w:r>
      <w:r>
        <w:rPr>
          <w:sz w:val="18"/>
        </w:rPr>
        <w:t>, averaging around $27 per barrel in 2000 Q2, as against just over $23 per barrel assumed in May. To</w:t>
      </w:r>
    </w:p>
    <w:p>
      <w:pPr>
        <w:pStyle w:val="BodyText"/>
        <w:spacing w:line="232" w:lineRule="auto"/>
        <w:ind w:left="185" w:right="128"/>
      </w:pPr>
      <w:r>
        <w:rPr/>
        <w:t>the extent that the proceeds from higher oil prices were not spent by the producers, or by governments which enjoyed higher oil-related tax revenues, this would reduce demand, in a similar way to an increase in indirect taxes.</w:t>
      </w:r>
    </w:p>
    <w:p>
      <w:pPr>
        <w:pStyle w:val="BodyText"/>
        <w:spacing w:before="7"/>
      </w:pPr>
    </w:p>
    <w:p>
      <w:pPr>
        <w:pStyle w:val="ListParagraph"/>
        <w:numPr>
          <w:ilvl w:val="0"/>
          <w:numId w:val="55"/>
        </w:numPr>
        <w:tabs>
          <w:tab w:pos="665" w:val="left" w:leader="none"/>
          <w:tab w:pos="666" w:val="left" w:leader="none"/>
        </w:tabs>
        <w:spacing w:line="232" w:lineRule="auto" w:before="1" w:after="0"/>
        <w:ind w:left="185" w:right="343" w:firstLine="0"/>
        <w:jc w:val="left"/>
        <w:rPr>
          <w:i/>
          <w:sz w:val="18"/>
        </w:rPr>
      </w:pPr>
      <w:r>
        <w:rPr>
          <w:sz w:val="18"/>
        </w:rPr>
        <w:t>The direct impact on RPIX was more obvious, with higher petrol prices contributing 0.5 percentage points to the annual inflation rate in May. While the outlook for oil prices remained uncertain,</w:t>
      </w:r>
      <w:r>
        <w:rPr>
          <w:spacing w:val="-7"/>
          <w:sz w:val="18"/>
        </w:rPr>
        <w:t> </w:t>
      </w:r>
      <w:r>
        <w:rPr>
          <w:sz w:val="18"/>
        </w:rPr>
        <w:t>it</w:t>
      </w:r>
      <w:r>
        <w:rPr>
          <w:spacing w:val="-6"/>
          <w:sz w:val="18"/>
        </w:rPr>
        <w:t> </w:t>
      </w:r>
      <w:r>
        <w:rPr>
          <w:sz w:val="18"/>
        </w:rPr>
        <w:t>was</w:t>
      </w:r>
      <w:r>
        <w:rPr>
          <w:spacing w:val="-6"/>
          <w:sz w:val="18"/>
        </w:rPr>
        <w:t> </w:t>
      </w:r>
      <w:r>
        <w:rPr>
          <w:sz w:val="18"/>
        </w:rPr>
        <w:t>possible</w:t>
      </w:r>
      <w:r>
        <w:rPr>
          <w:spacing w:val="-7"/>
          <w:sz w:val="18"/>
        </w:rPr>
        <w:t> </w:t>
      </w:r>
      <w:r>
        <w:rPr>
          <w:sz w:val="18"/>
        </w:rPr>
        <w:t>that</w:t>
      </w:r>
      <w:r>
        <w:rPr>
          <w:spacing w:val="-6"/>
          <w:sz w:val="18"/>
        </w:rPr>
        <w:t> </w:t>
      </w:r>
      <w:r>
        <w:rPr>
          <w:sz w:val="18"/>
        </w:rPr>
        <w:t>recent</w:t>
      </w:r>
      <w:r>
        <w:rPr>
          <w:spacing w:val="-6"/>
          <w:sz w:val="18"/>
        </w:rPr>
        <w:t> </w:t>
      </w:r>
      <w:r>
        <w:rPr>
          <w:sz w:val="18"/>
        </w:rPr>
        <w:t>announcements</w:t>
      </w:r>
      <w:r>
        <w:rPr>
          <w:spacing w:val="-6"/>
          <w:sz w:val="18"/>
        </w:rPr>
        <w:t> </w:t>
      </w:r>
      <w:r>
        <w:rPr>
          <w:sz w:val="18"/>
        </w:rPr>
        <w:t>of</w:t>
      </w:r>
      <w:r>
        <w:rPr>
          <w:spacing w:val="-7"/>
          <w:sz w:val="18"/>
        </w:rPr>
        <w:t> </w:t>
      </w:r>
      <w:r>
        <w:rPr>
          <w:sz w:val="18"/>
        </w:rPr>
        <w:t>increased production would lead to a fall in prices, although perhaps not to the levels assumed in the May </w:t>
      </w:r>
      <w:r>
        <w:rPr>
          <w:i/>
          <w:sz w:val="18"/>
        </w:rPr>
        <w:t>Inflation</w:t>
      </w:r>
      <w:r>
        <w:rPr>
          <w:i/>
          <w:spacing w:val="-12"/>
          <w:sz w:val="18"/>
        </w:rPr>
        <w:t> </w:t>
      </w:r>
      <w:r>
        <w:rPr>
          <w:i/>
          <w:sz w:val="18"/>
        </w:rPr>
        <w:t>Report.</w:t>
      </w:r>
    </w:p>
    <w:p>
      <w:pPr>
        <w:pStyle w:val="BodyText"/>
        <w:spacing w:before="8"/>
        <w:rPr>
          <w:i/>
        </w:rPr>
      </w:pPr>
    </w:p>
    <w:p>
      <w:pPr>
        <w:pStyle w:val="ListParagraph"/>
        <w:numPr>
          <w:ilvl w:val="0"/>
          <w:numId w:val="55"/>
        </w:numPr>
        <w:tabs>
          <w:tab w:pos="665" w:val="left" w:leader="none"/>
          <w:tab w:pos="666" w:val="left" w:leader="none"/>
        </w:tabs>
        <w:spacing w:line="232" w:lineRule="auto" w:before="0" w:after="0"/>
        <w:ind w:left="185" w:right="152" w:firstLine="0"/>
        <w:jc w:val="left"/>
        <w:rPr>
          <w:sz w:val="18"/>
        </w:rPr>
      </w:pPr>
      <w:r>
        <w:rPr>
          <w:sz w:val="18"/>
        </w:rPr>
        <w:t>To the extent that higher oil prices had already fed through into</w:t>
      </w:r>
      <w:r>
        <w:rPr>
          <w:spacing w:val="-5"/>
          <w:sz w:val="18"/>
        </w:rPr>
        <w:t> </w:t>
      </w:r>
      <w:r>
        <w:rPr>
          <w:sz w:val="18"/>
        </w:rPr>
        <w:t>retail</w:t>
      </w:r>
      <w:r>
        <w:rPr>
          <w:spacing w:val="-4"/>
          <w:sz w:val="18"/>
        </w:rPr>
        <w:t> </w:t>
      </w:r>
      <w:r>
        <w:rPr>
          <w:sz w:val="18"/>
        </w:rPr>
        <w:t>prices,</w:t>
      </w:r>
      <w:r>
        <w:rPr>
          <w:spacing w:val="-4"/>
          <w:sz w:val="18"/>
        </w:rPr>
        <w:t> </w:t>
      </w:r>
      <w:r>
        <w:rPr>
          <w:sz w:val="18"/>
        </w:rPr>
        <w:t>or</w:t>
      </w:r>
      <w:r>
        <w:rPr>
          <w:spacing w:val="-4"/>
          <w:sz w:val="18"/>
        </w:rPr>
        <w:t> </w:t>
      </w:r>
      <w:r>
        <w:rPr>
          <w:sz w:val="18"/>
        </w:rPr>
        <w:t>would</w:t>
      </w:r>
      <w:r>
        <w:rPr>
          <w:spacing w:val="-4"/>
          <w:sz w:val="18"/>
        </w:rPr>
        <w:t> </w:t>
      </w:r>
      <w:r>
        <w:rPr>
          <w:sz w:val="18"/>
        </w:rPr>
        <w:t>do</w:t>
      </w:r>
      <w:r>
        <w:rPr>
          <w:spacing w:val="-5"/>
          <w:sz w:val="18"/>
        </w:rPr>
        <w:t> </w:t>
      </w:r>
      <w:r>
        <w:rPr>
          <w:sz w:val="18"/>
        </w:rPr>
        <w:t>so</w:t>
      </w:r>
      <w:r>
        <w:rPr>
          <w:spacing w:val="-4"/>
          <w:sz w:val="18"/>
        </w:rPr>
        <w:t> </w:t>
      </w:r>
      <w:r>
        <w:rPr>
          <w:sz w:val="18"/>
        </w:rPr>
        <w:t>shortly,</w:t>
      </w:r>
      <w:r>
        <w:rPr>
          <w:spacing w:val="-4"/>
          <w:sz w:val="18"/>
        </w:rPr>
        <w:t> </w:t>
      </w:r>
      <w:r>
        <w:rPr>
          <w:sz w:val="18"/>
        </w:rPr>
        <w:t>the</w:t>
      </w:r>
      <w:r>
        <w:rPr>
          <w:spacing w:val="-4"/>
          <w:sz w:val="18"/>
        </w:rPr>
        <w:t> </w:t>
      </w:r>
      <w:r>
        <w:rPr>
          <w:sz w:val="18"/>
        </w:rPr>
        <w:t>effect</w:t>
      </w:r>
      <w:r>
        <w:rPr>
          <w:spacing w:val="-5"/>
          <w:sz w:val="18"/>
        </w:rPr>
        <w:t> </w:t>
      </w:r>
      <w:r>
        <w:rPr>
          <w:sz w:val="18"/>
        </w:rPr>
        <w:t>might</w:t>
      </w:r>
      <w:r>
        <w:rPr>
          <w:spacing w:val="-4"/>
          <w:sz w:val="18"/>
        </w:rPr>
        <w:t> </w:t>
      </w:r>
      <w:r>
        <w:rPr>
          <w:sz w:val="18"/>
        </w:rPr>
        <w:t>be</w:t>
      </w:r>
      <w:r>
        <w:rPr>
          <w:spacing w:val="-4"/>
          <w:sz w:val="18"/>
        </w:rPr>
        <w:t> </w:t>
      </w:r>
      <w:r>
        <w:rPr>
          <w:sz w:val="18"/>
        </w:rPr>
        <w:t>to</w:t>
      </w:r>
      <w:r>
        <w:rPr>
          <w:spacing w:val="-4"/>
          <w:sz w:val="18"/>
        </w:rPr>
        <w:t> </w:t>
      </w:r>
      <w:r>
        <w:rPr>
          <w:sz w:val="18"/>
        </w:rPr>
        <w:t>raise the short-term profile of RPIX inflation closer to target, while reducing pressure on prices further ahead. This might be more likely if the rise in oil prices indeed proved short-lived, although it was possible that there would nevertheless be second-round effects from higher oil prices, in which case the effects would be less benign.</w:t>
      </w:r>
    </w:p>
    <w:p>
      <w:pPr>
        <w:pStyle w:val="BodyText"/>
        <w:spacing w:before="7"/>
      </w:pPr>
    </w:p>
    <w:p>
      <w:pPr>
        <w:pStyle w:val="ListParagraph"/>
        <w:numPr>
          <w:ilvl w:val="0"/>
          <w:numId w:val="55"/>
        </w:numPr>
        <w:tabs>
          <w:tab w:pos="665" w:val="left" w:leader="none"/>
          <w:tab w:pos="666" w:val="left" w:leader="none"/>
        </w:tabs>
        <w:spacing w:line="232" w:lineRule="auto" w:before="0" w:after="0"/>
        <w:ind w:left="185" w:right="142" w:firstLine="0"/>
        <w:jc w:val="left"/>
        <w:rPr>
          <w:sz w:val="18"/>
        </w:rPr>
      </w:pPr>
      <w:r>
        <w:rPr>
          <w:sz w:val="18"/>
        </w:rPr>
        <w:t>RPIX had risen by 2.0% in the year to May. This included upwards effects from higher oil prices and house price inflation, and dampening effects from lower utilities prices and the exchange rate. Some members noted that some measures of core inflation were below actual inflation, suggesting that inflation would fall for a time. For example, the twelve-month change in RPIX excluding food, drink, tobacco, petroleum and other energy products had now fallen to 1.7%. But it was unclear how much information about the prospects</w:t>
      </w:r>
      <w:r>
        <w:rPr>
          <w:spacing w:val="-6"/>
          <w:sz w:val="18"/>
        </w:rPr>
        <w:t> </w:t>
      </w:r>
      <w:r>
        <w:rPr>
          <w:sz w:val="18"/>
        </w:rPr>
        <w:t>for</w:t>
      </w:r>
      <w:r>
        <w:rPr>
          <w:spacing w:val="-6"/>
          <w:sz w:val="18"/>
        </w:rPr>
        <w:t> </w:t>
      </w:r>
      <w:r>
        <w:rPr>
          <w:sz w:val="18"/>
        </w:rPr>
        <w:t>inflation</w:t>
      </w:r>
      <w:r>
        <w:rPr>
          <w:spacing w:val="-6"/>
          <w:sz w:val="18"/>
        </w:rPr>
        <w:t> </w:t>
      </w:r>
      <w:r>
        <w:rPr>
          <w:sz w:val="18"/>
        </w:rPr>
        <w:t>could</w:t>
      </w:r>
      <w:r>
        <w:rPr>
          <w:spacing w:val="-6"/>
          <w:sz w:val="18"/>
        </w:rPr>
        <w:t> </w:t>
      </w:r>
      <w:r>
        <w:rPr>
          <w:sz w:val="18"/>
        </w:rPr>
        <w:t>be</w:t>
      </w:r>
      <w:r>
        <w:rPr>
          <w:spacing w:val="-6"/>
          <w:sz w:val="18"/>
        </w:rPr>
        <w:t> </w:t>
      </w:r>
      <w:r>
        <w:rPr>
          <w:sz w:val="18"/>
        </w:rPr>
        <w:t>gleaned</w:t>
      </w:r>
      <w:r>
        <w:rPr>
          <w:spacing w:val="-5"/>
          <w:sz w:val="18"/>
        </w:rPr>
        <w:t> </w:t>
      </w:r>
      <w:r>
        <w:rPr>
          <w:sz w:val="18"/>
        </w:rPr>
        <w:t>from</w:t>
      </w:r>
      <w:r>
        <w:rPr>
          <w:spacing w:val="-6"/>
          <w:sz w:val="18"/>
        </w:rPr>
        <w:t> </w:t>
      </w:r>
      <w:r>
        <w:rPr>
          <w:sz w:val="18"/>
        </w:rPr>
        <w:t>such</w:t>
      </w:r>
      <w:r>
        <w:rPr>
          <w:spacing w:val="-6"/>
          <w:sz w:val="18"/>
        </w:rPr>
        <w:t> </w:t>
      </w:r>
      <w:r>
        <w:rPr>
          <w:sz w:val="18"/>
        </w:rPr>
        <w:t>a</w:t>
      </w:r>
      <w:r>
        <w:rPr>
          <w:spacing w:val="-6"/>
          <w:sz w:val="18"/>
        </w:rPr>
        <w:t> </w:t>
      </w:r>
      <w:r>
        <w:rPr>
          <w:sz w:val="18"/>
        </w:rPr>
        <w:t>disaggregation; the aggregate price level should not be affected in the medium term by relative shifts in its</w:t>
      </w:r>
      <w:r>
        <w:rPr>
          <w:spacing w:val="-8"/>
          <w:sz w:val="18"/>
        </w:rPr>
        <w:t> </w:t>
      </w:r>
      <w:r>
        <w:rPr>
          <w:sz w:val="18"/>
        </w:rPr>
        <w:t>components.</w:t>
      </w:r>
    </w:p>
    <w:p>
      <w:pPr>
        <w:pStyle w:val="BodyText"/>
        <w:spacing w:before="4"/>
      </w:pPr>
    </w:p>
    <w:p>
      <w:pPr>
        <w:pStyle w:val="ListParagraph"/>
        <w:numPr>
          <w:ilvl w:val="0"/>
          <w:numId w:val="55"/>
        </w:numPr>
        <w:tabs>
          <w:tab w:pos="665" w:val="left" w:leader="none"/>
          <w:tab w:pos="666" w:val="left" w:leader="none"/>
        </w:tabs>
        <w:spacing w:line="232" w:lineRule="auto" w:before="0" w:after="0"/>
        <w:ind w:left="185" w:right="267" w:firstLine="0"/>
        <w:jc w:val="left"/>
        <w:rPr>
          <w:sz w:val="18"/>
        </w:rPr>
      </w:pPr>
      <w:r>
        <w:rPr>
          <w:sz w:val="18"/>
        </w:rPr>
        <w:t>There</w:t>
      </w:r>
      <w:r>
        <w:rPr>
          <w:spacing w:val="-6"/>
          <w:sz w:val="18"/>
        </w:rPr>
        <w:t> </w:t>
      </w:r>
      <w:r>
        <w:rPr>
          <w:sz w:val="18"/>
        </w:rPr>
        <w:t>was</w:t>
      </w:r>
      <w:r>
        <w:rPr>
          <w:spacing w:val="-5"/>
          <w:sz w:val="18"/>
        </w:rPr>
        <w:t> </w:t>
      </w:r>
      <w:r>
        <w:rPr>
          <w:sz w:val="18"/>
        </w:rPr>
        <w:t>some</w:t>
      </w:r>
      <w:r>
        <w:rPr>
          <w:spacing w:val="-6"/>
          <w:sz w:val="18"/>
        </w:rPr>
        <w:t> </w:t>
      </w:r>
      <w:r>
        <w:rPr>
          <w:sz w:val="18"/>
        </w:rPr>
        <w:t>evidence</w:t>
      </w:r>
      <w:r>
        <w:rPr>
          <w:spacing w:val="-5"/>
          <w:sz w:val="18"/>
        </w:rPr>
        <w:t> </w:t>
      </w:r>
      <w:r>
        <w:rPr>
          <w:sz w:val="18"/>
        </w:rPr>
        <w:t>from</w:t>
      </w:r>
      <w:r>
        <w:rPr>
          <w:spacing w:val="-5"/>
          <w:sz w:val="18"/>
        </w:rPr>
        <w:t> </w:t>
      </w:r>
      <w:r>
        <w:rPr>
          <w:sz w:val="18"/>
        </w:rPr>
        <w:t>the</w:t>
      </w:r>
      <w:r>
        <w:rPr>
          <w:spacing w:val="-6"/>
          <w:sz w:val="18"/>
        </w:rPr>
        <w:t> </w:t>
      </w:r>
      <w:r>
        <w:rPr>
          <w:sz w:val="18"/>
        </w:rPr>
        <w:t>CBI</w:t>
      </w:r>
      <w:r>
        <w:rPr>
          <w:spacing w:val="-5"/>
          <w:sz w:val="18"/>
        </w:rPr>
        <w:t> </w:t>
      </w:r>
      <w:r>
        <w:rPr>
          <w:sz w:val="18"/>
        </w:rPr>
        <w:t>Distributive</w:t>
      </w:r>
      <w:r>
        <w:rPr>
          <w:spacing w:val="-6"/>
          <w:sz w:val="18"/>
        </w:rPr>
        <w:t> </w:t>
      </w:r>
      <w:r>
        <w:rPr>
          <w:sz w:val="18"/>
        </w:rPr>
        <w:t>Trades survey that downward pressures on retail prices had intensified, with the balance in 2000 Q2 at -6, as against +18 in 1999 Q2. By contrast, surveys of manufacturing and services prices by the British Chambers of Commerce suggested that output price pressures were much stronger in 2000 Q1 than in 1999 Q2. It remained to be seen whether this pressure on margins would be sustained.</w:t>
      </w:r>
    </w:p>
    <w:p>
      <w:pPr>
        <w:spacing w:after="0" w:line="232" w:lineRule="auto"/>
        <w:jc w:val="left"/>
        <w:rPr>
          <w:sz w:val="18"/>
        </w:rPr>
        <w:sectPr>
          <w:type w:val="continuous"/>
          <w:pgSz w:w="11900" w:h="16840"/>
          <w:pgMar w:top="1260" w:bottom="280" w:left="640" w:right="640"/>
          <w:cols w:num="2" w:equalWidth="0">
            <w:col w:w="5114" w:space="274"/>
            <w:col w:w="5232"/>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7"/>
        <w:rPr>
          <w:sz w:val="19"/>
        </w:rPr>
      </w:pPr>
    </w:p>
    <w:p>
      <w:pPr>
        <w:pStyle w:val="ListParagraph"/>
        <w:numPr>
          <w:ilvl w:val="0"/>
          <w:numId w:val="55"/>
        </w:numPr>
        <w:tabs>
          <w:tab w:pos="659" w:val="left" w:leader="none"/>
          <w:tab w:pos="660" w:val="left" w:leader="none"/>
        </w:tabs>
        <w:spacing w:line="232" w:lineRule="auto" w:before="1" w:after="0"/>
        <w:ind w:left="179" w:right="63" w:firstLine="0"/>
        <w:jc w:val="left"/>
        <w:rPr>
          <w:sz w:val="18"/>
        </w:rPr>
      </w:pPr>
      <w:r>
        <w:rPr>
          <w:sz w:val="18"/>
        </w:rPr>
        <w:t>As a result of higher oil prices and a weaker exchange rate, the Committee agreed that inflation over the rest of this year might move closer to the 2</w:t>
      </w:r>
      <w:r>
        <w:rPr>
          <w:position w:val="6"/>
          <w:sz w:val="9"/>
        </w:rPr>
        <w:t>1</w:t>
      </w:r>
      <w:r>
        <w:rPr>
          <w:sz w:val="18"/>
        </w:rPr>
        <w:t>/</w:t>
      </w:r>
      <w:r>
        <w:rPr>
          <w:sz w:val="9"/>
        </w:rPr>
        <w:t>2</w:t>
      </w:r>
      <w:r>
        <w:rPr>
          <w:sz w:val="18"/>
        </w:rPr>
        <w:t>% target than had seemed likely at the time of the May </w:t>
      </w:r>
      <w:r>
        <w:rPr>
          <w:i/>
          <w:sz w:val="18"/>
        </w:rPr>
        <w:t>Inflation Report</w:t>
      </w:r>
      <w:r>
        <w:rPr>
          <w:sz w:val="18"/>
        </w:rPr>
        <w:t>. If inflation over the medium term were likely to be above its target, rather higher inflation now might mean that the Committee had less time to wait before it needed to raise rates. But it was unclear whether the risks to inflation over the medium term were on the upside, or indeed</w:t>
      </w:r>
      <w:r>
        <w:rPr>
          <w:spacing w:val="-16"/>
          <w:sz w:val="18"/>
        </w:rPr>
        <w:t> </w:t>
      </w:r>
      <w:r>
        <w:rPr>
          <w:sz w:val="18"/>
        </w:rPr>
        <w:t>whether</w:t>
      </w:r>
    </w:p>
    <w:p>
      <w:pPr>
        <w:pStyle w:val="BodyText"/>
        <w:spacing w:line="232" w:lineRule="auto"/>
        <w:ind w:left="179" w:right="191"/>
      </w:pPr>
      <w:r>
        <w:rPr/>
        <w:t>higher-than-expected retail prices in the short term had significant implications for inflation further ahead.</w:t>
      </w:r>
    </w:p>
    <w:p>
      <w:pPr>
        <w:pStyle w:val="BodyText"/>
        <w:spacing w:before="2"/>
      </w:pPr>
    </w:p>
    <w:p>
      <w:pPr>
        <w:pStyle w:val="Heading4"/>
        <w:ind w:left="180"/>
      </w:pPr>
      <w:r>
        <w:rPr>
          <w:color w:val="009391"/>
        </w:rPr>
        <w:t>Tactical considerations</w:t>
      </w:r>
    </w:p>
    <w:p>
      <w:pPr>
        <w:pStyle w:val="ListParagraph"/>
        <w:numPr>
          <w:ilvl w:val="0"/>
          <w:numId w:val="55"/>
        </w:numPr>
        <w:tabs>
          <w:tab w:pos="659" w:val="left" w:leader="none"/>
          <w:tab w:pos="660" w:val="left" w:leader="none"/>
        </w:tabs>
        <w:spacing w:line="232" w:lineRule="auto" w:before="70" w:after="0"/>
        <w:ind w:left="180" w:right="43" w:firstLine="0"/>
        <w:jc w:val="left"/>
        <w:rPr>
          <w:sz w:val="18"/>
        </w:rPr>
      </w:pPr>
      <w:r>
        <w:rPr>
          <w:sz w:val="18"/>
        </w:rPr>
        <w:t>The Committee noted that there was very little expectation in the market of a change in the repo rate this month, and that neither the FOMC nor the European Central Bank was expected to move rates in the immediate future. Against that background, there was a risk that any change in UK rates would lead to a larger movement in interest rate expectations than would be warranted, with a corresponding effect on the exchange rate. While this might be a reason for leaving rates at 6%, it did not of itself preclude a change in rates this month if there were good reasons to move in terms of the outlook for inflation. As always, if rates were to be changed unexpectedly, it would be necessary to set out clearly the reasons for the Committee’s</w:t>
      </w:r>
      <w:r>
        <w:rPr>
          <w:spacing w:val="-5"/>
          <w:sz w:val="18"/>
        </w:rPr>
        <w:t> </w:t>
      </w:r>
      <w:r>
        <w:rPr>
          <w:sz w:val="18"/>
        </w:rPr>
        <w:t>decision.</w:t>
      </w:r>
    </w:p>
    <w:p>
      <w:pPr>
        <w:pStyle w:val="ListParagraph"/>
        <w:numPr>
          <w:ilvl w:val="0"/>
          <w:numId w:val="55"/>
        </w:numPr>
        <w:tabs>
          <w:tab w:pos="659" w:val="left" w:leader="none"/>
          <w:tab w:pos="660" w:val="left" w:leader="none"/>
        </w:tabs>
        <w:spacing w:line="232" w:lineRule="auto" w:before="171" w:after="0"/>
        <w:ind w:left="179" w:right="128" w:firstLine="0"/>
        <w:jc w:val="left"/>
        <w:rPr>
          <w:sz w:val="18"/>
        </w:rPr>
      </w:pPr>
      <w:r>
        <w:rPr>
          <w:sz w:val="18"/>
        </w:rPr>
        <w:t>The Committee agreed that it was difficult to calibrate the effects of the recent slowdown in domestic demand on inflation prospects over the medium term. By comparison some felt that the effects of the weaker exchange rate and lower-than-expected average earnings would be easier to calibrate, although even in these cases it would be necessary to re-examine some of the assumptions made about the pass-through into prices over the medium term. The forthcoming forecast round provided an opportunity to assess the relative impacts of these developments in some detail, and the August </w:t>
      </w:r>
      <w:r>
        <w:rPr>
          <w:i/>
          <w:sz w:val="18"/>
        </w:rPr>
        <w:t>Inflation Report </w:t>
      </w:r>
      <w:r>
        <w:rPr>
          <w:sz w:val="18"/>
        </w:rPr>
        <w:t>a means of explaining how this analysis had influenced the views of the</w:t>
      </w:r>
      <w:r>
        <w:rPr>
          <w:spacing w:val="-29"/>
          <w:sz w:val="18"/>
        </w:rPr>
        <w:t> </w:t>
      </w:r>
      <w:r>
        <w:rPr>
          <w:sz w:val="18"/>
        </w:rPr>
        <w:t>Committee.</w:t>
      </w:r>
    </w:p>
    <w:p>
      <w:pPr>
        <w:pStyle w:val="BodyText"/>
        <w:spacing w:before="2"/>
      </w:pPr>
    </w:p>
    <w:p>
      <w:pPr>
        <w:pStyle w:val="Heading4"/>
        <w:ind w:left="180"/>
      </w:pPr>
      <w:r>
        <w:rPr>
          <w:color w:val="009391"/>
        </w:rPr>
        <w:t>The immediate policy decision</w:t>
      </w:r>
    </w:p>
    <w:p>
      <w:pPr>
        <w:pStyle w:val="ListParagraph"/>
        <w:numPr>
          <w:ilvl w:val="0"/>
          <w:numId w:val="55"/>
        </w:numPr>
        <w:tabs>
          <w:tab w:pos="659" w:val="left" w:leader="none"/>
          <w:tab w:pos="660" w:val="left" w:leader="none"/>
        </w:tabs>
        <w:spacing w:line="232" w:lineRule="auto" w:before="69" w:after="0"/>
        <w:ind w:left="180" w:right="53" w:firstLine="0"/>
        <w:jc w:val="left"/>
        <w:rPr>
          <w:sz w:val="18"/>
        </w:rPr>
      </w:pPr>
      <w:r>
        <w:rPr>
          <w:sz w:val="18"/>
        </w:rPr>
        <w:t>The Committee agreed that the news on the month was weaker than expected, with signs of a slowdown in domestic demand, for instance in retail sales and the housing market, and lower-than-expected, although possibly erratic, average earnings numbers. The question for some was rather whether the news in the two months since the May </w:t>
      </w:r>
      <w:r>
        <w:rPr>
          <w:i/>
          <w:sz w:val="18"/>
        </w:rPr>
        <w:t>Inflation Report </w:t>
      </w:r>
      <w:r>
        <w:rPr>
          <w:sz w:val="18"/>
        </w:rPr>
        <w:t>warranted an increase in interest rates to keep prospective inflation in line with the target over the medium</w:t>
      </w:r>
      <w:r>
        <w:rPr>
          <w:spacing w:val="-4"/>
          <w:sz w:val="18"/>
        </w:rPr>
        <w:t> </w:t>
      </w:r>
      <w:r>
        <w:rPr>
          <w:sz w:val="18"/>
        </w:rPr>
        <w:t>term.</w:t>
      </w:r>
    </w:p>
    <w:p>
      <w:pPr>
        <w:pStyle w:val="ListParagraph"/>
        <w:numPr>
          <w:ilvl w:val="0"/>
          <w:numId w:val="55"/>
        </w:numPr>
        <w:tabs>
          <w:tab w:pos="659" w:val="left" w:leader="none"/>
          <w:tab w:pos="660" w:val="left" w:leader="none"/>
        </w:tabs>
        <w:spacing w:line="232" w:lineRule="auto" w:before="174" w:after="0"/>
        <w:ind w:left="180" w:right="38" w:firstLine="0"/>
        <w:jc w:val="left"/>
        <w:rPr>
          <w:sz w:val="18"/>
        </w:rPr>
      </w:pPr>
      <w:r>
        <w:rPr>
          <w:sz w:val="18"/>
        </w:rPr>
        <w:t>Various arguments were advanced by members for leaving the repo rate unchanged at 6% this month. Many of the determinants of consumption (such as house prices and earnings) appeared to be slowing, while the buoyant borrowing figures for households and corporates, although they needed to be watched carefully, might not in the short run be a reliable guide to consumption or investment. Upwards revisions to the level of GDP, for a given rate of inflation, suggested to some members that the disinflationary forces in the economy might be rather greater than previously supposed. The slowdown in the housing market appeared broadly based, being reflected not just in the house price indices, but also in the more forward-looking RICS survey and in measures of activity at the start of the housing chain, such as site visits and net reservations. The average earnings figures were much lower than expected, even allowing for the erratic nature of the series, with little sign yet of much of an increase in pay settlements during a period in which they had been expected to come under upward</w:t>
      </w:r>
      <w:r>
        <w:rPr>
          <w:spacing w:val="-2"/>
          <w:sz w:val="18"/>
        </w:rPr>
        <w:t> </w:t>
      </w:r>
      <w:r>
        <w:rPr>
          <w:sz w:val="18"/>
        </w:rPr>
        <w:t>pressure.</w:t>
      </w:r>
    </w:p>
    <w:p>
      <w:pPr>
        <w:pStyle w:val="ListParagraph"/>
        <w:numPr>
          <w:ilvl w:val="0"/>
          <w:numId w:val="55"/>
        </w:numPr>
        <w:tabs>
          <w:tab w:pos="659" w:val="left" w:leader="none"/>
          <w:tab w:pos="660" w:val="left" w:leader="none"/>
        </w:tabs>
        <w:spacing w:line="232" w:lineRule="auto" w:before="166" w:after="0"/>
        <w:ind w:left="180" w:right="63" w:firstLine="0"/>
        <w:jc w:val="left"/>
        <w:rPr>
          <w:sz w:val="18"/>
        </w:rPr>
      </w:pPr>
      <w:r>
        <w:rPr>
          <w:sz w:val="18"/>
        </w:rPr>
        <w:t>So far as external influences were concerned, if oil prices fell from their recent peaks, this would, other things being equal, reduce inflation in the short term. The fall in the exchange rate since May would tend to increase inflation, but to the extent that it represented a</w:t>
      </w:r>
      <w:r>
        <w:rPr>
          <w:spacing w:val="-4"/>
          <w:sz w:val="18"/>
        </w:rPr>
        <w:t> </w:t>
      </w:r>
      <w:r>
        <w:rPr>
          <w:sz w:val="18"/>
        </w:rPr>
        <w:t>rather</w:t>
      </w:r>
      <w:r>
        <w:rPr>
          <w:spacing w:val="-3"/>
          <w:sz w:val="18"/>
        </w:rPr>
        <w:t> </w:t>
      </w:r>
      <w:r>
        <w:rPr>
          <w:sz w:val="18"/>
        </w:rPr>
        <w:t>rapid</w:t>
      </w:r>
      <w:r>
        <w:rPr>
          <w:spacing w:val="-4"/>
          <w:sz w:val="18"/>
        </w:rPr>
        <w:t> </w:t>
      </w:r>
      <w:r>
        <w:rPr>
          <w:sz w:val="18"/>
        </w:rPr>
        <w:t>reversal</w:t>
      </w:r>
      <w:r>
        <w:rPr>
          <w:spacing w:val="-3"/>
          <w:sz w:val="18"/>
        </w:rPr>
        <w:t> </w:t>
      </w:r>
      <w:r>
        <w:rPr>
          <w:sz w:val="18"/>
        </w:rPr>
        <w:t>of</w:t>
      </w:r>
      <w:r>
        <w:rPr>
          <w:spacing w:val="-3"/>
          <w:sz w:val="18"/>
        </w:rPr>
        <w:t> </w:t>
      </w:r>
      <w:r>
        <w:rPr>
          <w:sz w:val="18"/>
        </w:rPr>
        <w:t>a</w:t>
      </w:r>
      <w:r>
        <w:rPr>
          <w:spacing w:val="-4"/>
          <w:sz w:val="18"/>
        </w:rPr>
        <w:t> </w:t>
      </w:r>
      <w:r>
        <w:rPr>
          <w:sz w:val="18"/>
        </w:rPr>
        <w:t>short-run</w:t>
      </w:r>
      <w:r>
        <w:rPr>
          <w:spacing w:val="-3"/>
          <w:sz w:val="18"/>
        </w:rPr>
        <w:t> </w:t>
      </w:r>
      <w:r>
        <w:rPr>
          <w:sz w:val="18"/>
        </w:rPr>
        <w:t>spike</w:t>
      </w:r>
      <w:r>
        <w:rPr>
          <w:spacing w:val="-4"/>
          <w:sz w:val="18"/>
        </w:rPr>
        <w:t> </w:t>
      </w:r>
      <w:r>
        <w:rPr>
          <w:sz w:val="18"/>
        </w:rPr>
        <w:t>it</w:t>
      </w:r>
      <w:r>
        <w:rPr>
          <w:spacing w:val="-3"/>
          <w:sz w:val="18"/>
        </w:rPr>
        <w:t> </w:t>
      </w:r>
      <w:r>
        <w:rPr>
          <w:sz w:val="18"/>
        </w:rPr>
        <w:t>might</w:t>
      </w:r>
      <w:r>
        <w:rPr>
          <w:spacing w:val="-3"/>
          <w:sz w:val="18"/>
        </w:rPr>
        <w:t> </w:t>
      </w:r>
      <w:r>
        <w:rPr>
          <w:sz w:val="18"/>
        </w:rPr>
        <w:t>have</w:t>
      </w:r>
      <w:r>
        <w:rPr>
          <w:spacing w:val="-4"/>
          <w:sz w:val="18"/>
        </w:rPr>
        <w:t> </w:t>
      </w:r>
      <w:r>
        <w:rPr>
          <w:sz w:val="18"/>
        </w:rPr>
        <w:t>less</w:t>
      </w:r>
      <w:r>
        <w:rPr>
          <w:spacing w:val="-3"/>
          <w:sz w:val="18"/>
        </w:rPr>
        <w:t> </w:t>
      </w:r>
      <w:r>
        <w:rPr>
          <w:sz w:val="18"/>
        </w:rPr>
        <w:t>of</w:t>
      </w:r>
      <w:r>
        <w:rPr>
          <w:spacing w:val="-4"/>
          <w:sz w:val="18"/>
        </w:rPr>
        <w:t> </w:t>
      </w:r>
      <w:r>
        <w:rPr>
          <w:sz w:val="18"/>
        </w:rPr>
        <w:t>an</w:t>
      </w:r>
    </w:p>
    <w:p>
      <w:pPr>
        <w:pStyle w:val="BodyText"/>
        <w:spacing w:before="7"/>
        <w:rPr>
          <w:sz w:val="19"/>
        </w:rPr>
      </w:pPr>
      <w:r>
        <w:rPr/>
        <w:br w:type="column"/>
      </w:r>
      <w:r>
        <w:rPr>
          <w:sz w:val="19"/>
        </w:rPr>
      </w:r>
    </w:p>
    <w:p>
      <w:pPr>
        <w:pStyle w:val="BodyText"/>
        <w:spacing w:line="232" w:lineRule="auto" w:before="1"/>
        <w:ind w:left="180" w:right="115"/>
      </w:pPr>
      <w:r>
        <w:rPr/>
        <w:t>effect, while the long-term negative impact on investment decisions of sterling’s appreciation since 1996 may not yet have been fully felt. It also appeared to some that the current monetary policy stance was slightly contractionary and that this might no longer be appropriate; with nominal rates at 6%, given most current measures of inflationary expectations, real interest rates were 3</w:t>
      </w:r>
      <w:r>
        <w:rPr>
          <w:position w:val="6"/>
          <w:sz w:val="9"/>
        </w:rPr>
        <w:t>1</w:t>
      </w:r>
      <w:r>
        <w:rPr/>
        <w:t>/</w:t>
      </w:r>
      <w:r>
        <w:rPr>
          <w:sz w:val="9"/>
        </w:rPr>
        <w:t>2</w:t>
      </w:r>
      <w:r>
        <w:rPr/>
        <w:t>% or more. With little expectation of an immediate move in rates either here or in the UK’s major trading partners, it was best to leave the repo rate unchanged at 6% this</w:t>
      </w:r>
      <w:r>
        <w:rPr>
          <w:spacing w:val="-6"/>
        </w:rPr>
        <w:t> </w:t>
      </w:r>
      <w:r>
        <w:rPr/>
        <w:t>month.</w:t>
      </w:r>
    </w:p>
    <w:p>
      <w:pPr>
        <w:pStyle w:val="BodyText"/>
        <w:spacing w:before="8"/>
        <w:rPr>
          <w:sz w:val="16"/>
        </w:rPr>
      </w:pPr>
    </w:p>
    <w:p>
      <w:pPr>
        <w:pStyle w:val="ListParagraph"/>
        <w:numPr>
          <w:ilvl w:val="0"/>
          <w:numId w:val="55"/>
        </w:numPr>
        <w:tabs>
          <w:tab w:pos="659" w:val="left" w:leader="none"/>
          <w:tab w:pos="660" w:val="left" w:leader="none"/>
        </w:tabs>
        <w:spacing w:line="232" w:lineRule="auto" w:before="1" w:after="0"/>
        <w:ind w:left="180" w:right="106" w:firstLine="0"/>
        <w:jc w:val="left"/>
        <w:rPr>
          <w:sz w:val="18"/>
        </w:rPr>
      </w:pPr>
      <w:r>
        <w:rPr>
          <w:sz w:val="18"/>
        </w:rPr>
        <w:t>For some other members, given the news since May, while there was no need to raise the repo rate this month, it might be necessary to raise rates later to keep prospective inflation on track. While there was some evidence of a slowdown in the growth of domestic demand and average earnings, the latter series remained erratic. Little weight had been placed on the acceleration in the AEI in previous months, and little should be placed on its deceleration; the labour market remained tight and, if anything, pay settlements were creeping up. The fall in investment was puzzling, especially given heavy borrowing by the corporate sector, and might prove temporary. Borrowing by households remained strong, which did not seem consistent with a sharp fall in consumption; nor did the recent pick-up in the growth of employment. Much of the apparent slowdown in domestic demand might represent an unwinding of end-year effects, which now appeared to have boosted retail sales, average earnings and investment, if only temporarily, by more than had previously been thought. Looking forward, given the likely increases in public spending over the next two years, private sector spending needed to slow further if the inflation target were to be met.</w:t>
      </w:r>
    </w:p>
    <w:p>
      <w:pPr>
        <w:pStyle w:val="BodyText"/>
        <w:rPr>
          <w:sz w:val="16"/>
        </w:rPr>
      </w:pPr>
    </w:p>
    <w:p>
      <w:pPr>
        <w:pStyle w:val="ListParagraph"/>
        <w:numPr>
          <w:ilvl w:val="0"/>
          <w:numId w:val="55"/>
        </w:numPr>
        <w:tabs>
          <w:tab w:pos="659" w:val="left" w:leader="none"/>
          <w:tab w:pos="660" w:val="left" w:leader="none"/>
        </w:tabs>
        <w:spacing w:line="232" w:lineRule="auto" w:before="0" w:after="0"/>
        <w:ind w:left="179" w:right="115" w:firstLine="0"/>
        <w:jc w:val="left"/>
        <w:rPr>
          <w:sz w:val="18"/>
        </w:rPr>
      </w:pPr>
      <w:r>
        <w:rPr>
          <w:sz w:val="18"/>
        </w:rPr>
        <w:t>The exchange rate had not fallen any further over the past month, but was 5% lower than in the </w:t>
      </w:r>
      <w:r>
        <w:rPr>
          <w:i/>
          <w:sz w:val="18"/>
        </w:rPr>
        <w:t>Inflation Report</w:t>
      </w:r>
      <w:r>
        <w:rPr>
          <w:sz w:val="18"/>
        </w:rPr>
        <w:t>. This provided some much-needed relief for the externally-exposed sectors, and with it the prospect of a better-balanced economy but, taken by itself, it added to pressures on inflation in the medium term. As a result, for these members it was important that measures of domestic inflationary pressures fell back from their present levels of around 3% for the inflation target to be met. While it now seemed rather more likely that domestic demand growth would slow, it was less clear that this would be by more than assumed in the May </w:t>
      </w:r>
      <w:r>
        <w:rPr>
          <w:i/>
          <w:sz w:val="18"/>
        </w:rPr>
        <w:t>Inflation Report</w:t>
      </w:r>
      <w:r>
        <w:rPr>
          <w:sz w:val="18"/>
        </w:rPr>
        <w:t>, as it needed to be given the improved prospects for net trade. The August </w:t>
      </w:r>
      <w:r>
        <w:rPr>
          <w:i/>
          <w:sz w:val="18"/>
        </w:rPr>
        <w:t>Inflation Report </w:t>
      </w:r>
      <w:r>
        <w:rPr>
          <w:sz w:val="18"/>
        </w:rPr>
        <w:t>provided an opportunity to assess the extent of the slowdown in domestic demand (and the weakness of consumption and investment in relation to their underlying determinants) and weigh this against the effects of higher oil prices and lower sterling. While the position might have been more comfortable if rates had been raised a little higher earlier it was now best to wait until August for more news, and analysis, in the context of the </w:t>
      </w:r>
      <w:r>
        <w:rPr>
          <w:i/>
          <w:sz w:val="18"/>
        </w:rPr>
        <w:t>Inflation Report</w:t>
      </w:r>
      <w:r>
        <w:rPr>
          <w:sz w:val="18"/>
        </w:rPr>
        <w:t>. For these members too, the repo rate should stay at 6% this</w:t>
      </w:r>
      <w:r>
        <w:rPr>
          <w:spacing w:val="-23"/>
          <w:sz w:val="18"/>
        </w:rPr>
        <w:t> </w:t>
      </w:r>
      <w:r>
        <w:rPr>
          <w:sz w:val="18"/>
        </w:rPr>
        <w:t>month.</w:t>
      </w:r>
    </w:p>
    <w:p>
      <w:pPr>
        <w:pStyle w:val="BodyText"/>
        <w:rPr>
          <w:sz w:val="16"/>
        </w:rPr>
      </w:pPr>
    </w:p>
    <w:p>
      <w:pPr>
        <w:pStyle w:val="ListParagraph"/>
        <w:numPr>
          <w:ilvl w:val="0"/>
          <w:numId w:val="55"/>
        </w:numPr>
        <w:tabs>
          <w:tab w:pos="660" w:val="left" w:leader="none"/>
        </w:tabs>
        <w:spacing w:line="232" w:lineRule="auto" w:before="1" w:after="0"/>
        <w:ind w:left="179" w:right="345" w:firstLine="0"/>
        <w:jc w:val="both"/>
        <w:rPr>
          <w:sz w:val="18"/>
        </w:rPr>
      </w:pPr>
      <w:r>
        <w:rPr>
          <w:sz w:val="18"/>
        </w:rPr>
        <w:t>The Governor invited members to vote on the proposition that the Bank’s repo rate be maintained at 6.0%. The Committee voted unanimously in favour of the</w:t>
      </w:r>
      <w:r>
        <w:rPr>
          <w:spacing w:val="-12"/>
          <w:sz w:val="18"/>
        </w:rPr>
        <w:t> </w:t>
      </w:r>
      <w:r>
        <w:rPr>
          <w:sz w:val="18"/>
        </w:rPr>
        <w:t>proposition.</w:t>
      </w:r>
    </w:p>
    <w:p>
      <w:pPr>
        <w:pStyle w:val="BodyText"/>
        <w:spacing w:before="2"/>
        <w:rPr>
          <w:sz w:val="17"/>
        </w:rPr>
      </w:pPr>
    </w:p>
    <w:p>
      <w:pPr>
        <w:pStyle w:val="ListParagraph"/>
        <w:numPr>
          <w:ilvl w:val="0"/>
          <w:numId w:val="55"/>
        </w:numPr>
        <w:tabs>
          <w:tab w:pos="659" w:val="left" w:leader="none"/>
          <w:tab w:pos="660" w:val="left" w:leader="none"/>
        </w:tabs>
        <w:spacing w:line="232" w:lineRule="auto" w:before="0" w:after="0"/>
        <w:ind w:left="179" w:right="324" w:firstLine="0"/>
        <w:jc w:val="left"/>
        <w:rPr>
          <w:sz w:val="18"/>
        </w:rPr>
      </w:pPr>
      <w:r>
        <w:rPr>
          <w:sz w:val="18"/>
        </w:rPr>
        <w:t>The Committee congratulated the Governor on his being made a Knight Grand Cross of the British Empire in the Birthday Honours</w:t>
      </w:r>
      <w:r>
        <w:rPr>
          <w:spacing w:val="-2"/>
          <w:sz w:val="18"/>
        </w:rPr>
        <w:t> </w:t>
      </w:r>
      <w:r>
        <w:rPr>
          <w:sz w:val="18"/>
        </w:rPr>
        <w:t>List.</w:t>
      </w:r>
    </w:p>
    <w:p>
      <w:pPr>
        <w:pStyle w:val="BodyText"/>
        <w:spacing w:before="2"/>
        <w:rPr>
          <w:sz w:val="17"/>
        </w:rPr>
      </w:pPr>
    </w:p>
    <w:p>
      <w:pPr>
        <w:pStyle w:val="ListParagraph"/>
        <w:numPr>
          <w:ilvl w:val="0"/>
          <w:numId w:val="55"/>
        </w:numPr>
        <w:tabs>
          <w:tab w:pos="659" w:val="left" w:leader="none"/>
          <w:tab w:pos="660" w:val="left" w:leader="none"/>
        </w:tabs>
        <w:spacing w:line="232" w:lineRule="auto" w:before="0" w:after="0"/>
        <w:ind w:left="179" w:right="505" w:firstLine="0"/>
        <w:jc w:val="left"/>
        <w:rPr>
          <w:sz w:val="18"/>
        </w:rPr>
      </w:pPr>
      <w:r>
        <w:rPr>
          <w:sz w:val="18"/>
        </w:rPr>
        <w:t>The following members of the Committee were present: Eddie George,</w:t>
      </w:r>
      <w:r>
        <w:rPr>
          <w:spacing w:val="-3"/>
          <w:sz w:val="18"/>
        </w:rPr>
        <w:t> </w:t>
      </w:r>
      <w:r>
        <w:rPr>
          <w:sz w:val="18"/>
        </w:rPr>
        <w:t>Governor</w:t>
      </w:r>
    </w:p>
    <w:p>
      <w:pPr>
        <w:pStyle w:val="BodyText"/>
        <w:spacing w:line="232" w:lineRule="auto"/>
        <w:ind w:left="179" w:right="92"/>
      </w:pPr>
      <w:r>
        <w:rPr/>
        <w:t>Mervyn King, Deputy Governor responsible for monetary policy David Clementi, Deputy Governor responsible for financial stability Christopher Allsopp</w:t>
      </w:r>
    </w:p>
    <w:p>
      <w:pPr>
        <w:pStyle w:val="BodyText"/>
        <w:spacing w:line="232" w:lineRule="auto"/>
        <w:ind w:left="179" w:right="3736"/>
      </w:pPr>
      <w:r>
        <w:rPr/>
        <w:t>DeAnne Julius Stephen Nickell Ian Plenderleith John Vickers Sushil Wadhwani</w:t>
      </w:r>
    </w:p>
    <w:p>
      <w:pPr>
        <w:pStyle w:val="BodyText"/>
      </w:pPr>
    </w:p>
    <w:p>
      <w:pPr>
        <w:pStyle w:val="ListParagraph"/>
        <w:numPr>
          <w:ilvl w:val="0"/>
          <w:numId w:val="55"/>
        </w:numPr>
        <w:tabs>
          <w:tab w:pos="660" w:val="left" w:leader="none"/>
        </w:tabs>
        <w:spacing w:line="240" w:lineRule="auto" w:before="0" w:after="0"/>
        <w:ind w:left="659" w:right="0" w:hanging="481"/>
        <w:jc w:val="both"/>
        <w:rPr>
          <w:sz w:val="18"/>
        </w:rPr>
      </w:pPr>
      <w:r>
        <w:rPr>
          <w:sz w:val="18"/>
        </w:rPr>
        <w:t>Gus O’Donnell was present as the Treasury</w:t>
      </w:r>
      <w:r>
        <w:rPr>
          <w:spacing w:val="-27"/>
          <w:sz w:val="18"/>
        </w:rPr>
        <w:t> </w:t>
      </w:r>
      <w:r>
        <w:rPr>
          <w:sz w:val="18"/>
        </w:rPr>
        <w:t>representative.</w:t>
      </w:r>
    </w:p>
    <w:p>
      <w:pPr>
        <w:spacing w:after="0" w:line="240" w:lineRule="auto"/>
        <w:jc w:val="both"/>
        <w:rPr>
          <w:sz w:val="18"/>
        </w:rPr>
        <w:sectPr>
          <w:type w:val="continuous"/>
          <w:pgSz w:w="11900" w:h="16840"/>
          <w:pgMar w:top="1260" w:bottom="280" w:left="640" w:right="640"/>
          <w:cols w:num="2" w:equalWidth="0">
            <w:col w:w="5149" w:space="261"/>
            <w:col w:w="5210"/>
          </w:cols>
        </w:sectPr>
      </w:pPr>
    </w:p>
    <w:p>
      <w:pPr>
        <w:pStyle w:val="BodyText"/>
        <w:rPr>
          <w:sz w:val="20"/>
        </w:rPr>
      </w:pPr>
    </w:p>
    <w:p>
      <w:pPr>
        <w:pStyle w:val="BodyText"/>
        <w:rPr>
          <w:sz w:val="20"/>
        </w:rPr>
      </w:pPr>
    </w:p>
    <w:p>
      <w:pPr>
        <w:pStyle w:val="BodyText"/>
        <w:spacing w:before="1"/>
        <w:rPr>
          <w:sz w:val="16"/>
        </w:rPr>
      </w:pPr>
    </w:p>
    <w:p>
      <w:pPr>
        <w:spacing w:before="86"/>
        <w:ind w:left="185" w:right="0" w:firstLine="0"/>
        <w:jc w:val="left"/>
        <w:rPr>
          <w:b/>
          <w:sz w:val="32"/>
        </w:rPr>
      </w:pPr>
      <w:r>
        <w:rPr>
          <w:b/>
          <w:color w:val="009391"/>
          <w:sz w:val="32"/>
        </w:rPr>
        <w:t>Annex: Summary of data presented by Bank staff</w:t>
      </w:r>
    </w:p>
    <w:p>
      <w:pPr>
        <w:pStyle w:val="BodyText"/>
        <w:rPr>
          <w:b/>
          <w:sz w:val="20"/>
        </w:rPr>
      </w:pPr>
    </w:p>
    <w:p>
      <w:pPr>
        <w:pStyle w:val="BodyText"/>
        <w:spacing w:before="1"/>
        <w:rPr>
          <w:b/>
          <w:sz w:val="27"/>
        </w:rPr>
      </w:pPr>
    </w:p>
    <w:p>
      <w:pPr>
        <w:spacing w:after="0"/>
        <w:rPr>
          <w:sz w:val="27"/>
        </w:rPr>
        <w:sectPr>
          <w:pgSz w:w="11900" w:h="16840"/>
          <w:pgMar w:header="566" w:footer="597" w:top="760" w:bottom="780" w:left="640" w:right="640"/>
        </w:sectPr>
      </w:pPr>
    </w:p>
    <w:p>
      <w:pPr>
        <w:pStyle w:val="ListParagraph"/>
        <w:numPr>
          <w:ilvl w:val="0"/>
          <w:numId w:val="56"/>
        </w:numPr>
        <w:tabs>
          <w:tab w:pos="669" w:val="left" w:leader="none"/>
          <w:tab w:pos="670" w:val="left" w:leader="none"/>
        </w:tabs>
        <w:spacing w:line="232" w:lineRule="auto" w:before="106" w:after="0"/>
        <w:ind w:left="190" w:right="77" w:firstLine="0"/>
        <w:jc w:val="left"/>
        <w:rPr>
          <w:sz w:val="18"/>
        </w:rPr>
      </w:pPr>
      <w:r>
        <w:rPr>
          <w:sz w:val="18"/>
        </w:rPr>
        <w:t>This</w:t>
      </w:r>
      <w:r>
        <w:rPr>
          <w:spacing w:val="-6"/>
          <w:sz w:val="18"/>
        </w:rPr>
        <w:t> </w:t>
      </w:r>
      <w:r>
        <w:rPr>
          <w:sz w:val="18"/>
        </w:rPr>
        <w:t>Annex</w:t>
      </w:r>
      <w:r>
        <w:rPr>
          <w:spacing w:val="-6"/>
          <w:sz w:val="18"/>
        </w:rPr>
        <w:t> </w:t>
      </w:r>
      <w:r>
        <w:rPr>
          <w:sz w:val="18"/>
        </w:rPr>
        <w:t>summarises</w:t>
      </w:r>
      <w:r>
        <w:rPr>
          <w:spacing w:val="-5"/>
          <w:sz w:val="18"/>
        </w:rPr>
        <w:t> </w:t>
      </w:r>
      <w:r>
        <w:rPr>
          <w:sz w:val="18"/>
        </w:rPr>
        <w:t>the</w:t>
      </w:r>
      <w:r>
        <w:rPr>
          <w:spacing w:val="-6"/>
          <w:sz w:val="18"/>
        </w:rPr>
        <w:t> </w:t>
      </w:r>
      <w:r>
        <w:rPr>
          <w:sz w:val="18"/>
        </w:rPr>
        <w:t>analysis</w:t>
      </w:r>
      <w:r>
        <w:rPr>
          <w:spacing w:val="-5"/>
          <w:sz w:val="18"/>
        </w:rPr>
        <w:t> </w:t>
      </w:r>
      <w:r>
        <w:rPr>
          <w:sz w:val="18"/>
        </w:rPr>
        <w:t>presented</w:t>
      </w:r>
      <w:r>
        <w:rPr>
          <w:spacing w:val="-6"/>
          <w:sz w:val="18"/>
        </w:rPr>
        <w:t> </w:t>
      </w:r>
      <w:r>
        <w:rPr>
          <w:sz w:val="18"/>
        </w:rPr>
        <w:t>by</w:t>
      </w:r>
      <w:r>
        <w:rPr>
          <w:spacing w:val="-6"/>
          <w:sz w:val="18"/>
        </w:rPr>
        <w:t> </w:t>
      </w:r>
      <w:r>
        <w:rPr>
          <w:sz w:val="18"/>
        </w:rPr>
        <w:t>Bank</w:t>
      </w:r>
      <w:r>
        <w:rPr>
          <w:spacing w:val="-5"/>
          <w:sz w:val="18"/>
        </w:rPr>
        <w:t> </w:t>
      </w:r>
      <w:r>
        <w:rPr>
          <w:sz w:val="18"/>
        </w:rPr>
        <w:t>staff to the Monetary Policy Committee on 30 June in advance of its meeting on 5–6 July 2000. At the start of the Committee meeting itself, members were made aware of information that had subsequently become available, and that information is included in this</w:t>
      </w:r>
      <w:r>
        <w:rPr>
          <w:spacing w:val="-2"/>
          <w:sz w:val="18"/>
        </w:rPr>
        <w:t> </w:t>
      </w:r>
      <w:r>
        <w:rPr>
          <w:sz w:val="18"/>
        </w:rPr>
        <w:t>Annex.</w:t>
      </w:r>
    </w:p>
    <w:p>
      <w:pPr>
        <w:pStyle w:val="BodyText"/>
        <w:spacing w:before="3"/>
        <w:rPr>
          <w:sz w:val="20"/>
        </w:rPr>
      </w:pPr>
    </w:p>
    <w:p>
      <w:pPr>
        <w:pStyle w:val="Heading4"/>
        <w:numPr>
          <w:ilvl w:val="0"/>
          <w:numId w:val="57"/>
        </w:numPr>
        <w:tabs>
          <w:tab w:pos="669" w:val="left" w:leader="none"/>
          <w:tab w:pos="671" w:val="left" w:leader="none"/>
        </w:tabs>
        <w:spacing w:line="240" w:lineRule="auto" w:before="0" w:after="0"/>
        <w:ind w:left="670" w:right="0" w:hanging="481"/>
        <w:jc w:val="left"/>
      </w:pPr>
      <w:r>
        <w:rPr>
          <w:color w:val="009391"/>
        </w:rPr>
        <w:t>The international</w:t>
      </w:r>
      <w:r>
        <w:rPr>
          <w:color w:val="009391"/>
          <w:spacing w:val="-40"/>
        </w:rPr>
        <w:t> </w:t>
      </w:r>
      <w:r>
        <w:rPr>
          <w:color w:val="009391"/>
        </w:rPr>
        <w:t>environment</w:t>
      </w:r>
    </w:p>
    <w:p>
      <w:pPr>
        <w:pStyle w:val="ListParagraph"/>
        <w:numPr>
          <w:ilvl w:val="0"/>
          <w:numId w:val="56"/>
        </w:numPr>
        <w:tabs>
          <w:tab w:pos="669" w:val="left" w:leader="none"/>
          <w:tab w:pos="670" w:val="left" w:leader="none"/>
        </w:tabs>
        <w:spacing w:line="232" w:lineRule="auto" w:before="69" w:after="0"/>
        <w:ind w:left="190" w:right="62" w:firstLine="0"/>
        <w:jc w:val="left"/>
        <w:rPr>
          <w:sz w:val="18"/>
        </w:rPr>
      </w:pPr>
      <w:r>
        <w:rPr>
          <w:sz w:val="18"/>
        </w:rPr>
        <w:t>Evidence of a slowdown in US domestic demand growth remained inconclusive. Industrial production in May had risen by 0.4% on the previous month, and by 5.8% on a year earlier. But industrial confidence, as measured by the National Association of Purchasing Managers’ index, had fallen to 51.8 in June from 53.2 in May. New house building permits had fallen by 9% in the year to May, and the Federal Reserve Senior Loan Officer Survey had indicated a tightening in lending standards. Consumer confidence had fallen, from 144.7 in May to 138.8 in June, but had remained at a historically high level. Real consumption had risen by 0.2% in the month to May, but nominal retail sales had fallen by 0.3%—the second consecutive monthly fall. GDP growth had slowed in Q2 in each of the two previous years. Some commentators had suggested that this might reflect an emerging seasonal effect from higher income tax payments. But an expenditure breakdown gave little support to this hypothesis. Private non-farm payrolls had fallen by 126,000 in May, but total payrolls had risen by 231,000, partly reflecting extra employment by the national census authorities. Annual consumer price inflation had been 3.1% in</w:t>
      </w:r>
      <w:r>
        <w:rPr>
          <w:spacing w:val="-19"/>
          <w:sz w:val="18"/>
        </w:rPr>
        <w:t> </w:t>
      </w:r>
      <w:r>
        <w:rPr>
          <w:sz w:val="18"/>
        </w:rPr>
        <w:t>May.</w:t>
      </w:r>
    </w:p>
    <w:p>
      <w:pPr>
        <w:pStyle w:val="ListParagraph"/>
        <w:numPr>
          <w:ilvl w:val="0"/>
          <w:numId w:val="56"/>
        </w:numPr>
        <w:tabs>
          <w:tab w:pos="669" w:val="left" w:leader="none"/>
          <w:tab w:pos="670" w:val="left" w:leader="none"/>
        </w:tabs>
        <w:spacing w:line="232" w:lineRule="auto" w:before="165" w:after="0"/>
        <w:ind w:left="190" w:right="77" w:firstLine="0"/>
        <w:jc w:val="left"/>
        <w:rPr>
          <w:sz w:val="18"/>
        </w:rPr>
      </w:pPr>
      <w:r>
        <w:rPr>
          <w:sz w:val="18"/>
        </w:rPr>
        <w:t>Euro-area GDP had increased by 0.7% in Q1, according to the first estimate. Consumption had been flat on the quarter, somewhat weaker than confidence surveys and the improving labour market might have suggested. Consumer confidence had fallen by two percentage points in June, though it remained high by historical standards, and industrial confidence had risen by four percentage points. Industrial production had risen by 0.7% in April. The unemployment rate had remained unchanged in May. Import and export trade volumes in the euro area had continued to increase strongly in Q1. HICP inflation had remained at 1.9% in May, and core inflation had not increased. Hourly nominal labour costs in Q1 had been 3.5% higher than a year</w:t>
      </w:r>
      <w:r>
        <w:rPr>
          <w:spacing w:val="-20"/>
          <w:sz w:val="18"/>
        </w:rPr>
        <w:t> </w:t>
      </w:r>
      <w:r>
        <w:rPr>
          <w:sz w:val="18"/>
        </w:rPr>
        <w:t>earlier.</w:t>
      </w:r>
    </w:p>
    <w:p>
      <w:pPr>
        <w:pStyle w:val="BodyText"/>
        <w:spacing w:before="7"/>
        <w:rPr>
          <w:sz w:val="16"/>
        </w:rPr>
      </w:pPr>
    </w:p>
    <w:p>
      <w:pPr>
        <w:pStyle w:val="ListParagraph"/>
        <w:numPr>
          <w:ilvl w:val="0"/>
          <w:numId w:val="56"/>
        </w:numPr>
        <w:tabs>
          <w:tab w:pos="669" w:val="left" w:leader="none"/>
          <w:tab w:pos="670" w:val="left" w:leader="none"/>
        </w:tabs>
        <w:spacing w:line="232" w:lineRule="auto" w:before="0" w:after="0"/>
        <w:ind w:left="190" w:right="38" w:firstLine="0"/>
        <w:jc w:val="left"/>
        <w:rPr>
          <w:sz w:val="18"/>
        </w:rPr>
      </w:pPr>
      <w:r>
        <w:rPr>
          <w:sz w:val="18"/>
        </w:rPr>
        <w:t>Japanese GDP had increased by 2.4% in Q1, driven by net trade and private investment, after two consecutive quarters of negative growth. Corporate profits—a leading indicator of future investment—had risen by 38% on a year earlier. Retail sales had declined by 2.4% in the year to May, while employees’ wages had risen by 0.5% in the same period. Consumer prices had declined by 0.7% in the year to May.  The Tankan survey results had been better than expected, confirming that the corporate sector was healthy. Business conditions had continued to improve, though concerns had remained for some sectors, particularly</w:t>
      </w:r>
      <w:r>
        <w:rPr>
          <w:spacing w:val="-21"/>
          <w:sz w:val="18"/>
        </w:rPr>
        <w:t> </w:t>
      </w:r>
      <w:r>
        <w:rPr>
          <w:sz w:val="18"/>
        </w:rPr>
        <w:t>small</w:t>
      </w:r>
    </w:p>
    <w:p>
      <w:pPr>
        <w:pStyle w:val="BodyText"/>
        <w:spacing w:line="194" w:lineRule="exact"/>
        <w:ind w:left="190"/>
      </w:pPr>
      <w:r>
        <w:rPr/>
        <w:t>non-manufacturing firms.</w:t>
      </w:r>
    </w:p>
    <w:p>
      <w:pPr>
        <w:pStyle w:val="BodyText"/>
        <w:spacing w:before="2"/>
        <w:rPr>
          <w:sz w:val="17"/>
        </w:rPr>
      </w:pPr>
    </w:p>
    <w:p>
      <w:pPr>
        <w:pStyle w:val="ListParagraph"/>
        <w:numPr>
          <w:ilvl w:val="0"/>
          <w:numId w:val="56"/>
        </w:numPr>
        <w:tabs>
          <w:tab w:pos="669" w:val="left" w:leader="none"/>
          <w:tab w:pos="670" w:val="left" w:leader="none"/>
        </w:tabs>
        <w:spacing w:line="232" w:lineRule="auto" w:before="1" w:after="0"/>
        <w:ind w:left="190" w:right="98" w:firstLine="0"/>
        <w:jc w:val="left"/>
        <w:rPr>
          <w:sz w:val="18"/>
        </w:rPr>
      </w:pPr>
      <w:r>
        <w:rPr>
          <w:sz w:val="18"/>
        </w:rPr>
        <w:t>One-month and six-month Brent oil price futures had increased</w:t>
      </w:r>
      <w:r>
        <w:rPr>
          <w:spacing w:val="-5"/>
          <w:sz w:val="18"/>
        </w:rPr>
        <w:t> </w:t>
      </w:r>
      <w:r>
        <w:rPr>
          <w:sz w:val="18"/>
        </w:rPr>
        <w:t>in</w:t>
      </w:r>
      <w:r>
        <w:rPr>
          <w:spacing w:val="-4"/>
          <w:sz w:val="18"/>
        </w:rPr>
        <w:t> </w:t>
      </w:r>
      <w:r>
        <w:rPr>
          <w:sz w:val="18"/>
        </w:rPr>
        <w:t>June</w:t>
      </w:r>
      <w:r>
        <w:rPr>
          <w:spacing w:val="-4"/>
          <w:sz w:val="18"/>
        </w:rPr>
        <w:t> </w:t>
      </w:r>
      <w:r>
        <w:rPr>
          <w:sz w:val="18"/>
        </w:rPr>
        <w:t>to</w:t>
      </w:r>
      <w:r>
        <w:rPr>
          <w:spacing w:val="-4"/>
          <w:sz w:val="18"/>
        </w:rPr>
        <w:t> </w:t>
      </w:r>
      <w:r>
        <w:rPr>
          <w:sz w:val="18"/>
        </w:rPr>
        <w:t>an</w:t>
      </w:r>
      <w:r>
        <w:rPr>
          <w:spacing w:val="-5"/>
          <w:sz w:val="18"/>
        </w:rPr>
        <w:t> </w:t>
      </w:r>
      <w:r>
        <w:rPr>
          <w:sz w:val="18"/>
        </w:rPr>
        <w:t>average</w:t>
      </w:r>
      <w:r>
        <w:rPr>
          <w:spacing w:val="-4"/>
          <w:sz w:val="18"/>
        </w:rPr>
        <w:t> </w:t>
      </w:r>
      <w:r>
        <w:rPr>
          <w:sz w:val="18"/>
        </w:rPr>
        <w:t>of</w:t>
      </w:r>
      <w:r>
        <w:rPr>
          <w:spacing w:val="-4"/>
          <w:sz w:val="18"/>
        </w:rPr>
        <w:t> </w:t>
      </w:r>
      <w:r>
        <w:rPr>
          <w:sz w:val="18"/>
        </w:rPr>
        <w:t>$29.55</w:t>
      </w:r>
      <w:r>
        <w:rPr>
          <w:spacing w:val="-3"/>
          <w:sz w:val="18"/>
        </w:rPr>
        <w:t> </w:t>
      </w:r>
      <w:r>
        <w:rPr>
          <w:sz w:val="18"/>
        </w:rPr>
        <w:t>per</w:t>
      </w:r>
      <w:r>
        <w:rPr>
          <w:spacing w:val="-5"/>
          <w:sz w:val="18"/>
        </w:rPr>
        <w:t> </w:t>
      </w:r>
      <w:r>
        <w:rPr>
          <w:sz w:val="18"/>
        </w:rPr>
        <w:t>barrel</w:t>
      </w:r>
      <w:r>
        <w:rPr>
          <w:spacing w:val="-4"/>
          <w:sz w:val="18"/>
        </w:rPr>
        <w:t> </w:t>
      </w:r>
      <w:r>
        <w:rPr>
          <w:sz w:val="18"/>
        </w:rPr>
        <w:t>and</w:t>
      </w:r>
      <w:r>
        <w:rPr>
          <w:spacing w:val="-4"/>
          <w:sz w:val="18"/>
        </w:rPr>
        <w:t> </w:t>
      </w:r>
      <w:r>
        <w:rPr>
          <w:sz w:val="18"/>
        </w:rPr>
        <w:t>$26.33</w:t>
      </w:r>
      <w:r>
        <w:rPr>
          <w:spacing w:val="-4"/>
          <w:sz w:val="18"/>
        </w:rPr>
        <w:t> </w:t>
      </w:r>
      <w:r>
        <w:rPr>
          <w:sz w:val="18"/>
        </w:rPr>
        <w:t>per barrel respectively, from $27.41 per barrel and $25.12 per barrel in May. Stocks of oil and petroleum were lower than</w:t>
      </w:r>
      <w:r>
        <w:rPr>
          <w:spacing w:val="-26"/>
          <w:sz w:val="18"/>
        </w:rPr>
        <w:t> </w:t>
      </w:r>
      <w:r>
        <w:rPr>
          <w:sz w:val="18"/>
        </w:rPr>
        <w:t>average.</w:t>
      </w:r>
    </w:p>
    <w:p>
      <w:pPr>
        <w:pStyle w:val="ListParagraph"/>
        <w:numPr>
          <w:ilvl w:val="0"/>
          <w:numId w:val="56"/>
        </w:numPr>
        <w:tabs>
          <w:tab w:pos="669" w:val="left" w:leader="none"/>
          <w:tab w:pos="670" w:val="left" w:leader="none"/>
        </w:tabs>
        <w:spacing w:line="232" w:lineRule="auto" w:before="177" w:after="0"/>
        <w:ind w:left="190" w:right="148" w:firstLine="0"/>
        <w:jc w:val="left"/>
        <w:rPr>
          <w:sz w:val="18"/>
        </w:rPr>
      </w:pPr>
      <w:r>
        <w:rPr>
          <w:sz w:val="18"/>
        </w:rPr>
        <w:t>Since the previous MPC meeting the S&amp;P 500 index had fallen by 0.6%, and the DJ Euro Stoxx index had fallen by 2.5%. By contrast, the Nikkei 225 had increased by 1.5% and the NASDAQ Composite had risen by 1.7%. Policy interest rates implied</w:t>
      </w:r>
      <w:r>
        <w:rPr>
          <w:spacing w:val="-6"/>
          <w:sz w:val="18"/>
        </w:rPr>
        <w:t> </w:t>
      </w:r>
      <w:r>
        <w:rPr>
          <w:sz w:val="18"/>
        </w:rPr>
        <w:t>by</w:t>
      </w:r>
      <w:r>
        <w:rPr>
          <w:spacing w:val="-5"/>
          <w:sz w:val="18"/>
        </w:rPr>
        <w:t> </w:t>
      </w:r>
      <w:r>
        <w:rPr>
          <w:sz w:val="18"/>
        </w:rPr>
        <w:t>futures</w:t>
      </w:r>
      <w:r>
        <w:rPr>
          <w:spacing w:val="-5"/>
          <w:sz w:val="18"/>
        </w:rPr>
        <w:t> </w:t>
      </w:r>
      <w:r>
        <w:rPr>
          <w:sz w:val="18"/>
        </w:rPr>
        <w:t>contracts</w:t>
      </w:r>
      <w:r>
        <w:rPr>
          <w:spacing w:val="-5"/>
          <w:sz w:val="18"/>
        </w:rPr>
        <w:t> </w:t>
      </w:r>
      <w:r>
        <w:rPr>
          <w:sz w:val="18"/>
        </w:rPr>
        <w:t>in</w:t>
      </w:r>
      <w:r>
        <w:rPr>
          <w:spacing w:val="-5"/>
          <w:sz w:val="18"/>
        </w:rPr>
        <w:t> </w:t>
      </w:r>
      <w:r>
        <w:rPr>
          <w:sz w:val="18"/>
        </w:rPr>
        <w:t>the</w:t>
      </w:r>
      <w:r>
        <w:rPr>
          <w:spacing w:val="-5"/>
          <w:sz w:val="18"/>
        </w:rPr>
        <w:t> </w:t>
      </w:r>
      <w:r>
        <w:rPr>
          <w:sz w:val="18"/>
        </w:rPr>
        <w:t>United</w:t>
      </w:r>
      <w:r>
        <w:rPr>
          <w:spacing w:val="-6"/>
          <w:sz w:val="18"/>
        </w:rPr>
        <w:t> </w:t>
      </w:r>
      <w:r>
        <w:rPr>
          <w:sz w:val="18"/>
        </w:rPr>
        <w:t>States</w:t>
      </w:r>
      <w:r>
        <w:rPr>
          <w:spacing w:val="-5"/>
          <w:sz w:val="18"/>
        </w:rPr>
        <w:t> </w:t>
      </w:r>
      <w:r>
        <w:rPr>
          <w:sz w:val="18"/>
        </w:rPr>
        <w:t>had</w:t>
      </w:r>
      <w:r>
        <w:rPr>
          <w:spacing w:val="-5"/>
          <w:sz w:val="18"/>
        </w:rPr>
        <w:t> </w:t>
      </w:r>
      <w:r>
        <w:rPr>
          <w:sz w:val="18"/>
        </w:rPr>
        <w:t>decreased</w:t>
      </w:r>
      <w:r>
        <w:rPr>
          <w:spacing w:val="-5"/>
          <w:sz w:val="18"/>
        </w:rPr>
        <w:t> </w:t>
      </w:r>
      <w:r>
        <w:rPr>
          <w:sz w:val="18"/>
        </w:rPr>
        <w:t>for July and August, but had risen for the period after October. Implied policy rates in the euro area had</w:t>
      </w:r>
      <w:r>
        <w:rPr>
          <w:spacing w:val="-15"/>
          <w:sz w:val="18"/>
        </w:rPr>
        <w:t> </w:t>
      </w:r>
      <w:r>
        <w:rPr>
          <w:sz w:val="18"/>
        </w:rPr>
        <w:t>fallen.</w:t>
      </w:r>
    </w:p>
    <w:p>
      <w:pPr>
        <w:pStyle w:val="Heading4"/>
        <w:numPr>
          <w:ilvl w:val="0"/>
          <w:numId w:val="57"/>
        </w:numPr>
        <w:tabs>
          <w:tab w:pos="669" w:val="left" w:leader="none"/>
          <w:tab w:pos="671" w:val="left" w:leader="none"/>
        </w:tabs>
        <w:spacing w:line="240" w:lineRule="auto" w:before="91" w:after="0"/>
        <w:ind w:left="670" w:right="0" w:hanging="481"/>
        <w:jc w:val="left"/>
      </w:pPr>
      <w:r>
        <w:rPr>
          <w:color w:val="009391"/>
          <w:spacing w:val="-1"/>
        </w:rPr>
        <w:br w:type="column"/>
      </w:r>
      <w:r>
        <w:rPr>
          <w:color w:val="009391"/>
        </w:rPr>
        <w:t>Monetary and financial</w:t>
      </w:r>
      <w:r>
        <w:rPr>
          <w:color w:val="009391"/>
          <w:spacing w:val="-7"/>
        </w:rPr>
        <w:t> </w:t>
      </w:r>
      <w:r>
        <w:rPr>
          <w:color w:val="009391"/>
        </w:rPr>
        <w:t>conditions</w:t>
      </w:r>
    </w:p>
    <w:p>
      <w:pPr>
        <w:pStyle w:val="ListParagraph"/>
        <w:numPr>
          <w:ilvl w:val="0"/>
          <w:numId w:val="56"/>
        </w:numPr>
        <w:tabs>
          <w:tab w:pos="669" w:val="left" w:leader="none"/>
          <w:tab w:pos="670" w:val="left" w:leader="none"/>
        </w:tabs>
        <w:spacing w:line="232" w:lineRule="auto" w:before="110" w:after="0"/>
        <w:ind w:left="190" w:right="330" w:firstLine="0"/>
        <w:jc w:val="left"/>
        <w:rPr>
          <w:sz w:val="18"/>
        </w:rPr>
      </w:pPr>
      <w:r>
        <w:rPr>
          <w:sz w:val="18"/>
        </w:rPr>
        <w:t>The</w:t>
      </w:r>
      <w:r>
        <w:rPr>
          <w:spacing w:val="-5"/>
          <w:sz w:val="18"/>
        </w:rPr>
        <w:t> </w:t>
      </w:r>
      <w:r>
        <w:rPr>
          <w:sz w:val="18"/>
        </w:rPr>
        <w:t>twelve-month</w:t>
      </w:r>
      <w:r>
        <w:rPr>
          <w:spacing w:val="-5"/>
          <w:sz w:val="18"/>
        </w:rPr>
        <w:t> </w:t>
      </w:r>
      <w:r>
        <w:rPr>
          <w:sz w:val="18"/>
        </w:rPr>
        <w:t>growth</w:t>
      </w:r>
      <w:r>
        <w:rPr>
          <w:spacing w:val="-5"/>
          <w:sz w:val="18"/>
        </w:rPr>
        <w:t> </w:t>
      </w:r>
      <w:r>
        <w:rPr>
          <w:sz w:val="18"/>
        </w:rPr>
        <w:t>rate</w:t>
      </w:r>
      <w:r>
        <w:rPr>
          <w:spacing w:val="-5"/>
          <w:sz w:val="18"/>
        </w:rPr>
        <w:t> </w:t>
      </w:r>
      <w:r>
        <w:rPr>
          <w:sz w:val="18"/>
        </w:rPr>
        <w:t>of</w:t>
      </w:r>
      <w:r>
        <w:rPr>
          <w:spacing w:val="-5"/>
          <w:sz w:val="18"/>
        </w:rPr>
        <w:t> </w:t>
      </w:r>
      <w:r>
        <w:rPr>
          <w:sz w:val="18"/>
        </w:rPr>
        <w:t>notes</w:t>
      </w:r>
      <w:r>
        <w:rPr>
          <w:spacing w:val="-5"/>
          <w:sz w:val="18"/>
        </w:rPr>
        <w:t> </w:t>
      </w:r>
      <w:r>
        <w:rPr>
          <w:sz w:val="18"/>
        </w:rPr>
        <w:t>and</w:t>
      </w:r>
      <w:r>
        <w:rPr>
          <w:spacing w:val="-4"/>
          <w:sz w:val="18"/>
        </w:rPr>
        <w:t> </w:t>
      </w:r>
      <w:r>
        <w:rPr>
          <w:sz w:val="18"/>
        </w:rPr>
        <w:t>coin</w:t>
      </w:r>
      <w:r>
        <w:rPr>
          <w:spacing w:val="-5"/>
          <w:sz w:val="18"/>
        </w:rPr>
        <w:t> </w:t>
      </w:r>
      <w:r>
        <w:rPr>
          <w:sz w:val="18"/>
        </w:rPr>
        <w:t>had</w:t>
      </w:r>
      <w:r>
        <w:rPr>
          <w:spacing w:val="-5"/>
          <w:sz w:val="18"/>
        </w:rPr>
        <w:t> </w:t>
      </w:r>
      <w:r>
        <w:rPr>
          <w:sz w:val="18"/>
        </w:rPr>
        <w:t>fallen from 7.9% in May to 7.5% in June. The three-month annualised rate had been lower still, at</w:t>
      </w:r>
      <w:r>
        <w:rPr>
          <w:spacing w:val="-9"/>
          <w:sz w:val="18"/>
        </w:rPr>
        <w:t> </w:t>
      </w:r>
      <w:r>
        <w:rPr>
          <w:sz w:val="18"/>
        </w:rPr>
        <w:t>6.9%.</w:t>
      </w:r>
    </w:p>
    <w:p>
      <w:pPr>
        <w:pStyle w:val="BodyText"/>
        <w:spacing w:before="2"/>
        <w:rPr>
          <w:sz w:val="17"/>
        </w:rPr>
      </w:pPr>
    </w:p>
    <w:p>
      <w:pPr>
        <w:pStyle w:val="ListParagraph"/>
        <w:numPr>
          <w:ilvl w:val="0"/>
          <w:numId w:val="56"/>
        </w:numPr>
        <w:tabs>
          <w:tab w:pos="669" w:val="left" w:leader="none"/>
          <w:tab w:pos="670" w:val="left" w:leader="none"/>
        </w:tabs>
        <w:spacing w:line="232" w:lineRule="auto" w:before="0" w:after="0"/>
        <w:ind w:left="190" w:right="155" w:firstLine="0"/>
        <w:jc w:val="left"/>
        <w:rPr>
          <w:sz w:val="18"/>
        </w:rPr>
      </w:pPr>
      <w:r>
        <w:rPr>
          <w:sz w:val="18"/>
        </w:rPr>
        <w:t>M4 had increased by £5.4 billion (0.7%) in May, raising the twelve-month growth rate to 5.0%. But the pick-up in growth had been mostly driven by other financial corporations (OFCs). Annual growth in M4 excluding OFCs had softened in</w:t>
      </w:r>
      <w:r>
        <w:rPr>
          <w:spacing w:val="-16"/>
          <w:sz w:val="18"/>
        </w:rPr>
        <w:t> </w:t>
      </w:r>
      <w:r>
        <w:rPr>
          <w:sz w:val="18"/>
        </w:rPr>
        <w:t>May.</w:t>
      </w:r>
    </w:p>
    <w:p>
      <w:pPr>
        <w:pStyle w:val="BodyText"/>
        <w:spacing w:before="1"/>
        <w:rPr>
          <w:sz w:val="17"/>
        </w:rPr>
      </w:pPr>
    </w:p>
    <w:p>
      <w:pPr>
        <w:pStyle w:val="ListParagraph"/>
        <w:numPr>
          <w:ilvl w:val="0"/>
          <w:numId w:val="56"/>
        </w:numPr>
        <w:tabs>
          <w:tab w:pos="669" w:val="left" w:leader="none"/>
          <w:tab w:pos="670" w:val="left" w:leader="none"/>
        </w:tabs>
        <w:spacing w:line="232" w:lineRule="auto" w:before="0" w:after="0"/>
        <w:ind w:left="190" w:right="195" w:firstLine="0"/>
        <w:jc w:val="left"/>
        <w:rPr>
          <w:sz w:val="18"/>
        </w:rPr>
      </w:pPr>
      <w:r>
        <w:rPr>
          <w:sz w:val="18"/>
        </w:rPr>
        <w:t>By</w:t>
      </w:r>
      <w:r>
        <w:rPr>
          <w:spacing w:val="-7"/>
          <w:sz w:val="18"/>
        </w:rPr>
        <w:t> </w:t>
      </w:r>
      <w:r>
        <w:rPr>
          <w:sz w:val="18"/>
        </w:rPr>
        <w:t>comparison,</w:t>
      </w:r>
      <w:r>
        <w:rPr>
          <w:spacing w:val="-6"/>
          <w:sz w:val="18"/>
        </w:rPr>
        <w:t> </w:t>
      </w:r>
      <w:r>
        <w:rPr>
          <w:sz w:val="18"/>
        </w:rPr>
        <w:t>aggregate</w:t>
      </w:r>
      <w:r>
        <w:rPr>
          <w:spacing w:val="-7"/>
          <w:sz w:val="18"/>
        </w:rPr>
        <w:t> </w:t>
      </w:r>
      <w:r>
        <w:rPr>
          <w:sz w:val="18"/>
        </w:rPr>
        <w:t>M4</w:t>
      </w:r>
      <w:r>
        <w:rPr>
          <w:spacing w:val="-6"/>
          <w:sz w:val="18"/>
        </w:rPr>
        <w:t> </w:t>
      </w:r>
      <w:r>
        <w:rPr>
          <w:sz w:val="18"/>
        </w:rPr>
        <w:t>lending</w:t>
      </w:r>
      <w:r>
        <w:rPr>
          <w:spacing w:val="-6"/>
          <w:sz w:val="18"/>
        </w:rPr>
        <w:t> </w:t>
      </w:r>
      <w:r>
        <w:rPr>
          <w:sz w:val="18"/>
        </w:rPr>
        <w:t>(excluding</w:t>
      </w:r>
      <w:r>
        <w:rPr>
          <w:spacing w:val="-7"/>
          <w:sz w:val="18"/>
        </w:rPr>
        <w:t> </w:t>
      </w:r>
      <w:r>
        <w:rPr>
          <w:sz w:val="18"/>
        </w:rPr>
        <w:t>the</w:t>
      </w:r>
      <w:r>
        <w:rPr>
          <w:spacing w:val="-6"/>
          <w:sz w:val="18"/>
        </w:rPr>
        <w:t> </w:t>
      </w:r>
      <w:r>
        <w:rPr>
          <w:sz w:val="18"/>
        </w:rPr>
        <w:t>effects of securitisations) had been very strong in May, increasing</w:t>
      </w:r>
      <w:r>
        <w:rPr>
          <w:spacing w:val="-30"/>
          <w:sz w:val="18"/>
        </w:rPr>
        <w:t> </w:t>
      </w:r>
      <w:r>
        <w:rPr>
          <w:sz w:val="18"/>
        </w:rPr>
        <w:t>by</w:t>
      </w:r>
    </w:p>
    <w:p>
      <w:pPr>
        <w:pStyle w:val="BodyText"/>
        <w:spacing w:line="232" w:lineRule="auto"/>
        <w:ind w:left="190" w:right="120"/>
      </w:pPr>
      <w:r>
        <w:rPr/>
        <w:t>£15.4 billion (1.5%) on the month, and raising the twelve-month growth rate to 12.1%, its highest since February 1991. The rise had partly reflected strong borrowing by OFCs. But borrowing by private non-financial corporations (PNFCs) had also risen further, and household borrowing had rebounded.</w:t>
      </w:r>
    </w:p>
    <w:p>
      <w:pPr>
        <w:pStyle w:val="BodyText"/>
        <w:spacing w:before="11"/>
        <w:rPr>
          <w:sz w:val="16"/>
        </w:rPr>
      </w:pPr>
    </w:p>
    <w:p>
      <w:pPr>
        <w:pStyle w:val="ListParagraph"/>
        <w:numPr>
          <w:ilvl w:val="0"/>
          <w:numId w:val="56"/>
        </w:numPr>
        <w:tabs>
          <w:tab w:pos="669" w:val="left" w:leader="none"/>
          <w:tab w:pos="670" w:val="left" w:leader="none"/>
        </w:tabs>
        <w:spacing w:line="232" w:lineRule="auto" w:before="0" w:after="0"/>
        <w:ind w:left="190" w:right="270" w:firstLine="0"/>
        <w:jc w:val="left"/>
        <w:rPr>
          <w:sz w:val="18"/>
        </w:rPr>
      </w:pPr>
      <w:r>
        <w:rPr>
          <w:sz w:val="18"/>
        </w:rPr>
        <w:t>Household M4 had been weak in May. Although recent outturns had been erratic, there were now fairly clear signs of slower growth since the start of the year in a range of household money</w:t>
      </w:r>
      <w:r>
        <w:rPr>
          <w:spacing w:val="-7"/>
          <w:sz w:val="18"/>
        </w:rPr>
        <w:t> </w:t>
      </w:r>
      <w:r>
        <w:rPr>
          <w:sz w:val="18"/>
        </w:rPr>
        <w:t>measures,</w:t>
      </w:r>
      <w:r>
        <w:rPr>
          <w:spacing w:val="-6"/>
          <w:sz w:val="18"/>
        </w:rPr>
        <w:t> </w:t>
      </w:r>
      <w:r>
        <w:rPr>
          <w:sz w:val="18"/>
        </w:rPr>
        <w:t>including</w:t>
      </w:r>
      <w:r>
        <w:rPr>
          <w:spacing w:val="-6"/>
          <w:sz w:val="18"/>
        </w:rPr>
        <w:t> </w:t>
      </w:r>
      <w:r>
        <w:rPr>
          <w:sz w:val="18"/>
        </w:rPr>
        <w:t>notes</w:t>
      </w:r>
      <w:r>
        <w:rPr>
          <w:spacing w:val="-6"/>
          <w:sz w:val="18"/>
        </w:rPr>
        <w:t> </w:t>
      </w:r>
      <w:r>
        <w:rPr>
          <w:sz w:val="18"/>
        </w:rPr>
        <w:t>and</w:t>
      </w:r>
      <w:r>
        <w:rPr>
          <w:spacing w:val="-6"/>
          <w:sz w:val="18"/>
        </w:rPr>
        <w:t> </w:t>
      </w:r>
      <w:r>
        <w:rPr>
          <w:sz w:val="18"/>
        </w:rPr>
        <w:t>coin,</w:t>
      </w:r>
      <w:r>
        <w:rPr>
          <w:spacing w:val="-6"/>
          <w:sz w:val="18"/>
        </w:rPr>
        <w:t> </w:t>
      </w:r>
      <w:r>
        <w:rPr>
          <w:sz w:val="18"/>
        </w:rPr>
        <w:t>retail</w:t>
      </w:r>
      <w:r>
        <w:rPr>
          <w:spacing w:val="-7"/>
          <w:sz w:val="18"/>
        </w:rPr>
        <w:t> </w:t>
      </w:r>
      <w:r>
        <w:rPr>
          <w:sz w:val="18"/>
        </w:rPr>
        <w:t>M4,</w:t>
      </w:r>
      <w:r>
        <w:rPr>
          <w:spacing w:val="-6"/>
          <w:sz w:val="18"/>
        </w:rPr>
        <w:t> </w:t>
      </w:r>
      <w:r>
        <w:rPr>
          <w:sz w:val="18"/>
        </w:rPr>
        <w:t>households’ M4 and households’</w:t>
      </w:r>
      <w:r>
        <w:rPr>
          <w:spacing w:val="-4"/>
          <w:sz w:val="18"/>
        </w:rPr>
        <w:t> </w:t>
      </w:r>
      <w:r>
        <w:rPr>
          <w:sz w:val="18"/>
        </w:rPr>
        <w:t>Divisia.</w:t>
      </w:r>
    </w:p>
    <w:p>
      <w:pPr>
        <w:pStyle w:val="BodyText"/>
        <w:rPr>
          <w:sz w:val="17"/>
        </w:rPr>
      </w:pPr>
    </w:p>
    <w:p>
      <w:pPr>
        <w:pStyle w:val="ListParagraph"/>
        <w:numPr>
          <w:ilvl w:val="0"/>
          <w:numId w:val="56"/>
        </w:numPr>
        <w:tabs>
          <w:tab w:pos="669" w:val="left" w:leader="none"/>
          <w:tab w:pos="670" w:val="left" w:leader="none"/>
        </w:tabs>
        <w:spacing w:line="232" w:lineRule="auto" w:before="1" w:after="0"/>
        <w:ind w:left="190" w:right="190" w:firstLine="0"/>
        <w:jc w:val="left"/>
        <w:rPr>
          <w:sz w:val="18"/>
        </w:rPr>
      </w:pPr>
      <w:r>
        <w:rPr>
          <w:sz w:val="18"/>
        </w:rPr>
        <w:t>M4 lending to households (excluding securitisations) had bounced back in May, though the annual growth rate had remained broadly stable at around 10%. Both secured lending and mortgage loan approvals had rebounded after a weaker April, perhaps reflecting the relatively low number of working days in April. Total unsecured lending had also been relatively strong in May, driven by a sharp rise in net credit card borrowing. But credit card borrowing could be volatile month to month, and other types of unsecured lending had been slightly weaker. A broader measure of total lending for consumption, which included mortgage equity withdrawal (MEW), was still estimated to have fallen in 2000 Q1 compared with the second half of 1999, though the Bank’s staff estimate of Q1 MEW had been revised up, from £1.8 billion</w:t>
      </w:r>
      <w:r>
        <w:rPr>
          <w:spacing w:val="-33"/>
          <w:sz w:val="18"/>
        </w:rPr>
        <w:t> </w:t>
      </w:r>
      <w:r>
        <w:rPr>
          <w:sz w:val="18"/>
        </w:rPr>
        <w:t>to</w:t>
      </w:r>
    </w:p>
    <w:p>
      <w:pPr>
        <w:pStyle w:val="BodyText"/>
        <w:spacing w:line="192" w:lineRule="exact"/>
        <w:ind w:left="190"/>
      </w:pPr>
      <w:r>
        <w:rPr/>
        <w:t>£2.3 billion, following the National Accounts release.</w:t>
      </w:r>
    </w:p>
    <w:p>
      <w:pPr>
        <w:pStyle w:val="BodyText"/>
        <w:spacing w:before="2"/>
        <w:rPr>
          <w:sz w:val="17"/>
        </w:rPr>
      </w:pPr>
    </w:p>
    <w:p>
      <w:pPr>
        <w:pStyle w:val="ListParagraph"/>
        <w:numPr>
          <w:ilvl w:val="0"/>
          <w:numId w:val="56"/>
        </w:numPr>
        <w:tabs>
          <w:tab w:pos="669" w:val="left" w:leader="none"/>
          <w:tab w:pos="670" w:val="left" w:leader="none"/>
        </w:tabs>
        <w:spacing w:line="232" w:lineRule="auto" w:before="0" w:after="0"/>
        <w:ind w:left="190" w:right="535" w:firstLine="0"/>
        <w:jc w:val="left"/>
        <w:rPr>
          <w:sz w:val="18"/>
        </w:rPr>
      </w:pPr>
      <w:r>
        <w:rPr>
          <w:sz w:val="18"/>
        </w:rPr>
        <w:t>Total external finance raised by PNFCs had been strong again in May, increasing by £7.4 billion on the month.</w:t>
      </w:r>
      <w:r>
        <w:rPr>
          <w:spacing w:val="5"/>
          <w:sz w:val="18"/>
        </w:rPr>
        <w:t> </w:t>
      </w:r>
      <w:r>
        <w:rPr>
          <w:sz w:val="18"/>
        </w:rPr>
        <w:t>Some</w:t>
      </w:r>
    </w:p>
    <w:p>
      <w:pPr>
        <w:pStyle w:val="BodyText"/>
        <w:spacing w:line="232" w:lineRule="auto"/>
        <w:ind w:left="190" w:right="120"/>
      </w:pPr>
      <w:r>
        <w:rPr/>
        <w:t>£4 billion of the £4.7 billion rise in bank borrowing had been publicly identified as reflecting finance for 3G licence payments. PNFCs’ deposits had also risen in May by £2.5 billion, partly offsetting the impact of stronger gross borrowing on firms’ net recourse to banks. The latest National Accounts had suggested that PNFCs’ net financial deficit had been broadly unchanged in Q1, though strong subsequent borrowing might suggest a higher deficit in Q2.</w:t>
      </w:r>
    </w:p>
    <w:p>
      <w:pPr>
        <w:pStyle w:val="BodyText"/>
        <w:spacing w:before="8"/>
        <w:rPr>
          <w:sz w:val="16"/>
        </w:rPr>
      </w:pPr>
    </w:p>
    <w:p>
      <w:pPr>
        <w:pStyle w:val="ListParagraph"/>
        <w:numPr>
          <w:ilvl w:val="0"/>
          <w:numId w:val="56"/>
        </w:numPr>
        <w:tabs>
          <w:tab w:pos="669" w:val="left" w:leader="none"/>
          <w:tab w:pos="670" w:val="left" w:leader="none"/>
        </w:tabs>
        <w:spacing w:line="232" w:lineRule="auto" w:before="0" w:after="0"/>
        <w:ind w:left="190" w:right="194" w:firstLine="0"/>
        <w:jc w:val="left"/>
        <w:rPr>
          <w:sz w:val="18"/>
        </w:rPr>
      </w:pPr>
      <w:r>
        <w:rPr>
          <w:sz w:val="18"/>
        </w:rPr>
        <w:t>Annual growth rates of OFCs’ M4 and M4 lending had risen in May, to 4.6% and 16.5%</w:t>
      </w:r>
      <w:r>
        <w:rPr>
          <w:spacing w:val="-10"/>
          <w:sz w:val="18"/>
        </w:rPr>
        <w:t> </w:t>
      </w:r>
      <w:r>
        <w:rPr>
          <w:sz w:val="18"/>
        </w:rPr>
        <w:t>respectively.</w:t>
      </w:r>
    </w:p>
    <w:p>
      <w:pPr>
        <w:pStyle w:val="ListParagraph"/>
        <w:numPr>
          <w:ilvl w:val="0"/>
          <w:numId w:val="56"/>
        </w:numPr>
        <w:tabs>
          <w:tab w:pos="669" w:val="left" w:leader="none"/>
          <w:tab w:pos="670" w:val="left" w:leader="none"/>
        </w:tabs>
        <w:spacing w:line="232" w:lineRule="auto" w:before="179" w:after="0"/>
        <w:ind w:left="190" w:right="170" w:firstLine="0"/>
        <w:jc w:val="left"/>
        <w:rPr>
          <w:sz w:val="18"/>
        </w:rPr>
      </w:pPr>
      <w:r>
        <w:rPr>
          <w:sz w:val="18"/>
        </w:rPr>
        <w:t>Since the previous MPC meeting, interest rate expectations, as measured by the two-week gilt repo curve, had fallen a little at the short end. Longer nominal interest rates had risen only slightly. The term structure of corporate yields had also flattened. Retail rates had been little changed in June, though two-year fixed-rate mortgage rates had returned to April levels after a small fall in May.</w:t>
      </w:r>
    </w:p>
    <w:p>
      <w:pPr>
        <w:pStyle w:val="ListParagraph"/>
        <w:numPr>
          <w:ilvl w:val="0"/>
          <w:numId w:val="56"/>
        </w:numPr>
        <w:tabs>
          <w:tab w:pos="669" w:val="left" w:leader="none"/>
          <w:tab w:pos="670" w:val="left" w:leader="none"/>
        </w:tabs>
        <w:spacing w:line="232" w:lineRule="auto" w:before="174" w:after="0"/>
        <w:ind w:left="190" w:right="157" w:firstLine="0"/>
        <w:jc w:val="left"/>
        <w:rPr>
          <w:sz w:val="18"/>
        </w:rPr>
      </w:pPr>
      <w:r>
        <w:rPr>
          <w:sz w:val="18"/>
        </w:rPr>
        <w:t>One-year inflation expectations from the Consensus survey had risen from 2.2% in March to 2.4% in June. There had been a slight</w:t>
      </w:r>
      <w:r>
        <w:rPr>
          <w:spacing w:val="-6"/>
          <w:sz w:val="18"/>
        </w:rPr>
        <w:t> </w:t>
      </w:r>
      <w:r>
        <w:rPr>
          <w:sz w:val="18"/>
        </w:rPr>
        <w:t>easing</w:t>
      </w:r>
      <w:r>
        <w:rPr>
          <w:spacing w:val="-5"/>
          <w:sz w:val="18"/>
        </w:rPr>
        <w:t> </w:t>
      </w:r>
      <w:r>
        <w:rPr>
          <w:sz w:val="18"/>
        </w:rPr>
        <w:t>in</w:t>
      </w:r>
      <w:r>
        <w:rPr>
          <w:spacing w:val="-5"/>
          <w:sz w:val="18"/>
        </w:rPr>
        <w:t> </w:t>
      </w:r>
      <w:r>
        <w:rPr>
          <w:sz w:val="18"/>
        </w:rPr>
        <w:t>survey-based</w:t>
      </w:r>
      <w:r>
        <w:rPr>
          <w:spacing w:val="-5"/>
          <w:sz w:val="18"/>
        </w:rPr>
        <w:t> </w:t>
      </w:r>
      <w:r>
        <w:rPr>
          <w:sz w:val="18"/>
        </w:rPr>
        <w:t>real</w:t>
      </w:r>
      <w:r>
        <w:rPr>
          <w:spacing w:val="-5"/>
          <w:sz w:val="18"/>
        </w:rPr>
        <w:t> </w:t>
      </w:r>
      <w:r>
        <w:rPr>
          <w:sz w:val="18"/>
        </w:rPr>
        <w:t>rates</w:t>
      </w:r>
      <w:r>
        <w:rPr>
          <w:spacing w:val="-5"/>
          <w:sz w:val="18"/>
        </w:rPr>
        <w:t> </w:t>
      </w:r>
      <w:r>
        <w:rPr>
          <w:sz w:val="18"/>
        </w:rPr>
        <w:t>in</w:t>
      </w:r>
      <w:r>
        <w:rPr>
          <w:spacing w:val="-5"/>
          <w:sz w:val="18"/>
        </w:rPr>
        <w:t> </w:t>
      </w:r>
      <w:r>
        <w:rPr>
          <w:sz w:val="18"/>
        </w:rPr>
        <w:t>the</w:t>
      </w:r>
      <w:r>
        <w:rPr>
          <w:spacing w:val="-5"/>
          <w:sz w:val="18"/>
        </w:rPr>
        <w:t> </w:t>
      </w:r>
      <w:r>
        <w:rPr>
          <w:sz w:val="18"/>
        </w:rPr>
        <w:t>latest</w:t>
      </w:r>
      <w:r>
        <w:rPr>
          <w:spacing w:val="-5"/>
          <w:sz w:val="18"/>
        </w:rPr>
        <w:t> </w:t>
      </w:r>
      <w:r>
        <w:rPr>
          <w:sz w:val="18"/>
        </w:rPr>
        <w:t>quarter,</w:t>
      </w:r>
      <w:r>
        <w:rPr>
          <w:spacing w:val="-5"/>
          <w:sz w:val="18"/>
        </w:rPr>
        <w:t> </w:t>
      </w:r>
      <w:r>
        <w:rPr>
          <w:sz w:val="18"/>
        </w:rPr>
        <w:t>a</w:t>
      </w:r>
      <w:r>
        <w:rPr>
          <w:spacing w:val="-5"/>
          <w:sz w:val="18"/>
        </w:rPr>
        <w:t> </w:t>
      </w:r>
      <w:r>
        <w:rPr>
          <w:sz w:val="18"/>
        </w:rPr>
        <w:t>period in which the official repo rate had remained</w:t>
      </w:r>
      <w:r>
        <w:rPr>
          <w:spacing w:val="-16"/>
          <w:sz w:val="18"/>
        </w:rPr>
        <w:t> </w:t>
      </w:r>
      <w:r>
        <w:rPr>
          <w:sz w:val="18"/>
        </w:rPr>
        <w:t>fixed.</w:t>
      </w:r>
    </w:p>
    <w:p>
      <w:pPr>
        <w:spacing w:after="0" w:line="232" w:lineRule="auto"/>
        <w:jc w:val="left"/>
        <w:rPr>
          <w:sz w:val="18"/>
        </w:rPr>
        <w:sectPr>
          <w:type w:val="continuous"/>
          <w:pgSz w:w="11900" w:h="16840"/>
          <w:pgMar w:top="1260" w:bottom="280" w:left="640" w:right="640"/>
          <w:cols w:num="2" w:equalWidth="0">
            <w:col w:w="5128" w:space="257"/>
            <w:col w:w="5235"/>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7"/>
        <w:rPr>
          <w:sz w:val="19"/>
        </w:rPr>
      </w:pPr>
    </w:p>
    <w:p>
      <w:pPr>
        <w:pStyle w:val="ListParagraph"/>
        <w:numPr>
          <w:ilvl w:val="0"/>
          <w:numId w:val="56"/>
        </w:numPr>
        <w:tabs>
          <w:tab w:pos="639" w:val="left" w:leader="none"/>
          <w:tab w:pos="640" w:val="left" w:leader="none"/>
        </w:tabs>
        <w:spacing w:line="232" w:lineRule="auto" w:before="1" w:after="0"/>
        <w:ind w:left="160" w:right="122" w:firstLine="0"/>
        <w:jc w:val="left"/>
        <w:rPr>
          <w:sz w:val="18"/>
        </w:rPr>
      </w:pPr>
      <w:r>
        <w:rPr>
          <w:sz w:val="18"/>
        </w:rPr>
        <w:t>The FTSE All-Share index had fallen by 1.7% since the previous MPC meeting, although the Small Cap index had risen by 3.1%. The IT sector and non-cyclical services (mainly telecommunications) had fallen by around 11% and 8% respectively over the same</w:t>
      </w:r>
      <w:r>
        <w:rPr>
          <w:spacing w:val="-6"/>
          <w:sz w:val="18"/>
        </w:rPr>
        <w:t> </w:t>
      </w:r>
      <w:r>
        <w:rPr>
          <w:sz w:val="18"/>
        </w:rPr>
        <w:t>period.</w:t>
      </w:r>
    </w:p>
    <w:p>
      <w:pPr>
        <w:pStyle w:val="BodyText"/>
        <w:rPr>
          <w:sz w:val="17"/>
        </w:rPr>
      </w:pPr>
    </w:p>
    <w:p>
      <w:pPr>
        <w:pStyle w:val="ListParagraph"/>
        <w:numPr>
          <w:ilvl w:val="0"/>
          <w:numId w:val="56"/>
        </w:numPr>
        <w:tabs>
          <w:tab w:pos="639" w:val="left" w:leader="none"/>
          <w:tab w:pos="640" w:val="left" w:leader="none"/>
        </w:tabs>
        <w:spacing w:line="232" w:lineRule="auto" w:before="0" w:after="0"/>
        <w:ind w:left="160" w:right="167" w:firstLine="0"/>
        <w:jc w:val="left"/>
        <w:rPr>
          <w:sz w:val="18"/>
        </w:rPr>
      </w:pPr>
      <w:r>
        <w:rPr>
          <w:sz w:val="18"/>
        </w:rPr>
        <w:t>Since the previous MPC meeting, the sterling ERI had been little changed. Despite the depreciation in May, longer-term Consensus forecasts suggested that the expected value of the sterling ERI six years out had been little changed since February, though the expected sterling/dollar rate was now somewhat lower, and the sterling/euro rate somewhat higher, than</w:t>
      </w:r>
      <w:r>
        <w:rPr>
          <w:spacing w:val="-19"/>
          <w:sz w:val="18"/>
        </w:rPr>
        <w:t> </w:t>
      </w:r>
      <w:r>
        <w:rPr>
          <w:sz w:val="18"/>
        </w:rPr>
        <w:t>before.</w:t>
      </w:r>
    </w:p>
    <w:p>
      <w:pPr>
        <w:pStyle w:val="BodyText"/>
        <w:spacing w:before="3"/>
        <w:rPr>
          <w:sz w:val="20"/>
        </w:rPr>
      </w:pPr>
    </w:p>
    <w:p>
      <w:pPr>
        <w:pStyle w:val="Heading4"/>
        <w:numPr>
          <w:ilvl w:val="0"/>
          <w:numId w:val="57"/>
        </w:numPr>
        <w:tabs>
          <w:tab w:pos="640" w:val="left" w:leader="none"/>
          <w:tab w:pos="641" w:val="left" w:leader="none"/>
        </w:tabs>
        <w:spacing w:line="240" w:lineRule="auto" w:before="0" w:after="0"/>
        <w:ind w:left="640" w:right="0" w:hanging="481"/>
        <w:jc w:val="left"/>
      </w:pPr>
      <w:r>
        <w:rPr>
          <w:color w:val="009391"/>
        </w:rPr>
        <w:t>Demand and</w:t>
      </w:r>
      <w:r>
        <w:rPr>
          <w:color w:val="009391"/>
          <w:spacing w:val="-3"/>
        </w:rPr>
        <w:t> </w:t>
      </w:r>
      <w:r>
        <w:rPr>
          <w:color w:val="009391"/>
        </w:rPr>
        <w:t>output</w:t>
      </w:r>
    </w:p>
    <w:p>
      <w:pPr>
        <w:pStyle w:val="ListParagraph"/>
        <w:numPr>
          <w:ilvl w:val="0"/>
          <w:numId w:val="56"/>
        </w:numPr>
        <w:tabs>
          <w:tab w:pos="639" w:val="left" w:leader="none"/>
          <w:tab w:pos="640" w:val="left" w:leader="none"/>
        </w:tabs>
        <w:spacing w:line="232" w:lineRule="auto" w:before="110" w:after="0"/>
        <w:ind w:left="160" w:right="83" w:firstLine="0"/>
        <w:jc w:val="left"/>
        <w:rPr>
          <w:sz w:val="18"/>
        </w:rPr>
      </w:pPr>
      <w:r>
        <w:rPr>
          <w:sz w:val="18"/>
        </w:rPr>
        <w:t>The National Accounts, published on 29 June, had included revisions to GDP and its components, the cumulative impact of which had been to increase the estimated level of GDP at market prices in 2000 Q1 by 0.6%. Most of the upward revisions had been to 1998 growth, reflecting higher estimates of consumption as a result of the latest Annual Retailing Inquiry. Annual GDP growth in 1998 had been revised up to 2.6% from 2.2%, and the level of household consumption in 2000 Q1 had been revised up by 1.7%, reflecting the cumulative effect of revisions to growth rates in previous periods. GDP growth in 1999 had remained unchanged at 2.1%. Revisions to nominal GDP had been smaller than those for real</w:t>
      </w:r>
      <w:r>
        <w:rPr>
          <w:spacing w:val="-2"/>
          <w:sz w:val="18"/>
        </w:rPr>
        <w:t> </w:t>
      </w:r>
      <w:r>
        <w:rPr>
          <w:sz w:val="18"/>
        </w:rPr>
        <w:t>GDP.</w:t>
      </w:r>
    </w:p>
    <w:p>
      <w:pPr>
        <w:pStyle w:val="BodyText"/>
        <w:spacing w:before="6"/>
        <w:rPr>
          <w:sz w:val="16"/>
        </w:rPr>
      </w:pPr>
    </w:p>
    <w:p>
      <w:pPr>
        <w:pStyle w:val="ListParagraph"/>
        <w:numPr>
          <w:ilvl w:val="0"/>
          <w:numId w:val="56"/>
        </w:numPr>
        <w:tabs>
          <w:tab w:pos="639" w:val="left" w:leader="none"/>
          <w:tab w:pos="640" w:val="left" w:leader="none"/>
        </w:tabs>
        <w:spacing w:line="232" w:lineRule="auto" w:before="0" w:after="0"/>
        <w:ind w:left="160" w:right="73" w:firstLine="0"/>
        <w:jc w:val="left"/>
        <w:rPr>
          <w:sz w:val="18"/>
        </w:rPr>
      </w:pPr>
      <w:r>
        <w:rPr>
          <w:sz w:val="18"/>
        </w:rPr>
        <w:t>Revisions to the income measure of GDP had been relatively small. Estimates of employees’ compensation had been revised downward, particularly in 1998, while gross operating surpluses had been revised up. Due to the relatively larger upward revisions to nominal consumption, there had been a marked downward revision to the household sector saving ratio. Turning to the output measure of GDP, the level of manufacturing output had been revised up in 1998 by 0.2%, and the level of services output had been revised up by 0.5%. But there had been very little change to the pattern of growth through 1999. The unusually large discrepancy between the output and expenditure measures of GDP in</w:t>
      </w:r>
      <w:r>
        <w:rPr>
          <w:spacing w:val="-4"/>
          <w:sz w:val="18"/>
        </w:rPr>
        <w:t> </w:t>
      </w:r>
      <w:r>
        <w:rPr>
          <w:sz w:val="18"/>
        </w:rPr>
        <w:t>2000</w:t>
      </w:r>
      <w:r>
        <w:rPr>
          <w:spacing w:val="-2"/>
          <w:sz w:val="18"/>
        </w:rPr>
        <w:t> </w:t>
      </w:r>
      <w:r>
        <w:rPr>
          <w:sz w:val="18"/>
        </w:rPr>
        <w:t>Q1,</w:t>
      </w:r>
      <w:r>
        <w:rPr>
          <w:spacing w:val="-3"/>
          <w:sz w:val="18"/>
        </w:rPr>
        <w:t> </w:t>
      </w:r>
      <w:r>
        <w:rPr>
          <w:sz w:val="18"/>
        </w:rPr>
        <w:t>seen</w:t>
      </w:r>
      <w:r>
        <w:rPr>
          <w:spacing w:val="-4"/>
          <w:sz w:val="18"/>
        </w:rPr>
        <w:t> </w:t>
      </w:r>
      <w:r>
        <w:rPr>
          <w:sz w:val="18"/>
        </w:rPr>
        <w:t>in</w:t>
      </w:r>
      <w:r>
        <w:rPr>
          <w:spacing w:val="-3"/>
          <w:sz w:val="18"/>
        </w:rPr>
        <w:t> </w:t>
      </w:r>
      <w:r>
        <w:rPr>
          <w:sz w:val="18"/>
        </w:rPr>
        <w:t>the</w:t>
      </w:r>
      <w:r>
        <w:rPr>
          <w:spacing w:val="-3"/>
          <w:sz w:val="18"/>
        </w:rPr>
        <w:t> </w:t>
      </w:r>
      <w:r>
        <w:rPr>
          <w:sz w:val="18"/>
        </w:rPr>
        <w:t>earlier</w:t>
      </w:r>
      <w:r>
        <w:rPr>
          <w:spacing w:val="-4"/>
          <w:sz w:val="18"/>
        </w:rPr>
        <w:t> </w:t>
      </w:r>
      <w:r>
        <w:rPr>
          <w:sz w:val="18"/>
        </w:rPr>
        <w:t>estimate,</w:t>
      </w:r>
      <w:r>
        <w:rPr>
          <w:spacing w:val="-3"/>
          <w:sz w:val="18"/>
        </w:rPr>
        <w:t> </w:t>
      </w:r>
      <w:r>
        <w:rPr>
          <w:sz w:val="18"/>
        </w:rPr>
        <w:t>had</w:t>
      </w:r>
      <w:r>
        <w:rPr>
          <w:spacing w:val="-3"/>
          <w:sz w:val="18"/>
        </w:rPr>
        <w:t> </w:t>
      </w:r>
      <w:r>
        <w:rPr>
          <w:sz w:val="18"/>
        </w:rPr>
        <w:t>been</w:t>
      </w:r>
      <w:r>
        <w:rPr>
          <w:spacing w:val="-4"/>
          <w:sz w:val="18"/>
        </w:rPr>
        <w:t> </w:t>
      </w:r>
      <w:r>
        <w:rPr>
          <w:sz w:val="18"/>
        </w:rPr>
        <w:t>revised</w:t>
      </w:r>
      <w:r>
        <w:rPr>
          <w:spacing w:val="-3"/>
          <w:sz w:val="18"/>
        </w:rPr>
        <w:t> </w:t>
      </w:r>
      <w:r>
        <w:rPr>
          <w:sz w:val="18"/>
        </w:rPr>
        <w:t>down.</w:t>
      </w:r>
    </w:p>
    <w:p>
      <w:pPr>
        <w:pStyle w:val="BodyText"/>
        <w:spacing w:before="7"/>
        <w:rPr>
          <w:sz w:val="16"/>
        </w:rPr>
      </w:pPr>
    </w:p>
    <w:p>
      <w:pPr>
        <w:pStyle w:val="ListParagraph"/>
        <w:numPr>
          <w:ilvl w:val="0"/>
          <w:numId w:val="56"/>
        </w:numPr>
        <w:tabs>
          <w:tab w:pos="639" w:val="left" w:leader="none"/>
          <w:tab w:pos="640" w:val="left" w:leader="none"/>
        </w:tabs>
        <w:spacing w:line="232" w:lineRule="auto" w:before="0" w:after="0"/>
        <w:ind w:left="160" w:right="57" w:firstLine="0"/>
        <w:jc w:val="left"/>
        <w:rPr>
          <w:sz w:val="18"/>
        </w:rPr>
      </w:pPr>
      <w:r>
        <w:rPr>
          <w:sz w:val="18"/>
        </w:rPr>
        <w:t>Estimated GDP growth in 2000 Q1 had been unrevised at 0.5%. The overall pattern of expenditure in recent quarters had remained broadly intact, although domestic demand had been revised down slightly in Q1, from 0.4% to 0.2%. Final domestic demand growth had also been revised down, and was now shown to have been broadly flat between Q4 and Q1. Household consumption growth had remained unchanged in Q1 at 0.6%, but growth in investment and government consumption had both been revised downward. The new government consumption profile was also flatter through 1999.  The contribution to GDP growth from net trade in Q1 had been fractionally weaker than previously estimated,</w:t>
      </w:r>
      <w:r>
        <w:rPr>
          <w:spacing w:val="-7"/>
          <w:sz w:val="18"/>
        </w:rPr>
        <w:t> </w:t>
      </w:r>
      <w:r>
        <w:rPr>
          <w:sz w:val="18"/>
        </w:rPr>
        <w:t>while</w:t>
      </w:r>
      <w:r>
        <w:rPr>
          <w:spacing w:val="-6"/>
          <w:sz w:val="18"/>
        </w:rPr>
        <w:t> </w:t>
      </w:r>
      <w:r>
        <w:rPr>
          <w:sz w:val="18"/>
        </w:rPr>
        <w:t>that</w:t>
      </w:r>
      <w:r>
        <w:rPr>
          <w:spacing w:val="-6"/>
          <w:sz w:val="18"/>
        </w:rPr>
        <w:t> </w:t>
      </w:r>
      <w:r>
        <w:rPr>
          <w:sz w:val="18"/>
        </w:rPr>
        <w:t>from</w:t>
      </w:r>
      <w:r>
        <w:rPr>
          <w:spacing w:val="-7"/>
          <w:sz w:val="18"/>
        </w:rPr>
        <w:t> </w:t>
      </w:r>
      <w:r>
        <w:rPr>
          <w:sz w:val="18"/>
        </w:rPr>
        <w:t>stockbuilding</w:t>
      </w:r>
      <w:r>
        <w:rPr>
          <w:spacing w:val="-6"/>
          <w:sz w:val="18"/>
        </w:rPr>
        <w:t> </w:t>
      </w:r>
      <w:r>
        <w:rPr>
          <w:sz w:val="18"/>
        </w:rPr>
        <w:t>had</w:t>
      </w:r>
      <w:r>
        <w:rPr>
          <w:spacing w:val="-6"/>
          <w:sz w:val="18"/>
        </w:rPr>
        <w:t> </w:t>
      </w:r>
      <w:r>
        <w:rPr>
          <w:sz w:val="18"/>
        </w:rPr>
        <w:t>been</w:t>
      </w:r>
      <w:r>
        <w:rPr>
          <w:spacing w:val="-6"/>
          <w:sz w:val="18"/>
        </w:rPr>
        <w:t> </w:t>
      </w:r>
      <w:r>
        <w:rPr>
          <w:sz w:val="18"/>
        </w:rPr>
        <w:t>slightly</w:t>
      </w:r>
      <w:r>
        <w:rPr>
          <w:spacing w:val="-7"/>
          <w:sz w:val="18"/>
        </w:rPr>
        <w:t> </w:t>
      </w:r>
      <w:r>
        <w:rPr>
          <w:sz w:val="18"/>
        </w:rPr>
        <w:t>stronger.</w:t>
      </w:r>
    </w:p>
    <w:p>
      <w:pPr>
        <w:pStyle w:val="BodyText"/>
        <w:spacing w:before="7"/>
        <w:rPr>
          <w:sz w:val="16"/>
        </w:rPr>
      </w:pPr>
    </w:p>
    <w:p>
      <w:pPr>
        <w:pStyle w:val="ListParagraph"/>
        <w:numPr>
          <w:ilvl w:val="0"/>
          <w:numId w:val="56"/>
        </w:numPr>
        <w:tabs>
          <w:tab w:pos="639" w:val="left" w:leader="none"/>
          <w:tab w:pos="640" w:val="left" w:leader="none"/>
        </w:tabs>
        <w:spacing w:line="232" w:lineRule="auto" w:before="0" w:after="0"/>
        <w:ind w:left="160" w:right="38" w:firstLine="0"/>
        <w:jc w:val="left"/>
        <w:rPr>
          <w:sz w:val="18"/>
        </w:rPr>
      </w:pPr>
      <w:r>
        <w:rPr>
          <w:sz w:val="18"/>
        </w:rPr>
        <w:t>Turning to indicators of Q2 activity, overall industrial production had increased by 0.1% in May. Manufacturing output had risen by 0.4%, but had been mostly offset by a decline in energy output, which had unwound following particularly strong growth in April. But recent survey evidence had suggested a continuation of weaker manufacturing output in coming months. The manufacturing output expectations balance in the Confederation</w:t>
      </w:r>
      <w:r>
        <w:rPr>
          <w:spacing w:val="-7"/>
          <w:sz w:val="18"/>
        </w:rPr>
        <w:t> </w:t>
      </w:r>
      <w:r>
        <w:rPr>
          <w:sz w:val="18"/>
        </w:rPr>
        <w:t>of</w:t>
      </w:r>
      <w:r>
        <w:rPr>
          <w:spacing w:val="-6"/>
          <w:sz w:val="18"/>
        </w:rPr>
        <w:t> </w:t>
      </w:r>
      <w:r>
        <w:rPr>
          <w:sz w:val="18"/>
        </w:rPr>
        <w:t>British</w:t>
      </w:r>
      <w:r>
        <w:rPr>
          <w:spacing w:val="-6"/>
          <w:sz w:val="18"/>
        </w:rPr>
        <w:t> </w:t>
      </w:r>
      <w:r>
        <w:rPr>
          <w:sz w:val="18"/>
        </w:rPr>
        <w:t>Industry</w:t>
      </w:r>
      <w:r>
        <w:rPr>
          <w:spacing w:val="-6"/>
          <w:sz w:val="18"/>
        </w:rPr>
        <w:t> </w:t>
      </w:r>
      <w:r>
        <w:rPr>
          <w:sz w:val="18"/>
        </w:rPr>
        <w:t>(CBI)</w:t>
      </w:r>
      <w:r>
        <w:rPr>
          <w:spacing w:val="-7"/>
          <w:sz w:val="18"/>
        </w:rPr>
        <w:t> </w:t>
      </w:r>
      <w:r>
        <w:rPr>
          <w:sz w:val="18"/>
        </w:rPr>
        <w:t>Monthly</w:t>
      </w:r>
      <w:r>
        <w:rPr>
          <w:spacing w:val="-6"/>
          <w:sz w:val="18"/>
        </w:rPr>
        <w:t> </w:t>
      </w:r>
      <w:r>
        <w:rPr>
          <w:sz w:val="18"/>
        </w:rPr>
        <w:t>Trends</w:t>
      </w:r>
      <w:r>
        <w:rPr>
          <w:spacing w:val="-6"/>
          <w:sz w:val="18"/>
        </w:rPr>
        <w:t> </w:t>
      </w:r>
      <w:r>
        <w:rPr>
          <w:sz w:val="18"/>
        </w:rPr>
        <w:t>survey</w:t>
      </w:r>
      <w:r>
        <w:rPr>
          <w:spacing w:val="-6"/>
          <w:sz w:val="18"/>
        </w:rPr>
        <w:t> </w:t>
      </w:r>
      <w:r>
        <w:rPr>
          <w:sz w:val="18"/>
        </w:rPr>
        <w:t>had fallen slightly further, to -7 in June from -6 in May. The Chartered Institute of Purchasing and Supply (CIPS) manufacturing survey output index had fallen to 50.5 in June from 50.9 in May, and the June Engineering Employers’ Federation (EEF) manufacturing output balance had fallen to -2, from +8 in</w:t>
      </w:r>
      <w:r>
        <w:rPr>
          <w:spacing w:val="-17"/>
          <w:sz w:val="18"/>
        </w:rPr>
        <w:t> </w:t>
      </w:r>
      <w:r>
        <w:rPr>
          <w:sz w:val="18"/>
        </w:rPr>
        <w:t>March.</w:t>
      </w:r>
    </w:p>
    <w:p>
      <w:pPr>
        <w:pStyle w:val="BodyText"/>
        <w:spacing w:before="6"/>
        <w:rPr>
          <w:sz w:val="16"/>
        </w:rPr>
      </w:pPr>
    </w:p>
    <w:p>
      <w:pPr>
        <w:pStyle w:val="ListParagraph"/>
        <w:numPr>
          <w:ilvl w:val="0"/>
          <w:numId w:val="56"/>
        </w:numPr>
        <w:tabs>
          <w:tab w:pos="639" w:val="left" w:leader="none"/>
          <w:tab w:pos="640" w:val="left" w:leader="none"/>
        </w:tabs>
        <w:spacing w:line="232" w:lineRule="auto" w:before="0" w:after="0"/>
        <w:ind w:left="160" w:right="63" w:firstLine="0"/>
        <w:jc w:val="left"/>
        <w:rPr>
          <w:sz w:val="18"/>
        </w:rPr>
      </w:pPr>
      <w:r>
        <w:rPr>
          <w:sz w:val="18"/>
        </w:rPr>
        <w:t>In the services sector, retail sales volumes had risen by 0.4% in May, but annual growth had slowed considerably, to 3.6% from 4.7%. Looking ahead, the CBI Distributive Trades survey had shown</w:t>
      </w:r>
      <w:r>
        <w:rPr>
          <w:spacing w:val="-6"/>
          <w:sz w:val="18"/>
        </w:rPr>
        <w:t> </w:t>
      </w:r>
      <w:r>
        <w:rPr>
          <w:sz w:val="18"/>
        </w:rPr>
        <w:t>a</w:t>
      </w:r>
      <w:r>
        <w:rPr>
          <w:spacing w:val="-6"/>
          <w:sz w:val="18"/>
        </w:rPr>
        <w:t> </w:t>
      </w:r>
      <w:r>
        <w:rPr>
          <w:sz w:val="18"/>
        </w:rPr>
        <w:t>considerable</w:t>
      </w:r>
      <w:r>
        <w:rPr>
          <w:spacing w:val="-6"/>
          <w:sz w:val="18"/>
        </w:rPr>
        <w:t> </w:t>
      </w:r>
      <w:r>
        <w:rPr>
          <w:sz w:val="18"/>
        </w:rPr>
        <w:t>slowing</w:t>
      </w:r>
      <w:r>
        <w:rPr>
          <w:spacing w:val="-5"/>
          <w:sz w:val="18"/>
        </w:rPr>
        <w:t> </w:t>
      </w:r>
      <w:r>
        <w:rPr>
          <w:sz w:val="18"/>
        </w:rPr>
        <w:t>in</w:t>
      </w:r>
      <w:r>
        <w:rPr>
          <w:spacing w:val="-6"/>
          <w:sz w:val="18"/>
        </w:rPr>
        <w:t> </w:t>
      </w:r>
      <w:r>
        <w:rPr>
          <w:sz w:val="18"/>
        </w:rPr>
        <w:t>reported</w:t>
      </w:r>
      <w:r>
        <w:rPr>
          <w:spacing w:val="-6"/>
          <w:sz w:val="18"/>
        </w:rPr>
        <w:t> </w:t>
      </w:r>
      <w:r>
        <w:rPr>
          <w:sz w:val="18"/>
        </w:rPr>
        <w:t>annual</w:t>
      </w:r>
      <w:r>
        <w:rPr>
          <w:spacing w:val="-6"/>
          <w:sz w:val="18"/>
        </w:rPr>
        <w:t> </w:t>
      </w:r>
      <w:r>
        <w:rPr>
          <w:sz w:val="18"/>
        </w:rPr>
        <w:t>retail</w:t>
      </w:r>
      <w:r>
        <w:rPr>
          <w:spacing w:val="-5"/>
          <w:sz w:val="18"/>
        </w:rPr>
        <w:t> </w:t>
      </w:r>
      <w:r>
        <w:rPr>
          <w:sz w:val="18"/>
        </w:rPr>
        <w:t>sales</w:t>
      </w:r>
      <w:r>
        <w:rPr>
          <w:spacing w:val="-6"/>
          <w:sz w:val="18"/>
        </w:rPr>
        <w:t> </w:t>
      </w:r>
      <w:r>
        <w:rPr>
          <w:sz w:val="18"/>
        </w:rPr>
        <w:t>growth</w:t>
      </w:r>
    </w:p>
    <w:p>
      <w:pPr>
        <w:pStyle w:val="BodyText"/>
        <w:spacing w:before="7"/>
        <w:rPr>
          <w:sz w:val="19"/>
        </w:rPr>
      </w:pPr>
      <w:r>
        <w:rPr/>
        <w:br w:type="column"/>
      </w:r>
      <w:r>
        <w:rPr>
          <w:sz w:val="19"/>
        </w:rPr>
      </w:r>
    </w:p>
    <w:p>
      <w:pPr>
        <w:pStyle w:val="BodyText"/>
        <w:spacing w:line="232" w:lineRule="auto"/>
        <w:ind w:left="160" w:right="251"/>
      </w:pPr>
      <w:r>
        <w:rPr/>
        <w:t>in June, with the total balance falling to +15, from +45 in May. The GfK confidence index had eased to +0.1 in June from +2.7 in May. Private new car registrations in the three months to May had fallen by 2.1% on a year earlier, while total new registrations had increased by 4.8%. There had also been some indications of slowing activity in other areas of the services sector. The CBI/PriceWaterhouseCoopers financial services optimism balance had fallen to -6 in June, from +36 in March.</w:t>
      </w:r>
    </w:p>
    <w:p>
      <w:pPr>
        <w:pStyle w:val="BodyText"/>
        <w:spacing w:before="10"/>
        <w:rPr>
          <w:sz w:val="16"/>
        </w:rPr>
      </w:pPr>
    </w:p>
    <w:p>
      <w:pPr>
        <w:pStyle w:val="ListParagraph"/>
        <w:numPr>
          <w:ilvl w:val="0"/>
          <w:numId w:val="56"/>
        </w:numPr>
        <w:tabs>
          <w:tab w:pos="639" w:val="left" w:leader="none"/>
          <w:tab w:pos="640" w:val="left" w:leader="none"/>
        </w:tabs>
        <w:spacing w:line="232" w:lineRule="auto" w:before="0" w:after="0"/>
        <w:ind w:left="160" w:right="177" w:firstLine="0"/>
        <w:jc w:val="left"/>
        <w:rPr>
          <w:sz w:val="18"/>
        </w:rPr>
      </w:pPr>
      <w:r>
        <w:rPr>
          <w:sz w:val="18"/>
        </w:rPr>
        <w:t>Earlier evidence of a slowdown in house price inflation had been confirmed. Although the Nationwide price index had risen by 0.4% in June, annual growth had continued to ease to 15.1%. Annual growth in the Halifax house price index had also slowed in June, to 9.2% from 11.2% in May.  The Royal Institute of Chartered Surveyors (RICS) survey balance for house price inflation</w:t>
      </w:r>
      <w:r>
        <w:rPr>
          <w:spacing w:val="-4"/>
          <w:sz w:val="18"/>
        </w:rPr>
        <w:t> </w:t>
      </w:r>
      <w:r>
        <w:rPr>
          <w:sz w:val="18"/>
        </w:rPr>
        <w:t>had</w:t>
      </w:r>
      <w:r>
        <w:rPr>
          <w:spacing w:val="-4"/>
          <w:sz w:val="18"/>
        </w:rPr>
        <w:t> </w:t>
      </w:r>
      <w:r>
        <w:rPr>
          <w:sz w:val="18"/>
        </w:rPr>
        <w:t>fallen</w:t>
      </w:r>
      <w:r>
        <w:rPr>
          <w:spacing w:val="-4"/>
          <w:sz w:val="18"/>
        </w:rPr>
        <w:t> </w:t>
      </w:r>
      <w:r>
        <w:rPr>
          <w:sz w:val="18"/>
        </w:rPr>
        <w:t>to</w:t>
      </w:r>
      <w:r>
        <w:rPr>
          <w:spacing w:val="-4"/>
          <w:sz w:val="18"/>
        </w:rPr>
        <w:t> </w:t>
      </w:r>
      <w:r>
        <w:rPr>
          <w:sz w:val="18"/>
        </w:rPr>
        <w:t>+26</w:t>
      </w:r>
      <w:r>
        <w:rPr>
          <w:spacing w:val="-4"/>
          <w:sz w:val="18"/>
        </w:rPr>
        <w:t> </w:t>
      </w:r>
      <w:r>
        <w:rPr>
          <w:sz w:val="18"/>
        </w:rPr>
        <w:t>in</w:t>
      </w:r>
      <w:r>
        <w:rPr>
          <w:spacing w:val="-4"/>
          <w:sz w:val="18"/>
        </w:rPr>
        <w:t> </w:t>
      </w:r>
      <w:r>
        <w:rPr>
          <w:sz w:val="18"/>
        </w:rPr>
        <w:t>May</w:t>
      </w:r>
      <w:r>
        <w:rPr>
          <w:spacing w:val="-4"/>
          <w:sz w:val="18"/>
        </w:rPr>
        <w:t> </w:t>
      </w:r>
      <w:r>
        <w:rPr>
          <w:sz w:val="18"/>
        </w:rPr>
        <w:t>from</w:t>
      </w:r>
      <w:r>
        <w:rPr>
          <w:spacing w:val="-4"/>
          <w:sz w:val="18"/>
        </w:rPr>
        <w:t> </w:t>
      </w:r>
      <w:r>
        <w:rPr>
          <w:sz w:val="18"/>
        </w:rPr>
        <w:t>+37</w:t>
      </w:r>
      <w:r>
        <w:rPr>
          <w:spacing w:val="-3"/>
          <w:sz w:val="18"/>
        </w:rPr>
        <w:t> </w:t>
      </w:r>
      <w:r>
        <w:rPr>
          <w:sz w:val="18"/>
        </w:rPr>
        <w:t>in</w:t>
      </w:r>
      <w:r>
        <w:rPr>
          <w:spacing w:val="-4"/>
          <w:sz w:val="18"/>
        </w:rPr>
        <w:t> </w:t>
      </w:r>
      <w:r>
        <w:rPr>
          <w:sz w:val="18"/>
        </w:rPr>
        <w:t>April,</w:t>
      </w:r>
      <w:r>
        <w:rPr>
          <w:spacing w:val="-4"/>
          <w:sz w:val="18"/>
        </w:rPr>
        <w:t> </w:t>
      </w:r>
      <w:r>
        <w:rPr>
          <w:sz w:val="18"/>
        </w:rPr>
        <w:t>and</w:t>
      </w:r>
      <w:r>
        <w:rPr>
          <w:spacing w:val="-4"/>
          <w:sz w:val="18"/>
        </w:rPr>
        <w:t> </w:t>
      </w:r>
      <w:r>
        <w:rPr>
          <w:sz w:val="18"/>
        </w:rPr>
        <w:t>the</w:t>
      </w:r>
      <w:r>
        <w:rPr>
          <w:spacing w:val="-4"/>
          <w:sz w:val="18"/>
        </w:rPr>
        <w:t> </w:t>
      </w:r>
      <w:r>
        <w:rPr>
          <w:sz w:val="18"/>
        </w:rPr>
        <w:t>House Builders’ Federation (HBF) inflation balance had fallen from +33 to +21. Indicators of housing activity growth had also shown a further slowdown. The HBF site visits and net reservations balances had fallen in May—site visits to their lowest level in almost five</w:t>
      </w:r>
      <w:r>
        <w:rPr>
          <w:spacing w:val="-3"/>
          <w:sz w:val="18"/>
        </w:rPr>
        <w:t> </w:t>
      </w:r>
      <w:r>
        <w:rPr>
          <w:sz w:val="18"/>
        </w:rPr>
        <w:t>years.</w:t>
      </w:r>
    </w:p>
    <w:p>
      <w:pPr>
        <w:pStyle w:val="BodyText"/>
        <w:spacing w:before="10"/>
        <w:rPr>
          <w:sz w:val="19"/>
        </w:rPr>
      </w:pPr>
    </w:p>
    <w:p>
      <w:pPr>
        <w:pStyle w:val="Heading4"/>
        <w:numPr>
          <w:ilvl w:val="0"/>
          <w:numId w:val="57"/>
        </w:numPr>
        <w:tabs>
          <w:tab w:pos="639" w:val="left" w:leader="none"/>
          <w:tab w:pos="641" w:val="left" w:leader="none"/>
        </w:tabs>
        <w:spacing w:line="240" w:lineRule="auto" w:before="0" w:after="0"/>
        <w:ind w:left="640" w:right="0" w:hanging="481"/>
        <w:jc w:val="left"/>
      </w:pPr>
      <w:r>
        <w:rPr>
          <w:color w:val="009391"/>
        </w:rPr>
        <w:t>Labour</w:t>
      </w:r>
      <w:r>
        <w:rPr>
          <w:color w:val="009391"/>
          <w:spacing w:val="-2"/>
        </w:rPr>
        <w:t> </w:t>
      </w:r>
      <w:r>
        <w:rPr>
          <w:color w:val="009391"/>
        </w:rPr>
        <w:t>market</w:t>
      </w:r>
    </w:p>
    <w:p>
      <w:pPr>
        <w:pStyle w:val="ListParagraph"/>
        <w:numPr>
          <w:ilvl w:val="0"/>
          <w:numId w:val="56"/>
        </w:numPr>
        <w:tabs>
          <w:tab w:pos="639" w:val="left" w:leader="none"/>
          <w:tab w:pos="640" w:val="left" w:leader="none"/>
        </w:tabs>
        <w:spacing w:line="232" w:lineRule="auto" w:before="110" w:after="0"/>
        <w:ind w:left="160" w:right="159" w:firstLine="0"/>
        <w:jc w:val="left"/>
        <w:rPr>
          <w:sz w:val="18"/>
        </w:rPr>
      </w:pPr>
      <w:r>
        <w:rPr>
          <w:sz w:val="18"/>
        </w:rPr>
        <w:t>According to the Labour Force Survey (LFS), there had been an increase in employment of 112,000 (0.4%) in the three months to April, following growth of 82,000 (0.3%) in the previous three months. The rise in the three months to April had been the largest since September 1998. Workforce Jobs—a more volatile series, sampled on a single day in each quarter—had fallen by 35,000 in Q1, largely accounted for by a decline in service sector jobs of 52,000. As in the previous two months, most of the increase in LFS employment had been in part-time employment, which had risen by 92,000 (1.3%). Full-time employment had grown by 20,000. As a result, although employment growth in full-time equivalent terms had picked up, it continued to be much slower than growth in the number of those</w:t>
      </w:r>
      <w:r>
        <w:rPr>
          <w:spacing w:val="-4"/>
          <w:sz w:val="18"/>
        </w:rPr>
        <w:t> </w:t>
      </w:r>
      <w:r>
        <w:rPr>
          <w:sz w:val="18"/>
        </w:rPr>
        <w:t>employed.</w:t>
      </w:r>
    </w:p>
    <w:p>
      <w:pPr>
        <w:pStyle w:val="BodyText"/>
        <w:spacing w:before="5"/>
        <w:rPr>
          <w:sz w:val="16"/>
        </w:rPr>
      </w:pPr>
    </w:p>
    <w:p>
      <w:pPr>
        <w:pStyle w:val="ListParagraph"/>
        <w:numPr>
          <w:ilvl w:val="0"/>
          <w:numId w:val="56"/>
        </w:numPr>
        <w:tabs>
          <w:tab w:pos="639" w:val="left" w:leader="none"/>
          <w:tab w:pos="640" w:val="left" w:leader="none"/>
        </w:tabs>
        <w:spacing w:line="232" w:lineRule="auto" w:before="1" w:after="0"/>
        <w:ind w:left="160" w:right="205" w:firstLine="0"/>
        <w:jc w:val="left"/>
        <w:rPr>
          <w:sz w:val="18"/>
        </w:rPr>
      </w:pPr>
      <w:r>
        <w:rPr>
          <w:sz w:val="18"/>
        </w:rPr>
        <w:t>The strong growth in employment had contributed to the 0.3% rise in total hours worked in the three months to April. Average</w:t>
      </w:r>
      <w:r>
        <w:rPr>
          <w:spacing w:val="-7"/>
          <w:sz w:val="18"/>
        </w:rPr>
        <w:t> </w:t>
      </w:r>
      <w:r>
        <w:rPr>
          <w:sz w:val="18"/>
        </w:rPr>
        <w:t>working</w:t>
      </w:r>
      <w:r>
        <w:rPr>
          <w:spacing w:val="-6"/>
          <w:sz w:val="18"/>
        </w:rPr>
        <w:t> </w:t>
      </w:r>
      <w:r>
        <w:rPr>
          <w:sz w:val="18"/>
        </w:rPr>
        <w:t>hours</w:t>
      </w:r>
      <w:r>
        <w:rPr>
          <w:spacing w:val="-7"/>
          <w:sz w:val="18"/>
        </w:rPr>
        <w:t> </w:t>
      </w:r>
      <w:r>
        <w:rPr>
          <w:sz w:val="18"/>
        </w:rPr>
        <w:t>had</w:t>
      </w:r>
      <w:r>
        <w:rPr>
          <w:spacing w:val="-6"/>
          <w:sz w:val="18"/>
        </w:rPr>
        <w:t> </w:t>
      </w:r>
      <w:r>
        <w:rPr>
          <w:sz w:val="18"/>
        </w:rPr>
        <w:t>declined</w:t>
      </w:r>
      <w:r>
        <w:rPr>
          <w:spacing w:val="-6"/>
          <w:sz w:val="18"/>
        </w:rPr>
        <w:t> </w:t>
      </w:r>
      <w:r>
        <w:rPr>
          <w:sz w:val="18"/>
        </w:rPr>
        <w:t>slightly,</w:t>
      </w:r>
      <w:r>
        <w:rPr>
          <w:spacing w:val="-7"/>
          <w:sz w:val="18"/>
        </w:rPr>
        <w:t> </w:t>
      </w:r>
      <w:r>
        <w:rPr>
          <w:sz w:val="18"/>
        </w:rPr>
        <w:t>largely</w:t>
      </w:r>
      <w:r>
        <w:rPr>
          <w:spacing w:val="-6"/>
          <w:sz w:val="18"/>
        </w:rPr>
        <w:t> </w:t>
      </w:r>
      <w:r>
        <w:rPr>
          <w:sz w:val="18"/>
        </w:rPr>
        <w:t>accounted</w:t>
      </w:r>
      <w:r>
        <w:rPr>
          <w:spacing w:val="-6"/>
          <w:sz w:val="18"/>
        </w:rPr>
        <w:t> </w:t>
      </w:r>
      <w:r>
        <w:rPr>
          <w:sz w:val="18"/>
        </w:rPr>
        <w:t>for by lower average hours worked by people in second</w:t>
      </w:r>
      <w:r>
        <w:rPr>
          <w:spacing w:val="-22"/>
          <w:sz w:val="18"/>
        </w:rPr>
        <w:t> </w:t>
      </w:r>
      <w:r>
        <w:rPr>
          <w:sz w:val="18"/>
        </w:rPr>
        <w:t>jobs.</w:t>
      </w:r>
    </w:p>
    <w:p>
      <w:pPr>
        <w:pStyle w:val="BodyText"/>
        <w:spacing w:before="1"/>
        <w:rPr>
          <w:sz w:val="17"/>
        </w:rPr>
      </w:pPr>
    </w:p>
    <w:p>
      <w:pPr>
        <w:pStyle w:val="ListParagraph"/>
        <w:numPr>
          <w:ilvl w:val="0"/>
          <w:numId w:val="56"/>
        </w:numPr>
        <w:tabs>
          <w:tab w:pos="639" w:val="left" w:leader="none"/>
          <w:tab w:pos="640" w:val="left" w:leader="none"/>
        </w:tabs>
        <w:spacing w:line="232" w:lineRule="auto" w:before="0" w:after="0"/>
        <w:ind w:left="160" w:right="209" w:firstLine="0"/>
        <w:jc w:val="left"/>
        <w:rPr>
          <w:sz w:val="18"/>
        </w:rPr>
      </w:pPr>
      <w:r>
        <w:rPr>
          <w:sz w:val="18"/>
        </w:rPr>
        <w:t>CIPS survey measures of employment growth had been little changed in June. The surveys had indicated that employment growth in construction and services had slowed slightly, while manufacturing employment had declined at a slightly faster rate than in previous months. The Recruitment and Employment Confederation (REC) survey had indicated that shortages of both temporary and permanent staff had intensified in June, but the Bank’s regional Agents had reported little change in overall skill shortages. The CBI/Deloitte &amp; Touche Service Sector survey and the CBI/PriceWaterhouseCoopers Financial Services Survey had also suggested a largely unchanged</w:t>
      </w:r>
      <w:r>
        <w:rPr>
          <w:spacing w:val="-9"/>
          <w:sz w:val="18"/>
        </w:rPr>
        <w:t> </w:t>
      </w:r>
      <w:r>
        <w:rPr>
          <w:sz w:val="18"/>
        </w:rPr>
        <w:t>picture.</w:t>
      </w:r>
    </w:p>
    <w:p>
      <w:pPr>
        <w:pStyle w:val="BodyText"/>
        <w:spacing w:before="7"/>
        <w:rPr>
          <w:sz w:val="16"/>
        </w:rPr>
      </w:pPr>
    </w:p>
    <w:p>
      <w:pPr>
        <w:pStyle w:val="ListParagraph"/>
        <w:numPr>
          <w:ilvl w:val="0"/>
          <w:numId w:val="56"/>
        </w:numPr>
        <w:tabs>
          <w:tab w:pos="639" w:val="left" w:leader="none"/>
          <w:tab w:pos="640" w:val="left" w:leader="none"/>
        </w:tabs>
        <w:spacing w:line="232" w:lineRule="auto" w:before="1" w:after="0"/>
        <w:ind w:left="160" w:right="170" w:firstLine="0"/>
        <w:jc w:val="left"/>
        <w:rPr>
          <w:sz w:val="18"/>
        </w:rPr>
      </w:pPr>
      <w:r>
        <w:rPr>
          <w:sz w:val="18"/>
        </w:rPr>
        <w:t>New vacancies notified to Jobcentres and Jobcentre placings had both fallen sharply in May. However, this had been affected by three closely spaced public holidays in the accounting period, as well as a change in the criteria for including a notified vacancy in the official figures. The underlying falls were probably much smaller.</w:t>
      </w:r>
    </w:p>
    <w:p>
      <w:pPr>
        <w:pStyle w:val="BodyText"/>
        <w:spacing w:before="11"/>
        <w:rPr>
          <w:sz w:val="16"/>
        </w:rPr>
      </w:pPr>
    </w:p>
    <w:p>
      <w:pPr>
        <w:pStyle w:val="ListParagraph"/>
        <w:numPr>
          <w:ilvl w:val="0"/>
          <w:numId w:val="56"/>
        </w:numPr>
        <w:tabs>
          <w:tab w:pos="639" w:val="left" w:leader="none"/>
          <w:tab w:pos="640" w:val="left" w:leader="none"/>
        </w:tabs>
        <w:spacing w:line="232" w:lineRule="auto" w:before="0" w:after="0"/>
        <w:ind w:left="160" w:right="185" w:firstLine="0"/>
        <w:jc w:val="left"/>
        <w:rPr>
          <w:sz w:val="18"/>
        </w:rPr>
      </w:pPr>
      <w:r>
        <w:rPr>
          <w:sz w:val="18"/>
        </w:rPr>
        <w:t>Unemployment had continued to fall on both the LFS and claimant count measures.  LFS unemployment had fallen by 60,000, and the unemployment rate by 0.2 percentage points, in the three months to April compared with the previous three months. Claimant</w:t>
      </w:r>
      <w:r>
        <w:rPr>
          <w:spacing w:val="-5"/>
          <w:sz w:val="18"/>
        </w:rPr>
        <w:t> </w:t>
      </w:r>
      <w:r>
        <w:rPr>
          <w:sz w:val="18"/>
        </w:rPr>
        <w:t>count</w:t>
      </w:r>
      <w:r>
        <w:rPr>
          <w:spacing w:val="-5"/>
          <w:sz w:val="18"/>
        </w:rPr>
        <w:t> </w:t>
      </w:r>
      <w:r>
        <w:rPr>
          <w:sz w:val="18"/>
        </w:rPr>
        <w:t>unemployment</w:t>
      </w:r>
      <w:r>
        <w:rPr>
          <w:spacing w:val="-5"/>
          <w:sz w:val="18"/>
        </w:rPr>
        <w:t> </w:t>
      </w:r>
      <w:r>
        <w:rPr>
          <w:sz w:val="18"/>
        </w:rPr>
        <w:t>had</w:t>
      </w:r>
      <w:r>
        <w:rPr>
          <w:spacing w:val="-5"/>
          <w:sz w:val="18"/>
        </w:rPr>
        <w:t> </w:t>
      </w:r>
      <w:r>
        <w:rPr>
          <w:sz w:val="18"/>
        </w:rPr>
        <w:t>fallen</w:t>
      </w:r>
      <w:r>
        <w:rPr>
          <w:spacing w:val="-5"/>
          <w:sz w:val="18"/>
        </w:rPr>
        <w:t> </w:t>
      </w:r>
      <w:r>
        <w:rPr>
          <w:sz w:val="18"/>
        </w:rPr>
        <w:t>by</w:t>
      </w:r>
      <w:r>
        <w:rPr>
          <w:spacing w:val="-4"/>
          <w:sz w:val="18"/>
        </w:rPr>
        <w:t> </w:t>
      </w:r>
      <w:r>
        <w:rPr>
          <w:sz w:val="18"/>
        </w:rPr>
        <w:t>8,600</w:t>
      </w:r>
      <w:r>
        <w:rPr>
          <w:spacing w:val="-5"/>
          <w:sz w:val="18"/>
        </w:rPr>
        <w:t> </w:t>
      </w:r>
      <w:r>
        <w:rPr>
          <w:sz w:val="18"/>
        </w:rPr>
        <w:t>in</w:t>
      </w:r>
      <w:r>
        <w:rPr>
          <w:spacing w:val="-5"/>
          <w:sz w:val="18"/>
        </w:rPr>
        <w:t> </w:t>
      </w:r>
      <w:r>
        <w:rPr>
          <w:sz w:val="18"/>
        </w:rPr>
        <w:t>May</w:t>
      </w:r>
      <w:r>
        <w:rPr>
          <w:spacing w:val="-5"/>
          <w:sz w:val="18"/>
        </w:rPr>
        <w:t> </w:t>
      </w:r>
      <w:r>
        <w:rPr>
          <w:sz w:val="18"/>
        </w:rPr>
        <w:t>from</w:t>
      </w:r>
      <w:r>
        <w:rPr>
          <w:spacing w:val="-5"/>
          <w:sz w:val="18"/>
        </w:rPr>
        <w:t> </w:t>
      </w:r>
      <w:r>
        <w:rPr>
          <w:sz w:val="18"/>
        </w:rPr>
        <w:t>the previous month, leaving the rate unchanged at 3.9%. As in Q1, the fall in LFS unemployment had been largely accounted for by lower long-term unemployment. Dispersion of unemployment across regions had risen slightly in Q1, but county-level dispersion had continued to</w:t>
      </w:r>
      <w:r>
        <w:rPr>
          <w:spacing w:val="-3"/>
          <w:sz w:val="18"/>
        </w:rPr>
        <w:t> </w:t>
      </w:r>
      <w:r>
        <w:rPr>
          <w:sz w:val="18"/>
        </w:rPr>
        <w:t>decline.</w:t>
      </w:r>
    </w:p>
    <w:p>
      <w:pPr>
        <w:spacing w:after="0" w:line="232" w:lineRule="auto"/>
        <w:jc w:val="left"/>
        <w:rPr>
          <w:sz w:val="18"/>
        </w:rPr>
        <w:sectPr>
          <w:type w:val="continuous"/>
          <w:pgSz w:w="11900" w:h="16840"/>
          <w:pgMar w:top="1260" w:bottom="280" w:left="640" w:right="640"/>
          <w:cols w:num="2" w:equalWidth="0">
            <w:col w:w="5109" w:space="281"/>
            <w:col w:w="5230"/>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7"/>
        <w:rPr>
          <w:sz w:val="19"/>
        </w:rPr>
      </w:pPr>
    </w:p>
    <w:p>
      <w:pPr>
        <w:pStyle w:val="ListParagraph"/>
        <w:numPr>
          <w:ilvl w:val="0"/>
          <w:numId w:val="56"/>
        </w:numPr>
        <w:tabs>
          <w:tab w:pos="649" w:val="left" w:leader="none"/>
          <w:tab w:pos="650" w:val="left" w:leader="none"/>
        </w:tabs>
        <w:spacing w:line="232" w:lineRule="auto" w:before="1" w:after="0"/>
        <w:ind w:left="170" w:right="293" w:firstLine="0"/>
        <w:jc w:val="left"/>
        <w:rPr>
          <w:sz w:val="18"/>
        </w:rPr>
      </w:pPr>
      <w:r>
        <w:rPr>
          <w:sz w:val="18"/>
        </w:rPr>
        <w:t>Inactivity had fallen by 15,000 in the three months to April compared with the previous three months, reflecting a 24,000 decline in female inactivity. Male inactivity had risen by 8,000.</w:t>
      </w:r>
    </w:p>
    <w:p>
      <w:pPr>
        <w:pStyle w:val="BodyText"/>
        <w:spacing w:before="1"/>
        <w:rPr>
          <w:sz w:val="17"/>
        </w:rPr>
      </w:pPr>
    </w:p>
    <w:p>
      <w:pPr>
        <w:pStyle w:val="ListParagraph"/>
        <w:numPr>
          <w:ilvl w:val="0"/>
          <w:numId w:val="56"/>
        </w:numPr>
        <w:tabs>
          <w:tab w:pos="649" w:val="left" w:leader="none"/>
          <w:tab w:pos="650" w:val="left" w:leader="none"/>
        </w:tabs>
        <w:spacing w:line="232" w:lineRule="auto" w:before="0" w:after="0"/>
        <w:ind w:left="170" w:right="493" w:firstLine="0"/>
        <w:jc w:val="left"/>
        <w:rPr>
          <w:sz w:val="18"/>
        </w:rPr>
      </w:pPr>
      <w:r>
        <w:rPr>
          <w:sz w:val="18"/>
        </w:rPr>
        <w:t>Headline earnings growth, as measured by the Average Earnings Index (AEI), had declined sharply in most sectors. Whole-economy headline earnings growth had fallen</w:t>
      </w:r>
      <w:r>
        <w:rPr>
          <w:spacing w:val="-21"/>
          <w:sz w:val="18"/>
        </w:rPr>
        <w:t> </w:t>
      </w:r>
      <w:r>
        <w:rPr>
          <w:sz w:val="18"/>
        </w:rPr>
        <w:t>by</w:t>
      </w:r>
    </w:p>
    <w:p>
      <w:pPr>
        <w:pStyle w:val="BodyText"/>
        <w:spacing w:line="232" w:lineRule="auto"/>
        <w:ind w:left="170" w:right="61"/>
      </w:pPr>
      <w:r>
        <w:rPr/>
        <w:t>0.6 percentage points in April to 5.1%, with the private sector accounting for all of this decrease (down by 0.8 percentage points to 5.3%). Within the private sector, headline earnings growth had fallen</w:t>
      </w:r>
      <w:r>
        <w:rPr>
          <w:spacing w:val="-6"/>
        </w:rPr>
        <w:t> </w:t>
      </w:r>
      <w:r>
        <w:rPr/>
        <w:t>in</w:t>
      </w:r>
      <w:r>
        <w:rPr>
          <w:spacing w:val="-5"/>
        </w:rPr>
        <w:t> </w:t>
      </w:r>
      <w:r>
        <w:rPr/>
        <w:t>both</w:t>
      </w:r>
      <w:r>
        <w:rPr>
          <w:spacing w:val="-5"/>
        </w:rPr>
        <w:t> </w:t>
      </w:r>
      <w:r>
        <w:rPr/>
        <w:t>private</w:t>
      </w:r>
      <w:r>
        <w:rPr>
          <w:spacing w:val="-5"/>
        </w:rPr>
        <w:t> </w:t>
      </w:r>
      <w:r>
        <w:rPr/>
        <w:t>services</w:t>
      </w:r>
      <w:r>
        <w:rPr>
          <w:spacing w:val="-5"/>
        </w:rPr>
        <w:t> </w:t>
      </w:r>
      <w:r>
        <w:rPr/>
        <w:t>and</w:t>
      </w:r>
      <w:r>
        <w:rPr>
          <w:spacing w:val="-5"/>
        </w:rPr>
        <w:t> </w:t>
      </w:r>
      <w:r>
        <w:rPr/>
        <w:t>manufacturing,</w:t>
      </w:r>
      <w:r>
        <w:rPr>
          <w:spacing w:val="-6"/>
        </w:rPr>
        <w:t> </w:t>
      </w:r>
      <w:r>
        <w:rPr/>
        <w:t>to</w:t>
      </w:r>
      <w:r>
        <w:rPr>
          <w:spacing w:val="-5"/>
        </w:rPr>
        <w:t> </w:t>
      </w:r>
      <w:r>
        <w:rPr/>
        <w:t>5.6%</w:t>
      </w:r>
      <w:r>
        <w:rPr>
          <w:spacing w:val="-5"/>
        </w:rPr>
        <w:t> </w:t>
      </w:r>
      <w:r>
        <w:rPr/>
        <w:t>and</w:t>
      </w:r>
      <w:r>
        <w:rPr>
          <w:spacing w:val="-5"/>
        </w:rPr>
        <w:t> </w:t>
      </w:r>
      <w:r>
        <w:rPr/>
        <w:t>4.3% respectively. Headline public sector earnings growth had risen</w:t>
      </w:r>
      <w:r>
        <w:rPr>
          <w:spacing w:val="4"/>
        </w:rPr>
        <w:t> </w:t>
      </w:r>
      <w:r>
        <w:rPr/>
        <w:t>by</w:t>
      </w:r>
    </w:p>
    <w:p>
      <w:pPr>
        <w:pStyle w:val="BodyText"/>
        <w:spacing w:line="198" w:lineRule="exact"/>
        <w:ind w:left="170"/>
      </w:pPr>
      <w:r>
        <w:rPr/>
        <w:t>0.1 percentage points to 4.3%.</w:t>
      </w:r>
    </w:p>
    <w:p>
      <w:pPr>
        <w:pStyle w:val="BodyText"/>
        <w:rPr>
          <w:sz w:val="17"/>
        </w:rPr>
      </w:pPr>
    </w:p>
    <w:p>
      <w:pPr>
        <w:pStyle w:val="ListParagraph"/>
        <w:numPr>
          <w:ilvl w:val="0"/>
          <w:numId w:val="56"/>
        </w:numPr>
        <w:tabs>
          <w:tab w:pos="649" w:val="left" w:leader="none"/>
          <w:tab w:pos="650" w:val="left" w:leader="none"/>
        </w:tabs>
        <w:spacing w:line="232" w:lineRule="auto" w:before="0" w:after="0"/>
        <w:ind w:left="170" w:right="312" w:firstLine="0"/>
        <w:jc w:val="left"/>
        <w:rPr>
          <w:sz w:val="18"/>
        </w:rPr>
      </w:pPr>
      <w:r>
        <w:rPr>
          <w:sz w:val="18"/>
        </w:rPr>
        <w:t>Actual earnings growth had declined by 0.8 percentage points to 4.4% in the twelve months to April. The private sector had accounted for all of this decrease (down by 0.8 percentage points to 4.4%): public sector earnings growth had risen</w:t>
      </w:r>
      <w:r>
        <w:rPr>
          <w:spacing w:val="-31"/>
          <w:sz w:val="18"/>
        </w:rPr>
        <w:t> </w:t>
      </w:r>
      <w:r>
        <w:rPr>
          <w:sz w:val="18"/>
        </w:rPr>
        <w:t>by</w:t>
      </w:r>
    </w:p>
    <w:p>
      <w:pPr>
        <w:pStyle w:val="BodyText"/>
        <w:spacing w:line="232" w:lineRule="auto"/>
        <w:ind w:left="170"/>
      </w:pPr>
      <w:r>
        <w:rPr/>
        <w:t>0.9 percentage points to 4.7%. Growth in regular pay, ie, excluding bonuses, had fallen to 4.4% in April from 4.7% in March (not seasonally adjusted). Bonuses had reduced earnings growth by</w:t>
      </w:r>
    </w:p>
    <w:p>
      <w:pPr>
        <w:pStyle w:val="BodyText"/>
        <w:spacing w:line="232" w:lineRule="auto"/>
        <w:ind w:left="170" w:right="79"/>
      </w:pPr>
      <w:r>
        <w:rPr/>
        <w:t>0.2 percentage points in April (not seasonally adjusted), compared with a positive contribution of 0.9 percentage points in March. The Bank’s estimate of growth in earnings per hour had also fallen back, to below 6% in April, with the increase in average hours narrowing the gap between heads and hours-based</w:t>
      </w:r>
      <w:r>
        <w:rPr>
          <w:spacing w:val="-23"/>
        </w:rPr>
        <w:t> </w:t>
      </w:r>
      <w:r>
        <w:rPr/>
        <w:t>measures.</w:t>
      </w:r>
    </w:p>
    <w:p>
      <w:pPr>
        <w:pStyle w:val="BodyText"/>
        <w:spacing w:before="7"/>
        <w:rPr>
          <w:sz w:val="16"/>
        </w:rPr>
      </w:pPr>
    </w:p>
    <w:p>
      <w:pPr>
        <w:pStyle w:val="ListParagraph"/>
        <w:numPr>
          <w:ilvl w:val="0"/>
          <w:numId w:val="56"/>
        </w:numPr>
        <w:tabs>
          <w:tab w:pos="649" w:val="left" w:leader="none"/>
          <w:tab w:pos="650" w:val="left" w:leader="none"/>
        </w:tabs>
        <w:spacing w:line="232" w:lineRule="auto" w:before="0" w:after="0"/>
        <w:ind w:left="170" w:right="273" w:firstLine="0"/>
        <w:jc w:val="left"/>
        <w:rPr>
          <w:sz w:val="18"/>
        </w:rPr>
      </w:pPr>
      <w:r>
        <w:rPr>
          <w:sz w:val="18"/>
        </w:rPr>
        <w:t>The REC survey had indicated a pick-up in the rate of growth of permanent agency placement salaries in June. Growth rates for temporary staff had also</w:t>
      </w:r>
      <w:r>
        <w:rPr>
          <w:spacing w:val="-11"/>
          <w:sz w:val="18"/>
        </w:rPr>
        <w:t> </w:t>
      </w:r>
      <w:r>
        <w:rPr>
          <w:sz w:val="18"/>
        </w:rPr>
        <w:t>increased.</w:t>
      </w:r>
    </w:p>
    <w:p>
      <w:pPr>
        <w:pStyle w:val="BodyText"/>
        <w:spacing w:before="2"/>
        <w:rPr>
          <w:sz w:val="17"/>
        </w:rPr>
      </w:pPr>
    </w:p>
    <w:p>
      <w:pPr>
        <w:pStyle w:val="ListParagraph"/>
        <w:numPr>
          <w:ilvl w:val="0"/>
          <w:numId w:val="56"/>
        </w:numPr>
        <w:tabs>
          <w:tab w:pos="649" w:val="left" w:leader="none"/>
          <w:tab w:pos="650" w:val="left" w:leader="none"/>
        </w:tabs>
        <w:spacing w:line="232" w:lineRule="auto" w:before="0" w:after="0"/>
        <w:ind w:left="170" w:right="58" w:firstLine="0"/>
        <w:jc w:val="left"/>
        <w:rPr>
          <w:sz w:val="18"/>
        </w:rPr>
      </w:pPr>
      <w:r>
        <w:rPr>
          <w:sz w:val="18"/>
        </w:rPr>
        <w:t>The growth of wages and salaries per head, calculated from the National Accounts, had increased slightly to 5.2% in Q1, broadly in line with the AEI over the period. But the growth rate of unit wage costs had fallen slightly, reflecting the offsetting influence of whole-economy productivity growth, which had been 2.2% in Q1. The broad trend of the labour share of national income had continued upwards, though it had yet to reach the early-1990s peak.</w:t>
      </w:r>
    </w:p>
    <w:p>
      <w:pPr>
        <w:pStyle w:val="BodyText"/>
        <w:spacing w:before="10"/>
        <w:rPr>
          <w:sz w:val="16"/>
        </w:rPr>
      </w:pPr>
    </w:p>
    <w:p>
      <w:pPr>
        <w:pStyle w:val="ListParagraph"/>
        <w:numPr>
          <w:ilvl w:val="0"/>
          <w:numId w:val="56"/>
        </w:numPr>
        <w:tabs>
          <w:tab w:pos="649" w:val="left" w:leader="none"/>
          <w:tab w:pos="650" w:val="left" w:leader="none"/>
        </w:tabs>
        <w:spacing w:line="232" w:lineRule="auto" w:before="0" w:after="0"/>
        <w:ind w:left="170" w:right="268" w:firstLine="0"/>
        <w:jc w:val="left"/>
        <w:rPr>
          <w:sz w:val="18"/>
        </w:rPr>
      </w:pPr>
      <w:r>
        <w:rPr>
          <w:sz w:val="18"/>
        </w:rPr>
        <w:t>As was usual for this time of the year, there had been little new information on settlements. The Bank’s AEI-weighted twelve-month mean was flat at 3.1% in May. The public and private sector means were also</w:t>
      </w:r>
      <w:r>
        <w:rPr>
          <w:spacing w:val="-9"/>
          <w:sz w:val="18"/>
        </w:rPr>
        <w:t> </w:t>
      </w:r>
      <w:r>
        <w:rPr>
          <w:sz w:val="18"/>
        </w:rPr>
        <w:t>unchanged.</w:t>
      </w:r>
    </w:p>
    <w:p>
      <w:pPr>
        <w:pStyle w:val="BodyText"/>
        <w:spacing w:before="4"/>
        <w:rPr>
          <w:sz w:val="20"/>
        </w:rPr>
      </w:pPr>
    </w:p>
    <w:p>
      <w:pPr>
        <w:pStyle w:val="Heading4"/>
        <w:numPr>
          <w:ilvl w:val="0"/>
          <w:numId w:val="57"/>
        </w:numPr>
        <w:tabs>
          <w:tab w:pos="649" w:val="left" w:leader="none"/>
          <w:tab w:pos="651" w:val="left" w:leader="none"/>
        </w:tabs>
        <w:spacing w:line="240" w:lineRule="auto" w:before="1" w:after="0"/>
        <w:ind w:left="650" w:right="0" w:hanging="481"/>
        <w:jc w:val="left"/>
      </w:pPr>
      <w:r>
        <w:rPr>
          <w:color w:val="009391"/>
        </w:rPr>
        <w:t>Prices</w:t>
      </w:r>
    </w:p>
    <w:p>
      <w:pPr>
        <w:pStyle w:val="ListParagraph"/>
        <w:numPr>
          <w:ilvl w:val="0"/>
          <w:numId w:val="56"/>
        </w:numPr>
        <w:tabs>
          <w:tab w:pos="649" w:val="left" w:leader="none"/>
          <w:tab w:pos="650" w:val="left" w:leader="none"/>
        </w:tabs>
        <w:spacing w:line="232" w:lineRule="auto" w:before="109" w:after="0"/>
        <w:ind w:left="170" w:right="103" w:firstLine="0"/>
        <w:jc w:val="left"/>
        <w:rPr>
          <w:sz w:val="18"/>
        </w:rPr>
      </w:pPr>
      <w:r>
        <w:rPr>
          <w:sz w:val="18"/>
        </w:rPr>
        <w:t>The Bank oil-inclusive commodity price index had risen by 6.4% in May, the second largest monthly rise since the start of the series in 1990. This had taken the annual inflation rate from 8.9% up to 16.4%. The increase had reflected large rises in the prices of all the components of the index except domestic food. The fuels component</w:t>
      </w:r>
      <w:r>
        <w:rPr>
          <w:spacing w:val="-5"/>
          <w:sz w:val="18"/>
        </w:rPr>
        <w:t> </w:t>
      </w:r>
      <w:r>
        <w:rPr>
          <w:sz w:val="18"/>
        </w:rPr>
        <w:t>of</w:t>
      </w:r>
      <w:r>
        <w:rPr>
          <w:spacing w:val="-5"/>
          <w:sz w:val="18"/>
        </w:rPr>
        <w:t> </w:t>
      </w:r>
      <w:r>
        <w:rPr>
          <w:sz w:val="18"/>
        </w:rPr>
        <w:t>the</w:t>
      </w:r>
      <w:r>
        <w:rPr>
          <w:spacing w:val="-4"/>
          <w:sz w:val="18"/>
        </w:rPr>
        <w:t> </w:t>
      </w:r>
      <w:r>
        <w:rPr>
          <w:sz w:val="18"/>
        </w:rPr>
        <w:t>index</w:t>
      </w:r>
      <w:r>
        <w:rPr>
          <w:spacing w:val="-5"/>
          <w:sz w:val="18"/>
        </w:rPr>
        <w:t> </w:t>
      </w:r>
      <w:r>
        <w:rPr>
          <w:sz w:val="18"/>
        </w:rPr>
        <w:t>had</w:t>
      </w:r>
      <w:r>
        <w:rPr>
          <w:spacing w:val="-4"/>
          <w:sz w:val="18"/>
        </w:rPr>
        <w:t> </w:t>
      </w:r>
      <w:r>
        <w:rPr>
          <w:sz w:val="18"/>
        </w:rPr>
        <w:t>risen</w:t>
      </w:r>
      <w:r>
        <w:rPr>
          <w:spacing w:val="-5"/>
          <w:sz w:val="18"/>
        </w:rPr>
        <w:t> </w:t>
      </w:r>
      <w:r>
        <w:rPr>
          <w:sz w:val="18"/>
        </w:rPr>
        <w:t>by</w:t>
      </w:r>
      <w:r>
        <w:rPr>
          <w:spacing w:val="-4"/>
          <w:sz w:val="18"/>
        </w:rPr>
        <w:t> </w:t>
      </w:r>
      <w:r>
        <w:rPr>
          <w:sz w:val="18"/>
        </w:rPr>
        <w:t>12%,</w:t>
      </w:r>
      <w:r>
        <w:rPr>
          <w:spacing w:val="-5"/>
          <w:sz w:val="18"/>
        </w:rPr>
        <w:t> </w:t>
      </w:r>
      <w:r>
        <w:rPr>
          <w:sz w:val="18"/>
        </w:rPr>
        <w:t>largely</w:t>
      </w:r>
      <w:r>
        <w:rPr>
          <w:spacing w:val="-4"/>
          <w:sz w:val="18"/>
        </w:rPr>
        <w:t> </w:t>
      </w:r>
      <w:r>
        <w:rPr>
          <w:sz w:val="18"/>
        </w:rPr>
        <w:t>accounted</w:t>
      </w:r>
      <w:r>
        <w:rPr>
          <w:spacing w:val="-5"/>
          <w:sz w:val="18"/>
        </w:rPr>
        <w:t> </w:t>
      </w:r>
      <w:r>
        <w:rPr>
          <w:sz w:val="18"/>
        </w:rPr>
        <w:t>for</w:t>
      </w:r>
      <w:r>
        <w:rPr>
          <w:spacing w:val="-4"/>
          <w:sz w:val="18"/>
        </w:rPr>
        <w:t> </w:t>
      </w:r>
      <w:r>
        <w:rPr>
          <w:sz w:val="18"/>
        </w:rPr>
        <w:t>by the rise of more than 20% in the sterling oil price in May. The sterling oil price had risen by a further 8% in June. The</w:t>
      </w:r>
      <w:r>
        <w:rPr>
          <w:spacing w:val="11"/>
          <w:sz w:val="18"/>
        </w:rPr>
        <w:t> </w:t>
      </w:r>
      <w:r>
        <w:rPr>
          <w:sz w:val="18"/>
        </w:rPr>
        <w:t>Bank</w:t>
      </w:r>
    </w:p>
    <w:p>
      <w:pPr>
        <w:pStyle w:val="BodyText"/>
        <w:spacing w:line="232" w:lineRule="auto"/>
        <w:ind w:left="170" w:right="34"/>
      </w:pPr>
      <w:r>
        <w:rPr/>
        <w:t>oil-exclusive commodity price index had risen by 2.2% in May, and by 3.1% over the past year.</w:t>
      </w:r>
    </w:p>
    <w:p>
      <w:pPr>
        <w:pStyle w:val="BodyText"/>
        <w:spacing w:before="8"/>
        <w:rPr>
          <w:sz w:val="16"/>
        </w:rPr>
      </w:pPr>
    </w:p>
    <w:p>
      <w:pPr>
        <w:pStyle w:val="ListParagraph"/>
        <w:numPr>
          <w:ilvl w:val="0"/>
          <w:numId w:val="56"/>
        </w:numPr>
        <w:tabs>
          <w:tab w:pos="649" w:val="left" w:leader="none"/>
          <w:tab w:pos="650" w:val="left" w:leader="none"/>
        </w:tabs>
        <w:spacing w:line="232" w:lineRule="auto" w:before="0" w:after="0"/>
        <w:ind w:left="170" w:right="38" w:firstLine="0"/>
        <w:jc w:val="left"/>
        <w:rPr>
          <w:sz w:val="18"/>
        </w:rPr>
      </w:pPr>
      <w:r>
        <w:rPr>
          <w:sz w:val="18"/>
        </w:rPr>
        <w:t>Manufacturing input prices had risen by 3.6% in May, taking the annual inflation rate from 7.9% to 12.9%. The large monthly rise had mainly reflected the sharp increase in the price of oil in May, though there had also been rises in the prices of metals and of imported materials. Input prices excluding food, drink, tobacco and petroleum had risen by 0.7% in May, taking the annual rate of inflation to 4.0%, its highest since November 1995. The CIPS manufacturing</w:t>
      </w:r>
      <w:r>
        <w:rPr>
          <w:spacing w:val="-5"/>
          <w:sz w:val="18"/>
        </w:rPr>
        <w:t> </w:t>
      </w:r>
      <w:r>
        <w:rPr>
          <w:sz w:val="18"/>
        </w:rPr>
        <w:t>survey</w:t>
      </w:r>
      <w:r>
        <w:rPr>
          <w:spacing w:val="-5"/>
          <w:sz w:val="18"/>
        </w:rPr>
        <w:t> </w:t>
      </w:r>
      <w:r>
        <w:rPr>
          <w:sz w:val="18"/>
        </w:rPr>
        <w:t>input</w:t>
      </w:r>
      <w:r>
        <w:rPr>
          <w:spacing w:val="-5"/>
          <w:sz w:val="18"/>
        </w:rPr>
        <w:t> </w:t>
      </w:r>
      <w:r>
        <w:rPr>
          <w:sz w:val="18"/>
        </w:rPr>
        <w:t>price</w:t>
      </w:r>
      <w:r>
        <w:rPr>
          <w:spacing w:val="-4"/>
          <w:sz w:val="18"/>
        </w:rPr>
        <w:t> </w:t>
      </w:r>
      <w:r>
        <w:rPr>
          <w:sz w:val="18"/>
        </w:rPr>
        <w:t>index</w:t>
      </w:r>
      <w:r>
        <w:rPr>
          <w:spacing w:val="-5"/>
          <w:sz w:val="18"/>
        </w:rPr>
        <w:t> </w:t>
      </w:r>
      <w:r>
        <w:rPr>
          <w:sz w:val="18"/>
        </w:rPr>
        <w:t>had</w:t>
      </w:r>
      <w:r>
        <w:rPr>
          <w:spacing w:val="-5"/>
          <w:sz w:val="18"/>
        </w:rPr>
        <w:t> </w:t>
      </w:r>
      <w:r>
        <w:rPr>
          <w:sz w:val="18"/>
        </w:rPr>
        <w:t>risen</w:t>
      </w:r>
      <w:r>
        <w:rPr>
          <w:spacing w:val="-5"/>
          <w:sz w:val="18"/>
        </w:rPr>
        <w:t> </w:t>
      </w:r>
      <w:r>
        <w:rPr>
          <w:sz w:val="18"/>
        </w:rPr>
        <w:t>to</w:t>
      </w:r>
      <w:r>
        <w:rPr>
          <w:spacing w:val="-4"/>
          <w:sz w:val="18"/>
        </w:rPr>
        <w:t> </w:t>
      </w:r>
      <w:r>
        <w:rPr>
          <w:sz w:val="18"/>
        </w:rPr>
        <w:t>61.4</w:t>
      </w:r>
      <w:r>
        <w:rPr>
          <w:spacing w:val="-5"/>
          <w:sz w:val="18"/>
        </w:rPr>
        <w:t> </w:t>
      </w:r>
      <w:r>
        <w:rPr>
          <w:sz w:val="18"/>
        </w:rPr>
        <w:t>in</w:t>
      </w:r>
      <w:r>
        <w:rPr>
          <w:spacing w:val="-5"/>
          <w:sz w:val="18"/>
        </w:rPr>
        <w:t> </w:t>
      </w:r>
      <w:r>
        <w:rPr>
          <w:sz w:val="18"/>
        </w:rPr>
        <w:t>June,</w:t>
      </w:r>
      <w:r>
        <w:rPr>
          <w:spacing w:val="-5"/>
          <w:sz w:val="18"/>
        </w:rPr>
        <w:t> </w:t>
      </w:r>
      <w:r>
        <w:rPr>
          <w:sz w:val="18"/>
        </w:rPr>
        <w:t>up from 59.7 in the previous month. Output prices excluding excise duties (PPIY) had risen by 0.2% in May, taking the annual inflation rate to 1.7%, slightly up from 1.6% in April. The output price balance in the June CBI Industrial Trends survey had risen slightly, to -18 from -21 in</w:t>
      </w:r>
      <w:r>
        <w:rPr>
          <w:spacing w:val="-6"/>
          <w:sz w:val="18"/>
        </w:rPr>
        <w:t> </w:t>
      </w:r>
      <w:r>
        <w:rPr>
          <w:sz w:val="18"/>
        </w:rPr>
        <w:t>May.</w:t>
      </w:r>
    </w:p>
    <w:p>
      <w:pPr>
        <w:pStyle w:val="BodyText"/>
        <w:spacing w:before="7"/>
        <w:rPr>
          <w:sz w:val="19"/>
        </w:rPr>
      </w:pPr>
      <w:r>
        <w:rPr/>
        <w:br w:type="column"/>
      </w:r>
      <w:r>
        <w:rPr>
          <w:sz w:val="19"/>
        </w:rPr>
      </w:r>
    </w:p>
    <w:p>
      <w:pPr>
        <w:pStyle w:val="ListParagraph"/>
        <w:numPr>
          <w:ilvl w:val="0"/>
          <w:numId w:val="56"/>
        </w:numPr>
        <w:tabs>
          <w:tab w:pos="649" w:val="left" w:leader="none"/>
          <w:tab w:pos="650" w:val="left" w:leader="none"/>
        </w:tabs>
        <w:spacing w:line="232" w:lineRule="auto" w:before="1" w:after="0"/>
        <w:ind w:left="170" w:right="245" w:firstLine="0"/>
        <w:jc w:val="left"/>
        <w:rPr>
          <w:sz w:val="18"/>
        </w:rPr>
      </w:pPr>
      <w:r>
        <w:rPr>
          <w:sz w:val="18"/>
        </w:rPr>
        <w:t>The prices of imported and exported goods had risen by 0.4%</w:t>
      </w:r>
      <w:r>
        <w:rPr>
          <w:spacing w:val="-5"/>
          <w:sz w:val="18"/>
        </w:rPr>
        <w:t> </w:t>
      </w:r>
      <w:r>
        <w:rPr>
          <w:sz w:val="18"/>
        </w:rPr>
        <w:t>and</w:t>
      </w:r>
      <w:r>
        <w:rPr>
          <w:spacing w:val="-5"/>
          <w:sz w:val="18"/>
        </w:rPr>
        <w:t> </w:t>
      </w:r>
      <w:r>
        <w:rPr>
          <w:sz w:val="18"/>
        </w:rPr>
        <w:t>0.8%</w:t>
      </w:r>
      <w:r>
        <w:rPr>
          <w:spacing w:val="-5"/>
          <w:sz w:val="18"/>
        </w:rPr>
        <w:t> </w:t>
      </w:r>
      <w:r>
        <w:rPr>
          <w:sz w:val="18"/>
        </w:rPr>
        <w:t>respectively</w:t>
      </w:r>
      <w:r>
        <w:rPr>
          <w:spacing w:val="-5"/>
          <w:sz w:val="18"/>
        </w:rPr>
        <w:t> </w:t>
      </w:r>
      <w:r>
        <w:rPr>
          <w:sz w:val="18"/>
        </w:rPr>
        <w:t>in</w:t>
      </w:r>
      <w:r>
        <w:rPr>
          <w:spacing w:val="-5"/>
          <w:sz w:val="18"/>
        </w:rPr>
        <w:t> </w:t>
      </w:r>
      <w:r>
        <w:rPr>
          <w:sz w:val="18"/>
        </w:rPr>
        <w:t>the</w:t>
      </w:r>
      <w:r>
        <w:rPr>
          <w:spacing w:val="-5"/>
          <w:sz w:val="18"/>
        </w:rPr>
        <w:t> </w:t>
      </w:r>
      <w:r>
        <w:rPr>
          <w:sz w:val="18"/>
        </w:rPr>
        <w:t>three</w:t>
      </w:r>
      <w:r>
        <w:rPr>
          <w:spacing w:val="-5"/>
          <w:sz w:val="18"/>
        </w:rPr>
        <w:t> </w:t>
      </w:r>
      <w:r>
        <w:rPr>
          <w:sz w:val="18"/>
        </w:rPr>
        <w:t>months</w:t>
      </w:r>
      <w:r>
        <w:rPr>
          <w:spacing w:val="-5"/>
          <w:sz w:val="18"/>
        </w:rPr>
        <w:t> </w:t>
      </w:r>
      <w:r>
        <w:rPr>
          <w:sz w:val="18"/>
        </w:rPr>
        <w:t>to</w:t>
      </w:r>
      <w:r>
        <w:rPr>
          <w:spacing w:val="-5"/>
          <w:sz w:val="18"/>
        </w:rPr>
        <w:t> </w:t>
      </w:r>
      <w:r>
        <w:rPr>
          <w:sz w:val="18"/>
        </w:rPr>
        <w:t>April</w:t>
      </w:r>
      <w:r>
        <w:rPr>
          <w:spacing w:val="-5"/>
          <w:sz w:val="18"/>
        </w:rPr>
        <w:t> </w:t>
      </w:r>
      <w:r>
        <w:rPr>
          <w:sz w:val="18"/>
        </w:rPr>
        <w:t>compared with the previous three months. Excluding oil, the price of imported goods had risen by 0.2%, while the price of exported goods had fallen by 0.1% over the same</w:t>
      </w:r>
      <w:r>
        <w:rPr>
          <w:spacing w:val="-14"/>
          <w:sz w:val="18"/>
        </w:rPr>
        <w:t> </w:t>
      </w:r>
      <w:r>
        <w:rPr>
          <w:sz w:val="18"/>
        </w:rPr>
        <w:t>period.</w:t>
      </w:r>
    </w:p>
    <w:p>
      <w:pPr>
        <w:pStyle w:val="BodyText"/>
        <w:rPr>
          <w:sz w:val="17"/>
        </w:rPr>
      </w:pPr>
    </w:p>
    <w:p>
      <w:pPr>
        <w:pStyle w:val="ListParagraph"/>
        <w:numPr>
          <w:ilvl w:val="0"/>
          <w:numId w:val="56"/>
        </w:numPr>
        <w:tabs>
          <w:tab w:pos="649" w:val="left" w:leader="none"/>
          <w:tab w:pos="650" w:val="left" w:leader="none"/>
        </w:tabs>
        <w:spacing w:line="232" w:lineRule="auto" w:before="0" w:after="0"/>
        <w:ind w:left="170" w:right="550" w:firstLine="0"/>
        <w:jc w:val="left"/>
        <w:rPr>
          <w:sz w:val="18"/>
        </w:rPr>
      </w:pPr>
      <w:r>
        <w:rPr>
          <w:sz w:val="18"/>
        </w:rPr>
        <w:t>Annual inflation in the GDP deflator at market prices in 2000 Q1 had remained unrevised at 2.7%. But there</w:t>
      </w:r>
      <w:r>
        <w:rPr>
          <w:spacing w:val="-27"/>
          <w:sz w:val="18"/>
        </w:rPr>
        <w:t> </w:t>
      </w:r>
      <w:r>
        <w:rPr>
          <w:sz w:val="18"/>
        </w:rPr>
        <w:t>had</w:t>
      </w:r>
    </w:p>
    <w:p>
      <w:pPr>
        <w:pStyle w:val="BodyText"/>
        <w:spacing w:line="232" w:lineRule="auto"/>
        <w:ind w:left="170" w:right="681"/>
      </w:pPr>
      <w:r>
        <w:rPr/>
        <w:t>been revisions to the components. The annual inflation rates of the investment and government consumption deflators had</w:t>
      </w:r>
      <w:r>
        <w:rPr>
          <w:spacing w:val="-4"/>
        </w:rPr>
        <w:t> </w:t>
      </w:r>
      <w:r>
        <w:rPr/>
        <w:t>been</w:t>
      </w:r>
      <w:r>
        <w:rPr>
          <w:spacing w:val="-4"/>
        </w:rPr>
        <w:t> </w:t>
      </w:r>
      <w:r>
        <w:rPr/>
        <w:t>revised</w:t>
      </w:r>
      <w:r>
        <w:rPr>
          <w:spacing w:val="-4"/>
        </w:rPr>
        <w:t> </w:t>
      </w:r>
      <w:r>
        <w:rPr/>
        <w:t>upwards</w:t>
      </w:r>
      <w:r>
        <w:rPr>
          <w:spacing w:val="-4"/>
        </w:rPr>
        <w:t> </w:t>
      </w:r>
      <w:r>
        <w:rPr/>
        <w:t>in</w:t>
      </w:r>
      <w:r>
        <w:rPr>
          <w:spacing w:val="-4"/>
        </w:rPr>
        <w:t> </w:t>
      </w:r>
      <w:r>
        <w:rPr/>
        <w:t>2000</w:t>
      </w:r>
      <w:r>
        <w:rPr>
          <w:spacing w:val="-4"/>
        </w:rPr>
        <w:t> </w:t>
      </w:r>
      <w:r>
        <w:rPr/>
        <w:t>Q1,</w:t>
      </w:r>
      <w:r>
        <w:rPr>
          <w:spacing w:val="-3"/>
        </w:rPr>
        <w:t> </w:t>
      </w:r>
      <w:r>
        <w:rPr/>
        <w:t>offset</w:t>
      </w:r>
      <w:r>
        <w:rPr>
          <w:spacing w:val="-4"/>
        </w:rPr>
        <w:t> </w:t>
      </w:r>
      <w:r>
        <w:rPr/>
        <w:t>by</w:t>
      </w:r>
      <w:r>
        <w:rPr>
          <w:spacing w:val="-4"/>
        </w:rPr>
        <w:t> </w:t>
      </w:r>
      <w:r>
        <w:rPr/>
        <w:t>downward</w:t>
      </w:r>
    </w:p>
    <w:p>
      <w:pPr>
        <w:pStyle w:val="BodyText"/>
        <w:spacing w:line="232" w:lineRule="auto"/>
        <w:ind w:left="170" w:right="220"/>
      </w:pPr>
      <w:r>
        <w:rPr/>
        <w:t>revisions to the annual inflation rate of the household consumption deflator.</w:t>
      </w:r>
    </w:p>
    <w:p>
      <w:pPr>
        <w:pStyle w:val="BodyText"/>
        <w:spacing w:before="11"/>
        <w:rPr>
          <w:sz w:val="16"/>
        </w:rPr>
      </w:pPr>
    </w:p>
    <w:p>
      <w:pPr>
        <w:pStyle w:val="ListParagraph"/>
        <w:numPr>
          <w:ilvl w:val="0"/>
          <w:numId w:val="56"/>
        </w:numPr>
        <w:tabs>
          <w:tab w:pos="649" w:val="left" w:leader="none"/>
          <w:tab w:pos="650" w:val="left" w:leader="none"/>
        </w:tabs>
        <w:spacing w:line="232" w:lineRule="auto" w:before="0" w:after="0"/>
        <w:ind w:left="170" w:right="559" w:firstLine="0"/>
        <w:jc w:val="left"/>
        <w:rPr>
          <w:sz w:val="18"/>
        </w:rPr>
      </w:pPr>
      <w:r>
        <w:rPr>
          <w:sz w:val="18"/>
        </w:rPr>
        <w:t>RPIX inflation had risen to 2.0% in May, up from 1.9% in the previous month. This had largely reflected</w:t>
      </w:r>
      <w:r>
        <w:rPr>
          <w:spacing w:val="-26"/>
          <w:sz w:val="18"/>
        </w:rPr>
        <w:t> </w:t>
      </w:r>
      <w:r>
        <w:rPr>
          <w:sz w:val="18"/>
        </w:rPr>
        <w:t>higher</w:t>
      </w:r>
    </w:p>
    <w:p>
      <w:pPr>
        <w:pStyle w:val="BodyText"/>
        <w:spacing w:line="232" w:lineRule="auto"/>
        <w:ind w:left="170" w:right="151"/>
      </w:pPr>
      <w:r>
        <w:rPr/>
        <w:t>contributions from non-seasonal food prices, car prices and housing depreciation. RPI inflation had risen from 3.0% to 3.1% in May. RPIY inflation had risen to 1.7% in May from 1.6%, while HICP inflation had fallen from 0.6% to 0.5% in May. The difference between RPIX and HICP inflation had widened to 1.5 percentage points.</w:t>
      </w:r>
    </w:p>
    <w:p>
      <w:pPr>
        <w:pStyle w:val="BodyText"/>
        <w:spacing w:before="1"/>
        <w:rPr>
          <w:sz w:val="20"/>
        </w:rPr>
      </w:pPr>
    </w:p>
    <w:p>
      <w:pPr>
        <w:pStyle w:val="Heading4"/>
        <w:numPr>
          <w:ilvl w:val="0"/>
          <w:numId w:val="57"/>
        </w:numPr>
        <w:tabs>
          <w:tab w:pos="650" w:val="left" w:leader="none"/>
          <w:tab w:pos="651" w:val="left" w:leader="none"/>
        </w:tabs>
        <w:spacing w:line="240" w:lineRule="auto" w:before="0" w:after="0"/>
        <w:ind w:left="650" w:right="0" w:hanging="481"/>
        <w:jc w:val="left"/>
      </w:pPr>
      <w:r>
        <w:rPr>
          <w:color w:val="009391"/>
        </w:rPr>
        <w:t>Reports by the </w:t>
      </w:r>
      <w:r>
        <w:rPr>
          <w:color w:val="009391"/>
          <w:spacing w:val="-3"/>
        </w:rPr>
        <w:t>Bank’s</w:t>
      </w:r>
      <w:r>
        <w:rPr>
          <w:color w:val="009391"/>
          <w:spacing w:val="-6"/>
        </w:rPr>
        <w:t> </w:t>
      </w:r>
      <w:r>
        <w:rPr>
          <w:color w:val="009391"/>
        </w:rPr>
        <w:t>Agents</w:t>
      </w:r>
    </w:p>
    <w:p>
      <w:pPr>
        <w:pStyle w:val="ListParagraph"/>
        <w:numPr>
          <w:ilvl w:val="0"/>
          <w:numId w:val="56"/>
        </w:numPr>
        <w:tabs>
          <w:tab w:pos="649" w:val="left" w:leader="none"/>
          <w:tab w:pos="650" w:val="left" w:leader="none"/>
        </w:tabs>
        <w:spacing w:line="232" w:lineRule="auto" w:before="90" w:after="0"/>
        <w:ind w:left="170" w:right="241" w:firstLine="0"/>
        <w:jc w:val="left"/>
        <w:rPr>
          <w:sz w:val="18"/>
        </w:rPr>
      </w:pPr>
      <w:r>
        <w:rPr>
          <w:sz w:val="18"/>
        </w:rPr>
        <w:t>The Bank’s regional Agents had reported that growth in manufacturing output had eased further, although high-technology sectors remained strong. It was still too early for the depreciation of sterling to be seen in higher orders. Construction growth had slowed, mostly accounted for by weaker residential construction. There were signs that service sector growth had peaked. The financial services and IT sectors had remained strong, but business travel and in particular UK tourism, had been weaker. Agents’ contacts had reported a more modest easing in annual retail sales growth than the official figures. New car sales were reported to be weaker after earlier stock</w:t>
      </w:r>
      <w:r>
        <w:rPr>
          <w:spacing w:val="-7"/>
          <w:sz w:val="18"/>
        </w:rPr>
        <w:t> </w:t>
      </w:r>
      <w:r>
        <w:rPr>
          <w:sz w:val="18"/>
        </w:rPr>
        <w:t>clearances.</w:t>
      </w:r>
    </w:p>
    <w:p>
      <w:pPr>
        <w:pStyle w:val="BodyText"/>
        <w:spacing w:before="7"/>
        <w:rPr>
          <w:sz w:val="16"/>
        </w:rPr>
      </w:pPr>
    </w:p>
    <w:p>
      <w:pPr>
        <w:pStyle w:val="ListParagraph"/>
        <w:numPr>
          <w:ilvl w:val="0"/>
          <w:numId w:val="56"/>
        </w:numPr>
        <w:tabs>
          <w:tab w:pos="649" w:val="left" w:leader="none"/>
          <w:tab w:pos="650" w:val="left" w:leader="none"/>
        </w:tabs>
        <w:spacing w:line="232" w:lineRule="auto" w:before="0" w:after="0"/>
        <w:ind w:left="170" w:right="161" w:firstLine="0"/>
        <w:jc w:val="left"/>
        <w:rPr>
          <w:sz w:val="18"/>
        </w:rPr>
      </w:pPr>
      <w:r>
        <w:rPr>
          <w:sz w:val="18"/>
        </w:rPr>
        <w:t>The pass-through from the higher oil price to related products had been more evident recently. Downward pressure on manufacturers’ domestic output prices had continued, although there were some signs of the fall in export prices easing and more firms were expecting to raise prices in the second half of the year. The</w:t>
      </w:r>
      <w:r>
        <w:rPr>
          <w:spacing w:val="-5"/>
          <w:sz w:val="18"/>
        </w:rPr>
        <w:t> </w:t>
      </w:r>
      <w:r>
        <w:rPr>
          <w:sz w:val="18"/>
        </w:rPr>
        <w:t>recent</w:t>
      </w:r>
      <w:r>
        <w:rPr>
          <w:spacing w:val="-5"/>
          <w:sz w:val="18"/>
        </w:rPr>
        <w:t> </w:t>
      </w:r>
      <w:r>
        <w:rPr>
          <w:sz w:val="18"/>
        </w:rPr>
        <w:t>depreciation</w:t>
      </w:r>
      <w:r>
        <w:rPr>
          <w:spacing w:val="-5"/>
          <w:sz w:val="18"/>
        </w:rPr>
        <w:t> </w:t>
      </w:r>
      <w:r>
        <w:rPr>
          <w:sz w:val="18"/>
        </w:rPr>
        <w:t>of</w:t>
      </w:r>
      <w:r>
        <w:rPr>
          <w:spacing w:val="-4"/>
          <w:sz w:val="18"/>
        </w:rPr>
        <w:t> </w:t>
      </w:r>
      <w:r>
        <w:rPr>
          <w:sz w:val="18"/>
        </w:rPr>
        <w:t>the</w:t>
      </w:r>
      <w:r>
        <w:rPr>
          <w:spacing w:val="-5"/>
          <w:sz w:val="18"/>
        </w:rPr>
        <w:t> </w:t>
      </w:r>
      <w:r>
        <w:rPr>
          <w:sz w:val="18"/>
        </w:rPr>
        <w:t>exchange</w:t>
      </w:r>
      <w:r>
        <w:rPr>
          <w:spacing w:val="-5"/>
          <w:sz w:val="18"/>
        </w:rPr>
        <w:t> </w:t>
      </w:r>
      <w:r>
        <w:rPr>
          <w:sz w:val="18"/>
        </w:rPr>
        <w:t>rate</w:t>
      </w:r>
      <w:r>
        <w:rPr>
          <w:spacing w:val="-5"/>
          <w:sz w:val="18"/>
        </w:rPr>
        <w:t> </w:t>
      </w:r>
      <w:r>
        <w:rPr>
          <w:sz w:val="18"/>
        </w:rPr>
        <w:t>was</w:t>
      </w:r>
      <w:r>
        <w:rPr>
          <w:spacing w:val="-4"/>
          <w:sz w:val="18"/>
        </w:rPr>
        <w:t> </w:t>
      </w:r>
      <w:r>
        <w:rPr>
          <w:sz w:val="18"/>
        </w:rPr>
        <w:t>not</w:t>
      </w:r>
      <w:r>
        <w:rPr>
          <w:spacing w:val="-5"/>
          <w:sz w:val="18"/>
        </w:rPr>
        <w:t> </w:t>
      </w:r>
      <w:r>
        <w:rPr>
          <w:sz w:val="18"/>
        </w:rPr>
        <w:t>yet</w:t>
      </w:r>
      <w:r>
        <w:rPr>
          <w:spacing w:val="-5"/>
          <w:sz w:val="18"/>
        </w:rPr>
        <w:t> </w:t>
      </w:r>
      <w:r>
        <w:rPr>
          <w:sz w:val="18"/>
        </w:rPr>
        <w:t>reported</w:t>
      </w:r>
      <w:r>
        <w:rPr>
          <w:spacing w:val="-5"/>
          <w:sz w:val="18"/>
        </w:rPr>
        <w:t> </w:t>
      </w:r>
      <w:r>
        <w:rPr>
          <w:sz w:val="18"/>
        </w:rPr>
        <w:t>to have been passed through into retail prices. The level of house prices was reported to have peaked in some areas, though there was concern from some contacts that these levels remained too high. There had been little change in the profile of employment, and skill shortages had been broadly unchanged. Pay pressures in manufacturing had remained relatively muted but pressures in the service sector had</w:t>
      </w:r>
      <w:r>
        <w:rPr>
          <w:spacing w:val="-5"/>
          <w:sz w:val="18"/>
        </w:rPr>
        <w:t> </w:t>
      </w:r>
      <w:r>
        <w:rPr>
          <w:sz w:val="18"/>
        </w:rPr>
        <w:t>strengthened.</w:t>
      </w:r>
    </w:p>
    <w:p>
      <w:pPr>
        <w:pStyle w:val="BodyText"/>
        <w:spacing w:before="6"/>
        <w:rPr>
          <w:sz w:val="16"/>
        </w:rPr>
      </w:pPr>
    </w:p>
    <w:p>
      <w:pPr>
        <w:pStyle w:val="ListParagraph"/>
        <w:numPr>
          <w:ilvl w:val="0"/>
          <w:numId w:val="56"/>
        </w:numPr>
        <w:tabs>
          <w:tab w:pos="649" w:val="left" w:leader="none"/>
          <w:tab w:pos="650" w:val="left" w:leader="none"/>
        </w:tabs>
        <w:spacing w:line="232" w:lineRule="auto" w:before="0" w:after="0"/>
        <w:ind w:left="170" w:right="170" w:firstLine="0"/>
        <w:jc w:val="left"/>
        <w:rPr>
          <w:sz w:val="18"/>
        </w:rPr>
      </w:pPr>
      <w:r>
        <w:rPr>
          <w:sz w:val="18"/>
        </w:rPr>
        <w:t>The Bank’s regional Agents had conducted a survey of UK firms regarding stockbuilding in 2000 Q1. A net balance of about a fifth of firms reported that their stock levels had risen in Q1. At a sectoral level, the balance was highest in the manufacturing and motor trade industries. The majority of stockbuilding was reported to be voluntary across most sectors. Stocks in Q2 were expected to be broadly unchanged from Q1</w:t>
      </w:r>
      <w:r>
        <w:rPr>
          <w:spacing w:val="-8"/>
          <w:sz w:val="18"/>
        </w:rPr>
        <w:t> </w:t>
      </w:r>
      <w:r>
        <w:rPr>
          <w:sz w:val="18"/>
        </w:rPr>
        <w:t>levels.</w:t>
      </w:r>
    </w:p>
    <w:p>
      <w:pPr>
        <w:pStyle w:val="BodyText"/>
        <w:spacing w:before="2"/>
        <w:rPr>
          <w:sz w:val="20"/>
        </w:rPr>
      </w:pPr>
    </w:p>
    <w:p>
      <w:pPr>
        <w:pStyle w:val="Heading4"/>
        <w:numPr>
          <w:ilvl w:val="0"/>
          <w:numId w:val="57"/>
        </w:numPr>
        <w:tabs>
          <w:tab w:pos="651" w:val="left" w:leader="none"/>
        </w:tabs>
        <w:spacing w:line="240" w:lineRule="auto" w:before="0" w:after="0"/>
        <w:ind w:left="650" w:right="0" w:hanging="481"/>
        <w:jc w:val="left"/>
      </w:pPr>
      <w:r>
        <w:rPr>
          <w:color w:val="009391"/>
        </w:rPr>
        <w:t>Market</w:t>
      </w:r>
      <w:r>
        <w:rPr>
          <w:color w:val="009391"/>
          <w:spacing w:val="-2"/>
        </w:rPr>
        <w:t> </w:t>
      </w:r>
      <w:r>
        <w:rPr>
          <w:color w:val="009391"/>
        </w:rPr>
        <w:t>intelligence</w:t>
      </w:r>
    </w:p>
    <w:p>
      <w:pPr>
        <w:pStyle w:val="ListParagraph"/>
        <w:numPr>
          <w:ilvl w:val="0"/>
          <w:numId w:val="56"/>
        </w:numPr>
        <w:tabs>
          <w:tab w:pos="649" w:val="left" w:leader="none"/>
          <w:tab w:pos="650" w:val="left" w:leader="none"/>
        </w:tabs>
        <w:spacing w:line="232" w:lineRule="auto" w:before="110" w:after="0"/>
        <w:ind w:left="170" w:right="255" w:firstLine="0"/>
        <w:jc w:val="left"/>
        <w:rPr>
          <w:sz w:val="18"/>
        </w:rPr>
      </w:pPr>
      <w:r>
        <w:rPr>
          <w:sz w:val="18"/>
        </w:rPr>
        <w:t>Market participants were not expecting a change in the Bank’s repo rate at the July MPC meeting. Two-week forward rates going out to spring 2003 derived from the gilt market had fallen by up to 20 basis points since the June MPC meeting. Furthermore, short-term interest rate volatility had declined, perhaps reflecting increased market confidence about the level at which interest rates would peak. Expectations derived from the latest</w:t>
      </w:r>
      <w:r>
        <w:rPr>
          <w:spacing w:val="-6"/>
          <w:sz w:val="18"/>
        </w:rPr>
        <w:t> </w:t>
      </w:r>
      <w:r>
        <w:rPr>
          <w:sz w:val="18"/>
        </w:rPr>
        <w:t>Reuters</w:t>
      </w:r>
      <w:r>
        <w:rPr>
          <w:spacing w:val="-6"/>
          <w:sz w:val="18"/>
        </w:rPr>
        <w:t> </w:t>
      </w:r>
      <w:r>
        <w:rPr>
          <w:sz w:val="18"/>
        </w:rPr>
        <w:t>poll</w:t>
      </w:r>
      <w:r>
        <w:rPr>
          <w:spacing w:val="-6"/>
          <w:sz w:val="18"/>
        </w:rPr>
        <w:t> </w:t>
      </w:r>
      <w:r>
        <w:rPr>
          <w:sz w:val="18"/>
        </w:rPr>
        <w:t>of</w:t>
      </w:r>
      <w:r>
        <w:rPr>
          <w:spacing w:val="-6"/>
          <w:sz w:val="18"/>
        </w:rPr>
        <w:t> </w:t>
      </w:r>
      <w:r>
        <w:rPr>
          <w:sz w:val="18"/>
        </w:rPr>
        <w:t>private</w:t>
      </w:r>
      <w:r>
        <w:rPr>
          <w:spacing w:val="-6"/>
          <w:sz w:val="18"/>
        </w:rPr>
        <w:t> </w:t>
      </w:r>
      <w:r>
        <w:rPr>
          <w:sz w:val="18"/>
        </w:rPr>
        <w:t>sector</w:t>
      </w:r>
      <w:r>
        <w:rPr>
          <w:spacing w:val="-6"/>
          <w:sz w:val="18"/>
        </w:rPr>
        <w:t> </w:t>
      </w:r>
      <w:r>
        <w:rPr>
          <w:sz w:val="18"/>
        </w:rPr>
        <w:t>economists,</w:t>
      </w:r>
      <w:r>
        <w:rPr>
          <w:spacing w:val="-6"/>
          <w:sz w:val="18"/>
        </w:rPr>
        <w:t> </w:t>
      </w:r>
      <w:r>
        <w:rPr>
          <w:sz w:val="18"/>
        </w:rPr>
        <w:t>together</w:t>
      </w:r>
      <w:r>
        <w:rPr>
          <w:spacing w:val="-6"/>
          <w:sz w:val="18"/>
        </w:rPr>
        <w:t> </w:t>
      </w:r>
      <w:r>
        <w:rPr>
          <w:sz w:val="18"/>
        </w:rPr>
        <w:t>with</w:t>
      </w:r>
      <w:r>
        <w:rPr>
          <w:spacing w:val="-6"/>
          <w:sz w:val="18"/>
        </w:rPr>
        <w:t> </w:t>
      </w:r>
      <w:r>
        <w:rPr>
          <w:sz w:val="18"/>
        </w:rPr>
        <w:t>rates implied by both short-sterling futures and overnight interest rate swaps, all suggested little expectation of a rise in interest rates in July. The expected peak in the Bank repo rate had fallen</w:t>
      </w:r>
      <w:r>
        <w:rPr>
          <w:spacing w:val="1"/>
          <w:sz w:val="18"/>
        </w:rPr>
        <w:t> </w:t>
      </w:r>
      <w:r>
        <w:rPr>
          <w:sz w:val="18"/>
        </w:rPr>
        <w:t>slightly</w:t>
      </w:r>
    </w:p>
    <w:p>
      <w:pPr>
        <w:spacing w:after="0" w:line="232" w:lineRule="auto"/>
        <w:jc w:val="left"/>
        <w:rPr>
          <w:sz w:val="18"/>
        </w:rPr>
        <w:sectPr>
          <w:type w:val="continuous"/>
          <w:pgSz w:w="11900" w:h="16840"/>
          <w:pgMar w:top="1260" w:bottom="280" w:left="640" w:right="640"/>
          <w:cols w:num="2" w:equalWidth="0">
            <w:col w:w="5123" w:space="272"/>
            <w:col w:w="5225"/>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7"/>
        <w:rPr>
          <w:sz w:val="19"/>
        </w:rPr>
      </w:pPr>
    </w:p>
    <w:p>
      <w:pPr>
        <w:pStyle w:val="BodyText"/>
        <w:spacing w:line="232" w:lineRule="auto" w:before="1"/>
        <w:ind w:left="160" w:right="124"/>
      </w:pPr>
      <w:r>
        <w:rPr/>
        <w:t>over the month, to around 6</w:t>
      </w:r>
      <w:r>
        <w:rPr>
          <w:position w:val="6"/>
          <w:sz w:val="9"/>
        </w:rPr>
        <w:t>1</w:t>
      </w:r>
      <w:r>
        <w:rPr/>
        <w:t>/</w:t>
      </w:r>
      <w:r>
        <w:rPr>
          <w:sz w:val="9"/>
        </w:rPr>
        <w:t>4</w:t>
      </w:r>
      <w:r>
        <w:rPr/>
        <w:t>%. More generally, market participants were waiting to see whether domestic demand growth had slowed, and if so, by how much.</w:t>
      </w:r>
    </w:p>
    <w:p>
      <w:pPr>
        <w:pStyle w:val="BodyText"/>
        <w:spacing w:before="2"/>
        <w:rPr>
          <w:sz w:val="17"/>
        </w:rPr>
      </w:pPr>
    </w:p>
    <w:p>
      <w:pPr>
        <w:pStyle w:val="ListParagraph"/>
        <w:numPr>
          <w:ilvl w:val="0"/>
          <w:numId w:val="56"/>
        </w:numPr>
        <w:tabs>
          <w:tab w:pos="639" w:val="left" w:leader="none"/>
          <w:tab w:pos="640" w:val="left" w:leader="none"/>
        </w:tabs>
        <w:spacing w:line="232" w:lineRule="auto" w:before="0" w:after="0"/>
        <w:ind w:left="160" w:right="38" w:firstLine="0"/>
        <w:jc w:val="left"/>
        <w:rPr>
          <w:sz w:val="18"/>
        </w:rPr>
      </w:pPr>
      <w:r>
        <w:rPr>
          <w:sz w:val="18"/>
        </w:rPr>
        <w:t>The sterling trade-weighted exchange rate had remained largely unchanged over the month. Implied correlations derived from options prices had suggested that a recoupling between sterling and dollar exchange rates had some way to go, and that sterling</w:t>
      </w:r>
      <w:r>
        <w:rPr>
          <w:spacing w:val="-5"/>
          <w:sz w:val="18"/>
        </w:rPr>
        <w:t> </w:t>
      </w:r>
      <w:r>
        <w:rPr>
          <w:sz w:val="18"/>
        </w:rPr>
        <w:t>continued</w:t>
      </w:r>
      <w:r>
        <w:rPr>
          <w:spacing w:val="-5"/>
          <w:sz w:val="18"/>
        </w:rPr>
        <w:t> </w:t>
      </w:r>
      <w:r>
        <w:rPr>
          <w:sz w:val="18"/>
        </w:rPr>
        <w:t>to</w:t>
      </w:r>
      <w:r>
        <w:rPr>
          <w:spacing w:val="-4"/>
          <w:sz w:val="18"/>
        </w:rPr>
        <w:t> </w:t>
      </w:r>
      <w:r>
        <w:rPr>
          <w:sz w:val="18"/>
        </w:rPr>
        <w:t>be</w:t>
      </w:r>
      <w:r>
        <w:rPr>
          <w:spacing w:val="-5"/>
          <w:sz w:val="18"/>
        </w:rPr>
        <w:t> </w:t>
      </w:r>
      <w:r>
        <w:rPr>
          <w:sz w:val="18"/>
        </w:rPr>
        <w:t>pulled</w:t>
      </w:r>
      <w:r>
        <w:rPr>
          <w:spacing w:val="-5"/>
          <w:sz w:val="18"/>
        </w:rPr>
        <w:t> </w:t>
      </w:r>
      <w:r>
        <w:rPr>
          <w:sz w:val="18"/>
        </w:rPr>
        <w:t>by</w:t>
      </w:r>
      <w:r>
        <w:rPr>
          <w:spacing w:val="-4"/>
          <w:sz w:val="18"/>
        </w:rPr>
        <w:t> </w:t>
      </w:r>
      <w:r>
        <w:rPr>
          <w:sz w:val="18"/>
        </w:rPr>
        <w:t>movements</w:t>
      </w:r>
      <w:r>
        <w:rPr>
          <w:spacing w:val="-5"/>
          <w:sz w:val="18"/>
        </w:rPr>
        <w:t> </w:t>
      </w:r>
      <w:r>
        <w:rPr>
          <w:sz w:val="18"/>
        </w:rPr>
        <w:t>in</w:t>
      </w:r>
      <w:r>
        <w:rPr>
          <w:spacing w:val="-5"/>
          <w:sz w:val="18"/>
        </w:rPr>
        <w:t> </w:t>
      </w:r>
      <w:r>
        <w:rPr>
          <w:sz w:val="18"/>
        </w:rPr>
        <w:t>both</w:t>
      </w:r>
      <w:r>
        <w:rPr>
          <w:spacing w:val="-4"/>
          <w:sz w:val="18"/>
        </w:rPr>
        <w:t> </w:t>
      </w:r>
      <w:r>
        <w:rPr>
          <w:sz w:val="18"/>
        </w:rPr>
        <w:t>the</w:t>
      </w:r>
      <w:r>
        <w:rPr>
          <w:spacing w:val="-5"/>
          <w:sz w:val="18"/>
        </w:rPr>
        <w:t> </w:t>
      </w:r>
      <w:r>
        <w:rPr>
          <w:sz w:val="18"/>
        </w:rPr>
        <w:t>dollar</w:t>
      </w:r>
      <w:r>
        <w:rPr>
          <w:spacing w:val="-5"/>
          <w:sz w:val="18"/>
        </w:rPr>
        <w:t> </w:t>
      </w:r>
      <w:r>
        <w:rPr>
          <w:sz w:val="18"/>
        </w:rPr>
        <w:t>and the euro, with the effect on the trade-weighted exchange</w:t>
      </w:r>
      <w:r>
        <w:rPr>
          <w:spacing w:val="-27"/>
          <w:sz w:val="18"/>
        </w:rPr>
        <w:t> </w:t>
      </w:r>
      <w:r>
        <w:rPr>
          <w:sz w:val="18"/>
        </w:rPr>
        <w:t>rate</w:t>
      </w:r>
    </w:p>
    <w:p>
      <w:pPr>
        <w:pStyle w:val="BodyText"/>
        <w:spacing w:before="7"/>
        <w:rPr>
          <w:sz w:val="19"/>
        </w:rPr>
      </w:pPr>
      <w:r>
        <w:rPr/>
        <w:br w:type="column"/>
      </w:r>
      <w:r>
        <w:rPr>
          <w:sz w:val="19"/>
        </w:rPr>
      </w:r>
    </w:p>
    <w:p>
      <w:pPr>
        <w:pStyle w:val="BodyText"/>
        <w:spacing w:line="232" w:lineRule="auto" w:before="1"/>
        <w:ind w:left="160" w:right="216"/>
      </w:pPr>
      <w:r>
        <w:rPr/>
        <w:t>determined in part by the greater weighting for the euro in the index. The rise in the euro:dollar exchange rate over the past two months had been greater than that predicted by the Consensus forecasts. The narrowing of interest rate differentials following the ECB’s unexpected 50 basis point rate rise in June, and the continued economic recovery in the euro area, had both supported the euro. But other more technical factors, such as positioning and prospective flows relating to mergers and acquisitions activity and mobile phone spectrum auctions, had also helped the recovery in the euro over the past two months.</w:t>
      </w:r>
    </w:p>
    <w:p>
      <w:pPr>
        <w:spacing w:after="0" w:line="232" w:lineRule="auto"/>
        <w:sectPr>
          <w:type w:val="continuous"/>
          <w:pgSz w:w="11900" w:h="16840"/>
          <w:pgMar w:top="1260" w:bottom="280" w:left="640" w:right="640"/>
          <w:cols w:num="2" w:equalWidth="0">
            <w:col w:w="5073" w:space="317"/>
            <w:col w:w="5230"/>
          </w:cols>
        </w:sectPr>
      </w:pPr>
    </w:p>
    <w:p>
      <w:pPr>
        <w:pStyle w:val="BodyText"/>
        <w:rPr>
          <w:sz w:val="20"/>
        </w:rPr>
      </w:pPr>
    </w:p>
    <w:p>
      <w:pPr>
        <w:spacing w:line="357" w:lineRule="auto" w:before="218"/>
        <w:ind w:left="175" w:right="3947" w:firstLine="0"/>
        <w:jc w:val="left"/>
        <w:rPr>
          <w:b/>
          <w:sz w:val="28"/>
        </w:rPr>
      </w:pPr>
      <w:bookmarkStart w:name="July Press notice" w:id="98"/>
      <w:bookmarkEnd w:id="98"/>
      <w:r>
        <w:rPr/>
      </w:r>
      <w:bookmarkStart w:name="_bookmark43" w:id="99"/>
      <w:bookmarkEnd w:id="99"/>
      <w:r>
        <w:rPr/>
      </w:r>
      <w:r>
        <w:rPr>
          <w:b/>
          <w:color w:val="009391"/>
          <w:sz w:val="28"/>
        </w:rPr>
        <w:t>Text of Bank of England press notice of 6 July 2000 Bank of England maintains interest rates at 6.0%</w:t>
      </w:r>
    </w:p>
    <w:p>
      <w:pPr>
        <w:pStyle w:val="BodyText"/>
        <w:spacing w:line="463" w:lineRule="auto" w:before="244"/>
        <w:ind w:left="180" w:right="2761"/>
      </w:pPr>
      <w:r>
        <w:rPr/>
        <w:t>The Bank of England’s Monetary Policy Committee today voted to maintain the Bank’s repo rate at 6.0%. The minutes of the meeting will be published at 9.30 am on Wednesday 19 July.</w:t>
      </w:r>
    </w:p>
    <w:p>
      <w:pPr>
        <w:spacing w:after="0" w:line="463" w:lineRule="auto"/>
        <w:sectPr>
          <w:pgSz w:w="11900" w:h="16840"/>
          <w:pgMar w:header="566" w:footer="597" w:top="760" w:bottom="780" w:left="640" w:right="640"/>
        </w:sectPr>
      </w:pPr>
    </w:p>
    <w:p>
      <w:pPr>
        <w:pStyle w:val="BodyText"/>
        <w:rPr>
          <w:sz w:val="20"/>
        </w:rPr>
      </w:pPr>
    </w:p>
    <w:p>
      <w:pPr>
        <w:spacing w:line="357" w:lineRule="auto" w:before="218"/>
        <w:ind w:left="165" w:right="3947" w:firstLine="0"/>
        <w:jc w:val="left"/>
        <w:rPr>
          <w:b/>
          <w:sz w:val="28"/>
        </w:rPr>
      </w:pPr>
      <w:bookmarkStart w:name="August Press notice" w:id="100"/>
      <w:bookmarkEnd w:id="100"/>
      <w:r>
        <w:rPr/>
      </w:r>
      <w:bookmarkStart w:name="_bookmark44" w:id="101"/>
      <w:bookmarkEnd w:id="101"/>
      <w:r>
        <w:rPr/>
      </w:r>
      <w:r>
        <w:rPr>
          <w:b/>
          <w:color w:val="009391"/>
          <w:sz w:val="28"/>
        </w:rPr>
        <w:t>Text of Bank of England press notice of 3 August 2000 Bank of England maintains interest rates at 6.0%</w:t>
      </w:r>
    </w:p>
    <w:p>
      <w:pPr>
        <w:pStyle w:val="BodyText"/>
        <w:rPr>
          <w:b/>
          <w:sz w:val="14"/>
        </w:rPr>
      </w:pPr>
    </w:p>
    <w:p>
      <w:pPr>
        <w:pStyle w:val="BodyText"/>
        <w:spacing w:line="463" w:lineRule="auto" w:before="93"/>
        <w:ind w:left="170" w:right="2771"/>
      </w:pPr>
      <w:r>
        <w:rPr/>
        <w:t>The Bank of England’s Monetary Policy Committee today voted to maintain the Bank’s repo rate at 6.0%. The </w:t>
      </w:r>
      <w:r>
        <w:rPr>
          <w:i/>
        </w:rPr>
        <w:t>Inflation Report </w:t>
      </w:r>
      <w:r>
        <w:rPr/>
        <w:t>will be published on Wednesday 9 August.</w:t>
      </w:r>
    </w:p>
    <w:p>
      <w:pPr>
        <w:pStyle w:val="BodyText"/>
        <w:spacing w:before="1"/>
        <w:ind w:left="170"/>
      </w:pPr>
      <w:r>
        <w:rPr/>
        <w:t>The minutes of the meeting will be published at 9.30 am on Wednesday 16 August.</w:t>
      </w:r>
    </w:p>
    <w:p>
      <w:pPr>
        <w:spacing w:after="0"/>
        <w:sectPr>
          <w:pgSz w:w="11900" w:h="16840"/>
          <w:pgMar w:header="566" w:footer="597" w:top="760" w:bottom="780" w:left="640" w:right="640"/>
        </w:sectPr>
      </w:pPr>
    </w:p>
    <w:p>
      <w:pPr>
        <w:spacing w:before="62"/>
        <w:ind w:left="580" w:right="0" w:firstLine="0"/>
        <w:jc w:val="left"/>
        <w:rPr>
          <w:b/>
          <w:sz w:val="28"/>
        </w:rPr>
      </w:pPr>
      <w:bookmarkStart w:name="Glossary and other information" w:id="102"/>
      <w:bookmarkEnd w:id="102"/>
      <w:r>
        <w:rPr/>
      </w:r>
      <w:bookmarkStart w:name="_bookmark45" w:id="103"/>
      <w:bookmarkEnd w:id="103"/>
      <w:r>
        <w:rPr/>
      </w:r>
      <w:r>
        <w:rPr>
          <w:b/>
          <w:color w:val="009391"/>
          <w:sz w:val="28"/>
        </w:rPr>
        <w:t>Glossary and other information</w:t>
      </w:r>
    </w:p>
    <w:p>
      <w:pPr>
        <w:pStyle w:val="BodyText"/>
        <w:spacing w:before="7"/>
        <w:rPr>
          <w:b/>
          <w:sz w:val="25"/>
        </w:rPr>
      </w:pPr>
    </w:p>
    <w:p>
      <w:pPr>
        <w:spacing w:before="0"/>
        <w:ind w:left="580" w:right="0" w:firstLine="0"/>
        <w:jc w:val="left"/>
        <w:rPr>
          <w:b/>
          <w:sz w:val="24"/>
        </w:rPr>
      </w:pPr>
      <w:r>
        <w:rPr>
          <w:b/>
          <w:color w:val="0092C7"/>
          <w:sz w:val="24"/>
        </w:rPr>
        <w:t>Glossary of selected data</w:t>
      </w:r>
    </w:p>
    <w:p>
      <w:pPr>
        <w:pStyle w:val="Heading8"/>
        <w:spacing w:before="121"/>
      </w:pPr>
      <w:r>
        <w:rPr>
          <w:b/>
        </w:rPr>
        <w:t>AEI: </w:t>
      </w:r>
      <w:r>
        <w:rPr/>
        <w:t>Average Earnings Index.</w:t>
      </w:r>
    </w:p>
    <w:p>
      <w:pPr>
        <w:pStyle w:val="Heading8"/>
        <w:spacing w:before="12"/>
      </w:pPr>
      <w:r>
        <w:rPr>
          <w:b/>
        </w:rPr>
        <w:t>DGI: </w:t>
      </w:r>
      <w:r>
        <w:rPr/>
        <w:t>domestically generated inflation.</w:t>
      </w:r>
    </w:p>
    <w:p>
      <w:pPr>
        <w:pStyle w:val="Heading8"/>
        <w:spacing w:line="252" w:lineRule="auto"/>
        <w:ind w:left="800" w:right="395" w:hanging="220"/>
      </w:pPr>
      <w:r>
        <w:rPr>
          <w:b/>
        </w:rPr>
        <w:t>Divisia money: </w:t>
      </w:r>
      <w:r>
        <w:rPr/>
        <w:t>a measure of the money stock in which each component is weighted according to an estimate of its likely use for transactions.</w:t>
      </w:r>
    </w:p>
    <w:p>
      <w:pPr>
        <w:pStyle w:val="Heading8"/>
        <w:spacing w:before="1"/>
      </w:pPr>
      <w:r>
        <w:rPr>
          <w:b/>
        </w:rPr>
        <w:t>ERI: </w:t>
      </w:r>
      <w:r>
        <w:rPr/>
        <w:t>exchange rate index.</w:t>
      </w:r>
    </w:p>
    <w:p>
      <w:pPr>
        <w:pStyle w:val="Heading8"/>
        <w:spacing w:before="12"/>
      </w:pPr>
      <w:r>
        <w:rPr>
          <w:b/>
        </w:rPr>
        <w:t>HICP: </w:t>
      </w:r>
      <w:r>
        <w:rPr/>
        <w:t>Harmonised Index of Consumer Prices.</w:t>
      </w:r>
    </w:p>
    <w:p>
      <w:pPr>
        <w:pStyle w:val="Heading8"/>
      </w:pPr>
      <w:r>
        <w:rPr>
          <w:b/>
        </w:rPr>
        <w:t>M0: </w:t>
      </w:r>
      <w:r>
        <w:rPr/>
        <w:t>notes and coin in circulation outside the Bank of England and bankers’ operational deposits at the Bank.</w:t>
      </w:r>
    </w:p>
    <w:p>
      <w:pPr>
        <w:pStyle w:val="Heading8"/>
        <w:spacing w:line="252" w:lineRule="auto" w:before="12"/>
        <w:ind w:left="800" w:right="214" w:hanging="220"/>
      </w:pPr>
      <w:r>
        <w:rPr>
          <w:b/>
        </w:rPr>
        <w:t>M4: </w:t>
      </w:r>
      <w:r>
        <w:rPr/>
        <w:t>UK non-bank, non building society private sector’s holdings of notes and coin, plus all sterling deposits (including certificates of deposit) held at UK banks and building societies by the non-bank, non building society private sector.</w:t>
      </w:r>
    </w:p>
    <w:p>
      <w:pPr>
        <w:pStyle w:val="Heading8"/>
        <w:spacing w:before="1"/>
      </w:pPr>
      <w:r>
        <w:rPr>
          <w:b/>
        </w:rPr>
        <w:t>M4 lending: </w:t>
      </w:r>
      <w:r>
        <w:rPr/>
        <w:t>sterling lending by UK monetary institutions (MFIs) to all UK residents other than the public sector and MFIs.</w:t>
      </w:r>
    </w:p>
    <w:p>
      <w:pPr>
        <w:pStyle w:val="Heading8"/>
        <w:spacing w:before="12"/>
        <w:ind w:left="800"/>
      </w:pPr>
      <w:r>
        <w:rPr/>
        <w:t>M4 lending includes loans and advances as well as investments, acceptances and reverse repo transactions.</w:t>
      </w:r>
    </w:p>
    <w:p>
      <w:pPr>
        <w:spacing w:before="11"/>
        <w:ind w:left="580" w:right="0" w:firstLine="0"/>
        <w:jc w:val="left"/>
        <w:rPr>
          <w:sz w:val="19"/>
        </w:rPr>
      </w:pPr>
      <w:r>
        <w:rPr>
          <w:b/>
          <w:sz w:val="19"/>
        </w:rPr>
        <w:t>RPI inflation: </w:t>
      </w:r>
      <w:r>
        <w:rPr>
          <w:sz w:val="19"/>
        </w:rPr>
        <w:t>inflation measured by the retail price index.</w:t>
      </w:r>
    </w:p>
    <w:p>
      <w:pPr>
        <w:pStyle w:val="Heading8"/>
        <w:spacing w:before="12"/>
      </w:pPr>
      <w:r>
        <w:rPr>
          <w:b/>
        </w:rPr>
        <w:t>RPIX inflation: </w:t>
      </w:r>
      <w:r>
        <w:rPr/>
        <w:t>inflation measured by the RPI excluding mortgage interest payments.</w:t>
      </w:r>
    </w:p>
    <w:p>
      <w:pPr>
        <w:pStyle w:val="Heading8"/>
        <w:spacing w:line="252" w:lineRule="auto"/>
        <w:ind w:left="800" w:right="461" w:hanging="220"/>
      </w:pPr>
      <w:r>
        <w:rPr>
          <w:b/>
        </w:rPr>
        <w:t>RPIY inflation: </w:t>
      </w:r>
      <w:r>
        <w:rPr/>
        <w:t>inflation measured by the RPI excluding mortgage interest payments and the following indirect taxes: council tax, VAT, duties, car purchase tax and vehicle excise duty, insurance tax and airport tax.</w:t>
      </w:r>
    </w:p>
    <w:p>
      <w:pPr>
        <w:spacing w:before="121"/>
        <w:ind w:left="580" w:right="0" w:firstLine="0"/>
        <w:jc w:val="left"/>
        <w:rPr>
          <w:sz w:val="19"/>
        </w:rPr>
      </w:pPr>
      <w:r>
        <w:rPr>
          <w:b/>
          <w:sz w:val="19"/>
        </w:rPr>
        <w:t>Three-month annualised: </w:t>
      </w:r>
      <w:r>
        <w:rPr>
          <w:sz w:val="19"/>
        </w:rPr>
        <w:t>the percentage change in a series over three months, expressed as an annual rate.</w:t>
      </w:r>
    </w:p>
    <w:p>
      <w:pPr>
        <w:pStyle w:val="BodyText"/>
        <w:rPr>
          <w:sz w:val="20"/>
        </w:rPr>
      </w:pPr>
    </w:p>
    <w:p>
      <w:pPr>
        <w:pStyle w:val="BodyText"/>
        <w:spacing w:before="5"/>
        <w:rPr>
          <w:sz w:val="27"/>
        </w:rPr>
      </w:pPr>
    </w:p>
    <w:p>
      <w:pPr>
        <w:spacing w:after="0"/>
        <w:rPr>
          <w:sz w:val="27"/>
        </w:rPr>
        <w:sectPr>
          <w:headerReference w:type="default" r:id="rId210"/>
          <w:footerReference w:type="default" r:id="rId211"/>
          <w:pgSz w:w="11900" w:h="16840"/>
          <w:pgMar w:header="0" w:footer="0" w:top="820" w:bottom="280" w:left="640" w:right="640"/>
        </w:sectPr>
      </w:pPr>
    </w:p>
    <w:p>
      <w:pPr>
        <w:spacing w:before="90"/>
        <w:ind w:left="580" w:right="0" w:firstLine="0"/>
        <w:jc w:val="left"/>
        <w:rPr>
          <w:b/>
          <w:sz w:val="24"/>
        </w:rPr>
      </w:pPr>
      <w:r>
        <w:rPr>
          <w:b/>
          <w:color w:val="0092C7"/>
          <w:sz w:val="24"/>
        </w:rPr>
        <w:t>Abbreviations</w:t>
      </w:r>
    </w:p>
    <w:p>
      <w:pPr>
        <w:pStyle w:val="Heading8"/>
        <w:spacing w:before="87"/>
      </w:pPr>
      <w:r>
        <w:rPr>
          <w:b/>
        </w:rPr>
        <w:t>ACT: </w:t>
      </w:r>
      <w:r>
        <w:rPr/>
        <w:t>Advance Corporation Tax.</w:t>
      </w:r>
    </w:p>
    <w:p>
      <w:pPr>
        <w:pStyle w:val="Heading8"/>
      </w:pPr>
      <w:r>
        <w:rPr>
          <w:b/>
        </w:rPr>
        <w:t>BCC:  </w:t>
      </w:r>
      <w:r>
        <w:rPr/>
        <w:t>British Chambers of</w:t>
      </w:r>
      <w:r>
        <w:rPr>
          <w:spacing w:val="-30"/>
        </w:rPr>
        <w:t> </w:t>
      </w:r>
      <w:r>
        <w:rPr/>
        <w:t>Commerce.</w:t>
      </w:r>
    </w:p>
    <w:p>
      <w:pPr>
        <w:pStyle w:val="Heading8"/>
        <w:spacing w:before="12"/>
      </w:pPr>
      <w:r>
        <w:rPr>
          <w:b/>
        </w:rPr>
        <w:t>CBI:  </w:t>
      </w:r>
      <w:r>
        <w:rPr/>
        <w:t>Confederation of British</w:t>
      </w:r>
      <w:r>
        <w:rPr>
          <w:spacing w:val="-19"/>
        </w:rPr>
        <w:t> </w:t>
      </w:r>
      <w:r>
        <w:rPr>
          <w:spacing w:val="-3"/>
        </w:rPr>
        <w:t>Industry.</w:t>
      </w:r>
    </w:p>
    <w:p>
      <w:pPr>
        <w:pStyle w:val="Heading8"/>
      </w:pPr>
      <w:r>
        <w:rPr>
          <w:b/>
        </w:rPr>
        <w:t>CIPS: </w:t>
      </w:r>
      <w:r>
        <w:rPr/>
        <w:t>Chartered Institute of Purchasing and Supply.</w:t>
      </w:r>
    </w:p>
    <w:p>
      <w:pPr>
        <w:pStyle w:val="Heading8"/>
        <w:spacing w:before="12"/>
      </w:pPr>
      <w:r>
        <w:rPr>
          <w:b/>
        </w:rPr>
        <w:t>CML: </w:t>
      </w:r>
      <w:r>
        <w:rPr/>
        <w:t>Council of Mortgage Lenders.</w:t>
      </w:r>
    </w:p>
    <w:p>
      <w:pPr>
        <w:spacing w:before="12"/>
        <w:ind w:left="580" w:right="0" w:firstLine="0"/>
        <w:jc w:val="left"/>
        <w:rPr>
          <w:sz w:val="19"/>
        </w:rPr>
      </w:pPr>
      <w:r>
        <w:rPr>
          <w:b/>
          <w:sz w:val="19"/>
        </w:rPr>
        <w:t>cob: </w:t>
      </w:r>
      <w:r>
        <w:rPr>
          <w:sz w:val="19"/>
        </w:rPr>
        <w:t>close of business.</w:t>
      </w:r>
    </w:p>
    <w:p>
      <w:pPr>
        <w:pStyle w:val="Heading8"/>
        <w:spacing w:line="252" w:lineRule="auto"/>
        <w:ind w:left="800" w:hanging="220"/>
      </w:pPr>
      <w:r>
        <w:rPr>
          <w:b/>
        </w:rPr>
        <w:t>DETR: </w:t>
      </w:r>
      <w:r>
        <w:rPr/>
        <w:t>Department of the Environment, Transport and the Regions.</w:t>
      </w:r>
    </w:p>
    <w:p>
      <w:pPr>
        <w:pStyle w:val="Heading8"/>
        <w:spacing w:before="1"/>
      </w:pPr>
      <w:r>
        <w:rPr>
          <w:b/>
        </w:rPr>
        <w:t>DMO: </w:t>
      </w:r>
      <w:r>
        <w:rPr/>
        <w:t>Debt Management Office.</w:t>
      </w:r>
    </w:p>
    <w:p>
      <w:pPr>
        <w:pStyle w:val="Heading8"/>
        <w:spacing w:before="12"/>
      </w:pPr>
      <w:r>
        <w:rPr>
          <w:b/>
        </w:rPr>
        <w:t>ECB: </w:t>
      </w:r>
      <w:r>
        <w:rPr/>
        <w:t>European Central Bank.</w:t>
      </w:r>
    </w:p>
    <w:p>
      <w:pPr>
        <w:pStyle w:val="Heading8"/>
      </w:pPr>
      <w:r>
        <w:rPr>
          <w:b/>
        </w:rPr>
        <w:t>EEF: </w:t>
      </w:r>
      <w:r>
        <w:rPr/>
        <w:t>Engineering Employers’ Federation.</w:t>
      </w:r>
    </w:p>
    <w:p>
      <w:pPr>
        <w:spacing w:before="12"/>
        <w:ind w:left="580" w:right="0" w:firstLine="0"/>
        <w:jc w:val="left"/>
        <w:rPr>
          <w:sz w:val="19"/>
        </w:rPr>
      </w:pPr>
      <w:r>
        <w:rPr>
          <w:b/>
          <w:sz w:val="19"/>
        </w:rPr>
        <w:t>EU: </w:t>
      </w:r>
      <w:r>
        <w:rPr>
          <w:sz w:val="19"/>
        </w:rPr>
        <w:t>European Union.</w:t>
      </w:r>
    </w:p>
    <w:p>
      <w:pPr>
        <w:pStyle w:val="Heading8"/>
        <w:spacing w:line="252" w:lineRule="auto"/>
        <w:ind w:right="700"/>
      </w:pPr>
      <w:r>
        <w:rPr>
          <w:b/>
        </w:rPr>
        <w:t>FOMC: </w:t>
      </w:r>
      <w:r>
        <w:rPr/>
        <w:t>Federal Open Market Committee. </w:t>
      </w:r>
      <w:r>
        <w:rPr>
          <w:b/>
        </w:rPr>
        <w:t>FTSE: </w:t>
      </w:r>
      <w:r>
        <w:rPr/>
        <w:t>Financial Times Stock Exchange. </w:t>
      </w:r>
      <w:r>
        <w:rPr>
          <w:b/>
        </w:rPr>
        <w:t>GDP: </w:t>
      </w:r>
      <w:r>
        <w:rPr/>
        <w:t>Gross domestic product.</w:t>
      </w:r>
    </w:p>
    <w:p>
      <w:pPr>
        <w:pStyle w:val="Heading8"/>
        <w:spacing w:before="2"/>
      </w:pPr>
      <w:r>
        <w:rPr>
          <w:b/>
        </w:rPr>
        <w:t>GfK: </w:t>
      </w:r>
      <w:r>
        <w:rPr/>
        <w:t>Gesellschaft für Konsum, Great Britain Ltd.</w:t>
      </w:r>
    </w:p>
    <w:p>
      <w:pPr>
        <w:pStyle w:val="Heading8"/>
        <w:spacing w:before="12"/>
      </w:pPr>
      <w:r>
        <w:rPr>
          <w:b/>
        </w:rPr>
        <w:t>HMT: </w:t>
      </w:r>
      <w:r>
        <w:rPr/>
        <w:t>Her Majesty’s Treasury.</w:t>
      </w:r>
    </w:p>
    <w:p>
      <w:pPr>
        <w:pStyle w:val="Heading8"/>
      </w:pPr>
      <w:r>
        <w:rPr>
          <w:b/>
        </w:rPr>
        <w:t>ICPFs: </w:t>
      </w:r>
      <w:r>
        <w:rPr/>
        <w:t>insurance companies and pension funds.</w:t>
      </w:r>
    </w:p>
    <w:p>
      <w:pPr>
        <w:pStyle w:val="Heading8"/>
        <w:spacing w:before="12"/>
      </w:pPr>
      <w:r>
        <w:rPr>
          <w:b/>
        </w:rPr>
        <w:t>IMF: </w:t>
      </w:r>
      <w:r>
        <w:rPr/>
        <w:t>International Monetary Fund.</w:t>
      </w:r>
    </w:p>
    <w:p>
      <w:pPr>
        <w:pStyle w:val="Heading8"/>
      </w:pPr>
      <w:r>
        <w:rPr>
          <w:b/>
        </w:rPr>
        <w:t>IT: </w:t>
      </w:r>
      <w:r>
        <w:rPr/>
        <w:t>information technology.</w:t>
      </w:r>
    </w:p>
    <w:p>
      <w:pPr>
        <w:pStyle w:val="Heading8"/>
        <w:spacing w:before="12"/>
      </w:pPr>
      <w:r>
        <w:rPr>
          <w:b/>
        </w:rPr>
        <w:t>LAPFs: </w:t>
      </w:r>
      <w:r>
        <w:rPr/>
        <w:t>life assurance and pension funds.</w:t>
      </w:r>
    </w:p>
    <w:p>
      <w:pPr>
        <w:pStyle w:val="Heading8"/>
      </w:pPr>
      <w:r>
        <w:rPr>
          <w:b/>
        </w:rPr>
        <w:t>LFS: </w:t>
      </w:r>
      <w:r>
        <w:rPr/>
        <w:t>Labour Force Survey.</w:t>
      </w:r>
    </w:p>
    <w:p>
      <w:pPr>
        <w:pStyle w:val="Heading8"/>
        <w:spacing w:before="12"/>
      </w:pPr>
      <w:r>
        <w:rPr>
          <w:b/>
        </w:rPr>
        <w:t>MEW: </w:t>
      </w:r>
      <w:r>
        <w:rPr/>
        <w:t>mortgage equity withdrawal.</w:t>
      </w:r>
    </w:p>
    <w:p>
      <w:pPr>
        <w:pStyle w:val="BodyText"/>
        <w:rPr>
          <w:sz w:val="20"/>
        </w:rPr>
      </w:pPr>
      <w:r>
        <w:rPr/>
        <w:br w:type="column"/>
      </w:r>
      <w:r>
        <w:rPr>
          <w:sz w:val="20"/>
        </w:rPr>
      </w:r>
    </w:p>
    <w:p>
      <w:pPr>
        <w:pStyle w:val="BodyText"/>
        <w:spacing w:before="9"/>
      </w:pPr>
    </w:p>
    <w:p>
      <w:pPr>
        <w:pStyle w:val="Heading8"/>
        <w:spacing w:before="0"/>
      </w:pPr>
      <w:r>
        <w:rPr>
          <w:b/>
        </w:rPr>
        <w:t>MORI: </w:t>
      </w:r>
      <w:r>
        <w:rPr/>
        <w:t>Market and Opinion Research International.</w:t>
      </w:r>
    </w:p>
    <w:p>
      <w:pPr>
        <w:pStyle w:val="Heading8"/>
      </w:pPr>
      <w:r>
        <w:rPr>
          <w:b/>
        </w:rPr>
        <w:t>MPC: </w:t>
      </w:r>
      <w:r>
        <w:rPr/>
        <w:t>Monetary Policy Committee.</w:t>
      </w:r>
    </w:p>
    <w:p>
      <w:pPr>
        <w:pStyle w:val="Heading8"/>
        <w:spacing w:line="252" w:lineRule="auto" w:before="12"/>
        <w:ind w:left="800" w:right="486" w:hanging="220"/>
      </w:pPr>
      <w:r>
        <w:rPr>
          <w:b/>
        </w:rPr>
        <w:t>NIESR: </w:t>
      </w:r>
      <w:r>
        <w:rPr/>
        <w:t>National Institute of Economic and Social Research.</w:t>
      </w:r>
    </w:p>
    <w:p>
      <w:pPr>
        <w:pStyle w:val="Heading8"/>
        <w:spacing w:before="1"/>
      </w:pPr>
      <w:r>
        <w:rPr>
          <w:b/>
        </w:rPr>
        <w:t>Non-EU: </w:t>
      </w:r>
      <w:r>
        <w:rPr/>
        <w:t>Countries outside the European Union.</w:t>
      </w:r>
    </w:p>
    <w:p>
      <w:pPr>
        <w:pStyle w:val="Heading8"/>
        <w:spacing w:before="12"/>
      </w:pPr>
      <w:r>
        <w:rPr>
          <w:b/>
        </w:rPr>
        <w:t>NYMEX: </w:t>
      </w:r>
      <w:r>
        <w:rPr/>
        <w:t>New York Mercantile Exchange.</w:t>
      </w:r>
    </w:p>
    <w:p>
      <w:pPr>
        <w:pStyle w:val="Heading8"/>
        <w:spacing w:line="252" w:lineRule="auto"/>
        <w:ind w:left="800" w:right="486" w:hanging="220"/>
      </w:pPr>
      <w:r>
        <w:rPr>
          <w:b/>
        </w:rPr>
        <w:t>OECD: </w:t>
      </w:r>
      <w:r>
        <w:rPr/>
        <w:t>Organisation for Economic Co-operation and Development.</w:t>
      </w:r>
    </w:p>
    <w:p>
      <w:pPr>
        <w:pStyle w:val="Heading8"/>
        <w:spacing w:before="1"/>
      </w:pPr>
      <w:r>
        <w:rPr>
          <w:b/>
        </w:rPr>
        <w:t>OFCs: </w:t>
      </w:r>
      <w:r>
        <w:rPr/>
        <w:t>other financial corporations.</w:t>
      </w:r>
    </w:p>
    <w:p>
      <w:pPr>
        <w:pStyle w:val="Heading8"/>
        <w:spacing w:line="252" w:lineRule="auto" w:before="12"/>
        <w:ind w:left="800" w:right="486" w:hanging="220"/>
      </w:pPr>
      <w:r>
        <w:rPr>
          <w:b/>
        </w:rPr>
        <w:t>OFIFAs: </w:t>
      </w:r>
      <w:r>
        <w:rPr/>
        <w:t>other financial institutions and financial auxiliaries.</w:t>
      </w:r>
    </w:p>
    <w:p>
      <w:pPr>
        <w:pStyle w:val="Heading8"/>
        <w:spacing w:before="1"/>
      </w:pPr>
      <w:r>
        <w:rPr>
          <w:b/>
        </w:rPr>
        <w:t>ONS: </w:t>
      </w:r>
      <w:r>
        <w:rPr/>
        <w:t>Office for National Statistics.</w:t>
      </w:r>
    </w:p>
    <w:p>
      <w:pPr>
        <w:pStyle w:val="Heading8"/>
        <w:spacing w:line="252" w:lineRule="auto"/>
        <w:ind w:left="800" w:right="486" w:hanging="220"/>
      </w:pPr>
      <w:r>
        <w:rPr>
          <w:b/>
        </w:rPr>
        <w:t>OPEC: </w:t>
      </w:r>
      <w:r>
        <w:rPr/>
        <w:t>Organisation of Petroleum Exporting Countries.</w:t>
      </w:r>
    </w:p>
    <w:p>
      <w:pPr>
        <w:pStyle w:val="Heading8"/>
        <w:spacing w:before="2"/>
      </w:pPr>
      <w:r>
        <w:rPr>
          <w:b/>
        </w:rPr>
        <w:t>PNFCs: </w:t>
      </w:r>
      <w:r>
        <w:rPr/>
        <w:t>private non-financial corporations.</w:t>
      </w:r>
    </w:p>
    <w:p>
      <w:pPr>
        <w:pStyle w:val="Heading8"/>
      </w:pPr>
      <w:r>
        <w:rPr>
          <w:b/>
        </w:rPr>
        <w:t>PSNB: </w:t>
      </w:r>
      <w:r>
        <w:rPr/>
        <w:t>public sector net borrowing.</w:t>
      </w:r>
    </w:p>
    <w:p>
      <w:pPr>
        <w:pStyle w:val="Heading8"/>
        <w:spacing w:before="12"/>
      </w:pPr>
      <w:r>
        <w:rPr>
          <w:b/>
        </w:rPr>
        <w:t>PSNCR: </w:t>
      </w:r>
      <w:r>
        <w:rPr/>
        <w:t>public sector net cash requirement.</w:t>
      </w:r>
    </w:p>
    <w:p>
      <w:pPr>
        <w:pStyle w:val="Heading8"/>
      </w:pPr>
      <w:r>
        <w:rPr>
          <w:b/>
        </w:rPr>
        <w:t>REC: </w:t>
      </w:r>
      <w:r>
        <w:rPr/>
        <w:t>Recruitment and Employment Confederation.</w:t>
      </w:r>
    </w:p>
    <w:p>
      <w:pPr>
        <w:pStyle w:val="Heading8"/>
        <w:spacing w:before="12"/>
      </w:pPr>
      <w:r>
        <w:rPr>
          <w:b/>
        </w:rPr>
        <w:t>RICS: </w:t>
      </w:r>
      <w:r>
        <w:rPr/>
        <w:t>Royal Institute of Chartered Surveyors.</w:t>
      </w:r>
    </w:p>
    <w:p>
      <w:pPr>
        <w:spacing w:line="252" w:lineRule="auto" w:before="11"/>
        <w:ind w:left="580" w:right="2153" w:firstLine="0"/>
        <w:jc w:val="left"/>
        <w:rPr>
          <w:sz w:val="19"/>
        </w:rPr>
      </w:pPr>
      <w:r>
        <w:rPr>
          <w:b/>
          <w:sz w:val="19"/>
        </w:rPr>
        <w:t>S&amp;P:  </w:t>
      </w:r>
      <w:r>
        <w:rPr>
          <w:sz w:val="19"/>
        </w:rPr>
        <w:t>Standard and </w:t>
      </w:r>
      <w:r>
        <w:rPr>
          <w:spacing w:val="-3"/>
          <w:sz w:val="19"/>
        </w:rPr>
        <w:t>Poor’s. </w:t>
      </w:r>
      <w:r>
        <w:rPr>
          <w:b/>
          <w:sz w:val="19"/>
        </w:rPr>
        <w:t>UIP: </w:t>
      </w:r>
      <w:r>
        <w:rPr>
          <w:sz w:val="19"/>
        </w:rPr>
        <w:t>uncovered interest </w:t>
      </w:r>
      <w:r>
        <w:rPr>
          <w:spacing w:val="-3"/>
          <w:sz w:val="19"/>
        </w:rPr>
        <w:t>parity. </w:t>
      </w:r>
      <w:r>
        <w:rPr>
          <w:b/>
          <w:sz w:val="19"/>
        </w:rPr>
        <w:t>WTD: </w:t>
      </w:r>
      <w:r>
        <w:rPr>
          <w:spacing w:val="-3"/>
          <w:sz w:val="19"/>
        </w:rPr>
        <w:t>Working Time </w:t>
      </w:r>
      <w:r>
        <w:rPr>
          <w:sz w:val="19"/>
        </w:rPr>
        <w:t>Directive. </w:t>
      </w:r>
      <w:r>
        <w:rPr>
          <w:b/>
          <w:sz w:val="19"/>
        </w:rPr>
        <w:t>Y2K: </w:t>
      </w:r>
      <w:r>
        <w:rPr>
          <w:spacing w:val="-6"/>
          <w:sz w:val="19"/>
        </w:rPr>
        <w:t>Year</w:t>
      </w:r>
      <w:r>
        <w:rPr>
          <w:spacing w:val="-20"/>
          <w:sz w:val="19"/>
        </w:rPr>
        <w:t> </w:t>
      </w:r>
      <w:r>
        <w:rPr>
          <w:sz w:val="19"/>
        </w:rPr>
        <w:t>2000.</w:t>
      </w:r>
    </w:p>
    <w:p>
      <w:pPr>
        <w:spacing w:after="0" w:line="252" w:lineRule="auto"/>
        <w:jc w:val="left"/>
        <w:rPr>
          <w:sz w:val="19"/>
        </w:rPr>
        <w:sectPr>
          <w:type w:val="continuous"/>
          <w:pgSz w:w="11900" w:h="16840"/>
          <w:pgMar w:top="1260" w:bottom="280" w:left="640" w:right="640"/>
          <w:cols w:num="2" w:equalWidth="0">
            <w:col w:w="4865" w:space="525"/>
            <w:col w:w="5230"/>
          </w:cols>
        </w:sectPr>
      </w:pPr>
    </w:p>
    <w:p>
      <w:pPr>
        <w:pStyle w:val="BodyText"/>
        <w:rPr>
          <w:sz w:val="20"/>
        </w:rPr>
      </w:pPr>
    </w:p>
    <w:p>
      <w:pPr>
        <w:pStyle w:val="BodyText"/>
        <w:rPr>
          <w:sz w:val="20"/>
        </w:rPr>
      </w:pPr>
    </w:p>
    <w:p>
      <w:pPr>
        <w:pStyle w:val="BodyText"/>
        <w:spacing w:before="4"/>
        <w:rPr>
          <w:sz w:val="22"/>
        </w:rPr>
      </w:pPr>
    </w:p>
    <w:p>
      <w:pPr>
        <w:spacing w:before="0"/>
        <w:ind w:left="580" w:right="0" w:firstLine="0"/>
        <w:jc w:val="left"/>
        <w:rPr>
          <w:b/>
          <w:sz w:val="24"/>
        </w:rPr>
      </w:pPr>
      <w:r>
        <w:rPr>
          <w:b/>
          <w:color w:val="0092C7"/>
          <w:sz w:val="24"/>
        </w:rPr>
        <w:t>Symbols and conventions</w:t>
      </w:r>
    </w:p>
    <w:p>
      <w:pPr>
        <w:pStyle w:val="Heading8"/>
        <w:spacing w:before="80"/>
      </w:pPr>
      <w:r>
        <w:rPr/>
        <w:t>Except where otherwise stated, the source of the data used in charts and tables is the Office for National Statistics (ONS).</w:t>
      </w:r>
    </w:p>
    <w:p>
      <w:pPr>
        <w:pStyle w:val="Heading8"/>
        <w:spacing w:before="12"/>
      </w:pPr>
      <w:r>
        <w:rPr/>
        <w:t>n.a. = not available.</w:t>
      </w:r>
    </w:p>
    <w:p>
      <w:pPr>
        <w:pStyle w:val="Heading8"/>
      </w:pPr>
      <w:r>
        <w:rPr/>
        <w:t>Because of rounding, the sum of the separate items may sometimes differ from the total shown.</w:t>
      </w:r>
    </w:p>
    <w:p>
      <w:pPr>
        <w:pStyle w:val="Heading8"/>
        <w:spacing w:line="252" w:lineRule="auto" w:before="12"/>
        <w:ind w:right="2288"/>
      </w:pPr>
      <w:r>
        <w:rPr/>
        <w:t>On the horizontal axes of graphs, larger ticks denote the first observation within the relevant period, eg data for the first quarter of the year.</w:t>
      </w:r>
    </w:p>
    <w:sectPr>
      <w:type w:val="continuous"/>
      <w:pgSz w:w="11900" w:h="16840"/>
      <w:pgMar w:top="1260" w:bottom="280" w:left="64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45.508972pt;margin-top:800.396667pt;width:12.7pt;height:10.9pt;mso-position-horizontal-relative:page;mso-position-vertical-relative:page;z-index:-23569408" type="#_x0000_t202" filled="false" stroked="false">
          <v:textbox inset="0,0,0,0">
            <w:txbxContent>
              <w:p>
                <w:pPr>
                  <w:spacing w:before="13"/>
                  <w:ind w:left="60" w:right="0" w:firstLine="0"/>
                  <w:jc w:val="left"/>
                  <w:rPr>
                    <w:sz w:val="16"/>
                  </w:rPr>
                </w:pPr>
                <w:r>
                  <w:rPr/>
                  <w:fldChar w:fldCharType="begin"/>
                </w:r>
                <w:r>
                  <w:rPr>
                    <w:sz w:val="16"/>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561728" from="278.839996pt,746.76001pt" to="557.079996pt,746.76001pt" stroked="true" strokeweight=".125pt" strokecolor="#000000">
          <v:stroke dashstyle="solid"/>
          <w10:wrap type="none"/>
        </v:line>
      </w:pict>
    </w:r>
    <w:r>
      <w:rPr/>
      <w:pict>
        <v:shape style="position:absolute;margin-left:40pt;margin-top:801.396667pt;width:6pt;height:10.9pt;mso-position-horizontal-relative:page;mso-position-vertical-relative:page;z-index:-23561216" type="#_x0000_t202" filled="false" stroked="false">
          <v:textbox inset="0,0,0,0">
            <w:txbxContent>
              <w:p>
                <w:pPr>
                  <w:spacing w:before="13"/>
                  <w:ind w:left="20" w:right="0" w:firstLine="0"/>
                  <w:jc w:val="left"/>
                  <w:rPr>
                    <w:sz w:val="16"/>
                  </w:rPr>
                </w:pPr>
                <w:r>
                  <w:rPr>
                    <w:sz w:val="16"/>
                  </w:rPr>
                  <w:t>8</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8.177002pt;margin-top:800.396667pt;width:10pt;height:10.9pt;mso-position-horizontal-relative:page;mso-position-vertical-relative:page;z-index:-23560704" type="#_x0000_t202" filled="false" stroked="false">
          <v:textbox inset="0,0,0,0">
            <w:txbxContent>
              <w:p>
                <w:pPr>
                  <w:spacing w:before="13"/>
                  <w:ind w:left="60" w:right="0" w:firstLine="0"/>
                  <w:jc w:val="left"/>
                  <w:rPr>
                    <w:sz w:val="16"/>
                  </w:rPr>
                </w:pPr>
                <w:r>
                  <w:rPr>
                    <w:sz w:val="16"/>
                  </w:rPr>
                  <w:t>9</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355865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10</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177002pt;margin-top:800.396667pt;width:14pt;height:10.9pt;mso-position-horizontal-relative:page;mso-position-vertical-relative:page;z-index:-2355814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11</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3.901978pt;margin-top:800.396667pt;width:14pt;height:10.9pt;mso-position-horizontal-relative:page;mso-position-vertical-relative:page;z-index:-2355763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13</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355712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14</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177002pt;margin-top:800.396667pt;width:14pt;height:10.9pt;mso-position-horizontal-relative:page;mso-position-vertical-relative:page;z-index:-2355404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15</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355353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16</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355046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18</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177002pt;margin-top:800.396667pt;width:14pt;height:10.9pt;mso-position-horizontal-relative:page;mso-position-vertical-relative:page;z-index:-2354995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19</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2.25pt;height:10.9pt;mso-position-horizontal-relative:page;mso-position-vertical-relative:page;z-index:-23568896" type="#_x0000_t202" filled="false" stroked="false">
          <v:textbox inset="0,0,0,0">
            <w:txbxContent>
              <w:p>
                <w:pPr>
                  <w:spacing w:before="13"/>
                  <w:ind w:left="60" w:right="0" w:firstLine="0"/>
                  <w:jc w:val="left"/>
                  <w:rPr>
                    <w:sz w:val="16"/>
                  </w:rPr>
                </w:pPr>
                <w:r>
                  <w:rPr/>
                  <w:fldChar w:fldCharType="begin"/>
                </w:r>
                <w:r>
                  <w:rPr>
                    <w:sz w:val="16"/>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354790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20</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177002pt;margin-top:800.396667pt;width:14pt;height:10.9pt;mso-position-horizontal-relative:page;mso-position-vertical-relative:page;z-index:-2354739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21</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354688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24</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177002pt;margin-top:800.396667pt;width:14pt;height:10.9pt;mso-position-horizontal-relative:page;mso-position-vertical-relative:page;z-index:-2354636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25</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354432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26</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177002pt;margin-top:800.396667pt;width:14pt;height:10.9pt;mso-position-horizontal-relative:page;mso-position-vertical-relative:page;z-index:-2354380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27</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354329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32</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177002pt;margin-top:800.396667pt;width:14pt;height:10.9pt;mso-position-horizontal-relative:page;mso-position-vertical-relative:page;z-index:-2354278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33</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354073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34</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177002pt;margin-top:800.396667pt;width:14pt;height:10.9pt;mso-position-horizontal-relative:page;mso-position-vertical-relative:page;z-index:-2354022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35</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2.25pt;height:10.9pt;mso-position-horizontal-relative:page;mso-position-vertical-relative:page;z-index:-23567360" type="#_x0000_t202" filled="false" stroked="false">
          <v:textbox inset="0,0,0,0">
            <w:txbxContent>
              <w:p>
                <w:pPr>
                  <w:spacing w:before="13"/>
                  <w:ind w:left="60" w:right="0" w:firstLine="0"/>
                  <w:jc w:val="left"/>
                  <w:rPr>
                    <w:sz w:val="16"/>
                  </w:rPr>
                </w:pPr>
                <w:r>
                  <w:rPr/>
                  <w:fldChar w:fldCharType="begin"/>
                </w:r>
                <w:r>
                  <w:rPr>
                    <w:sz w:val="16"/>
                  </w:rPr>
                  <w:instrText> PAGE  \* roman </w:instrText>
                </w:r>
                <w:r>
                  <w:rPr/>
                  <w:fldChar w:fldCharType="separate"/>
                </w:r>
                <w:r>
                  <w:rPr/>
                  <w:t>iv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353868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36</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177002pt;margin-top:800.396667pt;width:14pt;height:10.9pt;mso-position-horizontal-relative:page;mso-position-vertical-relative:page;z-index:-2353817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37</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353664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38</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177002pt;margin-top:800.396667pt;width:14pt;height:10.9pt;mso-position-horizontal-relative:page;mso-position-vertical-relative:page;z-index:-2353612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39</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353561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40</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177002pt;margin-top:800.396667pt;width:14pt;height:10.9pt;mso-position-horizontal-relative:page;mso-position-vertical-relative:page;z-index:-2353510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41</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353305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42</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177002pt;margin-top:800.396667pt;width:14pt;height:10.9pt;mso-position-horizontal-relative:page;mso-position-vertical-relative:page;z-index:-2353254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43</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3.901978pt;margin-top:800.396667pt;width:14pt;height:10.9pt;mso-position-horizontal-relative:page;mso-position-vertical-relative:page;z-index:-2353203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45</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353152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46</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177002pt;margin-top:800.396667pt;width:14pt;height:10.9pt;mso-position-horizontal-relative:page;mso-position-vertical-relative:page;z-index:-2352998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47</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352947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48</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177002pt;margin-top:800.396667pt;width:14pt;height:10.9pt;mso-position-horizontal-relative:page;mso-position-vertical-relative:page;z-index:-2352742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51</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352691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52</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177002pt;margin-top:800.396667pt;width:14pt;height:10.9pt;mso-position-horizontal-relative:page;mso-position-vertical-relative:page;z-index:-2352537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63</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352486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64</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3.901978pt;margin-top:800.396667pt;width:14.3pt;height:11.6pt;mso-position-horizontal-relative:page;mso-position-vertical-relative:page;z-index:-2352435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67</w:t>
                </w:r>
                <w:r>
                  <w:rPr/>
                  <w:fldChar w:fldCharType="end"/>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352384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68</w:t>
                </w:r>
                <w:r>
                  <w:rPr/>
                  <w:fldChar w:fldCharType="end"/>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352230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70</w:t>
                </w:r>
                <w:r>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pt;margin-top:801.136719pt;width:14pt;height:10.9pt;mso-position-horizontal-relative:page;mso-position-vertical-relative:page;z-index:-2352179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71</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0pt;margin-top:801.136719pt;width:18pt;height:10.9pt;mso-position-horizontal-relative:page;mso-position-vertical-relative:page;z-index:-2351974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101</w:t>
                </w:r>
                <w:r>
                  <w:rPr/>
                  <w:fldChar w:fldCharType="end"/>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2756pt;margin-top:801.136719pt;width:18pt;height:10.9pt;mso-position-horizontal-relative:page;mso-position-vertical-relative:page;z-index:-2351923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100</w:t>
                </w:r>
                <w:r>
                  <w:rPr/>
                  <w:fldChar w:fldCharType="end"/>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7.901978pt;margin-top:800.396667pt;width:10pt;height:10.9pt;mso-position-horizontal-relative:page;mso-position-vertical-relative:page;z-index:-2356684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0pt;height:10.9pt;mso-position-horizontal-relative:page;mso-position-vertical-relative:page;z-index:-2356633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177002pt;margin-top:800.396667pt;width:14pt;height:10.9pt;mso-position-horizontal-relative:page;mso-position-vertical-relative:page;z-index:-2356428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11</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0pt;height:10.9pt;mso-position-horizontal-relative:page;mso-position-vertical-relative:page;z-index:-2356377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6</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3568384"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August</w:t>
                </w:r>
                <w:r>
                  <w:rPr>
                    <w:spacing w:val="7"/>
                    <w:sz w:val="16"/>
                    <w:u w:val="single"/>
                  </w:rPr>
                  <w:t> </w:t>
                </w:r>
                <w:r>
                  <w:rPr>
                    <w:sz w:val="16"/>
                    <w:u w:val="single"/>
                  </w:rPr>
                  <w:t>2000</w:t>
                  <w:tab/>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562752" from="39.279999pt,40pt" to="556.779999pt,40pt" stroked="true" strokeweight=".125pt" strokecolor="#000000">
          <v:stroke dashstyle="solid"/>
          <w10:wrap type="none"/>
        </v:line>
      </w:pict>
    </w:r>
    <w:r>
      <w:rPr/>
      <w:pict>
        <v:shape style="position:absolute;margin-left:459.993011pt;margin-top:29.462093pt;width:97.05pt;height:10.9pt;mso-position-horizontal-relative:page;mso-position-vertical-relative:page;z-index:-23562240" type="#_x0000_t202" filled="false" stroked="false">
          <v:textbox inset="0,0,0,0">
            <w:txbxContent>
              <w:p>
                <w:pPr>
                  <w:spacing w:before="13"/>
                  <w:ind w:left="20" w:right="0" w:firstLine="0"/>
                  <w:jc w:val="left"/>
                  <w:rPr>
                    <w:i/>
                    <w:sz w:val="16"/>
                  </w:rPr>
                </w:pPr>
                <w:r>
                  <w:rPr>
                    <w:i/>
                    <w:sz w:val="16"/>
                  </w:rPr>
                  <w:t>Money and financial markets</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3560192"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August</w:t>
                </w:r>
                <w:r>
                  <w:rPr>
                    <w:spacing w:val="7"/>
                    <w:sz w:val="16"/>
                    <w:u w:val="single"/>
                  </w:rPr>
                  <w:t> </w:t>
                </w:r>
                <w:r>
                  <w:rPr>
                    <w:sz w:val="16"/>
                    <w:u w:val="single"/>
                  </w:rPr>
                  <w:t>2000</w:t>
                  <w:tab/>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559680" from="39.279999pt,40pt" to="556.779999pt,40pt" stroked="true" strokeweight=".125pt" strokecolor="#000000">
          <v:stroke dashstyle="solid"/>
          <w10:wrap type="none"/>
        </v:line>
      </w:pict>
    </w:r>
    <w:r>
      <w:rPr/>
      <w:pict>
        <v:shape style="position:absolute;margin-left:459.993011pt;margin-top:29.462093pt;width:97.05pt;height:10.9pt;mso-position-horizontal-relative:page;mso-position-vertical-relative:page;z-index:-23559168" type="#_x0000_t202" filled="false" stroked="false">
          <v:textbox inset="0,0,0,0">
            <w:txbxContent>
              <w:p>
                <w:pPr>
                  <w:spacing w:before="13"/>
                  <w:ind w:left="20" w:right="0" w:firstLine="0"/>
                  <w:jc w:val="left"/>
                  <w:rPr>
                    <w:i/>
                    <w:sz w:val="16"/>
                  </w:rPr>
                </w:pPr>
                <w:r>
                  <w:rPr>
                    <w:i/>
                    <w:sz w:val="16"/>
                  </w:rPr>
                  <w:t>Money and financial markets</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556608" from="50.033001pt,114.707001pt" to="54.366001pt,114.707001pt" stroked="true" strokeweight=".5pt" strokecolor="#000000">
          <v:stroke dashstyle="solid"/>
          <w10:wrap type="none"/>
        </v:line>
      </w:pict>
    </w:r>
    <w:r>
      <w:rPr/>
      <w:pict>
        <v:line style="position:absolute;mso-position-horizontal-relative:page;mso-position-vertical-relative:page;z-index:-23556096" from="207.195007pt,114.739998pt" to="211.527007pt,114.739998pt" stroked="true" strokeweight=".5pt" strokecolor="#000000">
          <v:stroke dashstyle="solid"/>
          <w10:wrap type="none"/>
        </v:line>
      </w:pict>
    </w:r>
    <w:r>
      <w:rPr/>
      <w:pict>
        <v:shape style="position:absolute;margin-left:38pt;margin-top:29.463093pt;width:520pt;height:10.9pt;mso-position-horizontal-relative:page;mso-position-vertical-relative:page;z-index:-23555584"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August</w:t>
                </w:r>
                <w:r>
                  <w:rPr>
                    <w:spacing w:val="7"/>
                    <w:sz w:val="16"/>
                    <w:u w:val="single"/>
                  </w:rPr>
                  <w:t> </w:t>
                </w:r>
                <w:r>
                  <w:rPr>
                    <w:sz w:val="16"/>
                    <w:u w:val="single"/>
                  </w:rPr>
                  <w:t>2000</w:t>
                  <w:tab/>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555072" from="39.279999pt,40pt" to="556.779999pt,40pt" stroked="true" strokeweight=".125pt" strokecolor="#000000">
          <v:stroke dashstyle="solid"/>
          <w10:wrap type="none"/>
        </v:line>
      </w:pict>
    </w:r>
    <w:r>
      <w:rPr/>
      <w:pict>
        <v:shape style="position:absolute;margin-left:491.498993pt;margin-top:29.462093pt;width:65.6pt;height:10.9pt;mso-position-horizontal-relative:page;mso-position-vertical-relative:page;z-index:-23554560" type="#_x0000_t202" filled="false" stroked="false">
          <v:textbox inset="0,0,0,0">
            <w:txbxContent>
              <w:p>
                <w:pPr>
                  <w:spacing w:before="13"/>
                  <w:ind w:left="20" w:right="0" w:firstLine="0"/>
                  <w:jc w:val="left"/>
                  <w:rPr>
                    <w:i/>
                    <w:sz w:val="16"/>
                  </w:rPr>
                </w:pPr>
                <w:r>
                  <w:rPr>
                    <w:i/>
                    <w:sz w:val="16"/>
                  </w:rPr>
                  <w:t>Demand and output</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3553024"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August</w:t>
                </w:r>
                <w:r>
                  <w:rPr>
                    <w:spacing w:val="7"/>
                    <w:sz w:val="16"/>
                    <w:u w:val="single"/>
                  </w:rPr>
                  <w:t> </w:t>
                </w:r>
                <w:r>
                  <w:rPr>
                    <w:sz w:val="16"/>
                    <w:u w:val="single"/>
                  </w:rPr>
                  <w:t>2000</w:t>
                  <w:tab/>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552512" from="39.279999pt,40pt" to="556.779999pt,40pt" stroked="true" strokeweight=".125pt" strokecolor="#000000">
          <v:stroke dashstyle="solid"/>
          <w10:wrap type="none"/>
        </v:line>
      </w:pict>
    </w:r>
    <w:r>
      <w:rPr/>
      <w:pict>
        <v:shape style="position:absolute;margin-left:491.498993pt;margin-top:29.462093pt;width:65.6pt;height:10.9pt;mso-position-horizontal-relative:page;mso-position-vertical-relative:page;z-index:-23552000" type="#_x0000_t202" filled="false" stroked="false">
          <v:textbox inset="0,0,0,0">
            <w:txbxContent>
              <w:p>
                <w:pPr>
                  <w:spacing w:before="13"/>
                  <w:ind w:left="20" w:right="0" w:firstLine="0"/>
                  <w:jc w:val="left"/>
                  <w:rPr>
                    <w:i/>
                    <w:sz w:val="16"/>
                  </w:rPr>
                </w:pPr>
                <w:r>
                  <w:rPr>
                    <w:i/>
                    <w:sz w:val="16"/>
                  </w:rPr>
                  <w:t>Demand and output</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9pt;margin-top:29.463093pt;width:100.2pt;height:10.9pt;mso-position-horizontal-relative:page;mso-position-vertical-relative:page;z-index:-23551488" type="#_x0000_t202" filled="false" stroked="false">
          <v:textbox inset="0,0,0,0">
            <w:txbxContent>
              <w:p>
                <w:pPr>
                  <w:spacing w:before="13"/>
                  <w:ind w:left="20" w:right="0" w:firstLine="0"/>
                  <w:jc w:val="left"/>
                  <w:rPr>
                    <w:sz w:val="16"/>
                  </w:rPr>
                </w:pPr>
                <w:r>
                  <w:rPr>
                    <w:sz w:val="16"/>
                  </w:rPr>
                  <w:t>Inflation Report: August 2000</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1.498993pt;margin-top:29.462093pt;width:65.6pt;height:10.9pt;mso-position-horizontal-relative:page;mso-position-vertical-relative:page;z-index:-23550976" type="#_x0000_t202" filled="false" stroked="false">
          <v:textbox inset="0,0,0,0">
            <w:txbxContent>
              <w:p>
                <w:pPr>
                  <w:spacing w:before="13"/>
                  <w:ind w:left="20" w:right="0" w:firstLine="0"/>
                  <w:jc w:val="left"/>
                  <w:rPr>
                    <w:i/>
                    <w:sz w:val="16"/>
                  </w:rPr>
                </w:pPr>
                <w:r>
                  <w:rPr>
                    <w:i/>
                    <w:sz w:val="16"/>
                  </w:rPr>
                  <w:t>Demand and output</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3549440"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August</w:t>
                </w:r>
                <w:r>
                  <w:rPr>
                    <w:spacing w:val="7"/>
                    <w:sz w:val="16"/>
                    <w:u w:val="single"/>
                  </w:rPr>
                  <w:t> </w:t>
                </w:r>
                <w:r>
                  <w:rPr>
                    <w:sz w:val="16"/>
                    <w:u w:val="single"/>
                  </w:rPr>
                  <w:t>2000</w:t>
                  <w:tab/>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548928" from="39.279999pt,40pt" to="556.779999pt,40pt" stroked="true" strokeweight=".125pt" strokecolor="#000000">
          <v:stroke dashstyle="solid"/>
          <w10:wrap type="none"/>
        </v:line>
      </w:pict>
    </w:r>
    <w:r>
      <w:rPr/>
      <w:pict>
        <v:shape style="position:absolute;margin-left:491.498993pt;margin-top:29.462093pt;width:65.6pt;height:10.9pt;mso-position-horizontal-relative:page;mso-position-vertical-relative:page;z-index:-23548416" type="#_x0000_t202" filled="false" stroked="false">
          <v:textbox inset="0,0,0,0">
            <w:txbxContent>
              <w:p>
                <w:pPr>
                  <w:spacing w:before="13"/>
                  <w:ind w:left="20" w:right="0" w:firstLine="0"/>
                  <w:jc w:val="left"/>
                  <w:rPr>
                    <w:i/>
                    <w:sz w:val="16"/>
                  </w:rPr>
                </w:pPr>
                <w:r>
                  <w:rPr>
                    <w:i/>
                    <w:sz w:val="16"/>
                  </w:rPr>
                  <w:t>Demand and output</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545856" from="39.279999pt,40pt" to="556.779999pt,40pt" stroked="true" strokeweight=".125pt" strokecolor="#000000">
          <v:stroke dashstyle="solid"/>
          <w10:wrap type="none"/>
        </v:line>
      </w:pict>
    </w:r>
    <w:r>
      <w:rPr/>
      <w:pict>
        <v:shape style="position:absolute;margin-left:495.580994pt;margin-top:29.462093pt;width:61.5pt;height:10.9pt;mso-position-horizontal-relative:page;mso-position-vertical-relative:page;z-index:-23545344" type="#_x0000_t202" filled="false" stroked="false">
          <v:textbox inset="0,0,0,0">
            <w:txbxContent>
              <w:p>
                <w:pPr>
                  <w:spacing w:before="13"/>
                  <w:ind w:left="20" w:right="0" w:firstLine="0"/>
                  <w:jc w:val="left"/>
                  <w:rPr>
                    <w:i/>
                    <w:sz w:val="16"/>
                  </w:rPr>
                </w:pPr>
                <w:r>
                  <w:rPr>
                    <w:i/>
                    <w:sz w:val="16"/>
                  </w:rPr>
                  <w:t>The labour market</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3544832"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August</w:t>
                </w:r>
                <w:r>
                  <w:rPr>
                    <w:spacing w:val="7"/>
                    <w:sz w:val="16"/>
                    <w:u w:val="single"/>
                  </w:rPr>
                  <w:t> </w:t>
                </w:r>
                <w:r>
                  <w:rPr>
                    <w:sz w:val="16"/>
                    <w:u w:val="single"/>
                  </w:rPr>
                  <w:t>2000</w:t>
                  <w:tab/>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542272" from="39.279999pt,40pt" to="556.779999pt,40pt" stroked="true" strokeweight=".125pt" strokecolor="#000000">
          <v:stroke dashstyle="solid"/>
          <w10:wrap type="none"/>
        </v:line>
      </w:pict>
    </w:r>
    <w:r>
      <w:rPr/>
      <w:pict>
        <v:shape style="position:absolute;margin-left:501.717987pt;margin-top:29.462093pt;width:55.35pt;height:10.9pt;mso-position-horizontal-relative:page;mso-position-vertical-relative:page;z-index:-23541760" type="#_x0000_t202" filled="false" stroked="false">
          <v:textbox inset="0,0,0,0">
            <w:txbxContent>
              <w:p>
                <w:pPr>
                  <w:spacing w:before="13"/>
                  <w:ind w:left="20" w:right="0" w:firstLine="0"/>
                  <w:jc w:val="left"/>
                  <w:rPr>
                    <w:i/>
                    <w:sz w:val="16"/>
                  </w:rPr>
                </w:pPr>
                <w:r>
                  <w:rPr>
                    <w:i/>
                    <w:sz w:val="16"/>
                  </w:rPr>
                  <w:t>Costs and prices</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3541248"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August</w:t>
                </w:r>
                <w:r>
                  <w:rPr>
                    <w:spacing w:val="7"/>
                    <w:sz w:val="16"/>
                    <w:u w:val="single"/>
                  </w:rPr>
                  <w:t> </w:t>
                </w:r>
                <w:r>
                  <w:rPr>
                    <w:sz w:val="16"/>
                    <w:u w:val="single"/>
                  </w:rPr>
                  <w:t>2000</w:t>
                  <w:tab/>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9pt;margin-top:29.462093pt;width:100.2pt;height:10.9pt;mso-position-horizontal-relative:page;mso-position-vertical-relative:page;z-index:-23539712" type="#_x0000_t202" filled="false" stroked="false">
          <v:textbox inset="0,0,0,0">
            <w:txbxContent>
              <w:p>
                <w:pPr>
                  <w:spacing w:before="13"/>
                  <w:ind w:left="20" w:right="0" w:firstLine="0"/>
                  <w:jc w:val="left"/>
                  <w:rPr>
                    <w:sz w:val="16"/>
                  </w:rPr>
                </w:pPr>
                <w:r>
                  <w:rPr>
                    <w:sz w:val="16"/>
                  </w:rPr>
                  <w:t>Inflation Report: August 2000</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1.717987pt;margin-top:29.462093pt;width:55.35pt;height:10.9pt;mso-position-horizontal-relative:page;mso-position-vertical-relative:page;z-index:-23539200" type="#_x0000_t202" filled="false" stroked="false">
          <v:textbox inset="0,0,0,0">
            <w:txbxContent>
              <w:p>
                <w:pPr>
                  <w:spacing w:before="13"/>
                  <w:ind w:left="20" w:right="0" w:firstLine="0"/>
                  <w:jc w:val="left"/>
                  <w:rPr>
                    <w:i/>
                    <w:sz w:val="16"/>
                  </w:rPr>
                </w:pPr>
                <w:r>
                  <w:rPr>
                    <w:i/>
                    <w:sz w:val="16"/>
                  </w:rPr>
                  <w:t>Costs and prices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3567872"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August</w:t>
                </w:r>
                <w:r>
                  <w:rPr>
                    <w:spacing w:val="7"/>
                    <w:sz w:val="16"/>
                    <w:u w:val="single"/>
                  </w:rPr>
                  <w:t> </w:t>
                </w:r>
                <w:r>
                  <w:rPr>
                    <w:sz w:val="16"/>
                    <w:u w:val="single"/>
                  </w:rPr>
                  <w:t>2000</w:t>
                  <w:tab/>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19pt;height:10.9pt;mso-position-horizontal-relative:page;mso-position-vertical-relative:page;z-index:-23537664"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August</w:t>
                </w:r>
                <w:r>
                  <w:rPr>
                    <w:spacing w:val="8"/>
                    <w:sz w:val="16"/>
                    <w:u w:val="single"/>
                  </w:rPr>
                  <w:t> </w:t>
                </w:r>
                <w:r>
                  <w:rPr>
                    <w:sz w:val="16"/>
                    <w:u w:val="single"/>
                  </w:rPr>
                  <w:t>2000</w:t>
                  <w:tab/>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1.717987pt;margin-top:29.462093pt;width:55.35pt;height:10.9pt;mso-position-horizontal-relative:page;mso-position-vertical-relative:page;z-index:-23537152" type="#_x0000_t202" filled="false" stroked="false">
          <v:textbox inset="0,0,0,0">
            <w:txbxContent>
              <w:p>
                <w:pPr>
                  <w:spacing w:before="13"/>
                  <w:ind w:left="20" w:right="0" w:firstLine="0"/>
                  <w:jc w:val="left"/>
                  <w:rPr>
                    <w:i/>
                    <w:sz w:val="16"/>
                  </w:rPr>
                </w:pPr>
                <w:r>
                  <w:rPr>
                    <w:i/>
                    <w:sz w:val="16"/>
                  </w:rPr>
                  <w:t>Costs and prices</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534592" from="39.279999pt,40pt" to="556.779999pt,40pt" stroked="true" strokeweight=".125pt" strokecolor="#000000">
          <v:stroke dashstyle="solid"/>
          <w10:wrap type="none"/>
        </v:line>
      </w:pict>
    </w:r>
    <w:r>
      <w:rPr/>
      <w:pict>
        <v:shape style="position:absolute;margin-left:432.208008pt;margin-top:29.462093pt;width:124.85pt;height:10.9pt;mso-position-horizontal-relative:page;mso-position-vertical-relative:page;z-index:-23534080" type="#_x0000_t202" filled="false" stroked="false">
          <v:textbox inset="0,0,0,0">
            <w:txbxContent>
              <w:p>
                <w:pPr>
                  <w:spacing w:before="13"/>
                  <w:ind w:left="20" w:right="0" w:firstLine="0"/>
                  <w:jc w:val="left"/>
                  <w:rPr>
                    <w:sz w:val="16"/>
                  </w:rPr>
                </w:pPr>
                <w:r>
                  <w:rPr>
                    <w:i/>
                    <w:sz w:val="16"/>
                  </w:rPr>
                  <w:t>Monetary policy since the May </w:t>
                </w:r>
                <w:r>
                  <w:rPr>
                    <w:sz w:val="16"/>
                  </w:rPr>
                  <w:t>Report</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3533568"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August</w:t>
                </w:r>
                <w:r>
                  <w:rPr>
                    <w:spacing w:val="7"/>
                    <w:sz w:val="16"/>
                    <w:u w:val="single"/>
                  </w:rPr>
                  <w:t> </w:t>
                </w:r>
                <w:r>
                  <w:rPr>
                    <w:sz w:val="16"/>
                    <w:u w:val="single"/>
                  </w:rPr>
                  <w:t>2000</w:t>
                  <w:tab/>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3531008"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August</w:t>
                </w:r>
                <w:r>
                  <w:rPr>
                    <w:spacing w:val="7"/>
                    <w:sz w:val="16"/>
                    <w:u w:val="single"/>
                  </w:rPr>
                  <w:t> </w:t>
                </w:r>
                <w:r>
                  <w:rPr>
                    <w:sz w:val="16"/>
                    <w:u w:val="single"/>
                  </w:rPr>
                  <w:t>2000</w:t>
                  <w:tab/>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3.412994pt;margin-top:29.462093pt;width:73.650pt;height:10.9pt;mso-position-horizontal-relative:page;mso-position-vertical-relative:page;z-index:-23530496" type="#_x0000_t202" filled="false" stroked="false">
          <v:textbox inset="0,0,0,0">
            <w:txbxContent>
              <w:p>
                <w:pPr>
                  <w:spacing w:before="13"/>
                  <w:ind w:left="20" w:right="0" w:firstLine="0"/>
                  <w:jc w:val="left"/>
                  <w:rPr>
                    <w:i/>
                    <w:sz w:val="16"/>
                  </w:rPr>
                </w:pPr>
                <w:r>
                  <w:rPr>
                    <w:i/>
                    <w:sz w:val="16"/>
                  </w:rPr>
                  <w:t>Prospects for inflation</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528960" from="39.279999pt,40pt" to="556.779999pt,40pt" stroked="true" strokeweight=".125pt" strokecolor="#000000">
          <v:stroke dashstyle="solid"/>
          <w10:wrap type="none"/>
        </v:line>
      </w:pict>
    </w:r>
    <w:r>
      <w:rPr/>
      <w:pict>
        <v:shape style="position:absolute;margin-left:483.412994pt;margin-top:29.462093pt;width:73.650pt;height:10.9pt;mso-position-horizontal-relative:page;mso-position-vertical-relative:page;z-index:-23528448" type="#_x0000_t202" filled="false" stroked="false">
          <v:textbox inset="0,0,0,0">
            <w:txbxContent>
              <w:p>
                <w:pPr>
                  <w:spacing w:before="13"/>
                  <w:ind w:left="20" w:right="0" w:firstLine="0"/>
                  <w:jc w:val="left"/>
                  <w:rPr>
                    <w:i/>
                    <w:sz w:val="16"/>
                  </w:rPr>
                </w:pPr>
                <w:r>
                  <w:rPr>
                    <w:i/>
                    <w:sz w:val="16"/>
                  </w:rPr>
                  <w:t>Prospects for inflation</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3527936"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August</w:t>
                </w:r>
                <w:r>
                  <w:rPr>
                    <w:spacing w:val="7"/>
                    <w:sz w:val="16"/>
                    <w:u w:val="single"/>
                  </w:rPr>
                  <w:t> </w:t>
                </w:r>
                <w:r>
                  <w:rPr>
                    <w:sz w:val="16"/>
                    <w:u w:val="single"/>
                  </w:rPr>
                  <w:t>2000</w:t>
                  <w:tab/>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3.412994pt;margin-top:29.462093pt;width:73.650pt;height:10.9pt;mso-position-horizontal-relative:page;mso-position-vertical-relative:page;z-index:-23526400" type="#_x0000_t202" filled="false" stroked="false">
          <v:textbox inset="0,0,0,0">
            <w:txbxContent>
              <w:p>
                <w:pPr>
                  <w:spacing w:before="13"/>
                  <w:ind w:left="20" w:right="0" w:firstLine="0"/>
                  <w:jc w:val="left"/>
                  <w:rPr>
                    <w:i/>
                    <w:sz w:val="16"/>
                  </w:rPr>
                </w:pPr>
                <w:r>
                  <w:rPr>
                    <w:i/>
                    <w:sz w:val="16"/>
                  </w:rPr>
                  <w:t>Prospects for inflation</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9pt;margin-top:29.463093pt;width:100.2pt;height:10.9pt;mso-position-horizontal-relative:page;mso-position-vertical-relative:page;z-index:-23525888" type="#_x0000_t202" filled="false" stroked="false">
          <v:textbox inset="0,0,0,0">
            <w:txbxContent>
              <w:p>
                <w:pPr>
                  <w:spacing w:before="13"/>
                  <w:ind w:left="20" w:right="0" w:firstLine="0"/>
                  <w:jc w:val="left"/>
                  <w:rPr>
                    <w:sz w:val="16"/>
                  </w:rPr>
                </w:pPr>
                <w:r>
                  <w:rPr>
                    <w:sz w:val="16"/>
                  </w:rPr>
                  <w:t>Inflation Report: August 2000</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3523328"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August</w:t>
                </w:r>
                <w:r>
                  <w:rPr>
                    <w:spacing w:val="7"/>
                    <w:sz w:val="16"/>
                    <w:u w:val="single"/>
                  </w:rPr>
                  <w:t> </w:t>
                </w:r>
                <w:r>
                  <w:rPr>
                    <w:sz w:val="16"/>
                    <w:u w:val="single"/>
                  </w:rPr>
                  <w:t>2000</w:t>
                  <w:tab/>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3522816"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August</w:t>
                </w:r>
                <w:r>
                  <w:rPr>
                    <w:spacing w:val="7"/>
                    <w:sz w:val="16"/>
                    <w:u w:val="single"/>
                  </w:rPr>
                  <w:t> </w:t>
                </w:r>
                <w:r>
                  <w:rPr>
                    <w:sz w:val="16"/>
                    <w:u w:val="single"/>
                  </w:rPr>
                  <w:t>2000</w:t>
                  <w:tab/>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521280" from="39pt,38pt" to="556pt,38pt" stroked="true" strokeweight=".125pt" strokecolor="#000000">
          <v:stroke dashstyle="solid"/>
          <w10:wrap type="none"/>
        </v:line>
      </w:pict>
    </w:r>
    <w:r>
      <w:rPr/>
      <w:pict>
        <v:shape style="position:absolute;margin-left:463.812988pt;margin-top:28.463093pt;width:92.2pt;height:10.9pt;mso-position-horizontal-relative:page;mso-position-vertical-relative:page;z-index:-23520768" type="#_x0000_t202" filled="false" stroked="false">
          <v:textbox inset="0,0,0,0">
            <w:txbxContent>
              <w:p>
                <w:pPr>
                  <w:spacing w:before="13"/>
                  <w:ind w:left="20" w:right="0" w:firstLine="0"/>
                  <w:jc w:val="left"/>
                  <w:rPr>
                    <w:i/>
                    <w:sz w:val="16"/>
                  </w:rPr>
                </w:pPr>
                <w:r>
                  <w:rPr>
                    <w:i/>
                    <w:sz w:val="16"/>
                  </w:rPr>
                  <w:t>Monetary Policy Committee</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279999pt;margin-top:28.463093pt;width:519pt;height:10.9pt;mso-position-horizontal-relative:page;mso-position-vertical-relative:page;z-index:-23520256" type="#_x0000_t202" filled="false" stroked="false">
          <v:textbox inset="0,0,0,0">
            <w:txbxContent>
              <w:p>
                <w:pPr>
                  <w:tabs>
                    <w:tab w:pos="10359" w:val="left" w:leader="none"/>
                  </w:tabs>
                  <w:spacing w:before="13"/>
                  <w:ind w:left="20" w:right="0" w:firstLine="0"/>
                  <w:jc w:val="left"/>
                  <w:rPr>
                    <w:sz w:val="16"/>
                  </w:rPr>
                </w:pPr>
                <w:r>
                  <w:rPr>
                    <w:spacing w:val="-21"/>
                    <w:sz w:val="16"/>
                    <w:u w:val="single"/>
                  </w:rPr>
                  <w:t> </w:t>
                </w:r>
                <w:r>
                  <w:rPr>
                    <w:sz w:val="16"/>
                    <w:u w:val="single"/>
                  </w:rPr>
                  <w:t>Inflation Report:  August</w:t>
                </w:r>
                <w:r>
                  <w:rPr>
                    <w:spacing w:val="-25"/>
                    <w:sz w:val="16"/>
                    <w:u w:val="single"/>
                  </w:rPr>
                  <w:t> </w:t>
                </w:r>
                <w:r>
                  <w:rPr>
                    <w:sz w:val="16"/>
                    <w:u w:val="single"/>
                  </w:rPr>
                  <w:t>2000</w:t>
                  <w:tab/>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3565824"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August</w:t>
                </w:r>
                <w:r>
                  <w:rPr>
                    <w:spacing w:val="7"/>
                    <w:sz w:val="16"/>
                    <w:u w:val="single"/>
                  </w:rPr>
                  <w:t> </w:t>
                </w:r>
                <w:r>
                  <w:rPr>
                    <w:sz w:val="16"/>
                    <w:u w:val="single"/>
                  </w:rPr>
                  <w:t>2000</w:t>
                  <w:tab/>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3565312" from="39.279999pt,40pt" to="556.779999pt,40pt" stroked="true" strokeweight=".125pt" strokecolor="#000000">
          <v:stroke dashstyle="solid"/>
          <w10:wrap type="none"/>
        </v:line>
      </w:pict>
    </w:r>
    <w:r>
      <w:rPr/>
      <w:pict>
        <v:shape style="position:absolute;margin-left:459.993011pt;margin-top:29.462093pt;width:97.05pt;height:10.9pt;mso-position-horizontal-relative:page;mso-position-vertical-relative:page;z-index:-23564800" type="#_x0000_t202" filled="false" stroked="false">
          <v:textbox inset="0,0,0,0">
            <w:txbxContent>
              <w:p>
                <w:pPr>
                  <w:spacing w:before="13"/>
                  <w:ind w:left="20" w:right="0" w:firstLine="0"/>
                  <w:jc w:val="left"/>
                  <w:rPr>
                    <w:i/>
                    <w:sz w:val="16"/>
                  </w:rPr>
                </w:pPr>
                <w:r>
                  <w:rPr>
                    <w:i/>
                    <w:sz w:val="16"/>
                  </w:rPr>
                  <w:t>Money and financial markets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3563264"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August</w:t>
                </w:r>
                <w:r>
                  <w:rPr>
                    <w:spacing w:val="7"/>
                    <w:sz w:val="16"/>
                    <w:u w:val="single"/>
                  </w:rPr>
                  <w:t> </w:t>
                </w:r>
                <w:r>
                  <w:rPr>
                    <w:sz w:val="16"/>
                    <w:u w:val="single"/>
                  </w:rPr>
                  <w:t>2000</w:t>
                  <w:tab/>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9">
    <w:multiLevelType w:val="hybridMultilevel"/>
    <w:lvl w:ilvl="0">
      <w:start w:val="1"/>
      <w:numFmt w:val="decimal"/>
      <w:lvlText w:val="(%1)"/>
      <w:lvlJc w:val="left"/>
      <w:pPr>
        <w:ind w:left="645" w:hanging="241"/>
        <w:jc w:val="left"/>
      </w:pPr>
      <w:rPr>
        <w:rFonts w:hint="default" w:ascii="Times New Roman" w:hAnsi="Times New Roman" w:eastAsia="Times New Roman" w:cs="Times New Roman"/>
        <w:spacing w:val="-1"/>
        <w:w w:val="100"/>
        <w:sz w:val="16"/>
        <w:szCs w:val="16"/>
        <w:lang w:val="en-US" w:eastAsia="en-US" w:bidi="ar-SA"/>
      </w:rPr>
    </w:lvl>
    <w:lvl w:ilvl="1">
      <w:start w:val="0"/>
      <w:numFmt w:val="bullet"/>
      <w:lvlText w:val="•"/>
      <w:lvlJc w:val="left"/>
      <w:pPr>
        <w:ind w:left="1638" w:hanging="241"/>
      </w:pPr>
      <w:rPr>
        <w:rFonts w:hint="default"/>
        <w:lang w:val="en-US" w:eastAsia="en-US" w:bidi="ar-SA"/>
      </w:rPr>
    </w:lvl>
    <w:lvl w:ilvl="2">
      <w:start w:val="0"/>
      <w:numFmt w:val="bullet"/>
      <w:lvlText w:val="•"/>
      <w:lvlJc w:val="left"/>
      <w:pPr>
        <w:ind w:left="2636" w:hanging="241"/>
      </w:pPr>
      <w:rPr>
        <w:rFonts w:hint="default"/>
        <w:lang w:val="en-US" w:eastAsia="en-US" w:bidi="ar-SA"/>
      </w:rPr>
    </w:lvl>
    <w:lvl w:ilvl="3">
      <w:start w:val="0"/>
      <w:numFmt w:val="bullet"/>
      <w:lvlText w:val="•"/>
      <w:lvlJc w:val="left"/>
      <w:pPr>
        <w:ind w:left="3634" w:hanging="241"/>
      </w:pPr>
      <w:rPr>
        <w:rFonts w:hint="default"/>
        <w:lang w:val="en-US" w:eastAsia="en-US" w:bidi="ar-SA"/>
      </w:rPr>
    </w:lvl>
    <w:lvl w:ilvl="4">
      <w:start w:val="0"/>
      <w:numFmt w:val="bullet"/>
      <w:lvlText w:val="•"/>
      <w:lvlJc w:val="left"/>
      <w:pPr>
        <w:ind w:left="4632" w:hanging="241"/>
      </w:pPr>
      <w:rPr>
        <w:rFonts w:hint="default"/>
        <w:lang w:val="en-US" w:eastAsia="en-US" w:bidi="ar-SA"/>
      </w:rPr>
    </w:lvl>
    <w:lvl w:ilvl="5">
      <w:start w:val="0"/>
      <w:numFmt w:val="bullet"/>
      <w:lvlText w:val="•"/>
      <w:lvlJc w:val="left"/>
      <w:pPr>
        <w:ind w:left="5630" w:hanging="241"/>
      </w:pPr>
      <w:rPr>
        <w:rFonts w:hint="default"/>
        <w:lang w:val="en-US" w:eastAsia="en-US" w:bidi="ar-SA"/>
      </w:rPr>
    </w:lvl>
    <w:lvl w:ilvl="6">
      <w:start w:val="0"/>
      <w:numFmt w:val="bullet"/>
      <w:lvlText w:val="•"/>
      <w:lvlJc w:val="left"/>
      <w:pPr>
        <w:ind w:left="6628" w:hanging="241"/>
      </w:pPr>
      <w:rPr>
        <w:rFonts w:hint="default"/>
        <w:lang w:val="en-US" w:eastAsia="en-US" w:bidi="ar-SA"/>
      </w:rPr>
    </w:lvl>
    <w:lvl w:ilvl="7">
      <w:start w:val="0"/>
      <w:numFmt w:val="bullet"/>
      <w:lvlText w:val="•"/>
      <w:lvlJc w:val="left"/>
      <w:pPr>
        <w:ind w:left="7626" w:hanging="241"/>
      </w:pPr>
      <w:rPr>
        <w:rFonts w:hint="default"/>
        <w:lang w:val="en-US" w:eastAsia="en-US" w:bidi="ar-SA"/>
      </w:rPr>
    </w:lvl>
    <w:lvl w:ilvl="8">
      <w:start w:val="0"/>
      <w:numFmt w:val="bullet"/>
      <w:lvlText w:val="•"/>
      <w:lvlJc w:val="left"/>
      <w:pPr>
        <w:ind w:left="8624" w:hanging="241"/>
      </w:pPr>
      <w:rPr>
        <w:rFonts w:hint="default"/>
        <w:lang w:val="en-US" w:eastAsia="en-US" w:bidi="ar-SA"/>
      </w:rPr>
    </w:lvl>
  </w:abstractNum>
  <w:abstractNum w:abstractNumId="56">
    <w:multiLevelType w:val="hybridMultilevel"/>
    <w:lvl w:ilvl="0">
      <w:start w:val="1"/>
      <w:numFmt w:val="upperRoman"/>
      <w:lvlText w:val="%1"/>
      <w:lvlJc w:val="left"/>
      <w:pPr>
        <w:ind w:left="670" w:hanging="481"/>
        <w:jc w:val="left"/>
      </w:pPr>
      <w:rPr>
        <w:rFonts w:hint="default" w:ascii="Times New Roman" w:hAnsi="Times New Roman" w:eastAsia="Times New Roman" w:cs="Times New Roman"/>
        <w:b/>
        <w:bCs/>
        <w:color w:val="009391"/>
        <w:spacing w:val="-9"/>
        <w:w w:val="100"/>
        <w:sz w:val="22"/>
        <w:szCs w:val="22"/>
        <w:lang w:val="en-US" w:eastAsia="en-US" w:bidi="ar-SA"/>
      </w:rPr>
    </w:lvl>
    <w:lvl w:ilvl="1">
      <w:start w:val="0"/>
      <w:numFmt w:val="bullet"/>
      <w:lvlText w:val="•"/>
      <w:lvlJc w:val="left"/>
      <w:pPr>
        <w:ind w:left="1124" w:hanging="481"/>
      </w:pPr>
      <w:rPr>
        <w:rFonts w:hint="default"/>
        <w:lang w:val="en-US" w:eastAsia="en-US" w:bidi="ar-SA"/>
      </w:rPr>
    </w:lvl>
    <w:lvl w:ilvl="2">
      <w:start w:val="0"/>
      <w:numFmt w:val="bullet"/>
      <w:lvlText w:val="•"/>
      <w:lvlJc w:val="left"/>
      <w:pPr>
        <w:ind w:left="1569" w:hanging="481"/>
      </w:pPr>
      <w:rPr>
        <w:rFonts w:hint="default"/>
        <w:lang w:val="en-US" w:eastAsia="en-US" w:bidi="ar-SA"/>
      </w:rPr>
    </w:lvl>
    <w:lvl w:ilvl="3">
      <w:start w:val="0"/>
      <w:numFmt w:val="bullet"/>
      <w:lvlText w:val="•"/>
      <w:lvlJc w:val="left"/>
      <w:pPr>
        <w:ind w:left="2014" w:hanging="481"/>
      </w:pPr>
      <w:rPr>
        <w:rFonts w:hint="default"/>
        <w:lang w:val="en-US" w:eastAsia="en-US" w:bidi="ar-SA"/>
      </w:rPr>
    </w:lvl>
    <w:lvl w:ilvl="4">
      <w:start w:val="0"/>
      <w:numFmt w:val="bullet"/>
      <w:lvlText w:val="•"/>
      <w:lvlJc w:val="left"/>
      <w:pPr>
        <w:ind w:left="2459" w:hanging="481"/>
      </w:pPr>
      <w:rPr>
        <w:rFonts w:hint="default"/>
        <w:lang w:val="en-US" w:eastAsia="en-US" w:bidi="ar-SA"/>
      </w:rPr>
    </w:lvl>
    <w:lvl w:ilvl="5">
      <w:start w:val="0"/>
      <w:numFmt w:val="bullet"/>
      <w:lvlText w:val="•"/>
      <w:lvlJc w:val="left"/>
      <w:pPr>
        <w:ind w:left="2903" w:hanging="481"/>
      </w:pPr>
      <w:rPr>
        <w:rFonts w:hint="default"/>
        <w:lang w:val="en-US" w:eastAsia="en-US" w:bidi="ar-SA"/>
      </w:rPr>
    </w:lvl>
    <w:lvl w:ilvl="6">
      <w:start w:val="0"/>
      <w:numFmt w:val="bullet"/>
      <w:lvlText w:val="•"/>
      <w:lvlJc w:val="left"/>
      <w:pPr>
        <w:ind w:left="3348" w:hanging="481"/>
      </w:pPr>
      <w:rPr>
        <w:rFonts w:hint="default"/>
        <w:lang w:val="en-US" w:eastAsia="en-US" w:bidi="ar-SA"/>
      </w:rPr>
    </w:lvl>
    <w:lvl w:ilvl="7">
      <w:start w:val="0"/>
      <w:numFmt w:val="bullet"/>
      <w:lvlText w:val="•"/>
      <w:lvlJc w:val="left"/>
      <w:pPr>
        <w:ind w:left="3793" w:hanging="481"/>
      </w:pPr>
      <w:rPr>
        <w:rFonts w:hint="default"/>
        <w:lang w:val="en-US" w:eastAsia="en-US" w:bidi="ar-SA"/>
      </w:rPr>
    </w:lvl>
    <w:lvl w:ilvl="8">
      <w:start w:val="0"/>
      <w:numFmt w:val="bullet"/>
      <w:lvlText w:val="•"/>
      <w:lvlJc w:val="left"/>
      <w:pPr>
        <w:ind w:left="4238" w:hanging="481"/>
      </w:pPr>
      <w:rPr>
        <w:rFonts w:hint="default"/>
        <w:lang w:val="en-US" w:eastAsia="en-US" w:bidi="ar-SA"/>
      </w:rPr>
    </w:lvl>
  </w:abstractNum>
  <w:abstractNum w:abstractNumId="55">
    <w:multiLevelType w:val="hybridMultilevel"/>
    <w:lvl w:ilvl="0">
      <w:start w:val="1"/>
      <w:numFmt w:val="decimal"/>
      <w:lvlText w:val="%1"/>
      <w:lvlJc w:val="left"/>
      <w:pPr>
        <w:ind w:left="190"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92" w:hanging="480"/>
      </w:pPr>
      <w:rPr>
        <w:rFonts w:hint="default"/>
        <w:lang w:val="en-US" w:eastAsia="en-US" w:bidi="ar-SA"/>
      </w:rPr>
    </w:lvl>
    <w:lvl w:ilvl="2">
      <w:start w:val="0"/>
      <w:numFmt w:val="bullet"/>
      <w:lvlText w:val="•"/>
      <w:lvlJc w:val="left"/>
      <w:pPr>
        <w:ind w:left="1185" w:hanging="480"/>
      </w:pPr>
      <w:rPr>
        <w:rFonts w:hint="default"/>
        <w:lang w:val="en-US" w:eastAsia="en-US" w:bidi="ar-SA"/>
      </w:rPr>
    </w:lvl>
    <w:lvl w:ilvl="3">
      <w:start w:val="0"/>
      <w:numFmt w:val="bullet"/>
      <w:lvlText w:val="•"/>
      <w:lvlJc w:val="left"/>
      <w:pPr>
        <w:ind w:left="1678" w:hanging="480"/>
      </w:pPr>
      <w:rPr>
        <w:rFonts w:hint="default"/>
        <w:lang w:val="en-US" w:eastAsia="en-US" w:bidi="ar-SA"/>
      </w:rPr>
    </w:lvl>
    <w:lvl w:ilvl="4">
      <w:start w:val="0"/>
      <w:numFmt w:val="bullet"/>
      <w:lvlText w:val="•"/>
      <w:lvlJc w:val="left"/>
      <w:pPr>
        <w:ind w:left="2171" w:hanging="480"/>
      </w:pPr>
      <w:rPr>
        <w:rFonts w:hint="default"/>
        <w:lang w:val="en-US" w:eastAsia="en-US" w:bidi="ar-SA"/>
      </w:rPr>
    </w:lvl>
    <w:lvl w:ilvl="5">
      <w:start w:val="0"/>
      <w:numFmt w:val="bullet"/>
      <w:lvlText w:val="•"/>
      <w:lvlJc w:val="left"/>
      <w:pPr>
        <w:ind w:left="2663" w:hanging="480"/>
      </w:pPr>
      <w:rPr>
        <w:rFonts w:hint="default"/>
        <w:lang w:val="en-US" w:eastAsia="en-US" w:bidi="ar-SA"/>
      </w:rPr>
    </w:lvl>
    <w:lvl w:ilvl="6">
      <w:start w:val="0"/>
      <w:numFmt w:val="bullet"/>
      <w:lvlText w:val="•"/>
      <w:lvlJc w:val="left"/>
      <w:pPr>
        <w:ind w:left="3156" w:hanging="480"/>
      </w:pPr>
      <w:rPr>
        <w:rFonts w:hint="default"/>
        <w:lang w:val="en-US" w:eastAsia="en-US" w:bidi="ar-SA"/>
      </w:rPr>
    </w:lvl>
    <w:lvl w:ilvl="7">
      <w:start w:val="0"/>
      <w:numFmt w:val="bullet"/>
      <w:lvlText w:val="•"/>
      <w:lvlJc w:val="left"/>
      <w:pPr>
        <w:ind w:left="3649" w:hanging="480"/>
      </w:pPr>
      <w:rPr>
        <w:rFonts w:hint="default"/>
        <w:lang w:val="en-US" w:eastAsia="en-US" w:bidi="ar-SA"/>
      </w:rPr>
    </w:lvl>
    <w:lvl w:ilvl="8">
      <w:start w:val="0"/>
      <w:numFmt w:val="bullet"/>
      <w:lvlText w:val="•"/>
      <w:lvlJc w:val="left"/>
      <w:pPr>
        <w:ind w:left="4142" w:hanging="480"/>
      </w:pPr>
      <w:rPr>
        <w:rFonts w:hint="default"/>
        <w:lang w:val="en-US" w:eastAsia="en-US" w:bidi="ar-SA"/>
      </w:rPr>
    </w:lvl>
  </w:abstractNum>
  <w:abstractNum w:abstractNumId="54">
    <w:multiLevelType w:val="hybridMultilevel"/>
    <w:lvl w:ilvl="0">
      <w:start w:val="25"/>
      <w:numFmt w:val="decimal"/>
      <w:lvlText w:val="%1"/>
      <w:lvlJc w:val="left"/>
      <w:pPr>
        <w:ind w:left="185"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73" w:hanging="480"/>
      </w:pPr>
      <w:rPr>
        <w:rFonts w:hint="default"/>
        <w:lang w:val="en-US" w:eastAsia="en-US" w:bidi="ar-SA"/>
      </w:rPr>
    </w:lvl>
    <w:lvl w:ilvl="2">
      <w:start w:val="0"/>
      <w:numFmt w:val="bullet"/>
      <w:lvlText w:val="•"/>
      <w:lvlJc w:val="left"/>
      <w:pPr>
        <w:ind w:left="1166" w:hanging="480"/>
      </w:pPr>
      <w:rPr>
        <w:rFonts w:hint="default"/>
        <w:lang w:val="en-US" w:eastAsia="en-US" w:bidi="ar-SA"/>
      </w:rPr>
    </w:lvl>
    <w:lvl w:ilvl="3">
      <w:start w:val="0"/>
      <w:numFmt w:val="bullet"/>
      <w:lvlText w:val="•"/>
      <w:lvlJc w:val="left"/>
      <w:pPr>
        <w:ind w:left="1659" w:hanging="480"/>
      </w:pPr>
      <w:rPr>
        <w:rFonts w:hint="default"/>
        <w:lang w:val="en-US" w:eastAsia="en-US" w:bidi="ar-SA"/>
      </w:rPr>
    </w:lvl>
    <w:lvl w:ilvl="4">
      <w:start w:val="0"/>
      <w:numFmt w:val="bullet"/>
      <w:lvlText w:val="•"/>
      <w:lvlJc w:val="left"/>
      <w:pPr>
        <w:ind w:left="2153" w:hanging="480"/>
      </w:pPr>
      <w:rPr>
        <w:rFonts w:hint="default"/>
        <w:lang w:val="en-US" w:eastAsia="en-US" w:bidi="ar-SA"/>
      </w:rPr>
    </w:lvl>
    <w:lvl w:ilvl="5">
      <w:start w:val="0"/>
      <w:numFmt w:val="bullet"/>
      <w:lvlText w:val="•"/>
      <w:lvlJc w:val="left"/>
      <w:pPr>
        <w:ind w:left="2646" w:hanging="480"/>
      </w:pPr>
      <w:rPr>
        <w:rFonts w:hint="default"/>
        <w:lang w:val="en-US" w:eastAsia="en-US" w:bidi="ar-SA"/>
      </w:rPr>
    </w:lvl>
    <w:lvl w:ilvl="6">
      <w:start w:val="0"/>
      <w:numFmt w:val="bullet"/>
      <w:lvlText w:val="•"/>
      <w:lvlJc w:val="left"/>
      <w:pPr>
        <w:ind w:left="3139" w:hanging="480"/>
      </w:pPr>
      <w:rPr>
        <w:rFonts w:hint="default"/>
        <w:lang w:val="en-US" w:eastAsia="en-US" w:bidi="ar-SA"/>
      </w:rPr>
    </w:lvl>
    <w:lvl w:ilvl="7">
      <w:start w:val="0"/>
      <w:numFmt w:val="bullet"/>
      <w:lvlText w:val="•"/>
      <w:lvlJc w:val="left"/>
      <w:pPr>
        <w:ind w:left="3633" w:hanging="480"/>
      </w:pPr>
      <w:rPr>
        <w:rFonts w:hint="default"/>
        <w:lang w:val="en-US" w:eastAsia="en-US" w:bidi="ar-SA"/>
      </w:rPr>
    </w:lvl>
    <w:lvl w:ilvl="8">
      <w:start w:val="0"/>
      <w:numFmt w:val="bullet"/>
      <w:lvlText w:val="•"/>
      <w:lvlJc w:val="left"/>
      <w:pPr>
        <w:ind w:left="4126" w:hanging="480"/>
      </w:pPr>
      <w:rPr>
        <w:rFonts w:hint="default"/>
        <w:lang w:val="en-US" w:eastAsia="en-US" w:bidi="ar-SA"/>
      </w:rPr>
    </w:lvl>
  </w:abstractNum>
  <w:abstractNum w:abstractNumId="53">
    <w:multiLevelType w:val="hybridMultilevel"/>
    <w:lvl w:ilvl="0">
      <w:start w:val="1"/>
      <w:numFmt w:val="decimal"/>
      <w:lvlText w:val="%1"/>
      <w:lvlJc w:val="left"/>
      <w:pPr>
        <w:ind w:left="165"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55" w:hanging="480"/>
      </w:pPr>
      <w:rPr>
        <w:rFonts w:hint="default"/>
        <w:lang w:val="en-US" w:eastAsia="en-US" w:bidi="ar-SA"/>
      </w:rPr>
    </w:lvl>
    <w:lvl w:ilvl="2">
      <w:start w:val="0"/>
      <w:numFmt w:val="bullet"/>
      <w:lvlText w:val="•"/>
      <w:lvlJc w:val="left"/>
      <w:pPr>
        <w:ind w:left="1150" w:hanging="480"/>
      </w:pPr>
      <w:rPr>
        <w:rFonts w:hint="default"/>
        <w:lang w:val="en-US" w:eastAsia="en-US" w:bidi="ar-SA"/>
      </w:rPr>
    </w:lvl>
    <w:lvl w:ilvl="3">
      <w:start w:val="0"/>
      <w:numFmt w:val="bullet"/>
      <w:lvlText w:val="•"/>
      <w:lvlJc w:val="left"/>
      <w:pPr>
        <w:ind w:left="1645" w:hanging="480"/>
      </w:pPr>
      <w:rPr>
        <w:rFonts w:hint="default"/>
        <w:lang w:val="en-US" w:eastAsia="en-US" w:bidi="ar-SA"/>
      </w:rPr>
    </w:lvl>
    <w:lvl w:ilvl="4">
      <w:start w:val="0"/>
      <w:numFmt w:val="bullet"/>
      <w:lvlText w:val="•"/>
      <w:lvlJc w:val="left"/>
      <w:pPr>
        <w:ind w:left="2141" w:hanging="480"/>
      </w:pPr>
      <w:rPr>
        <w:rFonts w:hint="default"/>
        <w:lang w:val="en-US" w:eastAsia="en-US" w:bidi="ar-SA"/>
      </w:rPr>
    </w:lvl>
    <w:lvl w:ilvl="5">
      <w:start w:val="0"/>
      <w:numFmt w:val="bullet"/>
      <w:lvlText w:val="•"/>
      <w:lvlJc w:val="left"/>
      <w:pPr>
        <w:ind w:left="2636" w:hanging="480"/>
      </w:pPr>
      <w:rPr>
        <w:rFonts w:hint="default"/>
        <w:lang w:val="en-US" w:eastAsia="en-US" w:bidi="ar-SA"/>
      </w:rPr>
    </w:lvl>
    <w:lvl w:ilvl="6">
      <w:start w:val="0"/>
      <w:numFmt w:val="bullet"/>
      <w:lvlText w:val="•"/>
      <w:lvlJc w:val="left"/>
      <w:pPr>
        <w:ind w:left="3131" w:hanging="480"/>
      </w:pPr>
      <w:rPr>
        <w:rFonts w:hint="default"/>
        <w:lang w:val="en-US" w:eastAsia="en-US" w:bidi="ar-SA"/>
      </w:rPr>
    </w:lvl>
    <w:lvl w:ilvl="7">
      <w:start w:val="0"/>
      <w:numFmt w:val="bullet"/>
      <w:lvlText w:val="•"/>
      <w:lvlJc w:val="left"/>
      <w:pPr>
        <w:ind w:left="3627" w:hanging="480"/>
      </w:pPr>
      <w:rPr>
        <w:rFonts w:hint="default"/>
        <w:lang w:val="en-US" w:eastAsia="en-US" w:bidi="ar-SA"/>
      </w:rPr>
    </w:lvl>
    <w:lvl w:ilvl="8">
      <w:start w:val="0"/>
      <w:numFmt w:val="bullet"/>
      <w:lvlText w:val="•"/>
      <w:lvlJc w:val="left"/>
      <w:pPr>
        <w:ind w:left="4122" w:hanging="480"/>
      </w:pPr>
      <w:rPr>
        <w:rFonts w:hint="default"/>
        <w:lang w:val="en-US" w:eastAsia="en-US" w:bidi="ar-SA"/>
      </w:rPr>
    </w:lvl>
  </w:abstractNum>
  <w:abstractNum w:abstractNumId="52">
    <w:multiLevelType w:val="hybridMultilevel"/>
    <w:lvl w:ilvl="0">
      <w:start w:val="0"/>
      <w:numFmt w:val="bullet"/>
      <w:lvlText w:val="—"/>
      <w:lvlJc w:val="left"/>
      <w:pPr>
        <w:ind w:left="640" w:hanging="480"/>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1638" w:hanging="480"/>
      </w:pPr>
      <w:rPr>
        <w:rFonts w:hint="default"/>
        <w:lang w:val="en-US" w:eastAsia="en-US" w:bidi="ar-SA"/>
      </w:rPr>
    </w:lvl>
    <w:lvl w:ilvl="2">
      <w:start w:val="0"/>
      <w:numFmt w:val="bullet"/>
      <w:lvlText w:val="•"/>
      <w:lvlJc w:val="left"/>
      <w:pPr>
        <w:ind w:left="2636" w:hanging="480"/>
      </w:pPr>
      <w:rPr>
        <w:rFonts w:hint="default"/>
        <w:lang w:val="en-US" w:eastAsia="en-US" w:bidi="ar-SA"/>
      </w:rPr>
    </w:lvl>
    <w:lvl w:ilvl="3">
      <w:start w:val="0"/>
      <w:numFmt w:val="bullet"/>
      <w:lvlText w:val="•"/>
      <w:lvlJc w:val="left"/>
      <w:pPr>
        <w:ind w:left="3634" w:hanging="480"/>
      </w:pPr>
      <w:rPr>
        <w:rFonts w:hint="default"/>
        <w:lang w:val="en-US" w:eastAsia="en-US" w:bidi="ar-SA"/>
      </w:rPr>
    </w:lvl>
    <w:lvl w:ilvl="4">
      <w:start w:val="0"/>
      <w:numFmt w:val="bullet"/>
      <w:lvlText w:val="•"/>
      <w:lvlJc w:val="left"/>
      <w:pPr>
        <w:ind w:left="4632" w:hanging="480"/>
      </w:pPr>
      <w:rPr>
        <w:rFonts w:hint="default"/>
        <w:lang w:val="en-US" w:eastAsia="en-US" w:bidi="ar-SA"/>
      </w:rPr>
    </w:lvl>
    <w:lvl w:ilvl="5">
      <w:start w:val="0"/>
      <w:numFmt w:val="bullet"/>
      <w:lvlText w:val="•"/>
      <w:lvlJc w:val="left"/>
      <w:pPr>
        <w:ind w:left="5630" w:hanging="480"/>
      </w:pPr>
      <w:rPr>
        <w:rFonts w:hint="default"/>
        <w:lang w:val="en-US" w:eastAsia="en-US" w:bidi="ar-SA"/>
      </w:rPr>
    </w:lvl>
    <w:lvl w:ilvl="6">
      <w:start w:val="0"/>
      <w:numFmt w:val="bullet"/>
      <w:lvlText w:val="•"/>
      <w:lvlJc w:val="left"/>
      <w:pPr>
        <w:ind w:left="6628" w:hanging="480"/>
      </w:pPr>
      <w:rPr>
        <w:rFonts w:hint="default"/>
        <w:lang w:val="en-US" w:eastAsia="en-US" w:bidi="ar-SA"/>
      </w:rPr>
    </w:lvl>
    <w:lvl w:ilvl="7">
      <w:start w:val="0"/>
      <w:numFmt w:val="bullet"/>
      <w:lvlText w:val="•"/>
      <w:lvlJc w:val="left"/>
      <w:pPr>
        <w:ind w:left="7626" w:hanging="480"/>
      </w:pPr>
      <w:rPr>
        <w:rFonts w:hint="default"/>
        <w:lang w:val="en-US" w:eastAsia="en-US" w:bidi="ar-SA"/>
      </w:rPr>
    </w:lvl>
    <w:lvl w:ilvl="8">
      <w:start w:val="0"/>
      <w:numFmt w:val="bullet"/>
      <w:lvlText w:val="•"/>
      <w:lvlJc w:val="left"/>
      <w:pPr>
        <w:ind w:left="8624" w:hanging="480"/>
      </w:pPr>
      <w:rPr>
        <w:rFonts w:hint="default"/>
        <w:lang w:val="en-US" w:eastAsia="en-US" w:bidi="ar-SA"/>
      </w:rPr>
    </w:lvl>
  </w:abstractNum>
  <w:abstractNum w:abstractNumId="51">
    <w:multiLevelType w:val="hybridMultilevel"/>
    <w:lvl w:ilvl="0">
      <w:start w:val="0"/>
      <w:numFmt w:val="decimal"/>
      <w:lvlText w:val="%1"/>
      <w:lvlJc w:val="left"/>
      <w:pPr>
        <w:ind w:left="455" w:hanging="270"/>
        <w:jc w:val="left"/>
      </w:pPr>
      <w:rPr>
        <w:rFonts w:hint="default"/>
        <w:lang w:val="en-US" w:eastAsia="en-US" w:bidi="ar-SA"/>
      </w:rPr>
    </w:lvl>
    <w:lvl w:ilvl="1">
      <w:start w:val="1"/>
      <w:numFmt w:val="decimal"/>
      <w:lvlText w:val="%1.%2"/>
      <w:lvlJc w:val="left"/>
      <w:pPr>
        <w:ind w:left="455" w:hanging="270"/>
        <w:jc w:val="left"/>
      </w:pPr>
      <w:rPr>
        <w:rFonts w:hint="default" w:ascii="Times New Roman" w:hAnsi="Times New Roman" w:eastAsia="Times New Roman" w:cs="Times New Roman"/>
        <w:spacing w:val="-1"/>
        <w:w w:val="100"/>
        <w:sz w:val="18"/>
        <w:szCs w:val="18"/>
        <w:lang w:val="en-US" w:eastAsia="en-US" w:bidi="ar-SA"/>
      </w:rPr>
    </w:lvl>
    <w:lvl w:ilvl="2">
      <w:start w:val="0"/>
      <w:numFmt w:val="bullet"/>
      <w:lvlText w:val="•"/>
      <w:lvlJc w:val="left"/>
      <w:pPr>
        <w:ind w:left="1417" w:hanging="270"/>
      </w:pPr>
      <w:rPr>
        <w:rFonts w:hint="default"/>
        <w:lang w:val="en-US" w:eastAsia="en-US" w:bidi="ar-SA"/>
      </w:rPr>
    </w:lvl>
    <w:lvl w:ilvl="3">
      <w:start w:val="0"/>
      <w:numFmt w:val="bullet"/>
      <w:lvlText w:val="•"/>
      <w:lvlJc w:val="left"/>
      <w:pPr>
        <w:ind w:left="1895" w:hanging="270"/>
      </w:pPr>
      <w:rPr>
        <w:rFonts w:hint="default"/>
        <w:lang w:val="en-US" w:eastAsia="en-US" w:bidi="ar-SA"/>
      </w:rPr>
    </w:lvl>
    <w:lvl w:ilvl="4">
      <w:start w:val="0"/>
      <w:numFmt w:val="bullet"/>
      <w:lvlText w:val="•"/>
      <w:lvlJc w:val="left"/>
      <w:pPr>
        <w:ind w:left="2374" w:hanging="270"/>
      </w:pPr>
      <w:rPr>
        <w:rFonts w:hint="default"/>
        <w:lang w:val="en-US" w:eastAsia="en-US" w:bidi="ar-SA"/>
      </w:rPr>
    </w:lvl>
    <w:lvl w:ilvl="5">
      <w:start w:val="0"/>
      <w:numFmt w:val="bullet"/>
      <w:lvlText w:val="•"/>
      <w:lvlJc w:val="left"/>
      <w:pPr>
        <w:ind w:left="2852" w:hanging="270"/>
      </w:pPr>
      <w:rPr>
        <w:rFonts w:hint="default"/>
        <w:lang w:val="en-US" w:eastAsia="en-US" w:bidi="ar-SA"/>
      </w:rPr>
    </w:lvl>
    <w:lvl w:ilvl="6">
      <w:start w:val="0"/>
      <w:numFmt w:val="bullet"/>
      <w:lvlText w:val="•"/>
      <w:lvlJc w:val="left"/>
      <w:pPr>
        <w:ind w:left="3331" w:hanging="270"/>
      </w:pPr>
      <w:rPr>
        <w:rFonts w:hint="default"/>
        <w:lang w:val="en-US" w:eastAsia="en-US" w:bidi="ar-SA"/>
      </w:rPr>
    </w:lvl>
    <w:lvl w:ilvl="7">
      <w:start w:val="0"/>
      <w:numFmt w:val="bullet"/>
      <w:lvlText w:val="•"/>
      <w:lvlJc w:val="left"/>
      <w:pPr>
        <w:ind w:left="3809" w:hanging="270"/>
      </w:pPr>
      <w:rPr>
        <w:rFonts w:hint="default"/>
        <w:lang w:val="en-US" w:eastAsia="en-US" w:bidi="ar-SA"/>
      </w:rPr>
    </w:lvl>
    <w:lvl w:ilvl="8">
      <w:start w:val="0"/>
      <w:numFmt w:val="bullet"/>
      <w:lvlText w:val="•"/>
      <w:lvlJc w:val="left"/>
      <w:pPr>
        <w:ind w:left="4288" w:hanging="270"/>
      </w:pPr>
      <w:rPr>
        <w:rFonts w:hint="default"/>
        <w:lang w:val="en-US" w:eastAsia="en-US" w:bidi="ar-SA"/>
      </w:rPr>
    </w:lvl>
  </w:abstractNum>
  <w:abstractNum w:abstractNumId="50">
    <w:multiLevelType w:val="hybridMultilevel"/>
    <w:lvl w:ilvl="0">
      <w:start w:val="1"/>
      <w:numFmt w:val="upperRoman"/>
      <w:lvlText w:val="%1"/>
      <w:lvlJc w:val="left"/>
      <w:pPr>
        <w:ind w:left="654" w:hanging="481"/>
        <w:jc w:val="left"/>
      </w:pPr>
      <w:rPr>
        <w:rFonts w:hint="default" w:ascii="Times New Roman" w:hAnsi="Times New Roman" w:eastAsia="Times New Roman" w:cs="Times New Roman"/>
        <w:b/>
        <w:bCs/>
        <w:color w:val="009391"/>
        <w:spacing w:val="-9"/>
        <w:w w:val="100"/>
        <w:sz w:val="22"/>
        <w:szCs w:val="22"/>
        <w:lang w:val="en-US" w:eastAsia="en-US" w:bidi="ar-SA"/>
      </w:rPr>
    </w:lvl>
    <w:lvl w:ilvl="1">
      <w:start w:val="0"/>
      <w:numFmt w:val="bullet"/>
      <w:lvlText w:val="•"/>
      <w:lvlJc w:val="left"/>
      <w:pPr>
        <w:ind w:left="1106" w:hanging="481"/>
      </w:pPr>
      <w:rPr>
        <w:rFonts w:hint="default"/>
        <w:lang w:val="en-US" w:eastAsia="en-US" w:bidi="ar-SA"/>
      </w:rPr>
    </w:lvl>
    <w:lvl w:ilvl="2">
      <w:start w:val="0"/>
      <w:numFmt w:val="bullet"/>
      <w:lvlText w:val="•"/>
      <w:lvlJc w:val="left"/>
      <w:pPr>
        <w:ind w:left="1552" w:hanging="481"/>
      </w:pPr>
      <w:rPr>
        <w:rFonts w:hint="default"/>
        <w:lang w:val="en-US" w:eastAsia="en-US" w:bidi="ar-SA"/>
      </w:rPr>
    </w:lvl>
    <w:lvl w:ilvl="3">
      <w:start w:val="0"/>
      <w:numFmt w:val="bullet"/>
      <w:lvlText w:val="•"/>
      <w:lvlJc w:val="left"/>
      <w:pPr>
        <w:ind w:left="1998" w:hanging="481"/>
      </w:pPr>
      <w:rPr>
        <w:rFonts w:hint="default"/>
        <w:lang w:val="en-US" w:eastAsia="en-US" w:bidi="ar-SA"/>
      </w:rPr>
    </w:lvl>
    <w:lvl w:ilvl="4">
      <w:start w:val="0"/>
      <w:numFmt w:val="bullet"/>
      <w:lvlText w:val="•"/>
      <w:lvlJc w:val="left"/>
      <w:pPr>
        <w:ind w:left="2445" w:hanging="481"/>
      </w:pPr>
      <w:rPr>
        <w:rFonts w:hint="default"/>
        <w:lang w:val="en-US" w:eastAsia="en-US" w:bidi="ar-SA"/>
      </w:rPr>
    </w:lvl>
    <w:lvl w:ilvl="5">
      <w:start w:val="0"/>
      <w:numFmt w:val="bullet"/>
      <w:lvlText w:val="•"/>
      <w:lvlJc w:val="left"/>
      <w:pPr>
        <w:ind w:left="2891" w:hanging="481"/>
      </w:pPr>
      <w:rPr>
        <w:rFonts w:hint="default"/>
        <w:lang w:val="en-US" w:eastAsia="en-US" w:bidi="ar-SA"/>
      </w:rPr>
    </w:lvl>
    <w:lvl w:ilvl="6">
      <w:start w:val="0"/>
      <w:numFmt w:val="bullet"/>
      <w:lvlText w:val="•"/>
      <w:lvlJc w:val="left"/>
      <w:pPr>
        <w:ind w:left="3337" w:hanging="481"/>
      </w:pPr>
      <w:rPr>
        <w:rFonts w:hint="default"/>
        <w:lang w:val="en-US" w:eastAsia="en-US" w:bidi="ar-SA"/>
      </w:rPr>
    </w:lvl>
    <w:lvl w:ilvl="7">
      <w:start w:val="0"/>
      <w:numFmt w:val="bullet"/>
      <w:lvlText w:val="•"/>
      <w:lvlJc w:val="left"/>
      <w:pPr>
        <w:ind w:left="3783" w:hanging="481"/>
      </w:pPr>
      <w:rPr>
        <w:rFonts w:hint="default"/>
        <w:lang w:val="en-US" w:eastAsia="en-US" w:bidi="ar-SA"/>
      </w:rPr>
    </w:lvl>
    <w:lvl w:ilvl="8">
      <w:start w:val="0"/>
      <w:numFmt w:val="bullet"/>
      <w:lvlText w:val="•"/>
      <w:lvlJc w:val="left"/>
      <w:pPr>
        <w:ind w:left="4230" w:hanging="481"/>
      </w:pPr>
      <w:rPr>
        <w:rFonts w:hint="default"/>
        <w:lang w:val="en-US" w:eastAsia="en-US" w:bidi="ar-SA"/>
      </w:rPr>
    </w:lvl>
  </w:abstractNum>
  <w:abstractNum w:abstractNumId="49">
    <w:multiLevelType w:val="hybridMultilevel"/>
    <w:lvl w:ilvl="0">
      <w:start w:val="1"/>
      <w:numFmt w:val="decimal"/>
      <w:lvlText w:val="%1"/>
      <w:lvlJc w:val="left"/>
      <w:pPr>
        <w:ind w:left="174" w:hanging="480"/>
        <w:jc w:val="left"/>
      </w:pPr>
      <w:rPr>
        <w:rFonts w:hint="default" w:ascii="Times New Roman" w:hAnsi="Times New Roman" w:eastAsia="Times New Roman" w:cs="Times New Roman"/>
        <w:spacing w:val="-1"/>
        <w:w w:val="100"/>
        <w:sz w:val="18"/>
        <w:szCs w:val="18"/>
        <w:lang w:val="en-US" w:eastAsia="en-US" w:bidi="ar-SA"/>
      </w:rPr>
    </w:lvl>
    <w:lvl w:ilvl="1">
      <w:start w:val="1"/>
      <w:numFmt w:val="lowerLetter"/>
      <w:lvlText w:val="(%2)"/>
      <w:lvlJc w:val="left"/>
      <w:pPr>
        <w:ind w:left="1200" w:hanging="321"/>
        <w:jc w:val="left"/>
      </w:pPr>
      <w:rPr>
        <w:rFonts w:hint="default" w:ascii="Times New Roman" w:hAnsi="Times New Roman" w:eastAsia="Times New Roman" w:cs="Times New Roman"/>
        <w:spacing w:val="-15"/>
        <w:w w:val="100"/>
        <w:sz w:val="18"/>
        <w:szCs w:val="18"/>
        <w:lang w:val="en-US" w:eastAsia="en-US" w:bidi="ar-SA"/>
      </w:rPr>
    </w:lvl>
    <w:lvl w:ilvl="2">
      <w:start w:val="0"/>
      <w:numFmt w:val="bullet"/>
      <w:lvlText w:val="•"/>
      <w:lvlJc w:val="left"/>
      <w:pPr>
        <w:ind w:left="1635" w:hanging="321"/>
      </w:pPr>
      <w:rPr>
        <w:rFonts w:hint="default"/>
        <w:lang w:val="en-US" w:eastAsia="en-US" w:bidi="ar-SA"/>
      </w:rPr>
    </w:lvl>
    <w:lvl w:ilvl="3">
      <w:start w:val="0"/>
      <w:numFmt w:val="bullet"/>
      <w:lvlText w:val="•"/>
      <w:lvlJc w:val="left"/>
      <w:pPr>
        <w:ind w:left="2071" w:hanging="321"/>
      </w:pPr>
      <w:rPr>
        <w:rFonts w:hint="default"/>
        <w:lang w:val="en-US" w:eastAsia="en-US" w:bidi="ar-SA"/>
      </w:rPr>
    </w:lvl>
    <w:lvl w:ilvl="4">
      <w:start w:val="0"/>
      <w:numFmt w:val="bullet"/>
      <w:lvlText w:val="•"/>
      <w:lvlJc w:val="left"/>
      <w:pPr>
        <w:ind w:left="2507" w:hanging="321"/>
      </w:pPr>
      <w:rPr>
        <w:rFonts w:hint="default"/>
        <w:lang w:val="en-US" w:eastAsia="en-US" w:bidi="ar-SA"/>
      </w:rPr>
    </w:lvl>
    <w:lvl w:ilvl="5">
      <w:start w:val="0"/>
      <w:numFmt w:val="bullet"/>
      <w:lvlText w:val="•"/>
      <w:lvlJc w:val="left"/>
      <w:pPr>
        <w:ind w:left="2943" w:hanging="321"/>
      </w:pPr>
      <w:rPr>
        <w:rFonts w:hint="default"/>
        <w:lang w:val="en-US" w:eastAsia="en-US" w:bidi="ar-SA"/>
      </w:rPr>
    </w:lvl>
    <w:lvl w:ilvl="6">
      <w:start w:val="0"/>
      <w:numFmt w:val="bullet"/>
      <w:lvlText w:val="•"/>
      <w:lvlJc w:val="left"/>
      <w:pPr>
        <w:ind w:left="3379" w:hanging="321"/>
      </w:pPr>
      <w:rPr>
        <w:rFonts w:hint="default"/>
        <w:lang w:val="en-US" w:eastAsia="en-US" w:bidi="ar-SA"/>
      </w:rPr>
    </w:lvl>
    <w:lvl w:ilvl="7">
      <w:start w:val="0"/>
      <w:numFmt w:val="bullet"/>
      <w:lvlText w:val="•"/>
      <w:lvlJc w:val="left"/>
      <w:pPr>
        <w:ind w:left="3815" w:hanging="321"/>
      </w:pPr>
      <w:rPr>
        <w:rFonts w:hint="default"/>
        <w:lang w:val="en-US" w:eastAsia="en-US" w:bidi="ar-SA"/>
      </w:rPr>
    </w:lvl>
    <w:lvl w:ilvl="8">
      <w:start w:val="0"/>
      <w:numFmt w:val="bullet"/>
      <w:lvlText w:val="•"/>
      <w:lvlJc w:val="left"/>
      <w:pPr>
        <w:ind w:left="4250" w:hanging="321"/>
      </w:pPr>
      <w:rPr>
        <w:rFonts w:hint="default"/>
        <w:lang w:val="en-US" w:eastAsia="en-US" w:bidi="ar-SA"/>
      </w:rPr>
    </w:lvl>
  </w:abstractNum>
  <w:abstractNum w:abstractNumId="48">
    <w:multiLevelType w:val="hybridMultilevel"/>
    <w:lvl w:ilvl="0">
      <w:start w:val="1"/>
      <w:numFmt w:val="decimal"/>
      <w:lvlText w:val="%1"/>
      <w:lvlJc w:val="left"/>
      <w:pPr>
        <w:ind w:left="174"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73" w:hanging="480"/>
      </w:pPr>
      <w:rPr>
        <w:rFonts w:hint="default"/>
        <w:lang w:val="en-US" w:eastAsia="en-US" w:bidi="ar-SA"/>
      </w:rPr>
    </w:lvl>
    <w:lvl w:ilvl="2">
      <w:start w:val="0"/>
      <w:numFmt w:val="bullet"/>
      <w:lvlText w:val="•"/>
      <w:lvlJc w:val="left"/>
      <w:pPr>
        <w:ind w:left="1166" w:hanging="480"/>
      </w:pPr>
      <w:rPr>
        <w:rFonts w:hint="default"/>
        <w:lang w:val="en-US" w:eastAsia="en-US" w:bidi="ar-SA"/>
      </w:rPr>
    </w:lvl>
    <w:lvl w:ilvl="3">
      <w:start w:val="0"/>
      <w:numFmt w:val="bullet"/>
      <w:lvlText w:val="•"/>
      <w:lvlJc w:val="left"/>
      <w:pPr>
        <w:ind w:left="1659" w:hanging="480"/>
      </w:pPr>
      <w:rPr>
        <w:rFonts w:hint="default"/>
        <w:lang w:val="en-US" w:eastAsia="en-US" w:bidi="ar-SA"/>
      </w:rPr>
    </w:lvl>
    <w:lvl w:ilvl="4">
      <w:start w:val="0"/>
      <w:numFmt w:val="bullet"/>
      <w:lvlText w:val="•"/>
      <w:lvlJc w:val="left"/>
      <w:pPr>
        <w:ind w:left="2152" w:hanging="480"/>
      </w:pPr>
      <w:rPr>
        <w:rFonts w:hint="default"/>
        <w:lang w:val="en-US" w:eastAsia="en-US" w:bidi="ar-SA"/>
      </w:rPr>
    </w:lvl>
    <w:lvl w:ilvl="5">
      <w:start w:val="0"/>
      <w:numFmt w:val="bullet"/>
      <w:lvlText w:val="•"/>
      <w:lvlJc w:val="left"/>
      <w:pPr>
        <w:ind w:left="2645" w:hanging="480"/>
      </w:pPr>
      <w:rPr>
        <w:rFonts w:hint="default"/>
        <w:lang w:val="en-US" w:eastAsia="en-US" w:bidi="ar-SA"/>
      </w:rPr>
    </w:lvl>
    <w:lvl w:ilvl="6">
      <w:start w:val="0"/>
      <w:numFmt w:val="bullet"/>
      <w:lvlText w:val="•"/>
      <w:lvlJc w:val="left"/>
      <w:pPr>
        <w:ind w:left="3139" w:hanging="480"/>
      </w:pPr>
      <w:rPr>
        <w:rFonts w:hint="default"/>
        <w:lang w:val="en-US" w:eastAsia="en-US" w:bidi="ar-SA"/>
      </w:rPr>
    </w:lvl>
    <w:lvl w:ilvl="7">
      <w:start w:val="0"/>
      <w:numFmt w:val="bullet"/>
      <w:lvlText w:val="•"/>
      <w:lvlJc w:val="left"/>
      <w:pPr>
        <w:ind w:left="3632" w:hanging="480"/>
      </w:pPr>
      <w:rPr>
        <w:rFonts w:hint="default"/>
        <w:lang w:val="en-US" w:eastAsia="en-US" w:bidi="ar-SA"/>
      </w:rPr>
    </w:lvl>
    <w:lvl w:ilvl="8">
      <w:start w:val="0"/>
      <w:numFmt w:val="bullet"/>
      <w:lvlText w:val="•"/>
      <w:lvlJc w:val="left"/>
      <w:pPr>
        <w:ind w:left="4125" w:hanging="480"/>
      </w:pPr>
      <w:rPr>
        <w:rFonts w:hint="default"/>
        <w:lang w:val="en-US" w:eastAsia="en-US" w:bidi="ar-SA"/>
      </w:rPr>
    </w:lvl>
  </w:abstractNum>
  <w:abstractNum w:abstractNumId="47">
    <w:multiLevelType w:val="hybridMultilevel"/>
    <w:lvl w:ilvl="0">
      <w:start w:val="1"/>
      <w:numFmt w:val="upperRoman"/>
      <w:lvlText w:val="%1"/>
      <w:lvlJc w:val="left"/>
      <w:pPr>
        <w:ind w:left="650" w:hanging="481"/>
        <w:jc w:val="left"/>
      </w:pPr>
      <w:rPr>
        <w:rFonts w:hint="default" w:ascii="Times New Roman" w:hAnsi="Times New Roman" w:eastAsia="Times New Roman" w:cs="Times New Roman"/>
        <w:b/>
        <w:bCs/>
        <w:color w:val="009391"/>
        <w:spacing w:val="-9"/>
        <w:w w:val="100"/>
        <w:sz w:val="22"/>
        <w:szCs w:val="22"/>
        <w:lang w:val="en-US" w:eastAsia="en-US" w:bidi="ar-SA"/>
      </w:rPr>
    </w:lvl>
    <w:lvl w:ilvl="1">
      <w:start w:val="0"/>
      <w:numFmt w:val="bullet"/>
      <w:lvlText w:val="•"/>
      <w:lvlJc w:val="left"/>
      <w:pPr>
        <w:ind w:left="1103" w:hanging="481"/>
      </w:pPr>
      <w:rPr>
        <w:rFonts w:hint="default"/>
        <w:lang w:val="en-US" w:eastAsia="en-US" w:bidi="ar-SA"/>
      </w:rPr>
    </w:lvl>
    <w:lvl w:ilvl="2">
      <w:start w:val="0"/>
      <w:numFmt w:val="bullet"/>
      <w:lvlText w:val="•"/>
      <w:lvlJc w:val="left"/>
      <w:pPr>
        <w:ind w:left="1547" w:hanging="481"/>
      </w:pPr>
      <w:rPr>
        <w:rFonts w:hint="default"/>
        <w:lang w:val="en-US" w:eastAsia="en-US" w:bidi="ar-SA"/>
      </w:rPr>
    </w:lvl>
    <w:lvl w:ilvl="3">
      <w:start w:val="0"/>
      <w:numFmt w:val="bullet"/>
      <w:lvlText w:val="•"/>
      <w:lvlJc w:val="left"/>
      <w:pPr>
        <w:ind w:left="1991" w:hanging="481"/>
      </w:pPr>
      <w:rPr>
        <w:rFonts w:hint="default"/>
        <w:lang w:val="en-US" w:eastAsia="en-US" w:bidi="ar-SA"/>
      </w:rPr>
    </w:lvl>
    <w:lvl w:ilvl="4">
      <w:start w:val="0"/>
      <w:numFmt w:val="bullet"/>
      <w:lvlText w:val="•"/>
      <w:lvlJc w:val="left"/>
      <w:pPr>
        <w:ind w:left="2435" w:hanging="481"/>
      </w:pPr>
      <w:rPr>
        <w:rFonts w:hint="default"/>
        <w:lang w:val="en-US" w:eastAsia="en-US" w:bidi="ar-SA"/>
      </w:rPr>
    </w:lvl>
    <w:lvl w:ilvl="5">
      <w:start w:val="0"/>
      <w:numFmt w:val="bullet"/>
      <w:lvlText w:val="•"/>
      <w:lvlJc w:val="left"/>
      <w:pPr>
        <w:ind w:left="2878" w:hanging="481"/>
      </w:pPr>
      <w:rPr>
        <w:rFonts w:hint="default"/>
        <w:lang w:val="en-US" w:eastAsia="en-US" w:bidi="ar-SA"/>
      </w:rPr>
    </w:lvl>
    <w:lvl w:ilvl="6">
      <w:start w:val="0"/>
      <w:numFmt w:val="bullet"/>
      <w:lvlText w:val="•"/>
      <w:lvlJc w:val="left"/>
      <w:pPr>
        <w:ind w:left="3322" w:hanging="481"/>
      </w:pPr>
      <w:rPr>
        <w:rFonts w:hint="default"/>
        <w:lang w:val="en-US" w:eastAsia="en-US" w:bidi="ar-SA"/>
      </w:rPr>
    </w:lvl>
    <w:lvl w:ilvl="7">
      <w:start w:val="0"/>
      <w:numFmt w:val="bullet"/>
      <w:lvlText w:val="•"/>
      <w:lvlJc w:val="left"/>
      <w:pPr>
        <w:ind w:left="3766" w:hanging="481"/>
      </w:pPr>
      <w:rPr>
        <w:rFonts w:hint="default"/>
        <w:lang w:val="en-US" w:eastAsia="en-US" w:bidi="ar-SA"/>
      </w:rPr>
    </w:lvl>
    <w:lvl w:ilvl="8">
      <w:start w:val="0"/>
      <w:numFmt w:val="bullet"/>
      <w:lvlText w:val="•"/>
      <w:lvlJc w:val="left"/>
      <w:pPr>
        <w:ind w:left="4210" w:hanging="481"/>
      </w:pPr>
      <w:rPr>
        <w:rFonts w:hint="default"/>
        <w:lang w:val="en-US" w:eastAsia="en-US" w:bidi="ar-SA"/>
      </w:rPr>
    </w:lvl>
  </w:abstractNum>
  <w:abstractNum w:abstractNumId="46">
    <w:multiLevelType w:val="hybridMultilevel"/>
    <w:lvl w:ilvl="0">
      <w:start w:val="1"/>
      <w:numFmt w:val="decimal"/>
      <w:lvlText w:val="%1"/>
      <w:lvlJc w:val="left"/>
      <w:pPr>
        <w:ind w:left="170"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71" w:hanging="480"/>
      </w:pPr>
      <w:rPr>
        <w:rFonts w:hint="default"/>
        <w:lang w:val="en-US" w:eastAsia="en-US" w:bidi="ar-SA"/>
      </w:rPr>
    </w:lvl>
    <w:lvl w:ilvl="2">
      <w:start w:val="0"/>
      <w:numFmt w:val="bullet"/>
      <w:lvlText w:val="•"/>
      <w:lvlJc w:val="left"/>
      <w:pPr>
        <w:ind w:left="1163" w:hanging="480"/>
      </w:pPr>
      <w:rPr>
        <w:rFonts w:hint="default"/>
        <w:lang w:val="en-US" w:eastAsia="en-US" w:bidi="ar-SA"/>
      </w:rPr>
    </w:lvl>
    <w:lvl w:ilvl="3">
      <w:start w:val="0"/>
      <w:numFmt w:val="bullet"/>
      <w:lvlText w:val="•"/>
      <w:lvlJc w:val="left"/>
      <w:pPr>
        <w:ind w:left="1655" w:hanging="480"/>
      </w:pPr>
      <w:rPr>
        <w:rFonts w:hint="default"/>
        <w:lang w:val="en-US" w:eastAsia="en-US" w:bidi="ar-SA"/>
      </w:rPr>
    </w:lvl>
    <w:lvl w:ilvl="4">
      <w:start w:val="0"/>
      <w:numFmt w:val="bullet"/>
      <w:lvlText w:val="•"/>
      <w:lvlJc w:val="left"/>
      <w:pPr>
        <w:ind w:left="2147" w:hanging="480"/>
      </w:pPr>
      <w:rPr>
        <w:rFonts w:hint="default"/>
        <w:lang w:val="en-US" w:eastAsia="en-US" w:bidi="ar-SA"/>
      </w:rPr>
    </w:lvl>
    <w:lvl w:ilvl="5">
      <w:start w:val="0"/>
      <w:numFmt w:val="bullet"/>
      <w:lvlText w:val="•"/>
      <w:lvlJc w:val="left"/>
      <w:pPr>
        <w:ind w:left="2638" w:hanging="480"/>
      </w:pPr>
      <w:rPr>
        <w:rFonts w:hint="default"/>
        <w:lang w:val="en-US" w:eastAsia="en-US" w:bidi="ar-SA"/>
      </w:rPr>
    </w:lvl>
    <w:lvl w:ilvl="6">
      <w:start w:val="0"/>
      <w:numFmt w:val="bullet"/>
      <w:lvlText w:val="•"/>
      <w:lvlJc w:val="left"/>
      <w:pPr>
        <w:ind w:left="3130" w:hanging="480"/>
      </w:pPr>
      <w:rPr>
        <w:rFonts w:hint="default"/>
        <w:lang w:val="en-US" w:eastAsia="en-US" w:bidi="ar-SA"/>
      </w:rPr>
    </w:lvl>
    <w:lvl w:ilvl="7">
      <w:start w:val="0"/>
      <w:numFmt w:val="bullet"/>
      <w:lvlText w:val="•"/>
      <w:lvlJc w:val="left"/>
      <w:pPr>
        <w:ind w:left="3622" w:hanging="480"/>
      </w:pPr>
      <w:rPr>
        <w:rFonts w:hint="default"/>
        <w:lang w:val="en-US" w:eastAsia="en-US" w:bidi="ar-SA"/>
      </w:rPr>
    </w:lvl>
    <w:lvl w:ilvl="8">
      <w:start w:val="0"/>
      <w:numFmt w:val="bullet"/>
      <w:lvlText w:val="•"/>
      <w:lvlJc w:val="left"/>
      <w:pPr>
        <w:ind w:left="4114" w:hanging="480"/>
      </w:pPr>
      <w:rPr>
        <w:rFonts w:hint="default"/>
        <w:lang w:val="en-US" w:eastAsia="en-US" w:bidi="ar-SA"/>
      </w:rPr>
    </w:lvl>
  </w:abstractNum>
  <w:abstractNum w:abstractNumId="45">
    <w:multiLevelType w:val="hybridMultilevel"/>
    <w:lvl w:ilvl="0">
      <w:start w:val="1"/>
      <w:numFmt w:val="lowerRoman"/>
      <w:lvlText w:val="(%1)"/>
      <w:lvlJc w:val="left"/>
      <w:pPr>
        <w:ind w:left="634" w:hanging="481"/>
        <w:jc w:val="left"/>
      </w:pPr>
      <w:rPr>
        <w:rFonts w:hint="default" w:ascii="Times New Roman" w:hAnsi="Times New Roman" w:eastAsia="Times New Roman" w:cs="Times New Roman"/>
        <w:i/>
        <w:color w:val="009391"/>
        <w:spacing w:val="-1"/>
        <w:w w:val="100"/>
        <w:sz w:val="18"/>
        <w:szCs w:val="18"/>
        <w:lang w:val="en-US" w:eastAsia="en-US" w:bidi="ar-SA"/>
      </w:rPr>
    </w:lvl>
    <w:lvl w:ilvl="1">
      <w:start w:val="0"/>
      <w:numFmt w:val="bullet"/>
      <w:lvlText w:val="•"/>
      <w:lvlJc w:val="left"/>
      <w:pPr>
        <w:ind w:left="1086" w:hanging="481"/>
      </w:pPr>
      <w:rPr>
        <w:rFonts w:hint="default"/>
        <w:lang w:val="en-US" w:eastAsia="en-US" w:bidi="ar-SA"/>
      </w:rPr>
    </w:lvl>
    <w:lvl w:ilvl="2">
      <w:start w:val="0"/>
      <w:numFmt w:val="bullet"/>
      <w:lvlText w:val="•"/>
      <w:lvlJc w:val="left"/>
      <w:pPr>
        <w:ind w:left="1532" w:hanging="481"/>
      </w:pPr>
      <w:rPr>
        <w:rFonts w:hint="default"/>
        <w:lang w:val="en-US" w:eastAsia="en-US" w:bidi="ar-SA"/>
      </w:rPr>
    </w:lvl>
    <w:lvl w:ilvl="3">
      <w:start w:val="0"/>
      <w:numFmt w:val="bullet"/>
      <w:lvlText w:val="•"/>
      <w:lvlJc w:val="left"/>
      <w:pPr>
        <w:ind w:left="1978" w:hanging="481"/>
      </w:pPr>
      <w:rPr>
        <w:rFonts w:hint="default"/>
        <w:lang w:val="en-US" w:eastAsia="en-US" w:bidi="ar-SA"/>
      </w:rPr>
    </w:lvl>
    <w:lvl w:ilvl="4">
      <w:start w:val="0"/>
      <w:numFmt w:val="bullet"/>
      <w:lvlText w:val="•"/>
      <w:lvlJc w:val="left"/>
      <w:pPr>
        <w:ind w:left="2425" w:hanging="481"/>
      </w:pPr>
      <w:rPr>
        <w:rFonts w:hint="default"/>
        <w:lang w:val="en-US" w:eastAsia="en-US" w:bidi="ar-SA"/>
      </w:rPr>
    </w:lvl>
    <w:lvl w:ilvl="5">
      <w:start w:val="0"/>
      <w:numFmt w:val="bullet"/>
      <w:lvlText w:val="•"/>
      <w:lvlJc w:val="left"/>
      <w:pPr>
        <w:ind w:left="2871" w:hanging="481"/>
      </w:pPr>
      <w:rPr>
        <w:rFonts w:hint="default"/>
        <w:lang w:val="en-US" w:eastAsia="en-US" w:bidi="ar-SA"/>
      </w:rPr>
    </w:lvl>
    <w:lvl w:ilvl="6">
      <w:start w:val="0"/>
      <w:numFmt w:val="bullet"/>
      <w:lvlText w:val="•"/>
      <w:lvlJc w:val="left"/>
      <w:pPr>
        <w:ind w:left="3317" w:hanging="481"/>
      </w:pPr>
      <w:rPr>
        <w:rFonts w:hint="default"/>
        <w:lang w:val="en-US" w:eastAsia="en-US" w:bidi="ar-SA"/>
      </w:rPr>
    </w:lvl>
    <w:lvl w:ilvl="7">
      <w:start w:val="0"/>
      <w:numFmt w:val="bullet"/>
      <w:lvlText w:val="•"/>
      <w:lvlJc w:val="left"/>
      <w:pPr>
        <w:ind w:left="3764" w:hanging="481"/>
      </w:pPr>
      <w:rPr>
        <w:rFonts w:hint="default"/>
        <w:lang w:val="en-US" w:eastAsia="en-US" w:bidi="ar-SA"/>
      </w:rPr>
    </w:lvl>
    <w:lvl w:ilvl="8">
      <w:start w:val="0"/>
      <w:numFmt w:val="bullet"/>
      <w:lvlText w:val="•"/>
      <w:lvlJc w:val="left"/>
      <w:pPr>
        <w:ind w:left="4210" w:hanging="481"/>
      </w:pPr>
      <w:rPr>
        <w:rFonts w:hint="default"/>
        <w:lang w:val="en-US" w:eastAsia="en-US" w:bidi="ar-SA"/>
      </w:rPr>
    </w:lvl>
  </w:abstractNum>
  <w:abstractNum w:abstractNumId="44">
    <w:multiLevelType w:val="hybridMultilevel"/>
    <w:lvl w:ilvl="0">
      <w:start w:val="1"/>
      <w:numFmt w:val="decimal"/>
      <w:lvlText w:val="%1"/>
      <w:lvlJc w:val="left"/>
      <w:pPr>
        <w:ind w:left="160"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54" w:hanging="480"/>
      </w:pPr>
      <w:rPr>
        <w:rFonts w:hint="default"/>
        <w:lang w:val="en-US" w:eastAsia="en-US" w:bidi="ar-SA"/>
      </w:rPr>
    </w:lvl>
    <w:lvl w:ilvl="2">
      <w:start w:val="0"/>
      <w:numFmt w:val="bullet"/>
      <w:lvlText w:val="•"/>
      <w:lvlJc w:val="left"/>
      <w:pPr>
        <w:ind w:left="1149" w:hanging="480"/>
      </w:pPr>
      <w:rPr>
        <w:rFonts w:hint="default"/>
        <w:lang w:val="en-US" w:eastAsia="en-US" w:bidi="ar-SA"/>
      </w:rPr>
    </w:lvl>
    <w:lvl w:ilvl="3">
      <w:start w:val="0"/>
      <w:numFmt w:val="bullet"/>
      <w:lvlText w:val="•"/>
      <w:lvlJc w:val="left"/>
      <w:pPr>
        <w:ind w:left="1644" w:hanging="480"/>
      </w:pPr>
      <w:rPr>
        <w:rFonts w:hint="default"/>
        <w:lang w:val="en-US" w:eastAsia="en-US" w:bidi="ar-SA"/>
      </w:rPr>
    </w:lvl>
    <w:lvl w:ilvl="4">
      <w:start w:val="0"/>
      <w:numFmt w:val="bullet"/>
      <w:lvlText w:val="•"/>
      <w:lvlJc w:val="left"/>
      <w:pPr>
        <w:ind w:left="2139" w:hanging="480"/>
      </w:pPr>
      <w:rPr>
        <w:rFonts w:hint="default"/>
        <w:lang w:val="en-US" w:eastAsia="en-US" w:bidi="ar-SA"/>
      </w:rPr>
    </w:lvl>
    <w:lvl w:ilvl="5">
      <w:start w:val="0"/>
      <w:numFmt w:val="bullet"/>
      <w:lvlText w:val="•"/>
      <w:lvlJc w:val="left"/>
      <w:pPr>
        <w:ind w:left="2634" w:hanging="480"/>
      </w:pPr>
      <w:rPr>
        <w:rFonts w:hint="default"/>
        <w:lang w:val="en-US" w:eastAsia="en-US" w:bidi="ar-SA"/>
      </w:rPr>
    </w:lvl>
    <w:lvl w:ilvl="6">
      <w:start w:val="0"/>
      <w:numFmt w:val="bullet"/>
      <w:lvlText w:val="•"/>
      <w:lvlJc w:val="left"/>
      <w:pPr>
        <w:ind w:left="3128" w:hanging="480"/>
      </w:pPr>
      <w:rPr>
        <w:rFonts w:hint="default"/>
        <w:lang w:val="en-US" w:eastAsia="en-US" w:bidi="ar-SA"/>
      </w:rPr>
    </w:lvl>
    <w:lvl w:ilvl="7">
      <w:start w:val="0"/>
      <w:numFmt w:val="bullet"/>
      <w:lvlText w:val="•"/>
      <w:lvlJc w:val="left"/>
      <w:pPr>
        <w:ind w:left="3623" w:hanging="480"/>
      </w:pPr>
      <w:rPr>
        <w:rFonts w:hint="default"/>
        <w:lang w:val="en-US" w:eastAsia="en-US" w:bidi="ar-SA"/>
      </w:rPr>
    </w:lvl>
    <w:lvl w:ilvl="8">
      <w:start w:val="0"/>
      <w:numFmt w:val="bullet"/>
      <w:lvlText w:val="•"/>
      <w:lvlJc w:val="left"/>
      <w:pPr>
        <w:ind w:left="4118" w:hanging="480"/>
      </w:pPr>
      <w:rPr>
        <w:rFonts w:hint="default"/>
        <w:lang w:val="en-US" w:eastAsia="en-US" w:bidi="ar-SA"/>
      </w:rPr>
    </w:lvl>
  </w:abstractNum>
  <w:abstractNum w:abstractNumId="43">
    <w:multiLevelType w:val="hybridMultilevel"/>
    <w:lvl w:ilvl="0">
      <w:start w:val="0"/>
      <w:numFmt w:val="bullet"/>
      <w:lvlText w:val=""/>
      <w:lvlJc w:val="left"/>
      <w:pPr>
        <w:ind w:left="645" w:hanging="480"/>
      </w:pPr>
      <w:rPr>
        <w:rFonts w:hint="default" w:ascii="Wingdings" w:hAnsi="Wingdings" w:eastAsia="Wingdings" w:cs="Wingdings"/>
        <w:color w:val="006CB4"/>
        <w:sz w:val="20"/>
        <w:szCs w:val="20"/>
        <w:lang w:val="en-US" w:eastAsia="en-US" w:bidi="ar-SA"/>
      </w:rPr>
    </w:lvl>
    <w:lvl w:ilvl="1">
      <w:start w:val="0"/>
      <w:numFmt w:val="bullet"/>
      <w:lvlText w:val="•"/>
      <w:lvlJc w:val="left"/>
      <w:pPr>
        <w:ind w:left="1638" w:hanging="480"/>
      </w:pPr>
      <w:rPr>
        <w:rFonts w:hint="default"/>
        <w:lang w:val="en-US" w:eastAsia="en-US" w:bidi="ar-SA"/>
      </w:rPr>
    </w:lvl>
    <w:lvl w:ilvl="2">
      <w:start w:val="0"/>
      <w:numFmt w:val="bullet"/>
      <w:lvlText w:val="•"/>
      <w:lvlJc w:val="left"/>
      <w:pPr>
        <w:ind w:left="2636" w:hanging="480"/>
      </w:pPr>
      <w:rPr>
        <w:rFonts w:hint="default"/>
        <w:lang w:val="en-US" w:eastAsia="en-US" w:bidi="ar-SA"/>
      </w:rPr>
    </w:lvl>
    <w:lvl w:ilvl="3">
      <w:start w:val="0"/>
      <w:numFmt w:val="bullet"/>
      <w:lvlText w:val="•"/>
      <w:lvlJc w:val="left"/>
      <w:pPr>
        <w:ind w:left="3634" w:hanging="480"/>
      </w:pPr>
      <w:rPr>
        <w:rFonts w:hint="default"/>
        <w:lang w:val="en-US" w:eastAsia="en-US" w:bidi="ar-SA"/>
      </w:rPr>
    </w:lvl>
    <w:lvl w:ilvl="4">
      <w:start w:val="0"/>
      <w:numFmt w:val="bullet"/>
      <w:lvlText w:val="•"/>
      <w:lvlJc w:val="left"/>
      <w:pPr>
        <w:ind w:left="4632" w:hanging="480"/>
      </w:pPr>
      <w:rPr>
        <w:rFonts w:hint="default"/>
        <w:lang w:val="en-US" w:eastAsia="en-US" w:bidi="ar-SA"/>
      </w:rPr>
    </w:lvl>
    <w:lvl w:ilvl="5">
      <w:start w:val="0"/>
      <w:numFmt w:val="bullet"/>
      <w:lvlText w:val="•"/>
      <w:lvlJc w:val="left"/>
      <w:pPr>
        <w:ind w:left="5630" w:hanging="480"/>
      </w:pPr>
      <w:rPr>
        <w:rFonts w:hint="default"/>
        <w:lang w:val="en-US" w:eastAsia="en-US" w:bidi="ar-SA"/>
      </w:rPr>
    </w:lvl>
    <w:lvl w:ilvl="6">
      <w:start w:val="0"/>
      <w:numFmt w:val="bullet"/>
      <w:lvlText w:val="•"/>
      <w:lvlJc w:val="left"/>
      <w:pPr>
        <w:ind w:left="6628" w:hanging="480"/>
      </w:pPr>
      <w:rPr>
        <w:rFonts w:hint="default"/>
        <w:lang w:val="en-US" w:eastAsia="en-US" w:bidi="ar-SA"/>
      </w:rPr>
    </w:lvl>
    <w:lvl w:ilvl="7">
      <w:start w:val="0"/>
      <w:numFmt w:val="bullet"/>
      <w:lvlText w:val="•"/>
      <w:lvlJc w:val="left"/>
      <w:pPr>
        <w:ind w:left="7626" w:hanging="480"/>
      </w:pPr>
      <w:rPr>
        <w:rFonts w:hint="default"/>
        <w:lang w:val="en-US" w:eastAsia="en-US" w:bidi="ar-SA"/>
      </w:rPr>
    </w:lvl>
    <w:lvl w:ilvl="8">
      <w:start w:val="0"/>
      <w:numFmt w:val="bullet"/>
      <w:lvlText w:val="•"/>
      <w:lvlJc w:val="left"/>
      <w:pPr>
        <w:ind w:left="8624" w:hanging="480"/>
      </w:pPr>
      <w:rPr>
        <w:rFonts w:hint="default"/>
        <w:lang w:val="en-US" w:eastAsia="en-US" w:bidi="ar-SA"/>
      </w:rPr>
    </w:lvl>
  </w:abstractNum>
  <w:abstractNum w:abstractNumId="42">
    <w:multiLevelType w:val="hybridMultilevel"/>
    <w:lvl w:ilvl="0">
      <w:start w:val="1"/>
      <w:numFmt w:val="lowerLetter"/>
      <w:lvlText w:val="(%1)"/>
      <w:lvlJc w:val="left"/>
      <w:pPr>
        <w:ind w:left="414"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25" w:hanging="241"/>
      </w:pPr>
      <w:rPr>
        <w:rFonts w:hint="default"/>
        <w:lang w:val="en-US" w:eastAsia="en-US" w:bidi="ar-SA"/>
      </w:rPr>
    </w:lvl>
    <w:lvl w:ilvl="2">
      <w:start w:val="0"/>
      <w:numFmt w:val="bullet"/>
      <w:lvlText w:val="•"/>
      <w:lvlJc w:val="left"/>
      <w:pPr>
        <w:ind w:left="1231" w:hanging="241"/>
      </w:pPr>
      <w:rPr>
        <w:rFonts w:hint="default"/>
        <w:lang w:val="en-US" w:eastAsia="en-US" w:bidi="ar-SA"/>
      </w:rPr>
    </w:lvl>
    <w:lvl w:ilvl="3">
      <w:start w:val="0"/>
      <w:numFmt w:val="bullet"/>
      <w:lvlText w:val="•"/>
      <w:lvlJc w:val="left"/>
      <w:pPr>
        <w:ind w:left="1637" w:hanging="241"/>
      </w:pPr>
      <w:rPr>
        <w:rFonts w:hint="default"/>
        <w:lang w:val="en-US" w:eastAsia="en-US" w:bidi="ar-SA"/>
      </w:rPr>
    </w:lvl>
    <w:lvl w:ilvl="4">
      <w:start w:val="0"/>
      <w:numFmt w:val="bullet"/>
      <w:lvlText w:val="•"/>
      <w:lvlJc w:val="left"/>
      <w:pPr>
        <w:ind w:left="2042" w:hanging="241"/>
      </w:pPr>
      <w:rPr>
        <w:rFonts w:hint="default"/>
        <w:lang w:val="en-US" w:eastAsia="en-US" w:bidi="ar-SA"/>
      </w:rPr>
    </w:lvl>
    <w:lvl w:ilvl="5">
      <w:start w:val="0"/>
      <w:numFmt w:val="bullet"/>
      <w:lvlText w:val="•"/>
      <w:lvlJc w:val="left"/>
      <w:pPr>
        <w:ind w:left="2448" w:hanging="241"/>
      </w:pPr>
      <w:rPr>
        <w:rFonts w:hint="default"/>
        <w:lang w:val="en-US" w:eastAsia="en-US" w:bidi="ar-SA"/>
      </w:rPr>
    </w:lvl>
    <w:lvl w:ilvl="6">
      <w:start w:val="0"/>
      <w:numFmt w:val="bullet"/>
      <w:lvlText w:val="•"/>
      <w:lvlJc w:val="left"/>
      <w:pPr>
        <w:ind w:left="2854" w:hanging="241"/>
      </w:pPr>
      <w:rPr>
        <w:rFonts w:hint="default"/>
        <w:lang w:val="en-US" w:eastAsia="en-US" w:bidi="ar-SA"/>
      </w:rPr>
    </w:lvl>
    <w:lvl w:ilvl="7">
      <w:start w:val="0"/>
      <w:numFmt w:val="bullet"/>
      <w:lvlText w:val="•"/>
      <w:lvlJc w:val="left"/>
      <w:pPr>
        <w:ind w:left="3259" w:hanging="241"/>
      </w:pPr>
      <w:rPr>
        <w:rFonts w:hint="default"/>
        <w:lang w:val="en-US" w:eastAsia="en-US" w:bidi="ar-SA"/>
      </w:rPr>
    </w:lvl>
    <w:lvl w:ilvl="8">
      <w:start w:val="0"/>
      <w:numFmt w:val="bullet"/>
      <w:lvlText w:val="•"/>
      <w:lvlJc w:val="left"/>
      <w:pPr>
        <w:ind w:left="3665" w:hanging="241"/>
      </w:pPr>
      <w:rPr>
        <w:rFonts w:hint="default"/>
        <w:lang w:val="en-US" w:eastAsia="en-US" w:bidi="ar-SA"/>
      </w:rPr>
    </w:lvl>
  </w:abstractNum>
  <w:abstractNum w:abstractNumId="41">
    <w:multiLevelType w:val="hybridMultilevel"/>
    <w:lvl w:ilvl="0">
      <w:start w:val="1"/>
      <w:numFmt w:val="lowerLetter"/>
      <w:lvlText w:val="(%1)"/>
      <w:lvlJc w:val="left"/>
      <w:pPr>
        <w:ind w:left="404" w:hanging="241"/>
        <w:jc w:val="left"/>
      </w:pPr>
      <w:rPr>
        <w:rFonts w:hint="default" w:ascii="Times New Roman" w:hAnsi="Times New Roman" w:eastAsia="Times New Roman" w:cs="Times New Roman"/>
        <w:spacing w:val="-18"/>
        <w:w w:val="100"/>
        <w:sz w:val="16"/>
        <w:szCs w:val="16"/>
        <w:lang w:val="en-US" w:eastAsia="en-US" w:bidi="ar-SA"/>
      </w:rPr>
    </w:lvl>
    <w:lvl w:ilvl="1">
      <w:start w:val="0"/>
      <w:numFmt w:val="bullet"/>
      <w:lvlText w:val="•"/>
      <w:lvlJc w:val="left"/>
      <w:pPr>
        <w:ind w:left="1422" w:hanging="241"/>
      </w:pPr>
      <w:rPr>
        <w:rFonts w:hint="default"/>
        <w:lang w:val="en-US" w:eastAsia="en-US" w:bidi="ar-SA"/>
      </w:rPr>
    </w:lvl>
    <w:lvl w:ilvl="2">
      <w:start w:val="0"/>
      <w:numFmt w:val="bullet"/>
      <w:lvlText w:val="•"/>
      <w:lvlJc w:val="left"/>
      <w:pPr>
        <w:ind w:left="2444" w:hanging="241"/>
      </w:pPr>
      <w:rPr>
        <w:rFonts w:hint="default"/>
        <w:lang w:val="en-US" w:eastAsia="en-US" w:bidi="ar-SA"/>
      </w:rPr>
    </w:lvl>
    <w:lvl w:ilvl="3">
      <w:start w:val="0"/>
      <w:numFmt w:val="bullet"/>
      <w:lvlText w:val="•"/>
      <w:lvlJc w:val="left"/>
      <w:pPr>
        <w:ind w:left="3466" w:hanging="241"/>
      </w:pPr>
      <w:rPr>
        <w:rFonts w:hint="default"/>
        <w:lang w:val="en-US" w:eastAsia="en-US" w:bidi="ar-SA"/>
      </w:rPr>
    </w:lvl>
    <w:lvl w:ilvl="4">
      <w:start w:val="0"/>
      <w:numFmt w:val="bullet"/>
      <w:lvlText w:val="•"/>
      <w:lvlJc w:val="left"/>
      <w:pPr>
        <w:ind w:left="4488" w:hanging="241"/>
      </w:pPr>
      <w:rPr>
        <w:rFonts w:hint="default"/>
        <w:lang w:val="en-US" w:eastAsia="en-US" w:bidi="ar-SA"/>
      </w:rPr>
    </w:lvl>
    <w:lvl w:ilvl="5">
      <w:start w:val="0"/>
      <w:numFmt w:val="bullet"/>
      <w:lvlText w:val="•"/>
      <w:lvlJc w:val="left"/>
      <w:pPr>
        <w:ind w:left="5510" w:hanging="241"/>
      </w:pPr>
      <w:rPr>
        <w:rFonts w:hint="default"/>
        <w:lang w:val="en-US" w:eastAsia="en-US" w:bidi="ar-SA"/>
      </w:rPr>
    </w:lvl>
    <w:lvl w:ilvl="6">
      <w:start w:val="0"/>
      <w:numFmt w:val="bullet"/>
      <w:lvlText w:val="•"/>
      <w:lvlJc w:val="left"/>
      <w:pPr>
        <w:ind w:left="6532" w:hanging="241"/>
      </w:pPr>
      <w:rPr>
        <w:rFonts w:hint="default"/>
        <w:lang w:val="en-US" w:eastAsia="en-US" w:bidi="ar-SA"/>
      </w:rPr>
    </w:lvl>
    <w:lvl w:ilvl="7">
      <w:start w:val="0"/>
      <w:numFmt w:val="bullet"/>
      <w:lvlText w:val="•"/>
      <w:lvlJc w:val="left"/>
      <w:pPr>
        <w:ind w:left="7554" w:hanging="241"/>
      </w:pPr>
      <w:rPr>
        <w:rFonts w:hint="default"/>
        <w:lang w:val="en-US" w:eastAsia="en-US" w:bidi="ar-SA"/>
      </w:rPr>
    </w:lvl>
    <w:lvl w:ilvl="8">
      <w:start w:val="0"/>
      <w:numFmt w:val="bullet"/>
      <w:lvlText w:val="•"/>
      <w:lvlJc w:val="left"/>
      <w:pPr>
        <w:ind w:left="8576" w:hanging="241"/>
      </w:pPr>
      <w:rPr>
        <w:rFonts w:hint="default"/>
        <w:lang w:val="en-US" w:eastAsia="en-US" w:bidi="ar-SA"/>
      </w:rPr>
    </w:lvl>
  </w:abstractNum>
  <w:abstractNum w:abstractNumId="40">
    <w:multiLevelType w:val="hybridMultilevel"/>
    <w:lvl w:ilvl="0">
      <w:start w:val="1"/>
      <w:numFmt w:val="decimal"/>
      <w:lvlText w:val="(%1)"/>
      <w:lvlJc w:val="left"/>
      <w:pPr>
        <w:ind w:left="449" w:hanging="241"/>
        <w:jc w:val="left"/>
      </w:pPr>
      <w:rPr>
        <w:rFonts w:hint="default" w:ascii="Times New Roman" w:hAnsi="Times New Roman" w:eastAsia="Times New Roman" w:cs="Times New Roman"/>
        <w:spacing w:val="-1"/>
        <w:w w:val="100"/>
        <w:sz w:val="16"/>
        <w:szCs w:val="16"/>
        <w:lang w:val="en-US" w:eastAsia="en-US" w:bidi="ar-SA"/>
      </w:rPr>
    </w:lvl>
    <w:lvl w:ilvl="1">
      <w:start w:val="1"/>
      <w:numFmt w:val="decimal"/>
      <w:lvlText w:val="(%2)"/>
      <w:lvlJc w:val="left"/>
      <w:pPr>
        <w:ind w:left="5200" w:hanging="241"/>
        <w:jc w:val="left"/>
      </w:pPr>
      <w:rPr>
        <w:rFonts w:hint="default" w:ascii="Times New Roman" w:hAnsi="Times New Roman" w:eastAsia="Times New Roman" w:cs="Times New Roman"/>
        <w:spacing w:val="-1"/>
        <w:w w:val="100"/>
        <w:sz w:val="16"/>
        <w:szCs w:val="16"/>
        <w:lang w:val="en-US" w:eastAsia="en-US" w:bidi="ar-SA"/>
      </w:rPr>
    </w:lvl>
    <w:lvl w:ilvl="2">
      <w:start w:val="0"/>
      <w:numFmt w:val="bullet"/>
      <w:lvlText w:val="•"/>
      <w:lvlJc w:val="left"/>
      <w:pPr>
        <w:ind w:left="5272" w:hanging="241"/>
      </w:pPr>
      <w:rPr>
        <w:rFonts w:hint="default"/>
        <w:lang w:val="en-US" w:eastAsia="en-US" w:bidi="ar-SA"/>
      </w:rPr>
    </w:lvl>
    <w:lvl w:ilvl="3">
      <w:start w:val="0"/>
      <w:numFmt w:val="bullet"/>
      <w:lvlText w:val="•"/>
      <w:lvlJc w:val="left"/>
      <w:pPr>
        <w:ind w:left="5344" w:hanging="241"/>
      </w:pPr>
      <w:rPr>
        <w:rFonts w:hint="default"/>
        <w:lang w:val="en-US" w:eastAsia="en-US" w:bidi="ar-SA"/>
      </w:rPr>
    </w:lvl>
    <w:lvl w:ilvl="4">
      <w:start w:val="0"/>
      <w:numFmt w:val="bullet"/>
      <w:lvlText w:val="•"/>
      <w:lvlJc w:val="left"/>
      <w:pPr>
        <w:ind w:left="5416" w:hanging="241"/>
      </w:pPr>
      <w:rPr>
        <w:rFonts w:hint="default"/>
        <w:lang w:val="en-US" w:eastAsia="en-US" w:bidi="ar-SA"/>
      </w:rPr>
    </w:lvl>
    <w:lvl w:ilvl="5">
      <w:start w:val="0"/>
      <w:numFmt w:val="bullet"/>
      <w:lvlText w:val="•"/>
      <w:lvlJc w:val="left"/>
      <w:pPr>
        <w:ind w:left="5488" w:hanging="241"/>
      </w:pPr>
      <w:rPr>
        <w:rFonts w:hint="default"/>
        <w:lang w:val="en-US" w:eastAsia="en-US" w:bidi="ar-SA"/>
      </w:rPr>
    </w:lvl>
    <w:lvl w:ilvl="6">
      <w:start w:val="0"/>
      <w:numFmt w:val="bullet"/>
      <w:lvlText w:val="•"/>
      <w:lvlJc w:val="left"/>
      <w:pPr>
        <w:ind w:left="5561" w:hanging="241"/>
      </w:pPr>
      <w:rPr>
        <w:rFonts w:hint="default"/>
        <w:lang w:val="en-US" w:eastAsia="en-US" w:bidi="ar-SA"/>
      </w:rPr>
    </w:lvl>
    <w:lvl w:ilvl="7">
      <w:start w:val="0"/>
      <w:numFmt w:val="bullet"/>
      <w:lvlText w:val="•"/>
      <w:lvlJc w:val="left"/>
      <w:pPr>
        <w:ind w:left="5633" w:hanging="241"/>
      </w:pPr>
      <w:rPr>
        <w:rFonts w:hint="default"/>
        <w:lang w:val="en-US" w:eastAsia="en-US" w:bidi="ar-SA"/>
      </w:rPr>
    </w:lvl>
    <w:lvl w:ilvl="8">
      <w:start w:val="0"/>
      <w:numFmt w:val="bullet"/>
      <w:lvlText w:val="•"/>
      <w:lvlJc w:val="left"/>
      <w:pPr>
        <w:ind w:left="5705" w:hanging="241"/>
      </w:pPr>
      <w:rPr>
        <w:rFonts w:hint="default"/>
        <w:lang w:val="en-US" w:eastAsia="en-US" w:bidi="ar-SA"/>
      </w:rPr>
    </w:lvl>
  </w:abstractNum>
  <w:abstractNum w:abstractNumId="38">
    <w:multiLevelType w:val="hybridMultilevel"/>
    <w:lvl w:ilvl="0">
      <w:start w:val="6"/>
      <w:numFmt w:val="decimal"/>
      <w:lvlText w:val="%1"/>
      <w:lvlJc w:val="left"/>
      <w:pPr>
        <w:ind w:left="5871" w:hanging="892"/>
        <w:jc w:val="left"/>
      </w:pPr>
      <w:rPr>
        <w:rFonts w:hint="default"/>
        <w:lang w:val="en-US" w:eastAsia="en-US" w:bidi="ar-SA"/>
      </w:rPr>
    </w:lvl>
    <w:lvl w:ilvl="1">
      <w:start w:val="1"/>
      <w:numFmt w:val="decimal"/>
      <w:lvlText w:val="%1.%2"/>
      <w:lvlJc w:val="left"/>
      <w:pPr>
        <w:ind w:left="5871" w:hanging="892"/>
        <w:jc w:val="right"/>
      </w:pPr>
      <w:rPr>
        <w:rFonts w:hint="default"/>
        <w:b/>
        <w:bCs/>
        <w:spacing w:val="-11"/>
        <w:w w:val="100"/>
        <w:u w:val="thick" w:color="0092C7"/>
        <w:lang w:val="en-US" w:eastAsia="en-US" w:bidi="ar-SA"/>
      </w:rPr>
    </w:lvl>
    <w:lvl w:ilvl="2">
      <w:start w:val="1"/>
      <w:numFmt w:val="decimal"/>
      <w:lvlText w:val="(%3)"/>
      <w:lvlJc w:val="left"/>
      <w:pPr>
        <w:ind w:left="640" w:hanging="241"/>
        <w:jc w:val="left"/>
      </w:pPr>
      <w:rPr>
        <w:rFonts w:hint="default" w:ascii="Times New Roman" w:hAnsi="Times New Roman" w:eastAsia="Times New Roman" w:cs="Times New Roman"/>
        <w:spacing w:val="-1"/>
        <w:w w:val="100"/>
        <w:sz w:val="16"/>
        <w:szCs w:val="16"/>
        <w:lang w:val="en-US" w:eastAsia="en-US" w:bidi="ar-SA"/>
      </w:rPr>
    </w:lvl>
    <w:lvl w:ilvl="3">
      <w:start w:val="0"/>
      <w:numFmt w:val="bullet"/>
      <w:lvlText w:val="•"/>
      <w:lvlJc w:val="left"/>
      <w:pPr>
        <w:ind w:left="6933" w:hanging="241"/>
      </w:pPr>
      <w:rPr>
        <w:rFonts w:hint="default"/>
        <w:lang w:val="en-US" w:eastAsia="en-US" w:bidi="ar-SA"/>
      </w:rPr>
    </w:lvl>
    <w:lvl w:ilvl="4">
      <w:start w:val="0"/>
      <w:numFmt w:val="bullet"/>
      <w:lvlText w:val="•"/>
      <w:lvlJc w:val="left"/>
      <w:pPr>
        <w:ind w:left="7460" w:hanging="241"/>
      </w:pPr>
      <w:rPr>
        <w:rFonts w:hint="default"/>
        <w:lang w:val="en-US" w:eastAsia="en-US" w:bidi="ar-SA"/>
      </w:rPr>
    </w:lvl>
    <w:lvl w:ilvl="5">
      <w:start w:val="0"/>
      <w:numFmt w:val="bullet"/>
      <w:lvlText w:val="•"/>
      <w:lvlJc w:val="left"/>
      <w:pPr>
        <w:ind w:left="7986" w:hanging="241"/>
      </w:pPr>
      <w:rPr>
        <w:rFonts w:hint="default"/>
        <w:lang w:val="en-US" w:eastAsia="en-US" w:bidi="ar-SA"/>
      </w:rPr>
    </w:lvl>
    <w:lvl w:ilvl="6">
      <w:start w:val="0"/>
      <w:numFmt w:val="bullet"/>
      <w:lvlText w:val="•"/>
      <w:lvlJc w:val="left"/>
      <w:pPr>
        <w:ind w:left="8513" w:hanging="241"/>
      </w:pPr>
      <w:rPr>
        <w:rFonts w:hint="default"/>
        <w:lang w:val="en-US" w:eastAsia="en-US" w:bidi="ar-SA"/>
      </w:rPr>
    </w:lvl>
    <w:lvl w:ilvl="7">
      <w:start w:val="0"/>
      <w:numFmt w:val="bullet"/>
      <w:lvlText w:val="•"/>
      <w:lvlJc w:val="left"/>
      <w:pPr>
        <w:ind w:left="9040" w:hanging="241"/>
      </w:pPr>
      <w:rPr>
        <w:rFonts w:hint="default"/>
        <w:lang w:val="en-US" w:eastAsia="en-US" w:bidi="ar-SA"/>
      </w:rPr>
    </w:lvl>
    <w:lvl w:ilvl="8">
      <w:start w:val="0"/>
      <w:numFmt w:val="bullet"/>
      <w:lvlText w:val="•"/>
      <w:lvlJc w:val="left"/>
      <w:pPr>
        <w:ind w:left="9566" w:hanging="241"/>
      </w:pPr>
      <w:rPr>
        <w:rFonts w:hint="default"/>
        <w:lang w:val="en-US" w:eastAsia="en-US" w:bidi="ar-SA"/>
      </w:rPr>
    </w:lvl>
  </w:abstractNum>
  <w:abstractNum w:abstractNumId="37">
    <w:multiLevelType w:val="hybridMultilevel"/>
    <w:lvl w:ilvl="0">
      <w:start w:val="1"/>
      <w:numFmt w:val="lowerLetter"/>
      <w:lvlText w:val="(%1)"/>
      <w:lvlJc w:val="left"/>
      <w:pPr>
        <w:ind w:left="405"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63" w:hanging="241"/>
      </w:pPr>
      <w:rPr>
        <w:rFonts w:hint="default"/>
        <w:lang w:val="en-US" w:eastAsia="en-US" w:bidi="ar-SA"/>
      </w:rPr>
    </w:lvl>
    <w:lvl w:ilvl="2">
      <w:start w:val="0"/>
      <w:numFmt w:val="bullet"/>
      <w:lvlText w:val="•"/>
      <w:lvlJc w:val="left"/>
      <w:pPr>
        <w:ind w:left="1126" w:hanging="241"/>
      </w:pPr>
      <w:rPr>
        <w:rFonts w:hint="default"/>
        <w:lang w:val="en-US" w:eastAsia="en-US" w:bidi="ar-SA"/>
      </w:rPr>
    </w:lvl>
    <w:lvl w:ilvl="3">
      <w:start w:val="0"/>
      <w:numFmt w:val="bullet"/>
      <w:lvlText w:val="•"/>
      <w:lvlJc w:val="left"/>
      <w:pPr>
        <w:ind w:left="1489" w:hanging="241"/>
      </w:pPr>
      <w:rPr>
        <w:rFonts w:hint="default"/>
        <w:lang w:val="en-US" w:eastAsia="en-US" w:bidi="ar-SA"/>
      </w:rPr>
    </w:lvl>
    <w:lvl w:ilvl="4">
      <w:start w:val="0"/>
      <w:numFmt w:val="bullet"/>
      <w:lvlText w:val="•"/>
      <w:lvlJc w:val="left"/>
      <w:pPr>
        <w:ind w:left="1852" w:hanging="241"/>
      </w:pPr>
      <w:rPr>
        <w:rFonts w:hint="default"/>
        <w:lang w:val="en-US" w:eastAsia="en-US" w:bidi="ar-SA"/>
      </w:rPr>
    </w:lvl>
    <w:lvl w:ilvl="5">
      <w:start w:val="0"/>
      <w:numFmt w:val="bullet"/>
      <w:lvlText w:val="•"/>
      <w:lvlJc w:val="left"/>
      <w:pPr>
        <w:ind w:left="2216" w:hanging="241"/>
      </w:pPr>
      <w:rPr>
        <w:rFonts w:hint="default"/>
        <w:lang w:val="en-US" w:eastAsia="en-US" w:bidi="ar-SA"/>
      </w:rPr>
    </w:lvl>
    <w:lvl w:ilvl="6">
      <w:start w:val="0"/>
      <w:numFmt w:val="bullet"/>
      <w:lvlText w:val="•"/>
      <w:lvlJc w:val="left"/>
      <w:pPr>
        <w:ind w:left="2579" w:hanging="241"/>
      </w:pPr>
      <w:rPr>
        <w:rFonts w:hint="default"/>
        <w:lang w:val="en-US" w:eastAsia="en-US" w:bidi="ar-SA"/>
      </w:rPr>
    </w:lvl>
    <w:lvl w:ilvl="7">
      <w:start w:val="0"/>
      <w:numFmt w:val="bullet"/>
      <w:lvlText w:val="•"/>
      <w:lvlJc w:val="left"/>
      <w:pPr>
        <w:ind w:left="2942" w:hanging="241"/>
      </w:pPr>
      <w:rPr>
        <w:rFonts w:hint="default"/>
        <w:lang w:val="en-US" w:eastAsia="en-US" w:bidi="ar-SA"/>
      </w:rPr>
    </w:lvl>
    <w:lvl w:ilvl="8">
      <w:start w:val="0"/>
      <w:numFmt w:val="bullet"/>
      <w:lvlText w:val="•"/>
      <w:lvlJc w:val="left"/>
      <w:pPr>
        <w:ind w:left="3305" w:hanging="241"/>
      </w:pPr>
      <w:rPr>
        <w:rFonts w:hint="default"/>
        <w:lang w:val="en-US" w:eastAsia="en-US" w:bidi="ar-SA"/>
      </w:rPr>
    </w:lvl>
  </w:abstractNum>
  <w:abstractNum w:abstractNumId="36">
    <w:multiLevelType w:val="hybridMultilevel"/>
    <w:lvl w:ilvl="0">
      <w:start w:val="1"/>
      <w:numFmt w:val="lowerLetter"/>
      <w:lvlText w:val="(%1)"/>
      <w:lvlJc w:val="left"/>
      <w:pPr>
        <w:ind w:left="405"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03" w:hanging="241"/>
      </w:pPr>
      <w:rPr>
        <w:rFonts w:hint="default"/>
        <w:lang w:val="en-US" w:eastAsia="en-US" w:bidi="ar-SA"/>
      </w:rPr>
    </w:lvl>
    <w:lvl w:ilvl="2">
      <w:start w:val="0"/>
      <w:numFmt w:val="bullet"/>
      <w:lvlText w:val="•"/>
      <w:lvlJc w:val="left"/>
      <w:pPr>
        <w:ind w:left="1207" w:hanging="241"/>
      </w:pPr>
      <w:rPr>
        <w:rFonts w:hint="default"/>
        <w:lang w:val="en-US" w:eastAsia="en-US" w:bidi="ar-SA"/>
      </w:rPr>
    </w:lvl>
    <w:lvl w:ilvl="3">
      <w:start w:val="0"/>
      <w:numFmt w:val="bullet"/>
      <w:lvlText w:val="•"/>
      <w:lvlJc w:val="left"/>
      <w:pPr>
        <w:ind w:left="1610" w:hanging="241"/>
      </w:pPr>
      <w:rPr>
        <w:rFonts w:hint="default"/>
        <w:lang w:val="en-US" w:eastAsia="en-US" w:bidi="ar-SA"/>
      </w:rPr>
    </w:lvl>
    <w:lvl w:ilvl="4">
      <w:start w:val="0"/>
      <w:numFmt w:val="bullet"/>
      <w:lvlText w:val="•"/>
      <w:lvlJc w:val="left"/>
      <w:pPr>
        <w:ind w:left="2014" w:hanging="241"/>
      </w:pPr>
      <w:rPr>
        <w:rFonts w:hint="default"/>
        <w:lang w:val="en-US" w:eastAsia="en-US" w:bidi="ar-SA"/>
      </w:rPr>
    </w:lvl>
    <w:lvl w:ilvl="5">
      <w:start w:val="0"/>
      <w:numFmt w:val="bullet"/>
      <w:lvlText w:val="•"/>
      <w:lvlJc w:val="left"/>
      <w:pPr>
        <w:ind w:left="2417" w:hanging="241"/>
      </w:pPr>
      <w:rPr>
        <w:rFonts w:hint="default"/>
        <w:lang w:val="en-US" w:eastAsia="en-US" w:bidi="ar-SA"/>
      </w:rPr>
    </w:lvl>
    <w:lvl w:ilvl="6">
      <w:start w:val="0"/>
      <w:numFmt w:val="bullet"/>
      <w:lvlText w:val="•"/>
      <w:lvlJc w:val="left"/>
      <w:pPr>
        <w:ind w:left="2821" w:hanging="241"/>
      </w:pPr>
      <w:rPr>
        <w:rFonts w:hint="default"/>
        <w:lang w:val="en-US" w:eastAsia="en-US" w:bidi="ar-SA"/>
      </w:rPr>
    </w:lvl>
    <w:lvl w:ilvl="7">
      <w:start w:val="0"/>
      <w:numFmt w:val="bullet"/>
      <w:lvlText w:val="•"/>
      <w:lvlJc w:val="left"/>
      <w:pPr>
        <w:ind w:left="3224" w:hanging="241"/>
      </w:pPr>
      <w:rPr>
        <w:rFonts w:hint="default"/>
        <w:lang w:val="en-US" w:eastAsia="en-US" w:bidi="ar-SA"/>
      </w:rPr>
    </w:lvl>
    <w:lvl w:ilvl="8">
      <w:start w:val="0"/>
      <w:numFmt w:val="bullet"/>
      <w:lvlText w:val="•"/>
      <w:lvlJc w:val="left"/>
      <w:pPr>
        <w:ind w:left="3628" w:hanging="241"/>
      </w:pPr>
      <w:rPr>
        <w:rFonts w:hint="default"/>
        <w:lang w:val="en-US" w:eastAsia="en-US" w:bidi="ar-SA"/>
      </w:rPr>
    </w:lvl>
  </w:abstractNum>
  <w:abstractNum w:abstractNumId="35">
    <w:multiLevelType w:val="hybridMultilevel"/>
    <w:lvl w:ilvl="0">
      <w:start w:val="1"/>
      <w:numFmt w:val="lowerLetter"/>
      <w:lvlText w:val="(%1)"/>
      <w:lvlJc w:val="left"/>
      <w:pPr>
        <w:ind w:left="42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50" w:hanging="241"/>
      </w:pPr>
      <w:rPr>
        <w:rFonts w:hint="default"/>
        <w:lang w:val="en-US" w:eastAsia="en-US" w:bidi="ar-SA"/>
      </w:rPr>
    </w:lvl>
    <w:lvl w:ilvl="2">
      <w:start w:val="0"/>
      <w:numFmt w:val="bullet"/>
      <w:lvlText w:val="•"/>
      <w:lvlJc w:val="left"/>
      <w:pPr>
        <w:ind w:left="1080" w:hanging="241"/>
      </w:pPr>
      <w:rPr>
        <w:rFonts w:hint="default"/>
        <w:lang w:val="en-US" w:eastAsia="en-US" w:bidi="ar-SA"/>
      </w:rPr>
    </w:lvl>
    <w:lvl w:ilvl="3">
      <w:start w:val="0"/>
      <w:numFmt w:val="bullet"/>
      <w:lvlText w:val="•"/>
      <w:lvlJc w:val="left"/>
      <w:pPr>
        <w:ind w:left="1410" w:hanging="241"/>
      </w:pPr>
      <w:rPr>
        <w:rFonts w:hint="default"/>
        <w:lang w:val="en-US" w:eastAsia="en-US" w:bidi="ar-SA"/>
      </w:rPr>
    </w:lvl>
    <w:lvl w:ilvl="4">
      <w:start w:val="0"/>
      <w:numFmt w:val="bullet"/>
      <w:lvlText w:val="•"/>
      <w:lvlJc w:val="left"/>
      <w:pPr>
        <w:ind w:left="1740" w:hanging="241"/>
      </w:pPr>
      <w:rPr>
        <w:rFonts w:hint="default"/>
        <w:lang w:val="en-US" w:eastAsia="en-US" w:bidi="ar-SA"/>
      </w:rPr>
    </w:lvl>
    <w:lvl w:ilvl="5">
      <w:start w:val="0"/>
      <w:numFmt w:val="bullet"/>
      <w:lvlText w:val="•"/>
      <w:lvlJc w:val="left"/>
      <w:pPr>
        <w:ind w:left="2070" w:hanging="241"/>
      </w:pPr>
      <w:rPr>
        <w:rFonts w:hint="default"/>
        <w:lang w:val="en-US" w:eastAsia="en-US" w:bidi="ar-SA"/>
      </w:rPr>
    </w:lvl>
    <w:lvl w:ilvl="6">
      <w:start w:val="0"/>
      <w:numFmt w:val="bullet"/>
      <w:lvlText w:val="•"/>
      <w:lvlJc w:val="left"/>
      <w:pPr>
        <w:ind w:left="2400" w:hanging="241"/>
      </w:pPr>
      <w:rPr>
        <w:rFonts w:hint="default"/>
        <w:lang w:val="en-US" w:eastAsia="en-US" w:bidi="ar-SA"/>
      </w:rPr>
    </w:lvl>
    <w:lvl w:ilvl="7">
      <w:start w:val="0"/>
      <w:numFmt w:val="bullet"/>
      <w:lvlText w:val="•"/>
      <w:lvlJc w:val="left"/>
      <w:pPr>
        <w:ind w:left="2730" w:hanging="241"/>
      </w:pPr>
      <w:rPr>
        <w:rFonts w:hint="default"/>
        <w:lang w:val="en-US" w:eastAsia="en-US" w:bidi="ar-SA"/>
      </w:rPr>
    </w:lvl>
    <w:lvl w:ilvl="8">
      <w:start w:val="0"/>
      <w:numFmt w:val="bullet"/>
      <w:lvlText w:val="•"/>
      <w:lvlJc w:val="left"/>
      <w:pPr>
        <w:ind w:left="3060" w:hanging="241"/>
      </w:pPr>
      <w:rPr>
        <w:rFonts w:hint="default"/>
        <w:lang w:val="en-US" w:eastAsia="en-US" w:bidi="ar-SA"/>
      </w:rPr>
    </w:lvl>
  </w:abstractNum>
  <w:abstractNum w:abstractNumId="34">
    <w:multiLevelType w:val="hybridMultilevel"/>
    <w:lvl w:ilvl="0">
      <w:start w:val="4"/>
      <w:numFmt w:val="decimal"/>
      <w:lvlText w:val="%1"/>
      <w:lvlJc w:val="left"/>
      <w:pPr>
        <w:ind w:left="1102" w:hanging="898"/>
        <w:jc w:val="left"/>
      </w:pPr>
      <w:rPr>
        <w:rFonts w:hint="default"/>
        <w:lang w:val="en-US" w:eastAsia="en-US" w:bidi="ar-SA"/>
      </w:rPr>
    </w:lvl>
    <w:lvl w:ilvl="1">
      <w:start w:val="4"/>
      <w:numFmt w:val="decimal"/>
      <w:lvlText w:val="%1.%2"/>
      <w:lvlJc w:val="left"/>
      <w:pPr>
        <w:ind w:left="1102" w:hanging="898"/>
        <w:jc w:val="right"/>
      </w:pPr>
      <w:rPr>
        <w:rFonts w:hint="default" w:ascii="Times New Roman" w:hAnsi="Times New Roman" w:eastAsia="Times New Roman" w:cs="Times New Roman"/>
        <w:b/>
        <w:bCs/>
        <w:color w:val="009391"/>
        <w:spacing w:val="-3"/>
        <w:w w:val="100"/>
        <w:sz w:val="28"/>
        <w:szCs w:val="28"/>
        <w:u w:val="thick" w:color="0092C7"/>
        <w:lang w:val="en-US" w:eastAsia="en-US" w:bidi="ar-SA"/>
      </w:rPr>
    </w:lvl>
    <w:lvl w:ilvl="2">
      <w:start w:val="1"/>
      <w:numFmt w:val="decimal"/>
      <w:lvlText w:val="(%3)"/>
      <w:lvlJc w:val="left"/>
      <w:pPr>
        <w:ind w:left="797" w:hanging="241"/>
        <w:jc w:val="left"/>
      </w:pPr>
      <w:rPr>
        <w:rFonts w:hint="default" w:ascii="Times New Roman" w:hAnsi="Times New Roman" w:eastAsia="Times New Roman" w:cs="Times New Roman"/>
        <w:spacing w:val="-1"/>
        <w:w w:val="100"/>
        <w:sz w:val="16"/>
        <w:szCs w:val="16"/>
        <w:lang w:val="en-US" w:eastAsia="en-US" w:bidi="ar-SA"/>
      </w:rPr>
    </w:lvl>
    <w:lvl w:ilvl="3">
      <w:start w:val="0"/>
      <w:numFmt w:val="bullet"/>
      <w:lvlText w:val="•"/>
      <w:lvlJc w:val="left"/>
      <w:pPr>
        <w:ind w:left="2158" w:hanging="241"/>
      </w:pPr>
      <w:rPr>
        <w:rFonts w:hint="default"/>
        <w:lang w:val="en-US" w:eastAsia="en-US" w:bidi="ar-SA"/>
      </w:rPr>
    </w:lvl>
    <w:lvl w:ilvl="4">
      <w:start w:val="0"/>
      <w:numFmt w:val="bullet"/>
      <w:lvlText w:val="•"/>
      <w:lvlJc w:val="left"/>
      <w:pPr>
        <w:ind w:left="2688" w:hanging="241"/>
      </w:pPr>
      <w:rPr>
        <w:rFonts w:hint="default"/>
        <w:lang w:val="en-US" w:eastAsia="en-US" w:bidi="ar-SA"/>
      </w:rPr>
    </w:lvl>
    <w:lvl w:ilvl="5">
      <w:start w:val="0"/>
      <w:numFmt w:val="bullet"/>
      <w:lvlText w:val="•"/>
      <w:lvlJc w:val="left"/>
      <w:pPr>
        <w:ind w:left="3217" w:hanging="241"/>
      </w:pPr>
      <w:rPr>
        <w:rFonts w:hint="default"/>
        <w:lang w:val="en-US" w:eastAsia="en-US" w:bidi="ar-SA"/>
      </w:rPr>
    </w:lvl>
    <w:lvl w:ilvl="6">
      <w:start w:val="0"/>
      <w:numFmt w:val="bullet"/>
      <w:lvlText w:val="•"/>
      <w:lvlJc w:val="left"/>
      <w:pPr>
        <w:ind w:left="3746" w:hanging="241"/>
      </w:pPr>
      <w:rPr>
        <w:rFonts w:hint="default"/>
        <w:lang w:val="en-US" w:eastAsia="en-US" w:bidi="ar-SA"/>
      </w:rPr>
    </w:lvl>
    <w:lvl w:ilvl="7">
      <w:start w:val="0"/>
      <w:numFmt w:val="bullet"/>
      <w:lvlText w:val="•"/>
      <w:lvlJc w:val="left"/>
      <w:pPr>
        <w:ind w:left="4276" w:hanging="241"/>
      </w:pPr>
      <w:rPr>
        <w:rFonts w:hint="default"/>
        <w:lang w:val="en-US" w:eastAsia="en-US" w:bidi="ar-SA"/>
      </w:rPr>
    </w:lvl>
    <w:lvl w:ilvl="8">
      <w:start w:val="0"/>
      <w:numFmt w:val="bullet"/>
      <w:lvlText w:val="•"/>
      <w:lvlJc w:val="left"/>
      <w:pPr>
        <w:ind w:left="4805" w:hanging="241"/>
      </w:pPr>
      <w:rPr>
        <w:rFonts w:hint="default"/>
        <w:lang w:val="en-US" w:eastAsia="en-US" w:bidi="ar-SA"/>
      </w:rPr>
    </w:lvl>
  </w:abstractNum>
  <w:abstractNum w:abstractNumId="33">
    <w:multiLevelType w:val="hybridMultilevel"/>
    <w:lvl w:ilvl="0">
      <w:start w:val="1"/>
      <w:numFmt w:val="lowerLetter"/>
      <w:lvlText w:val="(%1)"/>
      <w:lvlJc w:val="left"/>
      <w:pPr>
        <w:ind w:left="42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23" w:hanging="241"/>
      </w:pPr>
      <w:rPr>
        <w:rFonts w:hint="default"/>
        <w:lang w:val="en-US" w:eastAsia="en-US" w:bidi="ar-SA"/>
      </w:rPr>
    </w:lvl>
    <w:lvl w:ilvl="2">
      <w:start w:val="0"/>
      <w:numFmt w:val="bullet"/>
      <w:lvlText w:val="•"/>
      <w:lvlJc w:val="left"/>
      <w:pPr>
        <w:ind w:left="1226" w:hanging="241"/>
      </w:pPr>
      <w:rPr>
        <w:rFonts w:hint="default"/>
        <w:lang w:val="en-US" w:eastAsia="en-US" w:bidi="ar-SA"/>
      </w:rPr>
    </w:lvl>
    <w:lvl w:ilvl="3">
      <w:start w:val="0"/>
      <w:numFmt w:val="bullet"/>
      <w:lvlText w:val="•"/>
      <w:lvlJc w:val="left"/>
      <w:pPr>
        <w:ind w:left="1629" w:hanging="241"/>
      </w:pPr>
      <w:rPr>
        <w:rFonts w:hint="default"/>
        <w:lang w:val="en-US" w:eastAsia="en-US" w:bidi="ar-SA"/>
      </w:rPr>
    </w:lvl>
    <w:lvl w:ilvl="4">
      <w:start w:val="0"/>
      <w:numFmt w:val="bullet"/>
      <w:lvlText w:val="•"/>
      <w:lvlJc w:val="left"/>
      <w:pPr>
        <w:ind w:left="2032" w:hanging="241"/>
      </w:pPr>
      <w:rPr>
        <w:rFonts w:hint="default"/>
        <w:lang w:val="en-US" w:eastAsia="en-US" w:bidi="ar-SA"/>
      </w:rPr>
    </w:lvl>
    <w:lvl w:ilvl="5">
      <w:start w:val="0"/>
      <w:numFmt w:val="bullet"/>
      <w:lvlText w:val="•"/>
      <w:lvlJc w:val="left"/>
      <w:pPr>
        <w:ind w:left="2435" w:hanging="241"/>
      </w:pPr>
      <w:rPr>
        <w:rFonts w:hint="default"/>
        <w:lang w:val="en-US" w:eastAsia="en-US" w:bidi="ar-SA"/>
      </w:rPr>
    </w:lvl>
    <w:lvl w:ilvl="6">
      <w:start w:val="0"/>
      <w:numFmt w:val="bullet"/>
      <w:lvlText w:val="•"/>
      <w:lvlJc w:val="left"/>
      <w:pPr>
        <w:ind w:left="2838" w:hanging="241"/>
      </w:pPr>
      <w:rPr>
        <w:rFonts w:hint="default"/>
        <w:lang w:val="en-US" w:eastAsia="en-US" w:bidi="ar-SA"/>
      </w:rPr>
    </w:lvl>
    <w:lvl w:ilvl="7">
      <w:start w:val="0"/>
      <w:numFmt w:val="bullet"/>
      <w:lvlText w:val="•"/>
      <w:lvlJc w:val="left"/>
      <w:pPr>
        <w:ind w:left="3241" w:hanging="241"/>
      </w:pPr>
      <w:rPr>
        <w:rFonts w:hint="default"/>
        <w:lang w:val="en-US" w:eastAsia="en-US" w:bidi="ar-SA"/>
      </w:rPr>
    </w:lvl>
    <w:lvl w:ilvl="8">
      <w:start w:val="0"/>
      <w:numFmt w:val="bullet"/>
      <w:lvlText w:val="•"/>
      <w:lvlJc w:val="left"/>
      <w:pPr>
        <w:ind w:left="3644" w:hanging="241"/>
      </w:pPr>
      <w:rPr>
        <w:rFonts w:hint="default"/>
        <w:lang w:val="en-US" w:eastAsia="en-US" w:bidi="ar-SA"/>
      </w:rPr>
    </w:lvl>
  </w:abstractNum>
  <w:abstractNum w:abstractNumId="32">
    <w:multiLevelType w:val="hybridMultilevel"/>
    <w:lvl w:ilvl="0">
      <w:start w:val="1"/>
      <w:numFmt w:val="lowerLetter"/>
      <w:lvlText w:val="(%1)"/>
      <w:lvlJc w:val="left"/>
      <w:pPr>
        <w:ind w:left="41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23" w:hanging="241"/>
      </w:pPr>
      <w:rPr>
        <w:rFonts w:hint="default"/>
        <w:lang w:val="en-US" w:eastAsia="en-US" w:bidi="ar-SA"/>
      </w:rPr>
    </w:lvl>
    <w:lvl w:ilvl="2">
      <w:start w:val="0"/>
      <w:numFmt w:val="bullet"/>
      <w:lvlText w:val="•"/>
      <w:lvlJc w:val="left"/>
      <w:pPr>
        <w:ind w:left="1226" w:hanging="241"/>
      </w:pPr>
      <w:rPr>
        <w:rFonts w:hint="default"/>
        <w:lang w:val="en-US" w:eastAsia="en-US" w:bidi="ar-SA"/>
      </w:rPr>
    </w:lvl>
    <w:lvl w:ilvl="3">
      <w:start w:val="0"/>
      <w:numFmt w:val="bullet"/>
      <w:lvlText w:val="•"/>
      <w:lvlJc w:val="left"/>
      <w:pPr>
        <w:ind w:left="1629" w:hanging="241"/>
      </w:pPr>
      <w:rPr>
        <w:rFonts w:hint="default"/>
        <w:lang w:val="en-US" w:eastAsia="en-US" w:bidi="ar-SA"/>
      </w:rPr>
    </w:lvl>
    <w:lvl w:ilvl="4">
      <w:start w:val="0"/>
      <w:numFmt w:val="bullet"/>
      <w:lvlText w:val="•"/>
      <w:lvlJc w:val="left"/>
      <w:pPr>
        <w:ind w:left="2032" w:hanging="241"/>
      </w:pPr>
      <w:rPr>
        <w:rFonts w:hint="default"/>
        <w:lang w:val="en-US" w:eastAsia="en-US" w:bidi="ar-SA"/>
      </w:rPr>
    </w:lvl>
    <w:lvl w:ilvl="5">
      <w:start w:val="0"/>
      <w:numFmt w:val="bullet"/>
      <w:lvlText w:val="•"/>
      <w:lvlJc w:val="left"/>
      <w:pPr>
        <w:ind w:left="2435" w:hanging="241"/>
      </w:pPr>
      <w:rPr>
        <w:rFonts w:hint="default"/>
        <w:lang w:val="en-US" w:eastAsia="en-US" w:bidi="ar-SA"/>
      </w:rPr>
    </w:lvl>
    <w:lvl w:ilvl="6">
      <w:start w:val="0"/>
      <w:numFmt w:val="bullet"/>
      <w:lvlText w:val="•"/>
      <w:lvlJc w:val="left"/>
      <w:pPr>
        <w:ind w:left="2838" w:hanging="241"/>
      </w:pPr>
      <w:rPr>
        <w:rFonts w:hint="default"/>
        <w:lang w:val="en-US" w:eastAsia="en-US" w:bidi="ar-SA"/>
      </w:rPr>
    </w:lvl>
    <w:lvl w:ilvl="7">
      <w:start w:val="0"/>
      <w:numFmt w:val="bullet"/>
      <w:lvlText w:val="•"/>
      <w:lvlJc w:val="left"/>
      <w:pPr>
        <w:ind w:left="3241" w:hanging="241"/>
      </w:pPr>
      <w:rPr>
        <w:rFonts w:hint="default"/>
        <w:lang w:val="en-US" w:eastAsia="en-US" w:bidi="ar-SA"/>
      </w:rPr>
    </w:lvl>
    <w:lvl w:ilvl="8">
      <w:start w:val="0"/>
      <w:numFmt w:val="bullet"/>
      <w:lvlText w:val="•"/>
      <w:lvlJc w:val="left"/>
      <w:pPr>
        <w:ind w:left="3644" w:hanging="241"/>
      </w:pPr>
      <w:rPr>
        <w:rFonts w:hint="default"/>
        <w:lang w:val="en-US" w:eastAsia="en-US" w:bidi="ar-SA"/>
      </w:rPr>
    </w:lvl>
  </w:abstractNum>
  <w:abstractNum w:abstractNumId="31">
    <w:multiLevelType w:val="hybridMultilevel"/>
    <w:lvl w:ilvl="0">
      <w:start w:val="4"/>
      <w:numFmt w:val="decimal"/>
      <w:lvlText w:val="%1"/>
      <w:lvlJc w:val="left"/>
      <w:pPr>
        <w:ind w:left="1119" w:hanging="950"/>
        <w:jc w:val="left"/>
      </w:pPr>
      <w:rPr>
        <w:rFonts w:hint="default"/>
        <w:lang w:val="en-US" w:eastAsia="en-US" w:bidi="ar-SA"/>
      </w:rPr>
    </w:lvl>
    <w:lvl w:ilvl="1">
      <w:start w:val="2"/>
      <w:numFmt w:val="decimal"/>
      <w:lvlText w:val="%1.%2"/>
      <w:lvlJc w:val="left"/>
      <w:pPr>
        <w:ind w:left="1119" w:hanging="950"/>
        <w:jc w:val="left"/>
      </w:pPr>
      <w:rPr>
        <w:rFonts w:hint="default" w:ascii="Times New Roman" w:hAnsi="Times New Roman" w:eastAsia="Times New Roman" w:cs="Times New Roman"/>
        <w:b/>
        <w:bCs/>
        <w:color w:val="009391"/>
        <w:spacing w:val="-1"/>
        <w:w w:val="100"/>
        <w:sz w:val="28"/>
        <w:szCs w:val="28"/>
        <w:u w:val="thick" w:color="0092C7"/>
        <w:lang w:val="en-US" w:eastAsia="en-US" w:bidi="ar-SA"/>
      </w:rPr>
    </w:lvl>
    <w:lvl w:ilvl="2">
      <w:start w:val="0"/>
      <w:numFmt w:val="bullet"/>
      <w:lvlText w:val="•"/>
      <w:lvlJc w:val="left"/>
      <w:pPr>
        <w:ind w:left="2056" w:hanging="950"/>
      </w:pPr>
      <w:rPr>
        <w:rFonts w:hint="default"/>
        <w:lang w:val="en-US" w:eastAsia="en-US" w:bidi="ar-SA"/>
      </w:rPr>
    </w:lvl>
    <w:lvl w:ilvl="3">
      <w:start w:val="0"/>
      <w:numFmt w:val="bullet"/>
      <w:lvlText w:val="•"/>
      <w:lvlJc w:val="left"/>
      <w:pPr>
        <w:ind w:left="2525" w:hanging="950"/>
      </w:pPr>
      <w:rPr>
        <w:rFonts w:hint="default"/>
        <w:lang w:val="en-US" w:eastAsia="en-US" w:bidi="ar-SA"/>
      </w:rPr>
    </w:lvl>
    <w:lvl w:ilvl="4">
      <w:start w:val="0"/>
      <w:numFmt w:val="bullet"/>
      <w:lvlText w:val="•"/>
      <w:lvlJc w:val="left"/>
      <w:pPr>
        <w:ind w:left="2993" w:hanging="950"/>
      </w:pPr>
      <w:rPr>
        <w:rFonts w:hint="default"/>
        <w:lang w:val="en-US" w:eastAsia="en-US" w:bidi="ar-SA"/>
      </w:rPr>
    </w:lvl>
    <w:lvl w:ilvl="5">
      <w:start w:val="0"/>
      <w:numFmt w:val="bullet"/>
      <w:lvlText w:val="•"/>
      <w:lvlJc w:val="left"/>
      <w:pPr>
        <w:ind w:left="3462" w:hanging="950"/>
      </w:pPr>
      <w:rPr>
        <w:rFonts w:hint="default"/>
        <w:lang w:val="en-US" w:eastAsia="en-US" w:bidi="ar-SA"/>
      </w:rPr>
    </w:lvl>
    <w:lvl w:ilvl="6">
      <w:start w:val="0"/>
      <w:numFmt w:val="bullet"/>
      <w:lvlText w:val="•"/>
      <w:lvlJc w:val="left"/>
      <w:pPr>
        <w:ind w:left="3930" w:hanging="950"/>
      </w:pPr>
      <w:rPr>
        <w:rFonts w:hint="default"/>
        <w:lang w:val="en-US" w:eastAsia="en-US" w:bidi="ar-SA"/>
      </w:rPr>
    </w:lvl>
    <w:lvl w:ilvl="7">
      <w:start w:val="0"/>
      <w:numFmt w:val="bullet"/>
      <w:lvlText w:val="•"/>
      <w:lvlJc w:val="left"/>
      <w:pPr>
        <w:ind w:left="4399" w:hanging="950"/>
      </w:pPr>
      <w:rPr>
        <w:rFonts w:hint="default"/>
        <w:lang w:val="en-US" w:eastAsia="en-US" w:bidi="ar-SA"/>
      </w:rPr>
    </w:lvl>
    <w:lvl w:ilvl="8">
      <w:start w:val="0"/>
      <w:numFmt w:val="bullet"/>
      <w:lvlText w:val="•"/>
      <w:lvlJc w:val="left"/>
      <w:pPr>
        <w:ind w:left="4867" w:hanging="950"/>
      </w:pPr>
      <w:rPr>
        <w:rFonts w:hint="default"/>
        <w:lang w:val="en-US" w:eastAsia="en-US" w:bidi="ar-SA"/>
      </w:rPr>
    </w:lvl>
  </w:abstractNum>
  <w:abstractNum w:abstractNumId="30">
    <w:multiLevelType w:val="hybridMultilevel"/>
    <w:lvl w:ilvl="0">
      <w:start w:val="1"/>
      <w:numFmt w:val="lowerLetter"/>
      <w:lvlText w:val="(%1)"/>
      <w:lvlJc w:val="left"/>
      <w:pPr>
        <w:ind w:left="41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48" w:hanging="241"/>
      </w:pPr>
      <w:rPr>
        <w:rFonts w:hint="default"/>
        <w:lang w:val="en-US" w:eastAsia="en-US" w:bidi="ar-SA"/>
      </w:rPr>
    </w:lvl>
    <w:lvl w:ilvl="2">
      <w:start w:val="0"/>
      <w:numFmt w:val="bullet"/>
      <w:lvlText w:val="•"/>
      <w:lvlJc w:val="left"/>
      <w:pPr>
        <w:ind w:left="1076" w:hanging="241"/>
      </w:pPr>
      <w:rPr>
        <w:rFonts w:hint="default"/>
        <w:lang w:val="en-US" w:eastAsia="en-US" w:bidi="ar-SA"/>
      </w:rPr>
    </w:lvl>
    <w:lvl w:ilvl="3">
      <w:start w:val="0"/>
      <w:numFmt w:val="bullet"/>
      <w:lvlText w:val="•"/>
      <w:lvlJc w:val="left"/>
      <w:pPr>
        <w:ind w:left="1405" w:hanging="241"/>
      </w:pPr>
      <w:rPr>
        <w:rFonts w:hint="default"/>
        <w:lang w:val="en-US" w:eastAsia="en-US" w:bidi="ar-SA"/>
      </w:rPr>
    </w:lvl>
    <w:lvl w:ilvl="4">
      <w:start w:val="0"/>
      <w:numFmt w:val="bullet"/>
      <w:lvlText w:val="•"/>
      <w:lvlJc w:val="left"/>
      <w:pPr>
        <w:ind w:left="1733" w:hanging="241"/>
      </w:pPr>
      <w:rPr>
        <w:rFonts w:hint="default"/>
        <w:lang w:val="en-US" w:eastAsia="en-US" w:bidi="ar-SA"/>
      </w:rPr>
    </w:lvl>
    <w:lvl w:ilvl="5">
      <w:start w:val="0"/>
      <w:numFmt w:val="bullet"/>
      <w:lvlText w:val="•"/>
      <w:lvlJc w:val="left"/>
      <w:pPr>
        <w:ind w:left="2061" w:hanging="241"/>
      </w:pPr>
      <w:rPr>
        <w:rFonts w:hint="default"/>
        <w:lang w:val="en-US" w:eastAsia="en-US" w:bidi="ar-SA"/>
      </w:rPr>
    </w:lvl>
    <w:lvl w:ilvl="6">
      <w:start w:val="0"/>
      <w:numFmt w:val="bullet"/>
      <w:lvlText w:val="•"/>
      <w:lvlJc w:val="left"/>
      <w:pPr>
        <w:ind w:left="2390" w:hanging="241"/>
      </w:pPr>
      <w:rPr>
        <w:rFonts w:hint="default"/>
        <w:lang w:val="en-US" w:eastAsia="en-US" w:bidi="ar-SA"/>
      </w:rPr>
    </w:lvl>
    <w:lvl w:ilvl="7">
      <w:start w:val="0"/>
      <w:numFmt w:val="bullet"/>
      <w:lvlText w:val="•"/>
      <w:lvlJc w:val="left"/>
      <w:pPr>
        <w:ind w:left="2718" w:hanging="241"/>
      </w:pPr>
      <w:rPr>
        <w:rFonts w:hint="default"/>
        <w:lang w:val="en-US" w:eastAsia="en-US" w:bidi="ar-SA"/>
      </w:rPr>
    </w:lvl>
    <w:lvl w:ilvl="8">
      <w:start w:val="0"/>
      <w:numFmt w:val="bullet"/>
      <w:lvlText w:val="•"/>
      <w:lvlJc w:val="left"/>
      <w:pPr>
        <w:ind w:left="3047" w:hanging="241"/>
      </w:pPr>
      <w:rPr>
        <w:rFonts w:hint="default"/>
        <w:lang w:val="en-US" w:eastAsia="en-US" w:bidi="ar-SA"/>
      </w:rPr>
    </w:lvl>
  </w:abstractNum>
  <w:abstractNum w:abstractNumId="29">
    <w:multiLevelType w:val="hybridMultilevel"/>
    <w:lvl w:ilvl="0">
      <w:start w:val="1"/>
      <w:numFmt w:val="lowerLetter"/>
      <w:lvlText w:val="(%1)"/>
      <w:lvlJc w:val="left"/>
      <w:pPr>
        <w:ind w:left="40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55" w:hanging="241"/>
      </w:pPr>
      <w:rPr>
        <w:rFonts w:hint="default"/>
        <w:lang w:val="en-US" w:eastAsia="en-US" w:bidi="ar-SA"/>
      </w:rPr>
    </w:lvl>
    <w:lvl w:ilvl="2">
      <w:start w:val="0"/>
      <w:numFmt w:val="bullet"/>
      <w:lvlText w:val="•"/>
      <w:lvlJc w:val="left"/>
      <w:pPr>
        <w:ind w:left="1111" w:hanging="241"/>
      </w:pPr>
      <w:rPr>
        <w:rFonts w:hint="default"/>
        <w:lang w:val="en-US" w:eastAsia="en-US" w:bidi="ar-SA"/>
      </w:rPr>
    </w:lvl>
    <w:lvl w:ilvl="3">
      <w:start w:val="0"/>
      <w:numFmt w:val="bullet"/>
      <w:lvlText w:val="•"/>
      <w:lvlJc w:val="left"/>
      <w:pPr>
        <w:ind w:left="1467" w:hanging="241"/>
      </w:pPr>
      <w:rPr>
        <w:rFonts w:hint="default"/>
        <w:lang w:val="en-US" w:eastAsia="en-US" w:bidi="ar-SA"/>
      </w:rPr>
    </w:lvl>
    <w:lvl w:ilvl="4">
      <w:start w:val="0"/>
      <w:numFmt w:val="bullet"/>
      <w:lvlText w:val="•"/>
      <w:lvlJc w:val="left"/>
      <w:pPr>
        <w:ind w:left="1822" w:hanging="241"/>
      </w:pPr>
      <w:rPr>
        <w:rFonts w:hint="default"/>
        <w:lang w:val="en-US" w:eastAsia="en-US" w:bidi="ar-SA"/>
      </w:rPr>
    </w:lvl>
    <w:lvl w:ilvl="5">
      <w:start w:val="0"/>
      <w:numFmt w:val="bullet"/>
      <w:lvlText w:val="•"/>
      <w:lvlJc w:val="left"/>
      <w:pPr>
        <w:ind w:left="2178" w:hanging="241"/>
      </w:pPr>
      <w:rPr>
        <w:rFonts w:hint="default"/>
        <w:lang w:val="en-US" w:eastAsia="en-US" w:bidi="ar-SA"/>
      </w:rPr>
    </w:lvl>
    <w:lvl w:ilvl="6">
      <w:start w:val="0"/>
      <w:numFmt w:val="bullet"/>
      <w:lvlText w:val="•"/>
      <w:lvlJc w:val="left"/>
      <w:pPr>
        <w:ind w:left="2534" w:hanging="241"/>
      </w:pPr>
      <w:rPr>
        <w:rFonts w:hint="default"/>
        <w:lang w:val="en-US" w:eastAsia="en-US" w:bidi="ar-SA"/>
      </w:rPr>
    </w:lvl>
    <w:lvl w:ilvl="7">
      <w:start w:val="0"/>
      <w:numFmt w:val="bullet"/>
      <w:lvlText w:val="•"/>
      <w:lvlJc w:val="left"/>
      <w:pPr>
        <w:ind w:left="2889" w:hanging="241"/>
      </w:pPr>
      <w:rPr>
        <w:rFonts w:hint="default"/>
        <w:lang w:val="en-US" w:eastAsia="en-US" w:bidi="ar-SA"/>
      </w:rPr>
    </w:lvl>
    <w:lvl w:ilvl="8">
      <w:start w:val="0"/>
      <w:numFmt w:val="bullet"/>
      <w:lvlText w:val="•"/>
      <w:lvlJc w:val="left"/>
      <w:pPr>
        <w:ind w:left="3245" w:hanging="241"/>
      </w:pPr>
      <w:rPr>
        <w:rFonts w:hint="default"/>
        <w:lang w:val="en-US" w:eastAsia="en-US" w:bidi="ar-SA"/>
      </w:rPr>
    </w:lvl>
  </w:abstractNum>
  <w:abstractNum w:abstractNumId="28">
    <w:multiLevelType w:val="hybridMultilevel"/>
    <w:lvl w:ilvl="0">
      <w:start w:val="1"/>
      <w:numFmt w:val="lowerLetter"/>
      <w:lvlText w:val="(%1)"/>
      <w:lvlJc w:val="left"/>
      <w:pPr>
        <w:ind w:left="42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50" w:hanging="241"/>
      </w:pPr>
      <w:rPr>
        <w:rFonts w:hint="default"/>
        <w:lang w:val="en-US" w:eastAsia="en-US" w:bidi="ar-SA"/>
      </w:rPr>
    </w:lvl>
    <w:lvl w:ilvl="2">
      <w:start w:val="0"/>
      <w:numFmt w:val="bullet"/>
      <w:lvlText w:val="•"/>
      <w:lvlJc w:val="left"/>
      <w:pPr>
        <w:ind w:left="1081" w:hanging="241"/>
      </w:pPr>
      <w:rPr>
        <w:rFonts w:hint="default"/>
        <w:lang w:val="en-US" w:eastAsia="en-US" w:bidi="ar-SA"/>
      </w:rPr>
    </w:lvl>
    <w:lvl w:ilvl="3">
      <w:start w:val="0"/>
      <w:numFmt w:val="bullet"/>
      <w:lvlText w:val="•"/>
      <w:lvlJc w:val="left"/>
      <w:pPr>
        <w:ind w:left="1411" w:hanging="241"/>
      </w:pPr>
      <w:rPr>
        <w:rFonts w:hint="default"/>
        <w:lang w:val="en-US" w:eastAsia="en-US" w:bidi="ar-SA"/>
      </w:rPr>
    </w:lvl>
    <w:lvl w:ilvl="4">
      <w:start w:val="0"/>
      <w:numFmt w:val="bullet"/>
      <w:lvlText w:val="•"/>
      <w:lvlJc w:val="left"/>
      <w:pPr>
        <w:ind w:left="1742" w:hanging="241"/>
      </w:pPr>
      <w:rPr>
        <w:rFonts w:hint="default"/>
        <w:lang w:val="en-US" w:eastAsia="en-US" w:bidi="ar-SA"/>
      </w:rPr>
    </w:lvl>
    <w:lvl w:ilvl="5">
      <w:start w:val="0"/>
      <w:numFmt w:val="bullet"/>
      <w:lvlText w:val="•"/>
      <w:lvlJc w:val="left"/>
      <w:pPr>
        <w:ind w:left="2073" w:hanging="241"/>
      </w:pPr>
      <w:rPr>
        <w:rFonts w:hint="default"/>
        <w:lang w:val="en-US" w:eastAsia="en-US" w:bidi="ar-SA"/>
      </w:rPr>
    </w:lvl>
    <w:lvl w:ilvl="6">
      <w:start w:val="0"/>
      <w:numFmt w:val="bullet"/>
      <w:lvlText w:val="•"/>
      <w:lvlJc w:val="left"/>
      <w:pPr>
        <w:ind w:left="2403" w:hanging="241"/>
      </w:pPr>
      <w:rPr>
        <w:rFonts w:hint="default"/>
        <w:lang w:val="en-US" w:eastAsia="en-US" w:bidi="ar-SA"/>
      </w:rPr>
    </w:lvl>
    <w:lvl w:ilvl="7">
      <w:start w:val="0"/>
      <w:numFmt w:val="bullet"/>
      <w:lvlText w:val="•"/>
      <w:lvlJc w:val="left"/>
      <w:pPr>
        <w:ind w:left="2734" w:hanging="241"/>
      </w:pPr>
      <w:rPr>
        <w:rFonts w:hint="default"/>
        <w:lang w:val="en-US" w:eastAsia="en-US" w:bidi="ar-SA"/>
      </w:rPr>
    </w:lvl>
    <w:lvl w:ilvl="8">
      <w:start w:val="0"/>
      <w:numFmt w:val="bullet"/>
      <w:lvlText w:val="•"/>
      <w:lvlJc w:val="left"/>
      <w:pPr>
        <w:ind w:left="3065" w:hanging="241"/>
      </w:pPr>
      <w:rPr>
        <w:rFonts w:hint="default"/>
        <w:lang w:val="en-US" w:eastAsia="en-US" w:bidi="ar-SA"/>
      </w:rPr>
    </w:lvl>
  </w:abstractNum>
  <w:abstractNum w:abstractNumId="27">
    <w:multiLevelType w:val="hybridMultilevel"/>
    <w:lvl w:ilvl="0">
      <w:start w:val="1"/>
      <w:numFmt w:val="lowerLetter"/>
      <w:lvlText w:val="(%1)"/>
      <w:lvlJc w:val="left"/>
      <w:pPr>
        <w:ind w:left="42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38" w:hanging="241"/>
      </w:pPr>
      <w:rPr>
        <w:rFonts w:hint="default"/>
        <w:lang w:val="en-US" w:eastAsia="en-US" w:bidi="ar-SA"/>
      </w:rPr>
    </w:lvl>
    <w:lvl w:ilvl="2">
      <w:start w:val="0"/>
      <w:numFmt w:val="bullet"/>
      <w:lvlText w:val="•"/>
      <w:lvlJc w:val="left"/>
      <w:pPr>
        <w:ind w:left="1057" w:hanging="241"/>
      </w:pPr>
      <w:rPr>
        <w:rFonts w:hint="default"/>
        <w:lang w:val="en-US" w:eastAsia="en-US" w:bidi="ar-SA"/>
      </w:rPr>
    </w:lvl>
    <w:lvl w:ilvl="3">
      <w:start w:val="0"/>
      <w:numFmt w:val="bullet"/>
      <w:lvlText w:val="•"/>
      <w:lvlJc w:val="left"/>
      <w:pPr>
        <w:ind w:left="1376" w:hanging="241"/>
      </w:pPr>
      <w:rPr>
        <w:rFonts w:hint="default"/>
        <w:lang w:val="en-US" w:eastAsia="en-US" w:bidi="ar-SA"/>
      </w:rPr>
    </w:lvl>
    <w:lvl w:ilvl="4">
      <w:start w:val="0"/>
      <w:numFmt w:val="bullet"/>
      <w:lvlText w:val="•"/>
      <w:lvlJc w:val="left"/>
      <w:pPr>
        <w:ind w:left="1695" w:hanging="241"/>
      </w:pPr>
      <w:rPr>
        <w:rFonts w:hint="default"/>
        <w:lang w:val="en-US" w:eastAsia="en-US" w:bidi="ar-SA"/>
      </w:rPr>
    </w:lvl>
    <w:lvl w:ilvl="5">
      <w:start w:val="0"/>
      <w:numFmt w:val="bullet"/>
      <w:lvlText w:val="•"/>
      <w:lvlJc w:val="left"/>
      <w:pPr>
        <w:ind w:left="2014" w:hanging="241"/>
      </w:pPr>
      <w:rPr>
        <w:rFonts w:hint="default"/>
        <w:lang w:val="en-US" w:eastAsia="en-US" w:bidi="ar-SA"/>
      </w:rPr>
    </w:lvl>
    <w:lvl w:ilvl="6">
      <w:start w:val="0"/>
      <w:numFmt w:val="bullet"/>
      <w:lvlText w:val="•"/>
      <w:lvlJc w:val="left"/>
      <w:pPr>
        <w:ind w:left="2333" w:hanging="241"/>
      </w:pPr>
      <w:rPr>
        <w:rFonts w:hint="default"/>
        <w:lang w:val="en-US" w:eastAsia="en-US" w:bidi="ar-SA"/>
      </w:rPr>
    </w:lvl>
    <w:lvl w:ilvl="7">
      <w:start w:val="0"/>
      <w:numFmt w:val="bullet"/>
      <w:lvlText w:val="•"/>
      <w:lvlJc w:val="left"/>
      <w:pPr>
        <w:ind w:left="2652" w:hanging="241"/>
      </w:pPr>
      <w:rPr>
        <w:rFonts w:hint="default"/>
        <w:lang w:val="en-US" w:eastAsia="en-US" w:bidi="ar-SA"/>
      </w:rPr>
    </w:lvl>
    <w:lvl w:ilvl="8">
      <w:start w:val="0"/>
      <w:numFmt w:val="bullet"/>
      <w:lvlText w:val="•"/>
      <w:lvlJc w:val="left"/>
      <w:pPr>
        <w:ind w:left="2971" w:hanging="241"/>
      </w:pPr>
      <w:rPr>
        <w:rFonts w:hint="default"/>
        <w:lang w:val="en-US" w:eastAsia="en-US" w:bidi="ar-SA"/>
      </w:rPr>
    </w:lvl>
  </w:abstractNum>
  <w:abstractNum w:abstractNumId="26">
    <w:multiLevelType w:val="hybridMultilevel"/>
    <w:lvl w:ilvl="0">
      <w:start w:val="1"/>
      <w:numFmt w:val="lowerLetter"/>
      <w:lvlText w:val="(%1)"/>
      <w:lvlJc w:val="left"/>
      <w:pPr>
        <w:ind w:left="415"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22" w:hanging="241"/>
      </w:pPr>
      <w:rPr>
        <w:rFonts w:hint="default"/>
        <w:lang w:val="en-US" w:eastAsia="en-US" w:bidi="ar-SA"/>
      </w:rPr>
    </w:lvl>
    <w:lvl w:ilvl="2">
      <w:start w:val="0"/>
      <w:numFmt w:val="bullet"/>
      <w:lvlText w:val="•"/>
      <w:lvlJc w:val="left"/>
      <w:pPr>
        <w:ind w:left="1224" w:hanging="241"/>
      </w:pPr>
      <w:rPr>
        <w:rFonts w:hint="default"/>
        <w:lang w:val="en-US" w:eastAsia="en-US" w:bidi="ar-SA"/>
      </w:rPr>
    </w:lvl>
    <w:lvl w:ilvl="3">
      <w:start w:val="0"/>
      <w:numFmt w:val="bullet"/>
      <w:lvlText w:val="•"/>
      <w:lvlJc w:val="left"/>
      <w:pPr>
        <w:ind w:left="1626" w:hanging="241"/>
      </w:pPr>
      <w:rPr>
        <w:rFonts w:hint="default"/>
        <w:lang w:val="en-US" w:eastAsia="en-US" w:bidi="ar-SA"/>
      </w:rPr>
    </w:lvl>
    <w:lvl w:ilvl="4">
      <w:start w:val="0"/>
      <w:numFmt w:val="bullet"/>
      <w:lvlText w:val="•"/>
      <w:lvlJc w:val="left"/>
      <w:pPr>
        <w:ind w:left="2028" w:hanging="241"/>
      </w:pPr>
      <w:rPr>
        <w:rFonts w:hint="default"/>
        <w:lang w:val="en-US" w:eastAsia="en-US" w:bidi="ar-SA"/>
      </w:rPr>
    </w:lvl>
    <w:lvl w:ilvl="5">
      <w:start w:val="0"/>
      <w:numFmt w:val="bullet"/>
      <w:lvlText w:val="•"/>
      <w:lvlJc w:val="left"/>
      <w:pPr>
        <w:ind w:left="2430" w:hanging="241"/>
      </w:pPr>
      <w:rPr>
        <w:rFonts w:hint="default"/>
        <w:lang w:val="en-US" w:eastAsia="en-US" w:bidi="ar-SA"/>
      </w:rPr>
    </w:lvl>
    <w:lvl w:ilvl="6">
      <w:start w:val="0"/>
      <w:numFmt w:val="bullet"/>
      <w:lvlText w:val="•"/>
      <w:lvlJc w:val="left"/>
      <w:pPr>
        <w:ind w:left="2832" w:hanging="241"/>
      </w:pPr>
      <w:rPr>
        <w:rFonts w:hint="default"/>
        <w:lang w:val="en-US" w:eastAsia="en-US" w:bidi="ar-SA"/>
      </w:rPr>
    </w:lvl>
    <w:lvl w:ilvl="7">
      <w:start w:val="0"/>
      <w:numFmt w:val="bullet"/>
      <w:lvlText w:val="•"/>
      <w:lvlJc w:val="left"/>
      <w:pPr>
        <w:ind w:left="3234" w:hanging="241"/>
      </w:pPr>
      <w:rPr>
        <w:rFonts w:hint="default"/>
        <w:lang w:val="en-US" w:eastAsia="en-US" w:bidi="ar-SA"/>
      </w:rPr>
    </w:lvl>
    <w:lvl w:ilvl="8">
      <w:start w:val="0"/>
      <w:numFmt w:val="bullet"/>
      <w:lvlText w:val="•"/>
      <w:lvlJc w:val="left"/>
      <w:pPr>
        <w:ind w:left="3636" w:hanging="241"/>
      </w:pPr>
      <w:rPr>
        <w:rFonts w:hint="default"/>
        <w:lang w:val="en-US" w:eastAsia="en-US" w:bidi="ar-SA"/>
      </w:rPr>
    </w:lvl>
  </w:abstractNum>
  <w:abstractNum w:abstractNumId="25">
    <w:multiLevelType w:val="hybridMultilevel"/>
    <w:lvl w:ilvl="0">
      <w:start w:val="1"/>
      <w:numFmt w:val="lowerLetter"/>
      <w:lvlText w:val="(%1)"/>
      <w:lvlJc w:val="left"/>
      <w:pPr>
        <w:ind w:left="360" w:hanging="187"/>
        <w:jc w:val="left"/>
      </w:pPr>
      <w:rPr>
        <w:rFonts w:hint="default" w:ascii="Times New Roman" w:hAnsi="Times New Roman" w:eastAsia="Times New Roman" w:cs="Times New Roman"/>
        <w:spacing w:val="-7"/>
        <w:w w:val="100"/>
        <w:sz w:val="12"/>
        <w:szCs w:val="12"/>
        <w:lang w:val="en-US" w:eastAsia="en-US" w:bidi="ar-SA"/>
      </w:rPr>
    </w:lvl>
    <w:lvl w:ilvl="1">
      <w:start w:val="0"/>
      <w:numFmt w:val="bullet"/>
      <w:lvlText w:val="•"/>
      <w:lvlJc w:val="left"/>
      <w:pPr>
        <w:ind w:left="567" w:hanging="187"/>
      </w:pPr>
      <w:rPr>
        <w:rFonts w:hint="default"/>
        <w:lang w:val="en-US" w:eastAsia="en-US" w:bidi="ar-SA"/>
      </w:rPr>
    </w:lvl>
    <w:lvl w:ilvl="2">
      <w:start w:val="0"/>
      <w:numFmt w:val="bullet"/>
      <w:lvlText w:val="•"/>
      <w:lvlJc w:val="left"/>
      <w:pPr>
        <w:ind w:left="773" w:hanging="187"/>
      </w:pPr>
      <w:rPr>
        <w:rFonts w:hint="default"/>
        <w:lang w:val="en-US" w:eastAsia="en-US" w:bidi="ar-SA"/>
      </w:rPr>
    </w:lvl>
    <w:lvl w:ilvl="3">
      <w:start w:val="0"/>
      <w:numFmt w:val="bullet"/>
      <w:lvlText w:val="•"/>
      <w:lvlJc w:val="left"/>
      <w:pPr>
        <w:ind w:left="980" w:hanging="187"/>
      </w:pPr>
      <w:rPr>
        <w:rFonts w:hint="default"/>
        <w:lang w:val="en-US" w:eastAsia="en-US" w:bidi="ar-SA"/>
      </w:rPr>
    </w:lvl>
    <w:lvl w:ilvl="4">
      <w:start w:val="0"/>
      <w:numFmt w:val="bullet"/>
      <w:lvlText w:val="•"/>
      <w:lvlJc w:val="left"/>
      <w:pPr>
        <w:ind w:left="1187" w:hanging="187"/>
      </w:pPr>
      <w:rPr>
        <w:rFonts w:hint="default"/>
        <w:lang w:val="en-US" w:eastAsia="en-US" w:bidi="ar-SA"/>
      </w:rPr>
    </w:lvl>
    <w:lvl w:ilvl="5">
      <w:start w:val="0"/>
      <w:numFmt w:val="bullet"/>
      <w:lvlText w:val="•"/>
      <w:lvlJc w:val="left"/>
      <w:pPr>
        <w:ind w:left="1394" w:hanging="187"/>
      </w:pPr>
      <w:rPr>
        <w:rFonts w:hint="default"/>
        <w:lang w:val="en-US" w:eastAsia="en-US" w:bidi="ar-SA"/>
      </w:rPr>
    </w:lvl>
    <w:lvl w:ilvl="6">
      <w:start w:val="0"/>
      <w:numFmt w:val="bullet"/>
      <w:lvlText w:val="•"/>
      <w:lvlJc w:val="left"/>
      <w:pPr>
        <w:ind w:left="1601" w:hanging="187"/>
      </w:pPr>
      <w:rPr>
        <w:rFonts w:hint="default"/>
        <w:lang w:val="en-US" w:eastAsia="en-US" w:bidi="ar-SA"/>
      </w:rPr>
    </w:lvl>
    <w:lvl w:ilvl="7">
      <w:start w:val="0"/>
      <w:numFmt w:val="bullet"/>
      <w:lvlText w:val="•"/>
      <w:lvlJc w:val="left"/>
      <w:pPr>
        <w:ind w:left="1808" w:hanging="187"/>
      </w:pPr>
      <w:rPr>
        <w:rFonts w:hint="default"/>
        <w:lang w:val="en-US" w:eastAsia="en-US" w:bidi="ar-SA"/>
      </w:rPr>
    </w:lvl>
    <w:lvl w:ilvl="8">
      <w:start w:val="0"/>
      <w:numFmt w:val="bullet"/>
      <w:lvlText w:val="•"/>
      <w:lvlJc w:val="left"/>
      <w:pPr>
        <w:ind w:left="2015" w:hanging="187"/>
      </w:pPr>
      <w:rPr>
        <w:rFonts w:hint="default"/>
        <w:lang w:val="en-US" w:eastAsia="en-US" w:bidi="ar-SA"/>
      </w:rPr>
    </w:lvl>
  </w:abstractNum>
  <w:abstractNum w:abstractNumId="24">
    <w:multiLevelType w:val="hybridMultilevel"/>
    <w:lvl w:ilvl="0">
      <w:start w:val="1"/>
      <w:numFmt w:val="lowerLetter"/>
      <w:lvlText w:val="(%1)"/>
      <w:lvlJc w:val="left"/>
      <w:pPr>
        <w:ind w:left="415"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21" w:hanging="241"/>
      </w:pPr>
      <w:rPr>
        <w:rFonts w:hint="default"/>
        <w:lang w:val="en-US" w:eastAsia="en-US" w:bidi="ar-SA"/>
      </w:rPr>
    </w:lvl>
    <w:lvl w:ilvl="2">
      <w:start w:val="0"/>
      <w:numFmt w:val="bullet"/>
      <w:lvlText w:val="•"/>
      <w:lvlJc w:val="left"/>
      <w:pPr>
        <w:ind w:left="1223" w:hanging="241"/>
      </w:pPr>
      <w:rPr>
        <w:rFonts w:hint="default"/>
        <w:lang w:val="en-US" w:eastAsia="en-US" w:bidi="ar-SA"/>
      </w:rPr>
    </w:lvl>
    <w:lvl w:ilvl="3">
      <w:start w:val="0"/>
      <w:numFmt w:val="bullet"/>
      <w:lvlText w:val="•"/>
      <w:lvlJc w:val="left"/>
      <w:pPr>
        <w:ind w:left="1624" w:hanging="241"/>
      </w:pPr>
      <w:rPr>
        <w:rFonts w:hint="default"/>
        <w:lang w:val="en-US" w:eastAsia="en-US" w:bidi="ar-SA"/>
      </w:rPr>
    </w:lvl>
    <w:lvl w:ilvl="4">
      <w:start w:val="0"/>
      <w:numFmt w:val="bullet"/>
      <w:lvlText w:val="•"/>
      <w:lvlJc w:val="left"/>
      <w:pPr>
        <w:ind w:left="2026" w:hanging="241"/>
      </w:pPr>
      <w:rPr>
        <w:rFonts w:hint="default"/>
        <w:lang w:val="en-US" w:eastAsia="en-US" w:bidi="ar-SA"/>
      </w:rPr>
    </w:lvl>
    <w:lvl w:ilvl="5">
      <w:start w:val="0"/>
      <w:numFmt w:val="bullet"/>
      <w:lvlText w:val="•"/>
      <w:lvlJc w:val="left"/>
      <w:pPr>
        <w:ind w:left="2427" w:hanging="241"/>
      </w:pPr>
      <w:rPr>
        <w:rFonts w:hint="default"/>
        <w:lang w:val="en-US" w:eastAsia="en-US" w:bidi="ar-SA"/>
      </w:rPr>
    </w:lvl>
    <w:lvl w:ilvl="6">
      <w:start w:val="0"/>
      <w:numFmt w:val="bullet"/>
      <w:lvlText w:val="•"/>
      <w:lvlJc w:val="left"/>
      <w:pPr>
        <w:ind w:left="2829" w:hanging="241"/>
      </w:pPr>
      <w:rPr>
        <w:rFonts w:hint="default"/>
        <w:lang w:val="en-US" w:eastAsia="en-US" w:bidi="ar-SA"/>
      </w:rPr>
    </w:lvl>
    <w:lvl w:ilvl="7">
      <w:start w:val="0"/>
      <w:numFmt w:val="bullet"/>
      <w:lvlText w:val="•"/>
      <w:lvlJc w:val="left"/>
      <w:pPr>
        <w:ind w:left="3230" w:hanging="241"/>
      </w:pPr>
      <w:rPr>
        <w:rFonts w:hint="default"/>
        <w:lang w:val="en-US" w:eastAsia="en-US" w:bidi="ar-SA"/>
      </w:rPr>
    </w:lvl>
    <w:lvl w:ilvl="8">
      <w:start w:val="0"/>
      <w:numFmt w:val="bullet"/>
      <w:lvlText w:val="•"/>
      <w:lvlJc w:val="left"/>
      <w:pPr>
        <w:ind w:left="3632" w:hanging="241"/>
      </w:pPr>
      <w:rPr>
        <w:rFonts w:hint="default"/>
        <w:lang w:val="en-US" w:eastAsia="en-US" w:bidi="ar-SA"/>
      </w:rPr>
    </w:lvl>
  </w:abstractNum>
  <w:abstractNum w:abstractNumId="23">
    <w:multiLevelType w:val="hybridMultilevel"/>
    <w:lvl w:ilvl="0">
      <w:start w:val="1"/>
      <w:numFmt w:val="lowerLetter"/>
      <w:lvlText w:val="(%1)"/>
      <w:lvlJc w:val="left"/>
      <w:pPr>
        <w:ind w:left="414"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47" w:hanging="241"/>
      </w:pPr>
      <w:rPr>
        <w:rFonts w:hint="default"/>
        <w:lang w:val="en-US" w:eastAsia="en-US" w:bidi="ar-SA"/>
      </w:rPr>
    </w:lvl>
    <w:lvl w:ilvl="2">
      <w:start w:val="0"/>
      <w:numFmt w:val="bullet"/>
      <w:lvlText w:val="•"/>
      <w:lvlJc w:val="left"/>
      <w:pPr>
        <w:ind w:left="1074" w:hanging="241"/>
      </w:pPr>
      <w:rPr>
        <w:rFonts w:hint="default"/>
        <w:lang w:val="en-US" w:eastAsia="en-US" w:bidi="ar-SA"/>
      </w:rPr>
    </w:lvl>
    <w:lvl w:ilvl="3">
      <w:start w:val="0"/>
      <w:numFmt w:val="bullet"/>
      <w:lvlText w:val="•"/>
      <w:lvlJc w:val="left"/>
      <w:pPr>
        <w:ind w:left="1401" w:hanging="241"/>
      </w:pPr>
      <w:rPr>
        <w:rFonts w:hint="default"/>
        <w:lang w:val="en-US" w:eastAsia="en-US" w:bidi="ar-SA"/>
      </w:rPr>
    </w:lvl>
    <w:lvl w:ilvl="4">
      <w:start w:val="0"/>
      <w:numFmt w:val="bullet"/>
      <w:lvlText w:val="•"/>
      <w:lvlJc w:val="left"/>
      <w:pPr>
        <w:ind w:left="1728" w:hanging="241"/>
      </w:pPr>
      <w:rPr>
        <w:rFonts w:hint="default"/>
        <w:lang w:val="en-US" w:eastAsia="en-US" w:bidi="ar-SA"/>
      </w:rPr>
    </w:lvl>
    <w:lvl w:ilvl="5">
      <w:start w:val="0"/>
      <w:numFmt w:val="bullet"/>
      <w:lvlText w:val="•"/>
      <w:lvlJc w:val="left"/>
      <w:pPr>
        <w:ind w:left="2055" w:hanging="241"/>
      </w:pPr>
      <w:rPr>
        <w:rFonts w:hint="default"/>
        <w:lang w:val="en-US" w:eastAsia="en-US" w:bidi="ar-SA"/>
      </w:rPr>
    </w:lvl>
    <w:lvl w:ilvl="6">
      <w:start w:val="0"/>
      <w:numFmt w:val="bullet"/>
      <w:lvlText w:val="•"/>
      <w:lvlJc w:val="left"/>
      <w:pPr>
        <w:ind w:left="2383" w:hanging="241"/>
      </w:pPr>
      <w:rPr>
        <w:rFonts w:hint="default"/>
        <w:lang w:val="en-US" w:eastAsia="en-US" w:bidi="ar-SA"/>
      </w:rPr>
    </w:lvl>
    <w:lvl w:ilvl="7">
      <w:start w:val="0"/>
      <w:numFmt w:val="bullet"/>
      <w:lvlText w:val="•"/>
      <w:lvlJc w:val="left"/>
      <w:pPr>
        <w:ind w:left="2710" w:hanging="241"/>
      </w:pPr>
      <w:rPr>
        <w:rFonts w:hint="default"/>
        <w:lang w:val="en-US" w:eastAsia="en-US" w:bidi="ar-SA"/>
      </w:rPr>
    </w:lvl>
    <w:lvl w:ilvl="8">
      <w:start w:val="0"/>
      <w:numFmt w:val="bullet"/>
      <w:lvlText w:val="•"/>
      <w:lvlJc w:val="left"/>
      <w:pPr>
        <w:ind w:left="3037" w:hanging="241"/>
      </w:pPr>
      <w:rPr>
        <w:rFonts w:hint="default"/>
        <w:lang w:val="en-US" w:eastAsia="en-US" w:bidi="ar-SA"/>
      </w:rPr>
    </w:lvl>
  </w:abstractNum>
  <w:abstractNum w:abstractNumId="22">
    <w:multiLevelType w:val="hybridMultilevel"/>
    <w:lvl w:ilvl="0">
      <w:start w:val="1"/>
      <w:numFmt w:val="lowerLetter"/>
      <w:lvlText w:val="(%1)"/>
      <w:lvlJc w:val="left"/>
      <w:pPr>
        <w:ind w:left="414"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47" w:hanging="241"/>
      </w:pPr>
      <w:rPr>
        <w:rFonts w:hint="default"/>
        <w:lang w:val="en-US" w:eastAsia="en-US" w:bidi="ar-SA"/>
      </w:rPr>
    </w:lvl>
    <w:lvl w:ilvl="2">
      <w:start w:val="0"/>
      <w:numFmt w:val="bullet"/>
      <w:lvlText w:val="•"/>
      <w:lvlJc w:val="left"/>
      <w:pPr>
        <w:ind w:left="1074" w:hanging="241"/>
      </w:pPr>
      <w:rPr>
        <w:rFonts w:hint="default"/>
        <w:lang w:val="en-US" w:eastAsia="en-US" w:bidi="ar-SA"/>
      </w:rPr>
    </w:lvl>
    <w:lvl w:ilvl="3">
      <w:start w:val="0"/>
      <w:numFmt w:val="bullet"/>
      <w:lvlText w:val="•"/>
      <w:lvlJc w:val="left"/>
      <w:pPr>
        <w:ind w:left="1401" w:hanging="241"/>
      </w:pPr>
      <w:rPr>
        <w:rFonts w:hint="default"/>
        <w:lang w:val="en-US" w:eastAsia="en-US" w:bidi="ar-SA"/>
      </w:rPr>
    </w:lvl>
    <w:lvl w:ilvl="4">
      <w:start w:val="0"/>
      <w:numFmt w:val="bullet"/>
      <w:lvlText w:val="•"/>
      <w:lvlJc w:val="left"/>
      <w:pPr>
        <w:ind w:left="1728" w:hanging="241"/>
      </w:pPr>
      <w:rPr>
        <w:rFonts w:hint="default"/>
        <w:lang w:val="en-US" w:eastAsia="en-US" w:bidi="ar-SA"/>
      </w:rPr>
    </w:lvl>
    <w:lvl w:ilvl="5">
      <w:start w:val="0"/>
      <w:numFmt w:val="bullet"/>
      <w:lvlText w:val="•"/>
      <w:lvlJc w:val="left"/>
      <w:pPr>
        <w:ind w:left="2055" w:hanging="241"/>
      </w:pPr>
      <w:rPr>
        <w:rFonts w:hint="default"/>
        <w:lang w:val="en-US" w:eastAsia="en-US" w:bidi="ar-SA"/>
      </w:rPr>
    </w:lvl>
    <w:lvl w:ilvl="6">
      <w:start w:val="0"/>
      <w:numFmt w:val="bullet"/>
      <w:lvlText w:val="•"/>
      <w:lvlJc w:val="left"/>
      <w:pPr>
        <w:ind w:left="2383" w:hanging="241"/>
      </w:pPr>
      <w:rPr>
        <w:rFonts w:hint="default"/>
        <w:lang w:val="en-US" w:eastAsia="en-US" w:bidi="ar-SA"/>
      </w:rPr>
    </w:lvl>
    <w:lvl w:ilvl="7">
      <w:start w:val="0"/>
      <w:numFmt w:val="bullet"/>
      <w:lvlText w:val="•"/>
      <w:lvlJc w:val="left"/>
      <w:pPr>
        <w:ind w:left="2710" w:hanging="241"/>
      </w:pPr>
      <w:rPr>
        <w:rFonts w:hint="default"/>
        <w:lang w:val="en-US" w:eastAsia="en-US" w:bidi="ar-SA"/>
      </w:rPr>
    </w:lvl>
    <w:lvl w:ilvl="8">
      <w:start w:val="0"/>
      <w:numFmt w:val="bullet"/>
      <w:lvlText w:val="•"/>
      <w:lvlJc w:val="left"/>
      <w:pPr>
        <w:ind w:left="3037" w:hanging="241"/>
      </w:pPr>
      <w:rPr>
        <w:rFonts w:hint="default"/>
        <w:lang w:val="en-US" w:eastAsia="en-US" w:bidi="ar-SA"/>
      </w:rPr>
    </w:lvl>
  </w:abstractNum>
  <w:abstractNum w:abstractNumId="21">
    <w:multiLevelType w:val="hybridMultilevel"/>
    <w:lvl w:ilvl="0">
      <w:start w:val="1"/>
      <w:numFmt w:val="lowerLetter"/>
      <w:lvlText w:val="(%1)"/>
      <w:lvlJc w:val="left"/>
      <w:pPr>
        <w:ind w:left="371" w:hanging="194"/>
        <w:jc w:val="left"/>
      </w:pPr>
      <w:rPr>
        <w:rFonts w:hint="default" w:ascii="Times New Roman" w:hAnsi="Times New Roman" w:eastAsia="Times New Roman" w:cs="Times New Roman"/>
        <w:spacing w:val="-1"/>
        <w:w w:val="100"/>
        <w:sz w:val="12"/>
        <w:szCs w:val="12"/>
        <w:lang w:val="en-US" w:eastAsia="en-US" w:bidi="ar-SA"/>
      </w:rPr>
    </w:lvl>
    <w:lvl w:ilvl="1">
      <w:start w:val="0"/>
      <w:numFmt w:val="bullet"/>
      <w:lvlText w:val="•"/>
      <w:lvlJc w:val="left"/>
      <w:pPr>
        <w:ind w:left="786" w:hanging="194"/>
      </w:pPr>
      <w:rPr>
        <w:rFonts w:hint="default"/>
        <w:lang w:val="en-US" w:eastAsia="en-US" w:bidi="ar-SA"/>
      </w:rPr>
    </w:lvl>
    <w:lvl w:ilvl="2">
      <w:start w:val="0"/>
      <w:numFmt w:val="bullet"/>
      <w:lvlText w:val="•"/>
      <w:lvlJc w:val="left"/>
      <w:pPr>
        <w:ind w:left="1193" w:hanging="194"/>
      </w:pPr>
      <w:rPr>
        <w:rFonts w:hint="default"/>
        <w:lang w:val="en-US" w:eastAsia="en-US" w:bidi="ar-SA"/>
      </w:rPr>
    </w:lvl>
    <w:lvl w:ilvl="3">
      <w:start w:val="0"/>
      <w:numFmt w:val="bullet"/>
      <w:lvlText w:val="•"/>
      <w:lvlJc w:val="left"/>
      <w:pPr>
        <w:ind w:left="1599" w:hanging="194"/>
      </w:pPr>
      <w:rPr>
        <w:rFonts w:hint="default"/>
        <w:lang w:val="en-US" w:eastAsia="en-US" w:bidi="ar-SA"/>
      </w:rPr>
    </w:lvl>
    <w:lvl w:ilvl="4">
      <w:start w:val="0"/>
      <w:numFmt w:val="bullet"/>
      <w:lvlText w:val="•"/>
      <w:lvlJc w:val="left"/>
      <w:pPr>
        <w:ind w:left="2006" w:hanging="194"/>
      </w:pPr>
      <w:rPr>
        <w:rFonts w:hint="default"/>
        <w:lang w:val="en-US" w:eastAsia="en-US" w:bidi="ar-SA"/>
      </w:rPr>
    </w:lvl>
    <w:lvl w:ilvl="5">
      <w:start w:val="0"/>
      <w:numFmt w:val="bullet"/>
      <w:lvlText w:val="•"/>
      <w:lvlJc w:val="left"/>
      <w:pPr>
        <w:ind w:left="2412" w:hanging="194"/>
      </w:pPr>
      <w:rPr>
        <w:rFonts w:hint="default"/>
        <w:lang w:val="en-US" w:eastAsia="en-US" w:bidi="ar-SA"/>
      </w:rPr>
    </w:lvl>
    <w:lvl w:ilvl="6">
      <w:start w:val="0"/>
      <w:numFmt w:val="bullet"/>
      <w:lvlText w:val="•"/>
      <w:lvlJc w:val="left"/>
      <w:pPr>
        <w:ind w:left="2819" w:hanging="194"/>
      </w:pPr>
      <w:rPr>
        <w:rFonts w:hint="default"/>
        <w:lang w:val="en-US" w:eastAsia="en-US" w:bidi="ar-SA"/>
      </w:rPr>
    </w:lvl>
    <w:lvl w:ilvl="7">
      <w:start w:val="0"/>
      <w:numFmt w:val="bullet"/>
      <w:lvlText w:val="•"/>
      <w:lvlJc w:val="left"/>
      <w:pPr>
        <w:ind w:left="3225" w:hanging="194"/>
      </w:pPr>
      <w:rPr>
        <w:rFonts w:hint="default"/>
        <w:lang w:val="en-US" w:eastAsia="en-US" w:bidi="ar-SA"/>
      </w:rPr>
    </w:lvl>
    <w:lvl w:ilvl="8">
      <w:start w:val="0"/>
      <w:numFmt w:val="bullet"/>
      <w:lvlText w:val="•"/>
      <w:lvlJc w:val="left"/>
      <w:pPr>
        <w:ind w:left="3632" w:hanging="194"/>
      </w:pPr>
      <w:rPr>
        <w:rFonts w:hint="default"/>
        <w:lang w:val="en-US" w:eastAsia="en-US" w:bidi="ar-SA"/>
      </w:rPr>
    </w:lvl>
  </w:abstractNum>
  <w:abstractNum w:abstractNumId="20">
    <w:multiLevelType w:val="hybridMultilevel"/>
    <w:lvl w:ilvl="0">
      <w:start w:val="3"/>
      <w:numFmt w:val="decimal"/>
      <w:lvlText w:val="%1"/>
      <w:lvlJc w:val="left"/>
      <w:pPr>
        <w:ind w:left="1540" w:hanging="1361"/>
        <w:jc w:val="left"/>
      </w:pPr>
      <w:rPr>
        <w:rFonts w:hint="default"/>
        <w:lang w:val="en-US" w:eastAsia="en-US" w:bidi="ar-SA"/>
      </w:rPr>
    </w:lvl>
    <w:lvl w:ilvl="1">
      <w:start w:val="1"/>
      <w:numFmt w:val="decimal"/>
      <w:lvlText w:val="%1.%2"/>
      <w:lvlJc w:val="left"/>
      <w:pPr>
        <w:ind w:left="1540" w:hanging="1361"/>
        <w:jc w:val="left"/>
      </w:pPr>
      <w:rPr>
        <w:rFonts w:hint="default"/>
        <w:b/>
        <w:bCs/>
        <w:spacing w:val="-1"/>
        <w:w w:val="100"/>
        <w:u w:val="thick" w:color="0092C7"/>
        <w:lang w:val="en-US" w:eastAsia="en-US" w:bidi="ar-SA"/>
      </w:rPr>
    </w:lvl>
    <w:lvl w:ilvl="2">
      <w:start w:val="1"/>
      <w:numFmt w:val="decimal"/>
      <w:lvlText w:val="(%3)"/>
      <w:lvlJc w:val="left"/>
      <w:pPr>
        <w:ind w:left="5215" w:hanging="241"/>
        <w:jc w:val="left"/>
      </w:pPr>
      <w:rPr>
        <w:rFonts w:hint="default" w:ascii="Times New Roman" w:hAnsi="Times New Roman" w:eastAsia="Times New Roman" w:cs="Times New Roman"/>
        <w:spacing w:val="-1"/>
        <w:w w:val="100"/>
        <w:sz w:val="16"/>
        <w:szCs w:val="16"/>
        <w:lang w:val="en-US" w:eastAsia="en-US" w:bidi="ar-SA"/>
      </w:rPr>
    </w:lvl>
    <w:lvl w:ilvl="3">
      <w:start w:val="0"/>
      <w:numFmt w:val="bullet"/>
      <w:lvlText w:val="•"/>
      <w:lvlJc w:val="left"/>
      <w:pPr>
        <w:ind w:left="5355" w:hanging="241"/>
      </w:pPr>
      <w:rPr>
        <w:rFonts w:hint="default"/>
        <w:lang w:val="en-US" w:eastAsia="en-US" w:bidi="ar-SA"/>
      </w:rPr>
    </w:lvl>
    <w:lvl w:ilvl="4">
      <w:start w:val="0"/>
      <w:numFmt w:val="bullet"/>
      <w:lvlText w:val="•"/>
      <w:lvlJc w:val="left"/>
      <w:pPr>
        <w:ind w:left="5423" w:hanging="241"/>
      </w:pPr>
      <w:rPr>
        <w:rFonts w:hint="default"/>
        <w:lang w:val="en-US" w:eastAsia="en-US" w:bidi="ar-SA"/>
      </w:rPr>
    </w:lvl>
    <w:lvl w:ilvl="5">
      <w:start w:val="0"/>
      <w:numFmt w:val="bullet"/>
      <w:lvlText w:val="•"/>
      <w:lvlJc w:val="left"/>
      <w:pPr>
        <w:ind w:left="5491" w:hanging="241"/>
      </w:pPr>
      <w:rPr>
        <w:rFonts w:hint="default"/>
        <w:lang w:val="en-US" w:eastAsia="en-US" w:bidi="ar-SA"/>
      </w:rPr>
    </w:lvl>
    <w:lvl w:ilvl="6">
      <w:start w:val="0"/>
      <w:numFmt w:val="bullet"/>
      <w:lvlText w:val="•"/>
      <w:lvlJc w:val="left"/>
      <w:pPr>
        <w:ind w:left="5559" w:hanging="241"/>
      </w:pPr>
      <w:rPr>
        <w:rFonts w:hint="default"/>
        <w:lang w:val="en-US" w:eastAsia="en-US" w:bidi="ar-SA"/>
      </w:rPr>
    </w:lvl>
    <w:lvl w:ilvl="7">
      <w:start w:val="0"/>
      <w:numFmt w:val="bullet"/>
      <w:lvlText w:val="•"/>
      <w:lvlJc w:val="left"/>
      <w:pPr>
        <w:ind w:left="5626" w:hanging="241"/>
      </w:pPr>
      <w:rPr>
        <w:rFonts w:hint="default"/>
        <w:lang w:val="en-US" w:eastAsia="en-US" w:bidi="ar-SA"/>
      </w:rPr>
    </w:lvl>
    <w:lvl w:ilvl="8">
      <w:start w:val="0"/>
      <w:numFmt w:val="bullet"/>
      <w:lvlText w:val="•"/>
      <w:lvlJc w:val="left"/>
      <w:pPr>
        <w:ind w:left="5694" w:hanging="241"/>
      </w:pPr>
      <w:rPr>
        <w:rFonts w:hint="default"/>
        <w:lang w:val="en-US" w:eastAsia="en-US" w:bidi="ar-SA"/>
      </w:rPr>
    </w:lvl>
  </w:abstractNum>
  <w:abstractNum w:abstractNumId="19">
    <w:multiLevelType w:val="hybridMultilevel"/>
    <w:lvl w:ilvl="0">
      <w:start w:val="1"/>
      <w:numFmt w:val="lowerLetter"/>
      <w:lvlText w:val="(%1)"/>
      <w:lvlJc w:val="left"/>
      <w:pPr>
        <w:ind w:left="405"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33" w:hanging="241"/>
      </w:pPr>
      <w:rPr>
        <w:rFonts w:hint="default"/>
        <w:lang w:val="en-US" w:eastAsia="en-US" w:bidi="ar-SA"/>
      </w:rPr>
    </w:lvl>
    <w:lvl w:ilvl="2">
      <w:start w:val="0"/>
      <w:numFmt w:val="bullet"/>
      <w:lvlText w:val="•"/>
      <w:lvlJc w:val="left"/>
      <w:pPr>
        <w:ind w:left="1066" w:hanging="241"/>
      </w:pPr>
      <w:rPr>
        <w:rFonts w:hint="default"/>
        <w:lang w:val="en-US" w:eastAsia="en-US" w:bidi="ar-SA"/>
      </w:rPr>
    </w:lvl>
    <w:lvl w:ilvl="3">
      <w:start w:val="0"/>
      <w:numFmt w:val="bullet"/>
      <w:lvlText w:val="•"/>
      <w:lvlJc w:val="left"/>
      <w:pPr>
        <w:ind w:left="1400" w:hanging="241"/>
      </w:pPr>
      <w:rPr>
        <w:rFonts w:hint="default"/>
        <w:lang w:val="en-US" w:eastAsia="en-US" w:bidi="ar-SA"/>
      </w:rPr>
    </w:lvl>
    <w:lvl w:ilvl="4">
      <w:start w:val="0"/>
      <w:numFmt w:val="bullet"/>
      <w:lvlText w:val="•"/>
      <w:lvlJc w:val="left"/>
      <w:pPr>
        <w:ind w:left="1733" w:hanging="241"/>
      </w:pPr>
      <w:rPr>
        <w:rFonts w:hint="default"/>
        <w:lang w:val="en-US" w:eastAsia="en-US" w:bidi="ar-SA"/>
      </w:rPr>
    </w:lvl>
    <w:lvl w:ilvl="5">
      <w:start w:val="0"/>
      <w:numFmt w:val="bullet"/>
      <w:lvlText w:val="•"/>
      <w:lvlJc w:val="left"/>
      <w:pPr>
        <w:ind w:left="2066" w:hanging="241"/>
      </w:pPr>
      <w:rPr>
        <w:rFonts w:hint="default"/>
        <w:lang w:val="en-US" w:eastAsia="en-US" w:bidi="ar-SA"/>
      </w:rPr>
    </w:lvl>
    <w:lvl w:ilvl="6">
      <w:start w:val="0"/>
      <w:numFmt w:val="bullet"/>
      <w:lvlText w:val="•"/>
      <w:lvlJc w:val="left"/>
      <w:pPr>
        <w:ind w:left="2400" w:hanging="241"/>
      </w:pPr>
      <w:rPr>
        <w:rFonts w:hint="default"/>
        <w:lang w:val="en-US" w:eastAsia="en-US" w:bidi="ar-SA"/>
      </w:rPr>
    </w:lvl>
    <w:lvl w:ilvl="7">
      <w:start w:val="0"/>
      <w:numFmt w:val="bullet"/>
      <w:lvlText w:val="•"/>
      <w:lvlJc w:val="left"/>
      <w:pPr>
        <w:ind w:left="2733" w:hanging="241"/>
      </w:pPr>
      <w:rPr>
        <w:rFonts w:hint="default"/>
        <w:lang w:val="en-US" w:eastAsia="en-US" w:bidi="ar-SA"/>
      </w:rPr>
    </w:lvl>
    <w:lvl w:ilvl="8">
      <w:start w:val="0"/>
      <w:numFmt w:val="bullet"/>
      <w:lvlText w:val="•"/>
      <w:lvlJc w:val="left"/>
      <w:pPr>
        <w:ind w:left="3066" w:hanging="241"/>
      </w:pPr>
      <w:rPr>
        <w:rFonts w:hint="default"/>
        <w:lang w:val="en-US" w:eastAsia="en-US" w:bidi="ar-SA"/>
      </w:rPr>
    </w:lvl>
  </w:abstractNum>
  <w:abstractNum w:abstractNumId="18">
    <w:multiLevelType w:val="hybridMultilevel"/>
    <w:lvl w:ilvl="0">
      <w:start w:val="1"/>
      <w:numFmt w:val="lowerLetter"/>
      <w:lvlText w:val="(%1)"/>
      <w:lvlJc w:val="left"/>
      <w:pPr>
        <w:ind w:left="42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33" w:hanging="241"/>
      </w:pPr>
      <w:rPr>
        <w:rFonts w:hint="default"/>
        <w:lang w:val="en-US" w:eastAsia="en-US" w:bidi="ar-SA"/>
      </w:rPr>
    </w:lvl>
    <w:lvl w:ilvl="2">
      <w:start w:val="0"/>
      <w:numFmt w:val="bullet"/>
      <w:lvlText w:val="•"/>
      <w:lvlJc w:val="left"/>
      <w:pPr>
        <w:ind w:left="1047" w:hanging="241"/>
      </w:pPr>
      <w:rPr>
        <w:rFonts w:hint="default"/>
        <w:lang w:val="en-US" w:eastAsia="en-US" w:bidi="ar-SA"/>
      </w:rPr>
    </w:lvl>
    <w:lvl w:ilvl="3">
      <w:start w:val="0"/>
      <w:numFmt w:val="bullet"/>
      <w:lvlText w:val="•"/>
      <w:lvlJc w:val="left"/>
      <w:pPr>
        <w:ind w:left="1360" w:hanging="241"/>
      </w:pPr>
      <w:rPr>
        <w:rFonts w:hint="default"/>
        <w:lang w:val="en-US" w:eastAsia="en-US" w:bidi="ar-SA"/>
      </w:rPr>
    </w:lvl>
    <w:lvl w:ilvl="4">
      <w:start w:val="0"/>
      <w:numFmt w:val="bullet"/>
      <w:lvlText w:val="•"/>
      <w:lvlJc w:val="left"/>
      <w:pPr>
        <w:ind w:left="1674" w:hanging="241"/>
      </w:pPr>
      <w:rPr>
        <w:rFonts w:hint="default"/>
        <w:lang w:val="en-US" w:eastAsia="en-US" w:bidi="ar-SA"/>
      </w:rPr>
    </w:lvl>
    <w:lvl w:ilvl="5">
      <w:start w:val="0"/>
      <w:numFmt w:val="bullet"/>
      <w:lvlText w:val="•"/>
      <w:lvlJc w:val="left"/>
      <w:pPr>
        <w:ind w:left="1987" w:hanging="241"/>
      </w:pPr>
      <w:rPr>
        <w:rFonts w:hint="default"/>
        <w:lang w:val="en-US" w:eastAsia="en-US" w:bidi="ar-SA"/>
      </w:rPr>
    </w:lvl>
    <w:lvl w:ilvl="6">
      <w:start w:val="0"/>
      <w:numFmt w:val="bullet"/>
      <w:lvlText w:val="•"/>
      <w:lvlJc w:val="left"/>
      <w:pPr>
        <w:ind w:left="2301" w:hanging="241"/>
      </w:pPr>
      <w:rPr>
        <w:rFonts w:hint="default"/>
        <w:lang w:val="en-US" w:eastAsia="en-US" w:bidi="ar-SA"/>
      </w:rPr>
    </w:lvl>
    <w:lvl w:ilvl="7">
      <w:start w:val="0"/>
      <w:numFmt w:val="bullet"/>
      <w:lvlText w:val="•"/>
      <w:lvlJc w:val="left"/>
      <w:pPr>
        <w:ind w:left="2615" w:hanging="241"/>
      </w:pPr>
      <w:rPr>
        <w:rFonts w:hint="default"/>
        <w:lang w:val="en-US" w:eastAsia="en-US" w:bidi="ar-SA"/>
      </w:rPr>
    </w:lvl>
    <w:lvl w:ilvl="8">
      <w:start w:val="0"/>
      <w:numFmt w:val="bullet"/>
      <w:lvlText w:val="•"/>
      <w:lvlJc w:val="left"/>
      <w:pPr>
        <w:ind w:left="2928" w:hanging="241"/>
      </w:pPr>
      <w:rPr>
        <w:rFonts w:hint="default"/>
        <w:lang w:val="en-US" w:eastAsia="en-US" w:bidi="ar-SA"/>
      </w:rPr>
    </w:lvl>
  </w:abstractNum>
  <w:abstractNum w:abstractNumId="17">
    <w:multiLevelType w:val="hybridMultilevel"/>
    <w:lvl w:ilvl="0">
      <w:start w:val="1"/>
      <w:numFmt w:val="lowerLetter"/>
      <w:lvlText w:val="(%1)"/>
      <w:lvlJc w:val="left"/>
      <w:pPr>
        <w:ind w:left="394"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54" w:hanging="241"/>
      </w:pPr>
      <w:rPr>
        <w:rFonts w:hint="default"/>
        <w:lang w:val="en-US" w:eastAsia="en-US" w:bidi="ar-SA"/>
      </w:rPr>
    </w:lvl>
    <w:lvl w:ilvl="2">
      <w:start w:val="0"/>
      <w:numFmt w:val="bullet"/>
      <w:lvlText w:val="•"/>
      <w:lvlJc w:val="left"/>
      <w:pPr>
        <w:ind w:left="1109" w:hanging="241"/>
      </w:pPr>
      <w:rPr>
        <w:rFonts w:hint="default"/>
        <w:lang w:val="en-US" w:eastAsia="en-US" w:bidi="ar-SA"/>
      </w:rPr>
    </w:lvl>
    <w:lvl w:ilvl="3">
      <w:start w:val="0"/>
      <w:numFmt w:val="bullet"/>
      <w:lvlText w:val="•"/>
      <w:lvlJc w:val="left"/>
      <w:pPr>
        <w:ind w:left="1463" w:hanging="241"/>
      </w:pPr>
      <w:rPr>
        <w:rFonts w:hint="default"/>
        <w:lang w:val="en-US" w:eastAsia="en-US" w:bidi="ar-SA"/>
      </w:rPr>
    </w:lvl>
    <w:lvl w:ilvl="4">
      <w:start w:val="0"/>
      <w:numFmt w:val="bullet"/>
      <w:lvlText w:val="•"/>
      <w:lvlJc w:val="left"/>
      <w:pPr>
        <w:ind w:left="1818" w:hanging="241"/>
      </w:pPr>
      <w:rPr>
        <w:rFonts w:hint="default"/>
        <w:lang w:val="en-US" w:eastAsia="en-US" w:bidi="ar-SA"/>
      </w:rPr>
    </w:lvl>
    <w:lvl w:ilvl="5">
      <w:start w:val="0"/>
      <w:numFmt w:val="bullet"/>
      <w:lvlText w:val="•"/>
      <w:lvlJc w:val="left"/>
      <w:pPr>
        <w:ind w:left="2172" w:hanging="241"/>
      </w:pPr>
      <w:rPr>
        <w:rFonts w:hint="default"/>
        <w:lang w:val="en-US" w:eastAsia="en-US" w:bidi="ar-SA"/>
      </w:rPr>
    </w:lvl>
    <w:lvl w:ilvl="6">
      <w:start w:val="0"/>
      <w:numFmt w:val="bullet"/>
      <w:lvlText w:val="•"/>
      <w:lvlJc w:val="left"/>
      <w:pPr>
        <w:ind w:left="2527" w:hanging="241"/>
      </w:pPr>
      <w:rPr>
        <w:rFonts w:hint="default"/>
        <w:lang w:val="en-US" w:eastAsia="en-US" w:bidi="ar-SA"/>
      </w:rPr>
    </w:lvl>
    <w:lvl w:ilvl="7">
      <w:start w:val="0"/>
      <w:numFmt w:val="bullet"/>
      <w:lvlText w:val="•"/>
      <w:lvlJc w:val="left"/>
      <w:pPr>
        <w:ind w:left="2881" w:hanging="241"/>
      </w:pPr>
      <w:rPr>
        <w:rFonts w:hint="default"/>
        <w:lang w:val="en-US" w:eastAsia="en-US" w:bidi="ar-SA"/>
      </w:rPr>
    </w:lvl>
    <w:lvl w:ilvl="8">
      <w:start w:val="0"/>
      <w:numFmt w:val="bullet"/>
      <w:lvlText w:val="•"/>
      <w:lvlJc w:val="left"/>
      <w:pPr>
        <w:ind w:left="3236" w:hanging="241"/>
      </w:pPr>
      <w:rPr>
        <w:rFonts w:hint="default"/>
        <w:lang w:val="en-US" w:eastAsia="en-US" w:bidi="ar-SA"/>
      </w:rPr>
    </w:lvl>
  </w:abstractNum>
  <w:abstractNum w:abstractNumId="16">
    <w:multiLevelType w:val="hybridMultilevel"/>
    <w:lvl w:ilvl="0">
      <w:start w:val="1"/>
      <w:numFmt w:val="lowerLetter"/>
      <w:lvlText w:val="(%1)"/>
      <w:lvlJc w:val="left"/>
      <w:pPr>
        <w:ind w:left="42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55" w:hanging="241"/>
      </w:pPr>
      <w:rPr>
        <w:rFonts w:hint="default"/>
        <w:lang w:val="en-US" w:eastAsia="en-US" w:bidi="ar-SA"/>
      </w:rPr>
    </w:lvl>
    <w:lvl w:ilvl="2">
      <w:start w:val="0"/>
      <w:numFmt w:val="bullet"/>
      <w:lvlText w:val="•"/>
      <w:lvlJc w:val="left"/>
      <w:pPr>
        <w:ind w:left="1090" w:hanging="241"/>
      </w:pPr>
      <w:rPr>
        <w:rFonts w:hint="default"/>
        <w:lang w:val="en-US" w:eastAsia="en-US" w:bidi="ar-SA"/>
      </w:rPr>
    </w:lvl>
    <w:lvl w:ilvl="3">
      <w:start w:val="0"/>
      <w:numFmt w:val="bullet"/>
      <w:lvlText w:val="•"/>
      <w:lvlJc w:val="left"/>
      <w:pPr>
        <w:ind w:left="1425" w:hanging="241"/>
      </w:pPr>
      <w:rPr>
        <w:rFonts w:hint="default"/>
        <w:lang w:val="en-US" w:eastAsia="en-US" w:bidi="ar-SA"/>
      </w:rPr>
    </w:lvl>
    <w:lvl w:ilvl="4">
      <w:start w:val="0"/>
      <w:numFmt w:val="bullet"/>
      <w:lvlText w:val="•"/>
      <w:lvlJc w:val="left"/>
      <w:pPr>
        <w:ind w:left="1760" w:hanging="241"/>
      </w:pPr>
      <w:rPr>
        <w:rFonts w:hint="default"/>
        <w:lang w:val="en-US" w:eastAsia="en-US" w:bidi="ar-SA"/>
      </w:rPr>
    </w:lvl>
    <w:lvl w:ilvl="5">
      <w:start w:val="0"/>
      <w:numFmt w:val="bullet"/>
      <w:lvlText w:val="•"/>
      <w:lvlJc w:val="left"/>
      <w:pPr>
        <w:ind w:left="2095" w:hanging="241"/>
      </w:pPr>
      <w:rPr>
        <w:rFonts w:hint="default"/>
        <w:lang w:val="en-US" w:eastAsia="en-US" w:bidi="ar-SA"/>
      </w:rPr>
    </w:lvl>
    <w:lvl w:ilvl="6">
      <w:start w:val="0"/>
      <w:numFmt w:val="bullet"/>
      <w:lvlText w:val="•"/>
      <w:lvlJc w:val="left"/>
      <w:pPr>
        <w:ind w:left="2430" w:hanging="241"/>
      </w:pPr>
      <w:rPr>
        <w:rFonts w:hint="default"/>
        <w:lang w:val="en-US" w:eastAsia="en-US" w:bidi="ar-SA"/>
      </w:rPr>
    </w:lvl>
    <w:lvl w:ilvl="7">
      <w:start w:val="0"/>
      <w:numFmt w:val="bullet"/>
      <w:lvlText w:val="•"/>
      <w:lvlJc w:val="left"/>
      <w:pPr>
        <w:ind w:left="2765" w:hanging="241"/>
      </w:pPr>
      <w:rPr>
        <w:rFonts w:hint="default"/>
        <w:lang w:val="en-US" w:eastAsia="en-US" w:bidi="ar-SA"/>
      </w:rPr>
    </w:lvl>
    <w:lvl w:ilvl="8">
      <w:start w:val="0"/>
      <w:numFmt w:val="bullet"/>
      <w:lvlText w:val="•"/>
      <w:lvlJc w:val="left"/>
      <w:pPr>
        <w:ind w:left="3100" w:hanging="241"/>
      </w:pPr>
      <w:rPr>
        <w:rFonts w:hint="default"/>
        <w:lang w:val="en-US" w:eastAsia="en-US" w:bidi="ar-SA"/>
      </w:rPr>
    </w:lvl>
  </w:abstractNum>
  <w:abstractNum w:abstractNumId="15">
    <w:multiLevelType w:val="hybridMultilevel"/>
    <w:lvl w:ilvl="0">
      <w:start w:val="1"/>
      <w:numFmt w:val="lowerLetter"/>
      <w:lvlText w:val="(%1)"/>
      <w:lvlJc w:val="left"/>
      <w:pPr>
        <w:ind w:left="437" w:hanging="241"/>
        <w:jc w:val="left"/>
      </w:pPr>
      <w:rPr>
        <w:rFonts w:hint="default" w:ascii="Times New Roman" w:hAnsi="Times New Roman" w:eastAsia="Times New Roman" w:cs="Times New Roman"/>
        <w:spacing w:val="-14"/>
        <w:w w:val="100"/>
        <w:sz w:val="12"/>
        <w:szCs w:val="12"/>
        <w:lang w:val="en-US" w:eastAsia="en-US" w:bidi="ar-SA"/>
      </w:rPr>
    </w:lvl>
    <w:lvl w:ilvl="1">
      <w:start w:val="1"/>
      <w:numFmt w:val="decimal"/>
      <w:lvlText w:val="(%2)"/>
      <w:lvlJc w:val="left"/>
      <w:pPr>
        <w:ind w:left="620" w:hanging="241"/>
        <w:jc w:val="left"/>
      </w:pPr>
      <w:rPr>
        <w:rFonts w:hint="default" w:ascii="Times New Roman" w:hAnsi="Times New Roman" w:eastAsia="Times New Roman" w:cs="Times New Roman"/>
        <w:spacing w:val="-1"/>
        <w:w w:val="100"/>
        <w:sz w:val="16"/>
        <w:szCs w:val="16"/>
        <w:lang w:val="en-US" w:eastAsia="en-US" w:bidi="ar-SA"/>
      </w:rPr>
    </w:lvl>
    <w:lvl w:ilvl="2">
      <w:start w:val="0"/>
      <w:numFmt w:val="bullet"/>
      <w:lvlText w:val="•"/>
      <w:lvlJc w:val="left"/>
      <w:pPr>
        <w:ind w:left="958" w:hanging="241"/>
      </w:pPr>
      <w:rPr>
        <w:rFonts w:hint="default"/>
        <w:lang w:val="en-US" w:eastAsia="en-US" w:bidi="ar-SA"/>
      </w:rPr>
    </w:lvl>
    <w:lvl w:ilvl="3">
      <w:start w:val="0"/>
      <w:numFmt w:val="bullet"/>
      <w:lvlText w:val="•"/>
      <w:lvlJc w:val="left"/>
      <w:pPr>
        <w:ind w:left="1297" w:hanging="241"/>
      </w:pPr>
      <w:rPr>
        <w:rFonts w:hint="default"/>
        <w:lang w:val="en-US" w:eastAsia="en-US" w:bidi="ar-SA"/>
      </w:rPr>
    </w:lvl>
    <w:lvl w:ilvl="4">
      <w:start w:val="0"/>
      <w:numFmt w:val="bullet"/>
      <w:lvlText w:val="•"/>
      <w:lvlJc w:val="left"/>
      <w:pPr>
        <w:ind w:left="1636" w:hanging="241"/>
      </w:pPr>
      <w:rPr>
        <w:rFonts w:hint="default"/>
        <w:lang w:val="en-US" w:eastAsia="en-US" w:bidi="ar-SA"/>
      </w:rPr>
    </w:lvl>
    <w:lvl w:ilvl="5">
      <w:start w:val="0"/>
      <w:numFmt w:val="bullet"/>
      <w:lvlText w:val="•"/>
      <w:lvlJc w:val="left"/>
      <w:pPr>
        <w:ind w:left="1975" w:hanging="241"/>
      </w:pPr>
      <w:rPr>
        <w:rFonts w:hint="default"/>
        <w:lang w:val="en-US" w:eastAsia="en-US" w:bidi="ar-SA"/>
      </w:rPr>
    </w:lvl>
    <w:lvl w:ilvl="6">
      <w:start w:val="0"/>
      <w:numFmt w:val="bullet"/>
      <w:lvlText w:val="•"/>
      <w:lvlJc w:val="left"/>
      <w:pPr>
        <w:ind w:left="2313" w:hanging="241"/>
      </w:pPr>
      <w:rPr>
        <w:rFonts w:hint="default"/>
        <w:lang w:val="en-US" w:eastAsia="en-US" w:bidi="ar-SA"/>
      </w:rPr>
    </w:lvl>
    <w:lvl w:ilvl="7">
      <w:start w:val="0"/>
      <w:numFmt w:val="bullet"/>
      <w:lvlText w:val="•"/>
      <w:lvlJc w:val="left"/>
      <w:pPr>
        <w:ind w:left="2652" w:hanging="241"/>
      </w:pPr>
      <w:rPr>
        <w:rFonts w:hint="default"/>
        <w:lang w:val="en-US" w:eastAsia="en-US" w:bidi="ar-SA"/>
      </w:rPr>
    </w:lvl>
    <w:lvl w:ilvl="8">
      <w:start w:val="0"/>
      <w:numFmt w:val="bullet"/>
      <w:lvlText w:val="•"/>
      <w:lvlJc w:val="left"/>
      <w:pPr>
        <w:ind w:left="2991" w:hanging="241"/>
      </w:pPr>
      <w:rPr>
        <w:rFonts w:hint="default"/>
        <w:lang w:val="en-US" w:eastAsia="en-US" w:bidi="ar-SA"/>
      </w:rPr>
    </w:lvl>
  </w:abstractNum>
  <w:abstractNum w:abstractNumId="14">
    <w:multiLevelType w:val="hybridMultilevel"/>
    <w:lvl w:ilvl="0">
      <w:start w:val="2"/>
      <w:numFmt w:val="decimal"/>
      <w:lvlText w:val="%1"/>
      <w:lvlJc w:val="left"/>
      <w:pPr>
        <w:ind w:left="3325" w:hanging="3142"/>
        <w:jc w:val="left"/>
      </w:pPr>
      <w:rPr>
        <w:rFonts w:hint="default"/>
        <w:lang w:val="en-US" w:eastAsia="en-US" w:bidi="ar-SA"/>
      </w:rPr>
    </w:lvl>
    <w:lvl w:ilvl="1">
      <w:start w:val="2"/>
      <w:numFmt w:val="decimal"/>
      <w:lvlText w:val="%1.%2"/>
      <w:lvlJc w:val="left"/>
      <w:pPr>
        <w:ind w:left="3325" w:hanging="3142"/>
        <w:jc w:val="left"/>
      </w:pPr>
      <w:rPr>
        <w:rFonts w:hint="default" w:ascii="Times New Roman" w:hAnsi="Times New Roman" w:eastAsia="Times New Roman" w:cs="Times New Roman"/>
        <w:b/>
        <w:bCs/>
        <w:color w:val="009391"/>
        <w:spacing w:val="-31"/>
        <w:w w:val="100"/>
        <w:sz w:val="28"/>
        <w:szCs w:val="28"/>
        <w:u w:val="thick" w:color="0092C7"/>
        <w:lang w:val="en-US" w:eastAsia="en-US" w:bidi="ar-SA"/>
      </w:rPr>
    </w:lvl>
    <w:lvl w:ilvl="2">
      <w:start w:val="0"/>
      <w:numFmt w:val="bullet"/>
      <w:lvlText w:val="•"/>
      <w:lvlJc w:val="left"/>
      <w:pPr>
        <w:ind w:left="3819" w:hanging="3142"/>
      </w:pPr>
      <w:rPr>
        <w:rFonts w:hint="default"/>
        <w:lang w:val="en-US" w:eastAsia="en-US" w:bidi="ar-SA"/>
      </w:rPr>
    </w:lvl>
    <w:lvl w:ilvl="3">
      <w:start w:val="0"/>
      <w:numFmt w:val="bullet"/>
      <w:lvlText w:val="•"/>
      <w:lvlJc w:val="left"/>
      <w:pPr>
        <w:ind w:left="4069" w:hanging="3142"/>
      </w:pPr>
      <w:rPr>
        <w:rFonts w:hint="default"/>
        <w:lang w:val="en-US" w:eastAsia="en-US" w:bidi="ar-SA"/>
      </w:rPr>
    </w:lvl>
    <w:lvl w:ilvl="4">
      <w:start w:val="0"/>
      <w:numFmt w:val="bullet"/>
      <w:lvlText w:val="•"/>
      <w:lvlJc w:val="left"/>
      <w:pPr>
        <w:ind w:left="4319" w:hanging="3142"/>
      </w:pPr>
      <w:rPr>
        <w:rFonts w:hint="default"/>
        <w:lang w:val="en-US" w:eastAsia="en-US" w:bidi="ar-SA"/>
      </w:rPr>
    </w:lvl>
    <w:lvl w:ilvl="5">
      <w:start w:val="0"/>
      <w:numFmt w:val="bullet"/>
      <w:lvlText w:val="•"/>
      <w:lvlJc w:val="left"/>
      <w:pPr>
        <w:ind w:left="4569" w:hanging="3142"/>
      </w:pPr>
      <w:rPr>
        <w:rFonts w:hint="default"/>
        <w:lang w:val="en-US" w:eastAsia="en-US" w:bidi="ar-SA"/>
      </w:rPr>
    </w:lvl>
    <w:lvl w:ilvl="6">
      <w:start w:val="0"/>
      <w:numFmt w:val="bullet"/>
      <w:lvlText w:val="•"/>
      <w:lvlJc w:val="left"/>
      <w:pPr>
        <w:ind w:left="4819" w:hanging="3142"/>
      </w:pPr>
      <w:rPr>
        <w:rFonts w:hint="default"/>
        <w:lang w:val="en-US" w:eastAsia="en-US" w:bidi="ar-SA"/>
      </w:rPr>
    </w:lvl>
    <w:lvl w:ilvl="7">
      <w:start w:val="0"/>
      <w:numFmt w:val="bullet"/>
      <w:lvlText w:val="•"/>
      <w:lvlJc w:val="left"/>
      <w:pPr>
        <w:ind w:left="5068" w:hanging="3142"/>
      </w:pPr>
      <w:rPr>
        <w:rFonts w:hint="default"/>
        <w:lang w:val="en-US" w:eastAsia="en-US" w:bidi="ar-SA"/>
      </w:rPr>
    </w:lvl>
    <w:lvl w:ilvl="8">
      <w:start w:val="0"/>
      <w:numFmt w:val="bullet"/>
      <w:lvlText w:val="•"/>
      <w:lvlJc w:val="left"/>
      <w:pPr>
        <w:ind w:left="5318" w:hanging="3142"/>
      </w:pPr>
      <w:rPr>
        <w:rFonts w:hint="default"/>
        <w:lang w:val="en-US" w:eastAsia="en-US" w:bidi="ar-SA"/>
      </w:rPr>
    </w:lvl>
  </w:abstractNum>
  <w:abstractNum w:abstractNumId="13">
    <w:multiLevelType w:val="hybridMultilevel"/>
    <w:lvl w:ilvl="0">
      <w:start w:val="1"/>
      <w:numFmt w:val="lowerLetter"/>
      <w:lvlText w:val="(%1)"/>
      <w:lvlJc w:val="left"/>
      <w:pPr>
        <w:ind w:left="29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503" w:hanging="241"/>
      </w:pPr>
      <w:rPr>
        <w:rFonts w:hint="default"/>
        <w:lang w:val="en-US" w:eastAsia="en-US" w:bidi="ar-SA"/>
      </w:rPr>
    </w:lvl>
    <w:lvl w:ilvl="2">
      <w:start w:val="0"/>
      <w:numFmt w:val="bullet"/>
      <w:lvlText w:val="•"/>
      <w:lvlJc w:val="left"/>
      <w:pPr>
        <w:ind w:left="707" w:hanging="241"/>
      </w:pPr>
      <w:rPr>
        <w:rFonts w:hint="default"/>
        <w:lang w:val="en-US" w:eastAsia="en-US" w:bidi="ar-SA"/>
      </w:rPr>
    </w:lvl>
    <w:lvl w:ilvl="3">
      <w:start w:val="0"/>
      <w:numFmt w:val="bullet"/>
      <w:lvlText w:val="•"/>
      <w:lvlJc w:val="left"/>
      <w:pPr>
        <w:ind w:left="910" w:hanging="241"/>
      </w:pPr>
      <w:rPr>
        <w:rFonts w:hint="default"/>
        <w:lang w:val="en-US" w:eastAsia="en-US" w:bidi="ar-SA"/>
      </w:rPr>
    </w:lvl>
    <w:lvl w:ilvl="4">
      <w:start w:val="0"/>
      <w:numFmt w:val="bullet"/>
      <w:lvlText w:val="•"/>
      <w:lvlJc w:val="left"/>
      <w:pPr>
        <w:ind w:left="1114" w:hanging="241"/>
      </w:pPr>
      <w:rPr>
        <w:rFonts w:hint="default"/>
        <w:lang w:val="en-US" w:eastAsia="en-US" w:bidi="ar-SA"/>
      </w:rPr>
    </w:lvl>
    <w:lvl w:ilvl="5">
      <w:start w:val="0"/>
      <w:numFmt w:val="bullet"/>
      <w:lvlText w:val="•"/>
      <w:lvlJc w:val="left"/>
      <w:pPr>
        <w:ind w:left="1318" w:hanging="241"/>
      </w:pPr>
      <w:rPr>
        <w:rFonts w:hint="default"/>
        <w:lang w:val="en-US" w:eastAsia="en-US" w:bidi="ar-SA"/>
      </w:rPr>
    </w:lvl>
    <w:lvl w:ilvl="6">
      <w:start w:val="0"/>
      <w:numFmt w:val="bullet"/>
      <w:lvlText w:val="•"/>
      <w:lvlJc w:val="left"/>
      <w:pPr>
        <w:ind w:left="1521" w:hanging="241"/>
      </w:pPr>
      <w:rPr>
        <w:rFonts w:hint="default"/>
        <w:lang w:val="en-US" w:eastAsia="en-US" w:bidi="ar-SA"/>
      </w:rPr>
    </w:lvl>
    <w:lvl w:ilvl="7">
      <w:start w:val="0"/>
      <w:numFmt w:val="bullet"/>
      <w:lvlText w:val="•"/>
      <w:lvlJc w:val="left"/>
      <w:pPr>
        <w:ind w:left="1725" w:hanging="241"/>
      </w:pPr>
      <w:rPr>
        <w:rFonts w:hint="default"/>
        <w:lang w:val="en-US" w:eastAsia="en-US" w:bidi="ar-SA"/>
      </w:rPr>
    </w:lvl>
    <w:lvl w:ilvl="8">
      <w:start w:val="0"/>
      <w:numFmt w:val="bullet"/>
      <w:lvlText w:val="•"/>
      <w:lvlJc w:val="left"/>
      <w:pPr>
        <w:ind w:left="1928" w:hanging="241"/>
      </w:pPr>
      <w:rPr>
        <w:rFonts w:hint="default"/>
        <w:lang w:val="en-US" w:eastAsia="en-US" w:bidi="ar-SA"/>
      </w:rPr>
    </w:lvl>
  </w:abstractNum>
  <w:abstractNum w:abstractNumId="12">
    <w:multiLevelType w:val="hybridMultilevel"/>
    <w:lvl w:ilvl="0">
      <w:start w:val="1"/>
      <w:numFmt w:val="lowerLetter"/>
      <w:lvlText w:val="(%1)"/>
      <w:lvlJc w:val="left"/>
      <w:pPr>
        <w:ind w:left="423"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16" w:hanging="241"/>
      </w:pPr>
      <w:rPr>
        <w:rFonts w:hint="default"/>
        <w:lang w:val="en-US" w:eastAsia="en-US" w:bidi="ar-SA"/>
      </w:rPr>
    </w:lvl>
    <w:lvl w:ilvl="2">
      <w:start w:val="0"/>
      <w:numFmt w:val="bullet"/>
      <w:lvlText w:val="•"/>
      <w:lvlJc w:val="left"/>
      <w:pPr>
        <w:ind w:left="1213" w:hanging="241"/>
      </w:pPr>
      <w:rPr>
        <w:rFonts w:hint="default"/>
        <w:lang w:val="en-US" w:eastAsia="en-US" w:bidi="ar-SA"/>
      </w:rPr>
    </w:lvl>
    <w:lvl w:ilvl="3">
      <w:start w:val="0"/>
      <w:numFmt w:val="bullet"/>
      <w:lvlText w:val="•"/>
      <w:lvlJc w:val="left"/>
      <w:pPr>
        <w:ind w:left="1610" w:hanging="241"/>
      </w:pPr>
      <w:rPr>
        <w:rFonts w:hint="default"/>
        <w:lang w:val="en-US" w:eastAsia="en-US" w:bidi="ar-SA"/>
      </w:rPr>
    </w:lvl>
    <w:lvl w:ilvl="4">
      <w:start w:val="0"/>
      <w:numFmt w:val="bullet"/>
      <w:lvlText w:val="•"/>
      <w:lvlJc w:val="left"/>
      <w:pPr>
        <w:ind w:left="2007" w:hanging="241"/>
      </w:pPr>
      <w:rPr>
        <w:rFonts w:hint="default"/>
        <w:lang w:val="en-US" w:eastAsia="en-US" w:bidi="ar-SA"/>
      </w:rPr>
    </w:lvl>
    <w:lvl w:ilvl="5">
      <w:start w:val="0"/>
      <w:numFmt w:val="bullet"/>
      <w:lvlText w:val="•"/>
      <w:lvlJc w:val="left"/>
      <w:pPr>
        <w:ind w:left="2404" w:hanging="241"/>
      </w:pPr>
      <w:rPr>
        <w:rFonts w:hint="default"/>
        <w:lang w:val="en-US" w:eastAsia="en-US" w:bidi="ar-SA"/>
      </w:rPr>
    </w:lvl>
    <w:lvl w:ilvl="6">
      <w:start w:val="0"/>
      <w:numFmt w:val="bullet"/>
      <w:lvlText w:val="•"/>
      <w:lvlJc w:val="left"/>
      <w:pPr>
        <w:ind w:left="2801" w:hanging="241"/>
      </w:pPr>
      <w:rPr>
        <w:rFonts w:hint="default"/>
        <w:lang w:val="en-US" w:eastAsia="en-US" w:bidi="ar-SA"/>
      </w:rPr>
    </w:lvl>
    <w:lvl w:ilvl="7">
      <w:start w:val="0"/>
      <w:numFmt w:val="bullet"/>
      <w:lvlText w:val="•"/>
      <w:lvlJc w:val="left"/>
      <w:pPr>
        <w:ind w:left="3198" w:hanging="241"/>
      </w:pPr>
      <w:rPr>
        <w:rFonts w:hint="default"/>
        <w:lang w:val="en-US" w:eastAsia="en-US" w:bidi="ar-SA"/>
      </w:rPr>
    </w:lvl>
    <w:lvl w:ilvl="8">
      <w:start w:val="0"/>
      <w:numFmt w:val="bullet"/>
      <w:lvlText w:val="•"/>
      <w:lvlJc w:val="left"/>
      <w:pPr>
        <w:ind w:left="3595" w:hanging="241"/>
      </w:pPr>
      <w:rPr>
        <w:rFonts w:hint="default"/>
        <w:lang w:val="en-US" w:eastAsia="en-US" w:bidi="ar-SA"/>
      </w:rPr>
    </w:lvl>
  </w:abstractNum>
  <w:abstractNum w:abstractNumId="11">
    <w:multiLevelType w:val="hybridMultilevel"/>
    <w:lvl w:ilvl="0">
      <w:start w:val="1"/>
      <w:numFmt w:val="lowerLetter"/>
      <w:lvlText w:val="(%1)"/>
      <w:lvlJc w:val="left"/>
      <w:pPr>
        <w:ind w:left="42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06" w:hanging="241"/>
      </w:pPr>
      <w:rPr>
        <w:rFonts w:hint="default"/>
        <w:lang w:val="en-US" w:eastAsia="en-US" w:bidi="ar-SA"/>
      </w:rPr>
    </w:lvl>
    <w:lvl w:ilvl="2">
      <w:start w:val="0"/>
      <w:numFmt w:val="bullet"/>
      <w:lvlText w:val="•"/>
      <w:lvlJc w:val="left"/>
      <w:pPr>
        <w:ind w:left="1193" w:hanging="241"/>
      </w:pPr>
      <w:rPr>
        <w:rFonts w:hint="default"/>
        <w:lang w:val="en-US" w:eastAsia="en-US" w:bidi="ar-SA"/>
      </w:rPr>
    </w:lvl>
    <w:lvl w:ilvl="3">
      <w:start w:val="0"/>
      <w:numFmt w:val="bullet"/>
      <w:lvlText w:val="•"/>
      <w:lvlJc w:val="left"/>
      <w:pPr>
        <w:ind w:left="1579" w:hanging="241"/>
      </w:pPr>
      <w:rPr>
        <w:rFonts w:hint="default"/>
        <w:lang w:val="en-US" w:eastAsia="en-US" w:bidi="ar-SA"/>
      </w:rPr>
    </w:lvl>
    <w:lvl w:ilvl="4">
      <w:start w:val="0"/>
      <w:numFmt w:val="bullet"/>
      <w:lvlText w:val="•"/>
      <w:lvlJc w:val="left"/>
      <w:pPr>
        <w:ind w:left="1966" w:hanging="241"/>
      </w:pPr>
      <w:rPr>
        <w:rFonts w:hint="default"/>
        <w:lang w:val="en-US" w:eastAsia="en-US" w:bidi="ar-SA"/>
      </w:rPr>
    </w:lvl>
    <w:lvl w:ilvl="5">
      <w:start w:val="0"/>
      <w:numFmt w:val="bullet"/>
      <w:lvlText w:val="•"/>
      <w:lvlJc w:val="left"/>
      <w:pPr>
        <w:ind w:left="2353" w:hanging="241"/>
      </w:pPr>
      <w:rPr>
        <w:rFonts w:hint="default"/>
        <w:lang w:val="en-US" w:eastAsia="en-US" w:bidi="ar-SA"/>
      </w:rPr>
    </w:lvl>
    <w:lvl w:ilvl="6">
      <w:start w:val="0"/>
      <w:numFmt w:val="bullet"/>
      <w:lvlText w:val="•"/>
      <w:lvlJc w:val="left"/>
      <w:pPr>
        <w:ind w:left="2739" w:hanging="241"/>
      </w:pPr>
      <w:rPr>
        <w:rFonts w:hint="default"/>
        <w:lang w:val="en-US" w:eastAsia="en-US" w:bidi="ar-SA"/>
      </w:rPr>
    </w:lvl>
    <w:lvl w:ilvl="7">
      <w:start w:val="0"/>
      <w:numFmt w:val="bullet"/>
      <w:lvlText w:val="•"/>
      <w:lvlJc w:val="left"/>
      <w:pPr>
        <w:ind w:left="3126" w:hanging="241"/>
      </w:pPr>
      <w:rPr>
        <w:rFonts w:hint="default"/>
        <w:lang w:val="en-US" w:eastAsia="en-US" w:bidi="ar-SA"/>
      </w:rPr>
    </w:lvl>
    <w:lvl w:ilvl="8">
      <w:start w:val="0"/>
      <w:numFmt w:val="bullet"/>
      <w:lvlText w:val="•"/>
      <w:lvlJc w:val="left"/>
      <w:pPr>
        <w:ind w:left="3512" w:hanging="241"/>
      </w:pPr>
      <w:rPr>
        <w:rFonts w:hint="default"/>
        <w:lang w:val="en-US" w:eastAsia="en-US" w:bidi="ar-SA"/>
      </w:rPr>
    </w:lvl>
  </w:abstractNum>
  <w:abstractNum w:abstractNumId="10">
    <w:multiLevelType w:val="hybridMultilevel"/>
    <w:lvl w:ilvl="0">
      <w:start w:val="2"/>
      <w:numFmt w:val="decimal"/>
      <w:lvlText w:val="%1"/>
      <w:lvlJc w:val="left"/>
      <w:pPr>
        <w:ind w:left="325" w:hanging="104"/>
        <w:jc w:val="left"/>
      </w:pPr>
      <w:rPr>
        <w:rFonts w:hint="default" w:ascii="Times New Roman" w:hAnsi="Times New Roman" w:eastAsia="Times New Roman" w:cs="Times New Roman"/>
        <w:w w:val="100"/>
        <w:position w:val="-7"/>
        <w:sz w:val="12"/>
        <w:szCs w:val="12"/>
        <w:lang w:val="en-US" w:eastAsia="en-US" w:bidi="ar-SA"/>
      </w:rPr>
    </w:lvl>
    <w:lvl w:ilvl="1">
      <w:start w:val="1"/>
      <w:numFmt w:val="decimal"/>
      <w:lvlText w:val="%1.%2"/>
      <w:lvlJc w:val="left"/>
      <w:pPr>
        <w:ind w:left="3407" w:hanging="3208"/>
        <w:jc w:val="left"/>
      </w:pPr>
      <w:rPr>
        <w:rFonts w:hint="default" w:ascii="Times New Roman" w:hAnsi="Times New Roman" w:eastAsia="Times New Roman" w:cs="Times New Roman"/>
        <w:b/>
        <w:bCs/>
        <w:color w:val="009391"/>
        <w:spacing w:val="-5"/>
        <w:w w:val="100"/>
        <w:sz w:val="28"/>
        <w:szCs w:val="28"/>
        <w:lang w:val="en-US" w:eastAsia="en-US" w:bidi="ar-SA"/>
      </w:rPr>
    </w:lvl>
    <w:lvl w:ilvl="2">
      <w:start w:val="0"/>
      <w:numFmt w:val="bullet"/>
      <w:lvlText w:val="•"/>
      <w:lvlJc w:val="left"/>
      <w:pPr>
        <w:ind w:left="2575" w:hanging="3208"/>
      </w:pPr>
      <w:rPr>
        <w:rFonts w:hint="default"/>
        <w:lang w:val="en-US" w:eastAsia="en-US" w:bidi="ar-SA"/>
      </w:rPr>
    </w:lvl>
    <w:lvl w:ilvl="3">
      <w:start w:val="0"/>
      <w:numFmt w:val="bullet"/>
      <w:lvlText w:val="•"/>
      <w:lvlJc w:val="left"/>
      <w:pPr>
        <w:ind w:left="1750" w:hanging="3208"/>
      </w:pPr>
      <w:rPr>
        <w:rFonts w:hint="default"/>
        <w:lang w:val="en-US" w:eastAsia="en-US" w:bidi="ar-SA"/>
      </w:rPr>
    </w:lvl>
    <w:lvl w:ilvl="4">
      <w:start w:val="0"/>
      <w:numFmt w:val="bullet"/>
      <w:lvlText w:val="•"/>
      <w:lvlJc w:val="left"/>
      <w:pPr>
        <w:ind w:left="925" w:hanging="3208"/>
      </w:pPr>
      <w:rPr>
        <w:rFonts w:hint="default"/>
        <w:lang w:val="en-US" w:eastAsia="en-US" w:bidi="ar-SA"/>
      </w:rPr>
    </w:lvl>
    <w:lvl w:ilvl="5">
      <w:start w:val="0"/>
      <w:numFmt w:val="bullet"/>
      <w:lvlText w:val="•"/>
      <w:lvlJc w:val="left"/>
      <w:pPr>
        <w:ind w:left="100" w:hanging="3208"/>
      </w:pPr>
      <w:rPr>
        <w:rFonts w:hint="default"/>
        <w:lang w:val="en-US" w:eastAsia="en-US" w:bidi="ar-SA"/>
      </w:rPr>
    </w:lvl>
    <w:lvl w:ilvl="6">
      <w:start w:val="0"/>
      <w:numFmt w:val="bullet"/>
      <w:lvlText w:val="•"/>
      <w:lvlJc w:val="left"/>
      <w:pPr>
        <w:ind w:left="-725" w:hanging="3208"/>
      </w:pPr>
      <w:rPr>
        <w:rFonts w:hint="default"/>
        <w:lang w:val="en-US" w:eastAsia="en-US" w:bidi="ar-SA"/>
      </w:rPr>
    </w:lvl>
    <w:lvl w:ilvl="7">
      <w:start w:val="0"/>
      <w:numFmt w:val="bullet"/>
      <w:lvlText w:val="•"/>
      <w:lvlJc w:val="left"/>
      <w:pPr>
        <w:ind w:left="-1550" w:hanging="3208"/>
      </w:pPr>
      <w:rPr>
        <w:rFonts w:hint="default"/>
        <w:lang w:val="en-US" w:eastAsia="en-US" w:bidi="ar-SA"/>
      </w:rPr>
    </w:lvl>
    <w:lvl w:ilvl="8">
      <w:start w:val="0"/>
      <w:numFmt w:val="bullet"/>
      <w:lvlText w:val="•"/>
      <w:lvlJc w:val="left"/>
      <w:pPr>
        <w:ind w:left="-2375" w:hanging="3208"/>
      </w:pPr>
      <w:rPr>
        <w:rFonts w:hint="default"/>
        <w:lang w:val="en-US" w:eastAsia="en-US" w:bidi="ar-SA"/>
      </w:rPr>
    </w:lvl>
  </w:abstractNum>
  <w:abstractNum w:abstractNumId="9">
    <w:multiLevelType w:val="hybridMultilevel"/>
    <w:lvl w:ilvl="0">
      <w:start w:val="1"/>
      <w:numFmt w:val="lowerLetter"/>
      <w:lvlText w:val="(%1)"/>
      <w:lvlJc w:val="left"/>
      <w:pPr>
        <w:ind w:left="425"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31" w:hanging="241"/>
      </w:pPr>
      <w:rPr>
        <w:rFonts w:hint="default"/>
        <w:lang w:val="en-US" w:eastAsia="en-US" w:bidi="ar-SA"/>
      </w:rPr>
    </w:lvl>
    <w:lvl w:ilvl="2">
      <w:start w:val="0"/>
      <w:numFmt w:val="bullet"/>
      <w:lvlText w:val="•"/>
      <w:lvlJc w:val="left"/>
      <w:pPr>
        <w:ind w:left="1042" w:hanging="241"/>
      </w:pPr>
      <w:rPr>
        <w:rFonts w:hint="default"/>
        <w:lang w:val="en-US" w:eastAsia="en-US" w:bidi="ar-SA"/>
      </w:rPr>
    </w:lvl>
    <w:lvl w:ilvl="3">
      <w:start w:val="0"/>
      <w:numFmt w:val="bullet"/>
      <w:lvlText w:val="•"/>
      <w:lvlJc w:val="left"/>
      <w:pPr>
        <w:ind w:left="1353" w:hanging="241"/>
      </w:pPr>
      <w:rPr>
        <w:rFonts w:hint="default"/>
        <w:lang w:val="en-US" w:eastAsia="en-US" w:bidi="ar-SA"/>
      </w:rPr>
    </w:lvl>
    <w:lvl w:ilvl="4">
      <w:start w:val="0"/>
      <w:numFmt w:val="bullet"/>
      <w:lvlText w:val="•"/>
      <w:lvlJc w:val="left"/>
      <w:pPr>
        <w:ind w:left="1664" w:hanging="241"/>
      </w:pPr>
      <w:rPr>
        <w:rFonts w:hint="default"/>
        <w:lang w:val="en-US" w:eastAsia="en-US" w:bidi="ar-SA"/>
      </w:rPr>
    </w:lvl>
    <w:lvl w:ilvl="5">
      <w:start w:val="0"/>
      <w:numFmt w:val="bullet"/>
      <w:lvlText w:val="•"/>
      <w:lvlJc w:val="left"/>
      <w:pPr>
        <w:ind w:left="1975" w:hanging="241"/>
      </w:pPr>
      <w:rPr>
        <w:rFonts w:hint="default"/>
        <w:lang w:val="en-US" w:eastAsia="en-US" w:bidi="ar-SA"/>
      </w:rPr>
    </w:lvl>
    <w:lvl w:ilvl="6">
      <w:start w:val="0"/>
      <w:numFmt w:val="bullet"/>
      <w:lvlText w:val="•"/>
      <w:lvlJc w:val="left"/>
      <w:pPr>
        <w:ind w:left="2286" w:hanging="241"/>
      </w:pPr>
      <w:rPr>
        <w:rFonts w:hint="default"/>
        <w:lang w:val="en-US" w:eastAsia="en-US" w:bidi="ar-SA"/>
      </w:rPr>
    </w:lvl>
    <w:lvl w:ilvl="7">
      <w:start w:val="0"/>
      <w:numFmt w:val="bullet"/>
      <w:lvlText w:val="•"/>
      <w:lvlJc w:val="left"/>
      <w:pPr>
        <w:ind w:left="2598" w:hanging="241"/>
      </w:pPr>
      <w:rPr>
        <w:rFonts w:hint="default"/>
        <w:lang w:val="en-US" w:eastAsia="en-US" w:bidi="ar-SA"/>
      </w:rPr>
    </w:lvl>
    <w:lvl w:ilvl="8">
      <w:start w:val="0"/>
      <w:numFmt w:val="bullet"/>
      <w:lvlText w:val="•"/>
      <w:lvlJc w:val="left"/>
      <w:pPr>
        <w:ind w:left="2909" w:hanging="241"/>
      </w:pPr>
      <w:rPr>
        <w:rFonts w:hint="default"/>
        <w:lang w:val="en-US" w:eastAsia="en-US" w:bidi="ar-SA"/>
      </w:rPr>
    </w:lvl>
  </w:abstractNum>
  <w:abstractNum w:abstractNumId="8">
    <w:multiLevelType w:val="hybridMultilevel"/>
    <w:lvl w:ilvl="0">
      <w:start w:val="1"/>
      <w:numFmt w:val="lowerLetter"/>
      <w:lvlText w:val="(%1)"/>
      <w:lvlJc w:val="left"/>
      <w:pPr>
        <w:ind w:left="44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15" w:hanging="241"/>
      </w:pPr>
      <w:rPr>
        <w:rFonts w:hint="default"/>
        <w:lang w:val="en-US" w:eastAsia="en-US" w:bidi="ar-SA"/>
      </w:rPr>
    </w:lvl>
    <w:lvl w:ilvl="2">
      <w:start w:val="0"/>
      <w:numFmt w:val="bullet"/>
      <w:lvlText w:val="•"/>
      <w:lvlJc w:val="left"/>
      <w:pPr>
        <w:ind w:left="1191" w:hanging="241"/>
      </w:pPr>
      <w:rPr>
        <w:rFonts w:hint="default"/>
        <w:lang w:val="en-US" w:eastAsia="en-US" w:bidi="ar-SA"/>
      </w:rPr>
    </w:lvl>
    <w:lvl w:ilvl="3">
      <w:start w:val="0"/>
      <w:numFmt w:val="bullet"/>
      <w:lvlText w:val="•"/>
      <w:lvlJc w:val="left"/>
      <w:pPr>
        <w:ind w:left="1566" w:hanging="241"/>
      </w:pPr>
      <w:rPr>
        <w:rFonts w:hint="default"/>
        <w:lang w:val="en-US" w:eastAsia="en-US" w:bidi="ar-SA"/>
      </w:rPr>
    </w:lvl>
    <w:lvl w:ilvl="4">
      <w:start w:val="0"/>
      <w:numFmt w:val="bullet"/>
      <w:lvlText w:val="•"/>
      <w:lvlJc w:val="left"/>
      <w:pPr>
        <w:ind w:left="1942" w:hanging="241"/>
      </w:pPr>
      <w:rPr>
        <w:rFonts w:hint="default"/>
        <w:lang w:val="en-US" w:eastAsia="en-US" w:bidi="ar-SA"/>
      </w:rPr>
    </w:lvl>
    <w:lvl w:ilvl="5">
      <w:start w:val="0"/>
      <w:numFmt w:val="bullet"/>
      <w:lvlText w:val="•"/>
      <w:lvlJc w:val="left"/>
      <w:pPr>
        <w:ind w:left="2318" w:hanging="241"/>
      </w:pPr>
      <w:rPr>
        <w:rFonts w:hint="default"/>
        <w:lang w:val="en-US" w:eastAsia="en-US" w:bidi="ar-SA"/>
      </w:rPr>
    </w:lvl>
    <w:lvl w:ilvl="6">
      <w:start w:val="0"/>
      <w:numFmt w:val="bullet"/>
      <w:lvlText w:val="•"/>
      <w:lvlJc w:val="left"/>
      <w:pPr>
        <w:ind w:left="2693" w:hanging="241"/>
      </w:pPr>
      <w:rPr>
        <w:rFonts w:hint="default"/>
        <w:lang w:val="en-US" w:eastAsia="en-US" w:bidi="ar-SA"/>
      </w:rPr>
    </w:lvl>
    <w:lvl w:ilvl="7">
      <w:start w:val="0"/>
      <w:numFmt w:val="bullet"/>
      <w:lvlText w:val="•"/>
      <w:lvlJc w:val="left"/>
      <w:pPr>
        <w:ind w:left="3069" w:hanging="241"/>
      </w:pPr>
      <w:rPr>
        <w:rFonts w:hint="default"/>
        <w:lang w:val="en-US" w:eastAsia="en-US" w:bidi="ar-SA"/>
      </w:rPr>
    </w:lvl>
    <w:lvl w:ilvl="8">
      <w:start w:val="0"/>
      <w:numFmt w:val="bullet"/>
      <w:lvlText w:val="•"/>
      <w:lvlJc w:val="left"/>
      <w:pPr>
        <w:ind w:left="3444" w:hanging="241"/>
      </w:pPr>
      <w:rPr>
        <w:rFonts w:hint="default"/>
        <w:lang w:val="en-US" w:eastAsia="en-US" w:bidi="ar-SA"/>
      </w:rPr>
    </w:lvl>
  </w:abstractNum>
  <w:abstractNum w:abstractNumId="7">
    <w:multiLevelType w:val="hybridMultilevel"/>
    <w:lvl w:ilvl="0">
      <w:start w:val="1"/>
      <w:numFmt w:val="lowerLetter"/>
      <w:lvlText w:val="(%1)"/>
      <w:lvlJc w:val="left"/>
      <w:pPr>
        <w:ind w:left="394"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79" w:hanging="241"/>
      </w:pPr>
      <w:rPr>
        <w:rFonts w:hint="default"/>
        <w:lang w:val="en-US" w:eastAsia="en-US" w:bidi="ar-SA"/>
      </w:rPr>
    </w:lvl>
    <w:lvl w:ilvl="2">
      <w:start w:val="0"/>
      <w:numFmt w:val="bullet"/>
      <w:lvlText w:val="•"/>
      <w:lvlJc w:val="left"/>
      <w:pPr>
        <w:ind w:left="1159" w:hanging="241"/>
      </w:pPr>
      <w:rPr>
        <w:rFonts w:hint="default"/>
        <w:lang w:val="en-US" w:eastAsia="en-US" w:bidi="ar-SA"/>
      </w:rPr>
    </w:lvl>
    <w:lvl w:ilvl="3">
      <w:start w:val="0"/>
      <w:numFmt w:val="bullet"/>
      <w:lvlText w:val="•"/>
      <w:lvlJc w:val="left"/>
      <w:pPr>
        <w:ind w:left="1538" w:hanging="241"/>
      </w:pPr>
      <w:rPr>
        <w:rFonts w:hint="default"/>
        <w:lang w:val="en-US" w:eastAsia="en-US" w:bidi="ar-SA"/>
      </w:rPr>
    </w:lvl>
    <w:lvl w:ilvl="4">
      <w:start w:val="0"/>
      <w:numFmt w:val="bullet"/>
      <w:lvlText w:val="•"/>
      <w:lvlJc w:val="left"/>
      <w:pPr>
        <w:ind w:left="1918" w:hanging="241"/>
      </w:pPr>
      <w:rPr>
        <w:rFonts w:hint="default"/>
        <w:lang w:val="en-US" w:eastAsia="en-US" w:bidi="ar-SA"/>
      </w:rPr>
    </w:lvl>
    <w:lvl w:ilvl="5">
      <w:start w:val="0"/>
      <w:numFmt w:val="bullet"/>
      <w:lvlText w:val="•"/>
      <w:lvlJc w:val="left"/>
      <w:pPr>
        <w:ind w:left="2298" w:hanging="241"/>
      </w:pPr>
      <w:rPr>
        <w:rFonts w:hint="default"/>
        <w:lang w:val="en-US" w:eastAsia="en-US" w:bidi="ar-SA"/>
      </w:rPr>
    </w:lvl>
    <w:lvl w:ilvl="6">
      <w:start w:val="0"/>
      <w:numFmt w:val="bullet"/>
      <w:lvlText w:val="•"/>
      <w:lvlJc w:val="left"/>
      <w:pPr>
        <w:ind w:left="2677" w:hanging="241"/>
      </w:pPr>
      <w:rPr>
        <w:rFonts w:hint="default"/>
        <w:lang w:val="en-US" w:eastAsia="en-US" w:bidi="ar-SA"/>
      </w:rPr>
    </w:lvl>
    <w:lvl w:ilvl="7">
      <w:start w:val="0"/>
      <w:numFmt w:val="bullet"/>
      <w:lvlText w:val="•"/>
      <w:lvlJc w:val="left"/>
      <w:pPr>
        <w:ind w:left="3057" w:hanging="241"/>
      </w:pPr>
      <w:rPr>
        <w:rFonts w:hint="default"/>
        <w:lang w:val="en-US" w:eastAsia="en-US" w:bidi="ar-SA"/>
      </w:rPr>
    </w:lvl>
    <w:lvl w:ilvl="8">
      <w:start w:val="0"/>
      <w:numFmt w:val="bullet"/>
      <w:lvlText w:val="•"/>
      <w:lvlJc w:val="left"/>
      <w:pPr>
        <w:ind w:left="3436" w:hanging="241"/>
      </w:pPr>
      <w:rPr>
        <w:rFonts w:hint="default"/>
        <w:lang w:val="en-US" w:eastAsia="en-US" w:bidi="ar-SA"/>
      </w:rPr>
    </w:lvl>
  </w:abstractNum>
  <w:abstractNum w:abstractNumId="6">
    <w:multiLevelType w:val="hybridMultilevel"/>
    <w:lvl w:ilvl="0">
      <w:start w:val="1"/>
      <w:numFmt w:val="lowerLetter"/>
      <w:lvlText w:val="(%1)"/>
      <w:lvlJc w:val="left"/>
      <w:pPr>
        <w:ind w:left="445"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78" w:hanging="241"/>
      </w:pPr>
      <w:rPr>
        <w:rFonts w:hint="default"/>
        <w:lang w:val="en-US" w:eastAsia="en-US" w:bidi="ar-SA"/>
      </w:rPr>
    </w:lvl>
    <w:lvl w:ilvl="2">
      <w:start w:val="0"/>
      <w:numFmt w:val="bullet"/>
      <w:lvlText w:val="•"/>
      <w:lvlJc w:val="left"/>
      <w:pPr>
        <w:ind w:left="1116" w:hanging="241"/>
      </w:pPr>
      <w:rPr>
        <w:rFonts w:hint="default"/>
        <w:lang w:val="en-US" w:eastAsia="en-US" w:bidi="ar-SA"/>
      </w:rPr>
    </w:lvl>
    <w:lvl w:ilvl="3">
      <w:start w:val="0"/>
      <w:numFmt w:val="bullet"/>
      <w:lvlText w:val="•"/>
      <w:lvlJc w:val="left"/>
      <w:pPr>
        <w:ind w:left="1454" w:hanging="241"/>
      </w:pPr>
      <w:rPr>
        <w:rFonts w:hint="default"/>
        <w:lang w:val="en-US" w:eastAsia="en-US" w:bidi="ar-SA"/>
      </w:rPr>
    </w:lvl>
    <w:lvl w:ilvl="4">
      <w:start w:val="0"/>
      <w:numFmt w:val="bullet"/>
      <w:lvlText w:val="•"/>
      <w:lvlJc w:val="left"/>
      <w:pPr>
        <w:ind w:left="1792" w:hanging="241"/>
      </w:pPr>
      <w:rPr>
        <w:rFonts w:hint="default"/>
        <w:lang w:val="en-US" w:eastAsia="en-US" w:bidi="ar-SA"/>
      </w:rPr>
    </w:lvl>
    <w:lvl w:ilvl="5">
      <w:start w:val="0"/>
      <w:numFmt w:val="bullet"/>
      <w:lvlText w:val="•"/>
      <w:lvlJc w:val="left"/>
      <w:pPr>
        <w:ind w:left="2130" w:hanging="241"/>
      </w:pPr>
      <w:rPr>
        <w:rFonts w:hint="default"/>
        <w:lang w:val="en-US" w:eastAsia="en-US" w:bidi="ar-SA"/>
      </w:rPr>
    </w:lvl>
    <w:lvl w:ilvl="6">
      <w:start w:val="0"/>
      <w:numFmt w:val="bullet"/>
      <w:lvlText w:val="•"/>
      <w:lvlJc w:val="left"/>
      <w:pPr>
        <w:ind w:left="2468" w:hanging="241"/>
      </w:pPr>
      <w:rPr>
        <w:rFonts w:hint="default"/>
        <w:lang w:val="en-US" w:eastAsia="en-US" w:bidi="ar-SA"/>
      </w:rPr>
    </w:lvl>
    <w:lvl w:ilvl="7">
      <w:start w:val="0"/>
      <w:numFmt w:val="bullet"/>
      <w:lvlText w:val="•"/>
      <w:lvlJc w:val="left"/>
      <w:pPr>
        <w:ind w:left="2806" w:hanging="241"/>
      </w:pPr>
      <w:rPr>
        <w:rFonts w:hint="default"/>
        <w:lang w:val="en-US" w:eastAsia="en-US" w:bidi="ar-SA"/>
      </w:rPr>
    </w:lvl>
    <w:lvl w:ilvl="8">
      <w:start w:val="0"/>
      <w:numFmt w:val="bullet"/>
      <w:lvlText w:val="•"/>
      <w:lvlJc w:val="left"/>
      <w:pPr>
        <w:ind w:left="3144" w:hanging="241"/>
      </w:pPr>
      <w:rPr>
        <w:rFonts w:hint="default"/>
        <w:lang w:val="en-US" w:eastAsia="en-US" w:bidi="ar-SA"/>
      </w:rPr>
    </w:lvl>
  </w:abstractNum>
  <w:abstractNum w:abstractNumId="5">
    <w:multiLevelType w:val="hybridMultilevel"/>
    <w:lvl w:ilvl="0">
      <w:start w:val="1"/>
      <w:numFmt w:val="lowerLetter"/>
      <w:lvlText w:val="(%1)"/>
      <w:lvlJc w:val="left"/>
      <w:pPr>
        <w:ind w:left="40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22" w:hanging="241"/>
      </w:pPr>
      <w:rPr>
        <w:rFonts w:hint="default"/>
        <w:lang w:val="en-US" w:eastAsia="en-US" w:bidi="ar-SA"/>
      </w:rPr>
    </w:lvl>
    <w:lvl w:ilvl="2">
      <w:start w:val="0"/>
      <w:numFmt w:val="bullet"/>
      <w:lvlText w:val="•"/>
      <w:lvlJc w:val="left"/>
      <w:pPr>
        <w:ind w:left="1044" w:hanging="241"/>
      </w:pPr>
      <w:rPr>
        <w:rFonts w:hint="default"/>
        <w:lang w:val="en-US" w:eastAsia="en-US" w:bidi="ar-SA"/>
      </w:rPr>
    </w:lvl>
    <w:lvl w:ilvl="3">
      <w:start w:val="0"/>
      <w:numFmt w:val="bullet"/>
      <w:lvlText w:val="•"/>
      <w:lvlJc w:val="left"/>
      <w:pPr>
        <w:ind w:left="1367" w:hanging="241"/>
      </w:pPr>
      <w:rPr>
        <w:rFonts w:hint="default"/>
        <w:lang w:val="en-US" w:eastAsia="en-US" w:bidi="ar-SA"/>
      </w:rPr>
    </w:lvl>
    <w:lvl w:ilvl="4">
      <w:start w:val="0"/>
      <w:numFmt w:val="bullet"/>
      <w:lvlText w:val="•"/>
      <w:lvlJc w:val="left"/>
      <w:pPr>
        <w:ind w:left="1689" w:hanging="241"/>
      </w:pPr>
      <w:rPr>
        <w:rFonts w:hint="default"/>
        <w:lang w:val="en-US" w:eastAsia="en-US" w:bidi="ar-SA"/>
      </w:rPr>
    </w:lvl>
    <w:lvl w:ilvl="5">
      <w:start w:val="0"/>
      <w:numFmt w:val="bullet"/>
      <w:lvlText w:val="•"/>
      <w:lvlJc w:val="left"/>
      <w:pPr>
        <w:ind w:left="2012" w:hanging="241"/>
      </w:pPr>
      <w:rPr>
        <w:rFonts w:hint="default"/>
        <w:lang w:val="en-US" w:eastAsia="en-US" w:bidi="ar-SA"/>
      </w:rPr>
    </w:lvl>
    <w:lvl w:ilvl="6">
      <w:start w:val="0"/>
      <w:numFmt w:val="bullet"/>
      <w:lvlText w:val="•"/>
      <w:lvlJc w:val="left"/>
      <w:pPr>
        <w:ind w:left="2334" w:hanging="241"/>
      </w:pPr>
      <w:rPr>
        <w:rFonts w:hint="default"/>
        <w:lang w:val="en-US" w:eastAsia="en-US" w:bidi="ar-SA"/>
      </w:rPr>
    </w:lvl>
    <w:lvl w:ilvl="7">
      <w:start w:val="0"/>
      <w:numFmt w:val="bullet"/>
      <w:lvlText w:val="•"/>
      <w:lvlJc w:val="left"/>
      <w:pPr>
        <w:ind w:left="2657" w:hanging="241"/>
      </w:pPr>
      <w:rPr>
        <w:rFonts w:hint="default"/>
        <w:lang w:val="en-US" w:eastAsia="en-US" w:bidi="ar-SA"/>
      </w:rPr>
    </w:lvl>
    <w:lvl w:ilvl="8">
      <w:start w:val="0"/>
      <w:numFmt w:val="bullet"/>
      <w:lvlText w:val="•"/>
      <w:lvlJc w:val="left"/>
      <w:pPr>
        <w:ind w:left="2979" w:hanging="241"/>
      </w:pPr>
      <w:rPr>
        <w:rFonts w:hint="default"/>
        <w:lang w:val="en-US" w:eastAsia="en-US" w:bidi="ar-SA"/>
      </w:rPr>
    </w:lvl>
  </w:abstractNum>
  <w:abstractNum w:abstractNumId="4">
    <w:multiLevelType w:val="hybridMultilevel"/>
    <w:lvl w:ilvl="0">
      <w:start w:val="1"/>
      <w:numFmt w:val="lowerLetter"/>
      <w:lvlText w:val="(%1)"/>
      <w:lvlJc w:val="left"/>
      <w:pPr>
        <w:ind w:left="425"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38" w:hanging="241"/>
      </w:pPr>
      <w:rPr>
        <w:rFonts w:hint="default"/>
        <w:lang w:val="en-US" w:eastAsia="en-US" w:bidi="ar-SA"/>
      </w:rPr>
    </w:lvl>
    <w:lvl w:ilvl="2">
      <w:start w:val="0"/>
      <w:numFmt w:val="bullet"/>
      <w:lvlText w:val="•"/>
      <w:lvlJc w:val="left"/>
      <w:pPr>
        <w:ind w:left="1057" w:hanging="241"/>
      </w:pPr>
      <w:rPr>
        <w:rFonts w:hint="default"/>
        <w:lang w:val="en-US" w:eastAsia="en-US" w:bidi="ar-SA"/>
      </w:rPr>
    </w:lvl>
    <w:lvl w:ilvl="3">
      <w:start w:val="0"/>
      <w:numFmt w:val="bullet"/>
      <w:lvlText w:val="•"/>
      <w:lvlJc w:val="left"/>
      <w:pPr>
        <w:ind w:left="1375" w:hanging="241"/>
      </w:pPr>
      <w:rPr>
        <w:rFonts w:hint="default"/>
        <w:lang w:val="en-US" w:eastAsia="en-US" w:bidi="ar-SA"/>
      </w:rPr>
    </w:lvl>
    <w:lvl w:ilvl="4">
      <w:start w:val="0"/>
      <w:numFmt w:val="bullet"/>
      <w:lvlText w:val="•"/>
      <w:lvlJc w:val="left"/>
      <w:pPr>
        <w:ind w:left="1694" w:hanging="241"/>
      </w:pPr>
      <w:rPr>
        <w:rFonts w:hint="default"/>
        <w:lang w:val="en-US" w:eastAsia="en-US" w:bidi="ar-SA"/>
      </w:rPr>
    </w:lvl>
    <w:lvl w:ilvl="5">
      <w:start w:val="0"/>
      <w:numFmt w:val="bullet"/>
      <w:lvlText w:val="•"/>
      <w:lvlJc w:val="left"/>
      <w:pPr>
        <w:ind w:left="2013" w:hanging="241"/>
      </w:pPr>
      <w:rPr>
        <w:rFonts w:hint="default"/>
        <w:lang w:val="en-US" w:eastAsia="en-US" w:bidi="ar-SA"/>
      </w:rPr>
    </w:lvl>
    <w:lvl w:ilvl="6">
      <w:start w:val="0"/>
      <w:numFmt w:val="bullet"/>
      <w:lvlText w:val="•"/>
      <w:lvlJc w:val="left"/>
      <w:pPr>
        <w:ind w:left="2331" w:hanging="241"/>
      </w:pPr>
      <w:rPr>
        <w:rFonts w:hint="default"/>
        <w:lang w:val="en-US" w:eastAsia="en-US" w:bidi="ar-SA"/>
      </w:rPr>
    </w:lvl>
    <w:lvl w:ilvl="7">
      <w:start w:val="0"/>
      <w:numFmt w:val="bullet"/>
      <w:lvlText w:val="•"/>
      <w:lvlJc w:val="left"/>
      <w:pPr>
        <w:ind w:left="2650" w:hanging="241"/>
      </w:pPr>
      <w:rPr>
        <w:rFonts w:hint="default"/>
        <w:lang w:val="en-US" w:eastAsia="en-US" w:bidi="ar-SA"/>
      </w:rPr>
    </w:lvl>
    <w:lvl w:ilvl="8">
      <w:start w:val="0"/>
      <w:numFmt w:val="bullet"/>
      <w:lvlText w:val="•"/>
      <w:lvlJc w:val="left"/>
      <w:pPr>
        <w:ind w:left="2969" w:hanging="241"/>
      </w:pPr>
      <w:rPr>
        <w:rFonts w:hint="default"/>
        <w:lang w:val="en-US" w:eastAsia="en-US" w:bidi="ar-SA"/>
      </w:rPr>
    </w:lvl>
  </w:abstractNum>
  <w:abstractNum w:abstractNumId="3">
    <w:multiLevelType w:val="hybridMultilevel"/>
    <w:lvl w:ilvl="0">
      <w:start w:val="1"/>
      <w:numFmt w:val="decimal"/>
      <w:lvlText w:val="(%1)"/>
      <w:lvlJc w:val="left"/>
      <w:pPr>
        <w:ind w:left="420" w:hanging="241"/>
        <w:jc w:val="left"/>
      </w:pPr>
      <w:rPr>
        <w:rFonts w:hint="default" w:ascii="Times New Roman" w:hAnsi="Times New Roman" w:eastAsia="Times New Roman" w:cs="Times New Roman"/>
        <w:spacing w:val="-1"/>
        <w:w w:val="100"/>
        <w:sz w:val="16"/>
        <w:szCs w:val="16"/>
        <w:lang w:val="en-US" w:eastAsia="en-US" w:bidi="ar-SA"/>
      </w:rPr>
    </w:lvl>
    <w:lvl w:ilvl="1">
      <w:start w:val="1"/>
      <w:numFmt w:val="lowerLetter"/>
      <w:lvlText w:val="(%2)"/>
      <w:lvlJc w:val="left"/>
      <w:pPr>
        <w:ind w:left="405" w:hanging="241"/>
        <w:jc w:val="left"/>
      </w:pPr>
      <w:rPr>
        <w:rFonts w:hint="default" w:ascii="Times New Roman" w:hAnsi="Times New Roman" w:eastAsia="Times New Roman" w:cs="Times New Roman"/>
        <w:spacing w:val="-14"/>
        <w:w w:val="100"/>
        <w:sz w:val="12"/>
        <w:szCs w:val="12"/>
        <w:lang w:val="en-US" w:eastAsia="en-US" w:bidi="ar-SA"/>
      </w:rPr>
    </w:lvl>
    <w:lvl w:ilvl="2">
      <w:start w:val="0"/>
      <w:numFmt w:val="bullet"/>
      <w:lvlText w:val="•"/>
      <w:lvlJc w:val="left"/>
      <w:pPr>
        <w:ind w:left="264" w:hanging="241"/>
      </w:pPr>
      <w:rPr>
        <w:rFonts w:hint="default"/>
        <w:lang w:val="en-US" w:eastAsia="en-US" w:bidi="ar-SA"/>
      </w:rPr>
    </w:lvl>
    <w:lvl w:ilvl="3">
      <w:start w:val="0"/>
      <w:numFmt w:val="bullet"/>
      <w:lvlText w:val="•"/>
      <w:lvlJc w:val="left"/>
      <w:pPr>
        <w:ind w:left="108" w:hanging="241"/>
      </w:pPr>
      <w:rPr>
        <w:rFonts w:hint="default"/>
        <w:lang w:val="en-US" w:eastAsia="en-US" w:bidi="ar-SA"/>
      </w:rPr>
    </w:lvl>
    <w:lvl w:ilvl="4">
      <w:start w:val="0"/>
      <w:numFmt w:val="bullet"/>
      <w:lvlText w:val="•"/>
      <w:lvlJc w:val="left"/>
      <w:pPr>
        <w:ind w:left="-47" w:hanging="241"/>
      </w:pPr>
      <w:rPr>
        <w:rFonts w:hint="default"/>
        <w:lang w:val="en-US" w:eastAsia="en-US" w:bidi="ar-SA"/>
      </w:rPr>
    </w:lvl>
    <w:lvl w:ilvl="5">
      <w:start w:val="0"/>
      <w:numFmt w:val="bullet"/>
      <w:lvlText w:val="•"/>
      <w:lvlJc w:val="left"/>
      <w:pPr>
        <w:ind w:left="-203" w:hanging="241"/>
      </w:pPr>
      <w:rPr>
        <w:rFonts w:hint="default"/>
        <w:lang w:val="en-US" w:eastAsia="en-US" w:bidi="ar-SA"/>
      </w:rPr>
    </w:lvl>
    <w:lvl w:ilvl="6">
      <w:start w:val="0"/>
      <w:numFmt w:val="bullet"/>
      <w:lvlText w:val="•"/>
      <w:lvlJc w:val="left"/>
      <w:pPr>
        <w:ind w:left="-358" w:hanging="241"/>
      </w:pPr>
      <w:rPr>
        <w:rFonts w:hint="default"/>
        <w:lang w:val="en-US" w:eastAsia="en-US" w:bidi="ar-SA"/>
      </w:rPr>
    </w:lvl>
    <w:lvl w:ilvl="7">
      <w:start w:val="0"/>
      <w:numFmt w:val="bullet"/>
      <w:lvlText w:val="•"/>
      <w:lvlJc w:val="left"/>
      <w:pPr>
        <w:ind w:left="-514" w:hanging="241"/>
      </w:pPr>
      <w:rPr>
        <w:rFonts w:hint="default"/>
        <w:lang w:val="en-US" w:eastAsia="en-US" w:bidi="ar-SA"/>
      </w:rPr>
    </w:lvl>
    <w:lvl w:ilvl="8">
      <w:start w:val="0"/>
      <w:numFmt w:val="bullet"/>
      <w:lvlText w:val="•"/>
      <w:lvlJc w:val="left"/>
      <w:pPr>
        <w:ind w:left="-670" w:hanging="241"/>
      </w:pPr>
      <w:rPr>
        <w:rFonts w:hint="default"/>
        <w:lang w:val="en-US" w:eastAsia="en-US" w:bidi="ar-SA"/>
      </w:rPr>
    </w:lvl>
  </w:abstractNum>
  <w:abstractNum w:abstractNumId="2">
    <w:multiLevelType w:val="hybridMultilevel"/>
    <w:lvl w:ilvl="0">
      <w:start w:val="1"/>
      <w:numFmt w:val="decimal"/>
      <w:lvlText w:val="%1"/>
      <w:lvlJc w:val="left"/>
      <w:pPr>
        <w:ind w:left="3329" w:hanging="3170"/>
        <w:jc w:val="left"/>
      </w:pPr>
      <w:rPr>
        <w:rFonts w:hint="default"/>
        <w:lang w:val="en-US" w:eastAsia="en-US" w:bidi="ar-SA"/>
      </w:rPr>
    </w:lvl>
    <w:lvl w:ilvl="1">
      <w:start w:val="1"/>
      <w:numFmt w:val="decimal"/>
      <w:lvlText w:val="%1.%2"/>
      <w:lvlJc w:val="left"/>
      <w:pPr>
        <w:ind w:left="3329" w:hanging="3170"/>
        <w:jc w:val="right"/>
      </w:pPr>
      <w:rPr>
        <w:rFonts w:hint="default" w:ascii="Times New Roman" w:hAnsi="Times New Roman" w:eastAsia="Times New Roman" w:cs="Times New Roman"/>
        <w:b/>
        <w:bCs/>
        <w:color w:val="009391"/>
        <w:spacing w:val="-5"/>
        <w:w w:val="100"/>
        <w:sz w:val="28"/>
        <w:szCs w:val="28"/>
        <w:u w:val="thick" w:color="0092C7"/>
        <w:lang w:val="en-US" w:eastAsia="en-US" w:bidi="ar-SA"/>
      </w:rPr>
    </w:lvl>
    <w:lvl w:ilvl="2">
      <w:start w:val="1"/>
      <w:numFmt w:val="decimal"/>
      <w:lvlText w:val="(%3)"/>
      <w:lvlJc w:val="left"/>
      <w:pPr>
        <w:ind w:left="5194" w:hanging="241"/>
        <w:jc w:val="left"/>
      </w:pPr>
      <w:rPr>
        <w:rFonts w:hint="default" w:ascii="Times New Roman" w:hAnsi="Times New Roman" w:eastAsia="Times New Roman" w:cs="Times New Roman"/>
        <w:spacing w:val="-1"/>
        <w:w w:val="100"/>
        <w:sz w:val="16"/>
        <w:szCs w:val="16"/>
        <w:lang w:val="en-US" w:eastAsia="en-US" w:bidi="ar-SA"/>
      </w:rPr>
    </w:lvl>
    <w:lvl w:ilvl="3">
      <w:start w:val="0"/>
      <w:numFmt w:val="bullet"/>
      <w:lvlText w:val="•"/>
      <w:lvlJc w:val="left"/>
      <w:pPr>
        <w:ind w:left="5333" w:hanging="241"/>
      </w:pPr>
      <w:rPr>
        <w:rFonts w:hint="default"/>
        <w:lang w:val="en-US" w:eastAsia="en-US" w:bidi="ar-SA"/>
      </w:rPr>
    </w:lvl>
    <w:lvl w:ilvl="4">
      <w:start w:val="0"/>
      <w:numFmt w:val="bullet"/>
      <w:lvlText w:val="•"/>
      <w:lvlJc w:val="left"/>
      <w:pPr>
        <w:ind w:left="5400" w:hanging="241"/>
      </w:pPr>
      <w:rPr>
        <w:rFonts w:hint="default"/>
        <w:lang w:val="en-US" w:eastAsia="en-US" w:bidi="ar-SA"/>
      </w:rPr>
    </w:lvl>
    <w:lvl w:ilvl="5">
      <w:start w:val="0"/>
      <w:numFmt w:val="bullet"/>
      <w:lvlText w:val="•"/>
      <w:lvlJc w:val="left"/>
      <w:pPr>
        <w:ind w:left="5466" w:hanging="241"/>
      </w:pPr>
      <w:rPr>
        <w:rFonts w:hint="default"/>
        <w:lang w:val="en-US" w:eastAsia="en-US" w:bidi="ar-SA"/>
      </w:rPr>
    </w:lvl>
    <w:lvl w:ilvl="6">
      <w:start w:val="0"/>
      <w:numFmt w:val="bullet"/>
      <w:lvlText w:val="•"/>
      <w:lvlJc w:val="left"/>
      <w:pPr>
        <w:ind w:left="5533" w:hanging="241"/>
      </w:pPr>
      <w:rPr>
        <w:rFonts w:hint="default"/>
        <w:lang w:val="en-US" w:eastAsia="en-US" w:bidi="ar-SA"/>
      </w:rPr>
    </w:lvl>
    <w:lvl w:ilvl="7">
      <w:start w:val="0"/>
      <w:numFmt w:val="bullet"/>
      <w:lvlText w:val="•"/>
      <w:lvlJc w:val="left"/>
      <w:pPr>
        <w:ind w:left="5600" w:hanging="241"/>
      </w:pPr>
      <w:rPr>
        <w:rFonts w:hint="default"/>
        <w:lang w:val="en-US" w:eastAsia="en-US" w:bidi="ar-SA"/>
      </w:rPr>
    </w:lvl>
    <w:lvl w:ilvl="8">
      <w:start w:val="0"/>
      <w:numFmt w:val="bullet"/>
      <w:lvlText w:val="•"/>
      <w:lvlJc w:val="left"/>
      <w:pPr>
        <w:ind w:left="5666" w:hanging="241"/>
      </w:pPr>
      <w:rPr>
        <w:rFonts w:hint="default"/>
        <w:lang w:val="en-US" w:eastAsia="en-US" w:bidi="ar-SA"/>
      </w:rPr>
    </w:lvl>
  </w:abstractNum>
  <w:abstractNum w:abstractNumId="1">
    <w:multiLevelType w:val="hybridMultilevel"/>
    <w:lvl w:ilvl="0">
      <w:start w:val="1"/>
      <w:numFmt w:val="lowerLetter"/>
      <w:lvlText w:val="(%1)"/>
      <w:lvlJc w:val="left"/>
      <w:pPr>
        <w:ind w:left="40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83" w:hanging="241"/>
      </w:pPr>
      <w:rPr>
        <w:rFonts w:hint="default"/>
        <w:lang w:val="en-US" w:eastAsia="en-US" w:bidi="ar-SA"/>
      </w:rPr>
    </w:lvl>
    <w:lvl w:ilvl="2">
      <w:start w:val="0"/>
      <w:numFmt w:val="bullet"/>
      <w:lvlText w:val="•"/>
      <w:lvlJc w:val="left"/>
      <w:pPr>
        <w:ind w:left="1166" w:hanging="241"/>
      </w:pPr>
      <w:rPr>
        <w:rFonts w:hint="default"/>
        <w:lang w:val="en-US" w:eastAsia="en-US" w:bidi="ar-SA"/>
      </w:rPr>
    </w:lvl>
    <w:lvl w:ilvl="3">
      <w:start w:val="0"/>
      <w:numFmt w:val="bullet"/>
      <w:lvlText w:val="•"/>
      <w:lvlJc w:val="left"/>
      <w:pPr>
        <w:ind w:left="1549" w:hanging="241"/>
      </w:pPr>
      <w:rPr>
        <w:rFonts w:hint="default"/>
        <w:lang w:val="en-US" w:eastAsia="en-US" w:bidi="ar-SA"/>
      </w:rPr>
    </w:lvl>
    <w:lvl w:ilvl="4">
      <w:start w:val="0"/>
      <w:numFmt w:val="bullet"/>
      <w:lvlText w:val="•"/>
      <w:lvlJc w:val="left"/>
      <w:pPr>
        <w:ind w:left="1932" w:hanging="241"/>
      </w:pPr>
      <w:rPr>
        <w:rFonts w:hint="default"/>
        <w:lang w:val="en-US" w:eastAsia="en-US" w:bidi="ar-SA"/>
      </w:rPr>
    </w:lvl>
    <w:lvl w:ilvl="5">
      <w:start w:val="0"/>
      <w:numFmt w:val="bullet"/>
      <w:lvlText w:val="•"/>
      <w:lvlJc w:val="left"/>
      <w:pPr>
        <w:ind w:left="2315" w:hanging="241"/>
      </w:pPr>
      <w:rPr>
        <w:rFonts w:hint="default"/>
        <w:lang w:val="en-US" w:eastAsia="en-US" w:bidi="ar-SA"/>
      </w:rPr>
    </w:lvl>
    <w:lvl w:ilvl="6">
      <w:start w:val="0"/>
      <w:numFmt w:val="bullet"/>
      <w:lvlText w:val="•"/>
      <w:lvlJc w:val="left"/>
      <w:pPr>
        <w:ind w:left="2698" w:hanging="241"/>
      </w:pPr>
      <w:rPr>
        <w:rFonts w:hint="default"/>
        <w:lang w:val="en-US" w:eastAsia="en-US" w:bidi="ar-SA"/>
      </w:rPr>
    </w:lvl>
    <w:lvl w:ilvl="7">
      <w:start w:val="0"/>
      <w:numFmt w:val="bullet"/>
      <w:lvlText w:val="•"/>
      <w:lvlJc w:val="left"/>
      <w:pPr>
        <w:ind w:left="3081" w:hanging="241"/>
      </w:pPr>
      <w:rPr>
        <w:rFonts w:hint="default"/>
        <w:lang w:val="en-US" w:eastAsia="en-US" w:bidi="ar-SA"/>
      </w:rPr>
    </w:lvl>
    <w:lvl w:ilvl="8">
      <w:start w:val="0"/>
      <w:numFmt w:val="bullet"/>
      <w:lvlText w:val="•"/>
      <w:lvlJc w:val="left"/>
      <w:pPr>
        <w:ind w:left="3465" w:hanging="241"/>
      </w:pPr>
      <w:rPr>
        <w:rFonts w:hint="default"/>
        <w:lang w:val="en-US" w:eastAsia="en-US" w:bidi="ar-SA"/>
      </w:rPr>
    </w:lvl>
  </w:abstractNum>
  <w:abstractNum w:abstractNumId="0">
    <w:multiLevelType w:val="hybridMultilevel"/>
    <w:lvl w:ilvl="0">
      <w:start w:val="1"/>
      <w:numFmt w:val="decimal"/>
      <w:lvlText w:val="%1"/>
      <w:lvlJc w:val="left"/>
      <w:pPr>
        <w:ind w:left="5374" w:hanging="380"/>
        <w:jc w:val="left"/>
      </w:pPr>
      <w:rPr>
        <w:rFonts w:hint="default" w:ascii="Times New Roman" w:hAnsi="Times New Roman" w:eastAsia="Times New Roman" w:cs="Times New Roman"/>
        <w:b/>
        <w:bCs/>
        <w:color w:val="0092C7"/>
        <w:spacing w:val="-6"/>
        <w:w w:val="100"/>
        <w:sz w:val="24"/>
        <w:szCs w:val="24"/>
        <w:lang w:val="en-US" w:eastAsia="en-US" w:bidi="ar-SA"/>
      </w:rPr>
    </w:lvl>
    <w:lvl w:ilvl="1">
      <w:start w:val="1"/>
      <w:numFmt w:val="decimal"/>
      <w:lvlText w:val="%1.%2"/>
      <w:lvlJc w:val="left"/>
      <w:pPr>
        <w:ind w:left="5934" w:hanging="560"/>
        <w:jc w:val="left"/>
      </w:pPr>
      <w:rPr>
        <w:rFonts w:hint="default" w:ascii="Times New Roman" w:hAnsi="Times New Roman" w:eastAsia="Times New Roman" w:cs="Times New Roman"/>
        <w:b/>
        <w:bCs/>
        <w:spacing w:val="-5"/>
        <w:w w:val="100"/>
        <w:sz w:val="24"/>
        <w:szCs w:val="24"/>
        <w:lang w:val="en-US" w:eastAsia="en-US" w:bidi="ar-SA"/>
      </w:rPr>
    </w:lvl>
    <w:lvl w:ilvl="2">
      <w:start w:val="0"/>
      <w:numFmt w:val="bullet"/>
      <w:lvlText w:val="•"/>
      <w:lvlJc w:val="left"/>
      <w:pPr>
        <w:ind w:left="5940" w:hanging="560"/>
      </w:pPr>
      <w:rPr>
        <w:rFonts w:hint="default"/>
        <w:lang w:val="en-US" w:eastAsia="en-US" w:bidi="ar-SA"/>
      </w:rPr>
    </w:lvl>
    <w:lvl w:ilvl="3">
      <w:start w:val="0"/>
      <w:numFmt w:val="bullet"/>
      <w:lvlText w:val="•"/>
      <w:lvlJc w:val="left"/>
      <w:pPr>
        <w:ind w:left="6525" w:hanging="560"/>
      </w:pPr>
      <w:rPr>
        <w:rFonts w:hint="default"/>
        <w:lang w:val="en-US" w:eastAsia="en-US" w:bidi="ar-SA"/>
      </w:rPr>
    </w:lvl>
    <w:lvl w:ilvl="4">
      <w:start w:val="0"/>
      <w:numFmt w:val="bullet"/>
      <w:lvlText w:val="•"/>
      <w:lvlJc w:val="left"/>
      <w:pPr>
        <w:ind w:left="7110" w:hanging="560"/>
      </w:pPr>
      <w:rPr>
        <w:rFonts w:hint="default"/>
        <w:lang w:val="en-US" w:eastAsia="en-US" w:bidi="ar-SA"/>
      </w:rPr>
    </w:lvl>
    <w:lvl w:ilvl="5">
      <w:start w:val="0"/>
      <w:numFmt w:val="bullet"/>
      <w:lvlText w:val="•"/>
      <w:lvlJc w:val="left"/>
      <w:pPr>
        <w:ind w:left="7695" w:hanging="560"/>
      </w:pPr>
      <w:rPr>
        <w:rFonts w:hint="default"/>
        <w:lang w:val="en-US" w:eastAsia="en-US" w:bidi="ar-SA"/>
      </w:rPr>
    </w:lvl>
    <w:lvl w:ilvl="6">
      <w:start w:val="0"/>
      <w:numFmt w:val="bullet"/>
      <w:lvlText w:val="•"/>
      <w:lvlJc w:val="left"/>
      <w:pPr>
        <w:ind w:left="8280" w:hanging="560"/>
      </w:pPr>
      <w:rPr>
        <w:rFonts w:hint="default"/>
        <w:lang w:val="en-US" w:eastAsia="en-US" w:bidi="ar-SA"/>
      </w:rPr>
    </w:lvl>
    <w:lvl w:ilvl="7">
      <w:start w:val="0"/>
      <w:numFmt w:val="bullet"/>
      <w:lvlText w:val="•"/>
      <w:lvlJc w:val="left"/>
      <w:pPr>
        <w:ind w:left="8865" w:hanging="560"/>
      </w:pPr>
      <w:rPr>
        <w:rFonts w:hint="default"/>
        <w:lang w:val="en-US" w:eastAsia="en-US" w:bidi="ar-SA"/>
      </w:rPr>
    </w:lvl>
    <w:lvl w:ilvl="8">
      <w:start w:val="0"/>
      <w:numFmt w:val="bullet"/>
      <w:lvlText w:val="•"/>
      <w:lvlJc w:val="left"/>
      <w:pPr>
        <w:ind w:left="9450" w:hanging="560"/>
      </w:pPr>
      <w:rPr>
        <w:rFonts w:hint="default"/>
        <w:lang w:val="en-US" w:eastAsia="en-US" w:bidi="ar-SA"/>
      </w:rPr>
    </w:lvl>
  </w:abstractNum>
  <w:num w:numId="40">
    <w:abstractNumId w:val="39"/>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64"/>
      <w:ind w:left="5374" w:hanging="381"/>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44"/>
      <w:ind w:left="5934" w:hanging="561"/>
    </w:pPr>
    <w:rPr>
      <w:rFonts w:ascii="Times New Roman" w:hAnsi="Times New Roman" w:eastAsia="Times New Roman" w:cs="Times New Roman"/>
      <w:b/>
      <w:bCs/>
      <w:sz w:val="24"/>
      <w:szCs w:val="24"/>
      <w:lang w:val="en-US" w:eastAsia="en-US" w:bidi="ar-SA"/>
    </w:rPr>
  </w:style>
  <w:style w:styleId="TOC3" w:type="paragraph">
    <w:name w:val="TOC 3"/>
    <w:basedOn w:val="Normal"/>
    <w:uiPriority w:val="1"/>
    <w:qFormat/>
    <w:pPr>
      <w:spacing w:before="44"/>
      <w:ind w:left="6234"/>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Heading1" w:type="paragraph">
    <w:name w:val="Heading 1"/>
    <w:basedOn w:val="Normal"/>
    <w:uiPriority w:val="1"/>
    <w:qFormat/>
    <w:pPr>
      <w:ind w:left="1975"/>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185"/>
      <w:outlineLvl w:val="2"/>
    </w:pPr>
    <w:rPr>
      <w:rFonts w:ascii="Times New Roman" w:hAnsi="Times New Roman" w:eastAsia="Times New Roman" w:cs="Times New Roman"/>
      <w:i/>
      <w:sz w:val="24"/>
      <w:szCs w:val="24"/>
      <w:lang w:val="en-US" w:eastAsia="en-US" w:bidi="ar-SA"/>
    </w:rPr>
  </w:style>
  <w:style w:styleId="Heading3" w:type="paragraph">
    <w:name w:val="Heading 3"/>
    <w:basedOn w:val="Normal"/>
    <w:uiPriority w:val="1"/>
    <w:qFormat/>
    <w:pPr>
      <w:ind w:left="400" w:right="15"/>
      <w:outlineLvl w:val="3"/>
    </w:pPr>
    <w:rPr>
      <w:rFonts w:ascii="Times New Roman" w:hAnsi="Times New Roman" w:eastAsia="Times New Roman" w:cs="Times New Roman"/>
      <w:sz w:val="23"/>
      <w:szCs w:val="23"/>
      <w:lang w:val="en-US" w:eastAsia="en-US" w:bidi="ar-SA"/>
    </w:rPr>
  </w:style>
  <w:style w:styleId="Heading4" w:type="paragraph">
    <w:name w:val="Heading 4"/>
    <w:basedOn w:val="Normal"/>
    <w:uiPriority w:val="1"/>
    <w:qFormat/>
    <w:pPr>
      <w:ind w:left="174"/>
      <w:outlineLvl w:val="4"/>
    </w:pPr>
    <w:rPr>
      <w:rFonts w:ascii="Times New Roman" w:hAnsi="Times New Roman" w:eastAsia="Times New Roman" w:cs="Times New Roman"/>
      <w:b/>
      <w:bCs/>
      <w:sz w:val="22"/>
      <w:szCs w:val="22"/>
      <w:lang w:val="en-US" w:eastAsia="en-US" w:bidi="ar-SA"/>
    </w:rPr>
  </w:style>
  <w:style w:styleId="Heading5" w:type="paragraph">
    <w:name w:val="Heading 5"/>
    <w:basedOn w:val="Normal"/>
    <w:uiPriority w:val="1"/>
    <w:qFormat/>
    <w:pPr>
      <w:ind w:left="182" w:right="201"/>
      <w:outlineLvl w:val="5"/>
    </w:pPr>
    <w:rPr>
      <w:rFonts w:ascii="Times New Roman" w:hAnsi="Times New Roman" w:eastAsia="Times New Roman" w:cs="Times New Roman"/>
      <w:sz w:val="22"/>
      <w:szCs w:val="22"/>
      <w:lang w:val="en-US" w:eastAsia="en-US" w:bidi="ar-SA"/>
    </w:rPr>
  </w:style>
  <w:style w:styleId="Heading6" w:type="paragraph">
    <w:name w:val="Heading 6"/>
    <w:basedOn w:val="Normal"/>
    <w:uiPriority w:val="1"/>
    <w:qFormat/>
    <w:pPr>
      <w:spacing w:before="10"/>
      <w:ind w:left="180"/>
      <w:outlineLvl w:val="6"/>
    </w:pPr>
    <w:rPr>
      <w:rFonts w:ascii="Times New Roman" w:hAnsi="Times New Roman" w:eastAsia="Times New Roman" w:cs="Times New Roman"/>
      <w:b/>
      <w:bCs/>
      <w:sz w:val="20"/>
      <w:szCs w:val="20"/>
      <w:lang w:val="en-US" w:eastAsia="en-US" w:bidi="ar-SA"/>
    </w:rPr>
  </w:style>
  <w:style w:styleId="Heading7" w:type="paragraph">
    <w:name w:val="Heading 7"/>
    <w:basedOn w:val="Normal"/>
    <w:uiPriority w:val="1"/>
    <w:qFormat/>
    <w:pPr>
      <w:ind w:left="405" w:right="397"/>
      <w:outlineLvl w:val="7"/>
    </w:pPr>
    <w:rPr>
      <w:rFonts w:ascii="Times New Roman" w:hAnsi="Times New Roman" w:eastAsia="Times New Roman" w:cs="Times New Roman"/>
      <w:sz w:val="20"/>
      <w:szCs w:val="20"/>
      <w:lang w:val="en-US" w:eastAsia="en-US" w:bidi="ar-SA"/>
    </w:rPr>
  </w:style>
  <w:style w:styleId="Heading8" w:type="paragraph">
    <w:name w:val="Heading 8"/>
    <w:basedOn w:val="Normal"/>
    <w:uiPriority w:val="1"/>
    <w:qFormat/>
    <w:pPr>
      <w:spacing w:before="11"/>
      <w:ind w:left="580"/>
      <w:outlineLvl w:val="8"/>
    </w:pPr>
    <w:rPr>
      <w:rFonts w:ascii="Times New Roman" w:hAnsi="Times New Roman" w:eastAsia="Times New Roman" w:cs="Times New Roman"/>
      <w:sz w:val="19"/>
      <w:szCs w:val="19"/>
      <w:lang w:val="en-US" w:eastAsia="en-US" w:bidi="ar-SA"/>
    </w:rPr>
  </w:style>
  <w:style w:styleId="Heading9" w:type="paragraph">
    <w:name w:val="Heading 9"/>
    <w:basedOn w:val="Normal"/>
    <w:uiPriority w:val="1"/>
    <w:qFormat/>
    <w:pPr>
      <w:ind w:left="180"/>
      <w:outlineLvl w:val="9"/>
    </w:pPr>
    <w:rPr>
      <w:rFonts w:ascii="Times New Roman" w:hAnsi="Times New Roman" w:eastAsia="Times New Roman" w:cs="Times New Roman"/>
      <w:b/>
      <w:bCs/>
      <w:sz w:val="18"/>
      <w:szCs w:val="18"/>
      <w:lang w:val="en-US" w:eastAsia="en-US" w:bidi="ar-SA"/>
    </w:rPr>
  </w:style>
  <w:style w:styleId="Title" w:type="paragraph">
    <w:name w:val="Title"/>
    <w:basedOn w:val="Normal"/>
    <w:uiPriority w:val="1"/>
    <w:qFormat/>
    <w:pPr>
      <w:spacing w:before="49"/>
      <w:ind w:left="3810"/>
    </w:pPr>
    <w:rPr>
      <w:rFonts w:ascii="Times New Roman" w:hAnsi="Times New Roman" w:eastAsia="Times New Roman" w:cs="Times New Roman"/>
      <w:b/>
      <w:bCs/>
      <w:sz w:val="72"/>
      <w:szCs w:val="72"/>
      <w:lang w:val="en-US" w:eastAsia="en-US" w:bidi="ar-SA"/>
    </w:rPr>
  </w:style>
  <w:style w:styleId="ListParagraph" w:type="paragraph">
    <w:name w:val="List Paragraph"/>
    <w:basedOn w:val="Normal"/>
    <w:uiPriority w:val="1"/>
    <w:qFormat/>
    <w:pPr>
      <w:ind w:left="174"/>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20"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www.bankofengland.co.uk/inflationreport/infrep.htm" TargetMode="External"/><Relationship Id="rId6" Type="http://schemas.openxmlformats.org/officeDocument/2006/relationships/hyperlink" Target="http://www.bankofengland.co.uk/inflationreport/index.htm"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header" Target="header4.xml"/><Relationship Id="rId14" Type="http://schemas.openxmlformats.org/officeDocument/2006/relationships/footer" Target="footer4.xml"/><Relationship Id="rId15" Type="http://schemas.openxmlformats.org/officeDocument/2006/relationships/header" Target="header5.xml"/><Relationship Id="rId16" Type="http://schemas.openxmlformats.org/officeDocument/2006/relationships/footer" Target="footer5.xml"/><Relationship Id="rId17" Type="http://schemas.openxmlformats.org/officeDocument/2006/relationships/header" Target="header6.xml"/><Relationship Id="rId18" Type="http://schemas.openxmlformats.org/officeDocument/2006/relationships/footer" Target="footer6.xml"/><Relationship Id="rId19" Type="http://schemas.openxmlformats.org/officeDocument/2006/relationships/footer" Target="footer7.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image" Target="media/image1.png"/><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footer" Target="footer8.xml"/><Relationship Id="rId30" Type="http://schemas.openxmlformats.org/officeDocument/2006/relationships/footer" Target="footer9.xml"/><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header" Target="header9.xml"/><Relationship Id="rId44" Type="http://schemas.openxmlformats.org/officeDocument/2006/relationships/header" Target="header10.xml"/><Relationship Id="rId45" Type="http://schemas.openxmlformats.org/officeDocument/2006/relationships/footer" Target="footer10.xml"/><Relationship Id="rId46" Type="http://schemas.openxmlformats.org/officeDocument/2006/relationships/footer" Target="footer11.xml"/><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header" Target="header11.xml"/><Relationship Id="rId50" Type="http://schemas.openxmlformats.org/officeDocument/2006/relationships/header" Target="header12.xml"/><Relationship Id="rId51" Type="http://schemas.openxmlformats.org/officeDocument/2006/relationships/footer" Target="footer12.xml"/><Relationship Id="rId52" Type="http://schemas.openxmlformats.org/officeDocument/2006/relationships/footer" Target="footer13.xml"/><Relationship Id="rId53" Type="http://schemas.openxmlformats.org/officeDocument/2006/relationships/image" Target="media/image22.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image" Target="media/image28.png"/><Relationship Id="rId60" Type="http://schemas.openxmlformats.org/officeDocument/2006/relationships/header" Target="header13.xml"/><Relationship Id="rId61" Type="http://schemas.openxmlformats.org/officeDocument/2006/relationships/footer" Target="footer14.xml"/><Relationship Id="rId62" Type="http://schemas.openxmlformats.org/officeDocument/2006/relationships/footer" Target="footer15.xml"/><Relationship Id="rId63" Type="http://schemas.openxmlformats.org/officeDocument/2006/relationships/header" Target="header14.xml"/><Relationship Id="rId64" Type="http://schemas.openxmlformats.org/officeDocument/2006/relationships/header" Target="header15.xml"/><Relationship Id="rId65" Type="http://schemas.openxmlformats.org/officeDocument/2006/relationships/footer" Target="footer16.xml"/><Relationship Id="rId66" Type="http://schemas.openxmlformats.org/officeDocument/2006/relationships/footer" Target="footer17.xml"/><Relationship Id="rId67" Type="http://schemas.openxmlformats.org/officeDocument/2006/relationships/image" Target="media/image29.png"/><Relationship Id="rId68" Type="http://schemas.openxmlformats.org/officeDocument/2006/relationships/header" Target="header16.xml"/><Relationship Id="rId69" Type="http://schemas.openxmlformats.org/officeDocument/2006/relationships/header" Target="header17.xml"/><Relationship Id="rId70" Type="http://schemas.openxmlformats.org/officeDocument/2006/relationships/image" Target="media/image30.png"/><Relationship Id="rId71" Type="http://schemas.openxmlformats.org/officeDocument/2006/relationships/image" Target="media/image31.png"/><Relationship Id="rId72" Type="http://schemas.openxmlformats.org/officeDocument/2006/relationships/image" Target="media/image32.png"/><Relationship Id="rId73" Type="http://schemas.openxmlformats.org/officeDocument/2006/relationships/image" Target="media/image33.png"/><Relationship Id="rId74" Type="http://schemas.openxmlformats.org/officeDocument/2006/relationships/image" Target="media/image34.png"/><Relationship Id="rId75" Type="http://schemas.openxmlformats.org/officeDocument/2006/relationships/image" Target="media/image35.png"/><Relationship Id="rId76" Type="http://schemas.openxmlformats.org/officeDocument/2006/relationships/image" Target="media/image36.png"/><Relationship Id="rId77" Type="http://schemas.openxmlformats.org/officeDocument/2006/relationships/image" Target="media/image37.png"/><Relationship Id="rId78" Type="http://schemas.openxmlformats.org/officeDocument/2006/relationships/image" Target="media/image38.png"/><Relationship Id="rId79" Type="http://schemas.openxmlformats.org/officeDocument/2006/relationships/header" Target="header18.xml"/><Relationship Id="rId80" Type="http://schemas.openxmlformats.org/officeDocument/2006/relationships/header" Target="header19.xml"/><Relationship Id="rId81" Type="http://schemas.openxmlformats.org/officeDocument/2006/relationships/footer" Target="footer18.xml"/><Relationship Id="rId82" Type="http://schemas.openxmlformats.org/officeDocument/2006/relationships/footer" Target="footer19.xml"/><Relationship Id="rId83" Type="http://schemas.openxmlformats.org/officeDocument/2006/relationships/image" Target="media/image39.png"/><Relationship Id="rId84" Type="http://schemas.openxmlformats.org/officeDocument/2006/relationships/image" Target="media/image40.png"/><Relationship Id="rId85" Type="http://schemas.openxmlformats.org/officeDocument/2006/relationships/hyperlink" Target="http://www.bankofengland.co.uk/mew.htm" TargetMode="External"/><Relationship Id="rId86" Type="http://schemas.openxmlformats.org/officeDocument/2006/relationships/image" Target="media/image41.png"/><Relationship Id="rId87" Type="http://schemas.openxmlformats.org/officeDocument/2006/relationships/header" Target="header20.xml"/><Relationship Id="rId88" Type="http://schemas.openxmlformats.org/officeDocument/2006/relationships/header" Target="header21.xml"/><Relationship Id="rId89" Type="http://schemas.openxmlformats.org/officeDocument/2006/relationships/footer" Target="footer20.xml"/><Relationship Id="rId90" Type="http://schemas.openxmlformats.org/officeDocument/2006/relationships/footer" Target="footer21.xml"/><Relationship Id="rId91" Type="http://schemas.openxmlformats.org/officeDocument/2006/relationships/image" Target="media/image42.png"/><Relationship Id="rId92" Type="http://schemas.openxmlformats.org/officeDocument/2006/relationships/image" Target="media/image43.png"/><Relationship Id="rId93" Type="http://schemas.openxmlformats.org/officeDocument/2006/relationships/image" Target="media/image44.png"/><Relationship Id="rId94" Type="http://schemas.openxmlformats.org/officeDocument/2006/relationships/image" Target="media/image45.png"/><Relationship Id="rId95" Type="http://schemas.openxmlformats.org/officeDocument/2006/relationships/image" Target="media/image46.png"/><Relationship Id="rId96" Type="http://schemas.openxmlformats.org/officeDocument/2006/relationships/image" Target="media/image47.png"/><Relationship Id="rId97" Type="http://schemas.openxmlformats.org/officeDocument/2006/relationships/image" Target="media/image48.png"/><Relationship Id="rId98" Type="http://schemas.openxmlformats.org/officeDocument/2006/relationships/image" Target="media/image49.png"/><Relationship Id="rId99" Type="http://schemas.openxmlformats.org/officeDocument/2006/relationships/image" Target="media/image50.png"/><Relationship Id="rId100" Type="http://schemas.openxmlformats.org/officeDocument/2006/relationships/image" Target="media/image51.png"/><Relationship Id="rId101" Type="http://schemas.openxmlformats.org/officeDocument/2006/relationships/image" Target="media/image52.png"/><Relationship Id="rId102" Type="http://schemas.openxmlformats.org/officeDocument/2006/relationships/image" Target="media/image53.png"/><Relationship Id="rId103" Type="http://schemas.openxmlformats.org/officeDocument/2006/relationships/image" Target="media/image54.png"/><Relationship Id="rId104" Type="http://schemas.openxmlformats.org/officeDocument/2006/relationships/image" Target="media/image55.png"/><Relationship Id="rId105" Type="http://schemas.openxmlformats.org/officeDocument/2006/relationships/image" Target="media/image56.png"/><Relationship Id="rId106" Type="http://schemas.openxmlformats.org/officeDocument/2006/relationships/image" Target="media/image57.png"/><Relationship Id="rId107" Type="http://schemas.openxmlformats.org/officeDocument/2006/relationships/image" Target="media/image58.png"/><Relationship Id="rId108" Type="http://schemas.openxmlformats.org/officeDocument/2006/relationships/header" Target="header22.xml"/><Relationship Id="rId109" Type="http://schemas.openxmlformats.org/officeDocument/2006/relationships/footer" Target="footer22.xml"/><Relationship Id="rId110" Type="http://schemas.openxmlformats.org/officeDocument/2006/relationships/footer" Target="footer23.xml"/><Relationship Id="rId111" Type="http://schemas.openxmlformats.org/officeDocument/2006/relationships/image" Target="media/image59.png"/><Relationship Id="rId112" Type="http://schemas.openxmlformats.org/officeDocument/2006/relationships/header" Target="header23.xml"/><Relationship Id="rId113" Type="http://schemas.openxmlformats.org/officeDocument/2006/relationships/header" Target="header24.xml"/><Relationship Id="rId114" Type="http://schemas.openxmlformats.org/officeDocument/2006/relationships/image" Target="media/image60.png"/><Relationship Id="rId115" Type="http://schemas.openxmlformats.org/officeDocument/2006/relationships/image" Target="media/image61.png"/><Relationship Id="rId116" Type="http://schemas.openxmlformats.org/officeDocument/2006/relationships/footer" Target="footer24.xml"/><Relationship Id="rId117" Type="http://schemas.openxmlformats.org/officeDocument/2006/relationships/footer" Target="footer25.xml"/><Relationship Id="rId118" Type="http://schemas.openxmlformats.org/officeDocument/2006/relationships/image" Target="media/image62.png"/><Relationship Id="rId119" Type="http://schemas.openxmlformats.org/officeDocument/2006/relationships/image" Target="media/image63.png"/><Relationship Id="rId120" Type="http://schemas.openxmlformats.org/officeDocument/2006/relationships/image" Target="media/image64.png"/><Relationship Id="rId121" Type="http://schemas.openxmlformats.org/officeDocument/2006/relationships/header" Target="header25.xml"/><Relationship Id="rId122" Type="http://schemas.openxmlformats.org/officeDocument/2006/relationships/footer" Target="footer26.xml"/><Relationship Id="rId123" Type="http://schemas.openxmlformats.org/officeDocument/2006/relationships/footer" Target="footer27.xml"/><Relationship Id="rId124" Type="http://schemas.openxmlformats.org/officeDocument/2006/relationships/image" Target="media/image65.png"/><Relationship Id="rId125" Type="http://schemas.openxmlformats.org/officeDocument/2006/relationships/image" Target="media/image66.png"/><Relationship Id="rId126" Type="http://schemas.openxmlformats.org/officeDocument/2006/relationships/image" Target="media/image67.png"/><Relationship Id="rId127" Type="http://schemas.openxmlformats.org/officeDocument/2006/relationships/image" Target="media/image68.png"/><Relationship Id="rId128" Type="http://schemas.openxmlformats.org/officeDocument/2006/relationships/image" Target="media/image69.png"/><Relationship Id="rId129" Type="http://schemas.openxmlformats.org/officeDocument/2006/relationships/image" Target="media/image70.png"/><Relationship Id="rId130" Type="http://schemas.openxmlformats.org/officeDocument/2006/relationships/image" Target="media/image71.png"/><Relationship Id="rId131" Type="http://schemas.openxmlformats.org/officeDocument/2006/relationships/header" Target="header26.xml"/><Relationship Id="rId132" Type="http://schemas.openxmlformats.org/officeDocument/2006/relationships/header" Target="header27.xml"/><Relationship Id="rId133" Type="http://schemas.openxmlformats.org/officeDocument/2006/relationships/image" Target="media/image72.png"/><Relationship Id="rId134" Type="http://schemas.openxmlformats.org/officeDocument/2006/relationships/image" Target="media/image73.png"/><Relationship Id="rId135" Type="http://schemas.openxmlformats.org/officeDocument/2006/relationships/image" Target="media/image74.png"/><Relationship Id="rId136" Type="http://schemas.openxmlformats.org/officeDocument/2006/relationships/image" Target="media/image75.png"/><Relationship Id="rId137" Type="http://schemas.openxmlformats.org/officeDocument/2006/relationships/image" Target="media/image76.png"/><Relationship Id="rId138" Type="http://schemas.openxmlformats.org/officeDocument/2006/relationships/footer" Target="footer28.xml"/><Relationship Id="rId139" Type="http://schemas.openxmlformats.org/officeDocument/2006/relationships/footer" Target="footer29.xml"/><Relationship Id="rId140" Type="http://schemas.openxmlformats.org/officeDocument/2006/relationships/image" Target="media/image77.png"/><Relationship Id="rId141" Type="http://schemas.openxmlformats.org/officeDocument/2006/relationships/header" Target="header28.xml"/><Relationship Id="rId142" Type="http://schemas.openxmlformats.org/officeDocument/2006/relationships/header" Target="header29.xml"/><Relationship Id="rId143" Type="http://schemas.openxmlformats.org/officeDocument/2006/relationships/footer" Target="footer30.xml"/><Relationship Id="rId144" Type="http://schemas.openxmlformats.org/officeDocument/2006/relationships/footer" Target="footer31.xml"/><Relationship Id="rId145" Type="http://schemas.openxmlformats.org/officeDocument/2006/relationships/image" Target="media/image78.png"/><Relationship Id="rId146" Type="http://schemas.openxmlformats.org/officeDocument/2006/relationships/image" Target="media/image79.png"/><Relationship Id="rId147" Type="http://schemas.openxmlformats.org/officeDocument/2006/relationships/image" Target="media/image80.png"/><Relationship Id="rId148" Type="http://schemas.openxmlformats.org/officeDocument/2006/relationships/image" Target="media/image81.png"/><Relationship Id="rId149" Type="http://schemas.openxmlformats.org/officeDocument/2006/relationships/image" Target="media/image82.png"/><Relationship Id="rId150" Type="http://schemas.openxmlformats.org/officeDocument/2006/relationships/image" Target="media/image83.png"/><Relationship Id="rId151" Type="http://schemas.openxmlformats.org/officeDocument/2006/relationships/image" Target="media/image84.png"/><Relationship Id="rId152" Type="http://schemas.openxmlformats.org/officeDocument/2006/relationships/image" Target="media/image85.png"/><Relationship Id="rId153" Type="http://schemas.openxmlformats.org/officeDocument/2006/relationships/header" Target="header30.xml"/><Relationship Id="rId154" Type="http://schemas.openxmlformats.org/officeDocument/2006/relationships/header" Target="header31.xml"/><Relationship Id="rId155" Type="http://schemas.openxmlformats.org/officeDocument/2006/relationships/footer" Target="footer32.xml"/><Relationship Id="rId156" Type="http://schemas.openxmlformats.org/officeDocument/2006/relationships/footer" Target="footer33.xml"/><Relationship Id="rId157" Type="http://schemas.openxmlformats.org/officeDocument/2006/relationships/image" Target="media/image86.png"/><Relationship Id="rId158" Type="http://schemas.openxmlformats.org/officeDocument/2006/relationships/image" Target="media/image87.png"/><Relationship Id="rId159" Type="http://schemas.openxmlformats.org/officeDocument/2006/relationships/header" Target="header32.xml"/><Relationship Id="rId160" Type="http://schemas.openxmlformats.org/officeDocument/2006/relationships/footer" Target="footer34.xml"/><Relationship Id="rId161" Type="http://schemas.openxmlformats.org/officeDocument/2006/relationships/footer" Target="footer35.xml"/><Relationship Id="rId162" Type="http://schemas.openxmlformats.org/officeDocument/2006/relationships/header" Target="header33.xml"/><Relationship Id="rId163" Type="http://schemas.openxmlformats.org/officeDocument/2006/relationships/header" Target="header34.xml"/><Relationship Id="rId164" Type="http://schemas.openxmlformats.org/officeDocument/2006/relationships/footer" Target="footer36.xml"/><Relationship Id="rId165" Type="http://schemas.openxmlformats.org/officeDocument/2006/relationships/footer" Target="footer37.xml"/><Relationship Id="rId166" Type="http://schemas.openxmlformats.org/officeDocument/2006/relationships/header" Target="header35.xml"/><Relationship Id="rId167" Type="http://schemas.openxmlformats.org/officeDocument/2006/relationships/footer" Target="footer38.xml"/><Relationship Id="rId168" Type="http://schemas.openxmlformats.org/officeDocument/2006/relationships/footer" Target="footer39.xml"/><Relationship Id="rId169" Type="http://schemas.openxmlformats.org/officeDocument/2006/relationships/header" Target="header36.xml"/><Relationship Id="rId170" Type="http://schemas.openxmlformats.org/officeDocument/2006/relationships/header" Target="header37.xml"/><Relationship Id="rId171" Type="http://schemas.openxmlformats.org/officeDocument/2006/relationships/footer" Target="footer40.xml"/><Relationship Id="rId172" Type="http://schemas.openxmlformats.org/officeDocument/2006/relationships/footer" Target="footer41.xml"/><Relationship Id="rId173" Type="http://schemas.openxmlformats.org/officeDocument/2006/relationships/header" Target="header38.xml"/><Relationship Id="rId174" Type="http://schemas.openxmlformats.org/officeDocument/2006/relationships/header" Target="header39.xml"/><Relationship Id="rId175" Type="http://schemas.openxmlformats.org/officeDocument/2006/relationships/footer" Target="footer42.xml"/><Relationship Id="rId176" Type="http://schemas.openxmlformats.org/officeDocument/2006/relationships/footer" Target="footer43.xml"/><Relationship Id="rId177" Type="http://schemas.openxmlformats.org/officeDocument/2006/relationships/image" Target="media/image88.png"/><Relationship Id="rId178" Type="http://schemas.openxmlformats.org/officeDocument/2006/relationships/image" Target="media/image89.png"/><Relationship Id="rId179" Type="http://schemas.openxmlformats.org/officeDocument/2006/relationships/image" Target="media/image90.png"/><Relationship Id="rId180" Type="http://schemas.openxmlformats.org/officeDocument/2006/relationships/image" Target="media/image91.png"/><Relationship Id="rId181" Type="http://schemas.openxmlformats.org/officeDocument/2006/relationships/image" Target="media/image92.png"/><Relationship Id="rId182" Type="http://schemas.openxmlformats.org/officeDocument/2006/relationships/image" Target="media/image93.png"/><Relationship Id="rId183" Type="http://schemas.openxmlformats.org/officeDocument/2006/relationships/image" Target="media/image94.png"/><Relationship Id="rId184" Type="http://schemas.openxmlformats.org/officeDocument/2006/relationships/image" Target="media/image95.png"/><Relationship Id="rId185" Type="http://schemas.openxmlformats.org/officeDocument/2006/relationships/image" Target="media/image96.png"/><Relationship Id="rId186" Type="http://schemas.openxmlformats.org/officeDocument/2006/relationships/image" Target="media/image97.png"/><Relationship Id="rId187" Type="http://schemas.openxmlformats.org/officeDocument/2006/relationships/image" Target="media/image98.png"/><Relationship Id="rId188" Type="http://schemas.openxmlformats.org/officeDocument/2006/relationships/image" Target="media/image99.png"/><Relationship Id="rId189" Type="http://schemas.openxmlformats.org/officeDocument/2006/relationships/image" Target="media/image100.png"/><Relationship Id="rId190" Type="http://schemas.openxmlformats.org/officeDocument/2006/relationships/image" Target="media/image101.png"/><Relationship Id="rId191" Type="http://schemas.openxmlformats.org/officeDocument/2006/relationships/image" Target="media/image102.png"/><Relationship Id="rId192" Type="http://schemas.openxmlformats.org/officeDocument/2006/relationships/header" Target="header40.xml"/><Relationship Id="rId193" Type="http://schemas.openxmlformats.org/officeDocument/2006/relationships/header" Target="header41.xml"/><Relationship Id="rId194" Type="http://schemas.openxmlformats.org/officeDocument/2006/relationships/footer" Target="footer44.xml"/><Relationship Id="rId195" Type="http://schemas.openxmlformats.org/officeDocument/2006/relationships/footer" Target="footer45.xml"/><Relationship Id="rId196" Type="http://schemas.openxmlformats.org/officeDocument/2006/relationships/header" Target="header42.xml"/><Relationship Id="rId197" Type="http://schemas.openxmlformats.org/officeDocument/2006/relationships/footer" Target="footer46.xml"/><Relationship Id="rId198" Type="http://schemas.openxmlformats.org/officeDocument/2006/relationships/footer" Target="footer47.xml"/><Relationship Id="rId199" Type="http://schemas.openxmlformats.org/officeDocument/2006/relationships/header" Target="header43.xml"/><Relationship Id="rId200" Type="http://schemas.openxmlformats.org/officeDocument/2006/relationships/header" Target="header44.xml"/><Relationship Id="rId201" Type="http://schemas.openxmlformats.org/officeDocument/2006/relationships/header" Target="header45.xml"/><Relationship Id="rId202" Type="http://schemas.openxmlformats.org/officeDocument/2006/relationships/footer" Target="footer48.xml"/><Relationship Id="rId203" Type="http://schemas.openxmlformats.org/officeDocument/2006/relationships/footer" Target="footer49.xml"/><Relationship Id="rId204" Type="http://schemas.openxmlformats.org/officeDocument/2006/relationships/header" Target="header46.xml"/><Relationship Id="rId205" Type="http://schemas.openxmlformats.org/officeDocument/2006/relationships/image" Target="media/image103.png"/><Relationship Id="rId206" Type="http://schemas.openxmlformats.org/officeDocument/2006/relationships/header" Target="header47.xml"/><Relationship Id="rId207" Type="http://schemas.openxmlformats.org/officeDocument/2006/relationships/header" Target="header48.xml"/><Relationship Id="rId208" Type="http://schemas.openxmlformats.org/officeDocument/2006/relationships/footer" Target="footer50.xml"/><Relationship Id="rId209" Type="http://schemas.openxmlformats.org/officeDocument/2006/relationships/footer" Target="footer51.xml"/><Relationship Id="rId210" Type="http://schemas.openxmlformats.org/officeDocument/2006/relationships/header" Target="header49.xml"/><Relationship Id="rId211" Type="http://schemas.openxmlformats.org/officeDocument/2006/relationships/footer" Target="footer52.xml"/><Relationship Id="rId21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MPC</dc:creator>
  <dc:subject>Inflation Report Aug 2000</dc:subject>
  <dc:title>Inflation Report</dc:title>
  <dcterms:created xsi:type="dcterms:W3CDTF">2020-06-02T21:52:14Z</dcterms:created>
  <dcterms:modified xsi:type="dcterms:W3CDTF">2020-06-02T21:52:14Z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2000-08-08T00:00:00Z</vt:filetime>
  </property>
  <property fmtid="{D5CDD505-2E9C-101B-9397-08002B2CF9AE}" pid="3" name="LastSaved">
    <vt:filetime>2020-06-02T00:00:00Z</vt:filetime>
  </property>
</Properties>
</file>